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70.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header21.xml" ContentType="application/vnd.openxmlformats-officedocument.wordprocessingml.head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header219.xml" ContentType="application/vnd.openxmlformats-officedocument.wordprocessingml.header+xml"/>
  <Override PartName="/word/header22.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header23.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header24.xml" ContentType="application/vnd.openxmlformats-officedocument.wordprocessingml.head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header25.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header259.xml" ContentType="application/vnd.openxmlformats-officedocument.wordprocessingml.header+xml"/>
  <Override PartName="/word/header26.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header268.xml" ContentType="application/vnd.openxmlformats-officedocument.wordprocessingml.header+xml"/>
  <Override PartName="/word/header269.xml" ContentType="application/vnd.openxmlformats-officedocument.wordprocessingml.header+xml"/>
  <Override PartName="/word/header27.xml" ContentType="application/vnd.openxmlformats-officedocument.wordprocessingml.header+xml"/>
  <Override PartName="/word/header270.xml" ContentType="application/vnd.openxmlformats-officedocument.wordprocessingml.header+xml"/>
  <Override PartName="/word/header271.xml" ContentType="application/vnd.openxmlformats-officedocument.wordprocessingml.header+xml"/>
  <Override PartName="/word/header272.xml" ContentType="application/vnd.openxmlformats-officedocument.wordprocessingml.header+xml"/>
  <Override PartName="/word/header273.xml" ContentType="application/vnd.openxmlformats-officedocument.wordprocessingml.header+xml"/>
  <Override PartName="/word/header274.xml" ContentType="application/vnd.openxmlformats-officedocument.wordprocessingml.header+xml"/>
  <Override PartName="/word/header275.xml" ContentType="application/vnd.openxmlformats-officedocument.wordprocessingml.header+xml"/>
  <Override PartName="/word/header276.xml" ContentType="application/vnd.openxmlformats-officedocument.wordprocessingml.header+xml"/>
  <Override PartName="/word/header277.xml" ContentType="application/vnd.openxmlformats-officedocument.wordprocessingml.header+xml"/>
  <Override PartName="/word/header278.xml" ContentType="application/vnd.openxmlformats-officedocument.wordprocessingml.header+xml"/>
  <Override PartName="/word/header279.xml" ContentType="application/vnd.openxmlformats-officedocument.wordprocessingml.header+xml"/>
  <Override PartName="/word/header28.xml" ContentType="application/vnd.openxmlformats-officedocument.wordprocessingml.header+xml"/>
  <Override PartName="/word/header280.xml" ContentType="application/vnd.openxmlformats-officedocument.wordprocessingml.header+xml"/>
  <Override PartName="/word/header281.xml" ContentType="application/vnd.openxmlformats-officedocument.wordprocessingml.header+xml"/>
  <Override PartName="/word/header282.xml" ContentType="application/vnd.openxmlformats-officedocument.wordprocessingml.header+xml"/>
  <Override PartName="/word/header283.xml" ContentType="application/vnd.openxmlformats-officedocument.wordprocessingml.header+xml"/>
  <Override PartName="/word/header284.xml" ContentType="application/vnd.openxmlformats-officedocument.wordprocessingml.header+xml"/>
  <Override PartName="/word/header285.xml" ContentType="application/vnd.openxmlformats-officedocument.wordprocessingml.header+xml"/>
  <Override PartName="/word/header286.xml" ContentType="application/vnd.openxmlformats-officedocument.wordprocessingml.header+xml"/>
  <Override PartName="/word/header287.xml" ContentType="application/vnd.openxmlformats-officedocument.wordprocessingml.header+xml"/>
  <Override PartName="/word/header288.xml" ContentType="application/vnd.openxmlformats-officedocument.wordprocessingml.header+xml"/>
  <Override PartName="/word/header289.xml" ContentType="application/vnd.openxmlformats-officedocument.wordprocessingml.header+xml"/>
  <Override PartName="/word/header29.xml" ContentType="application/vnd.openxmlformats-officedocument.wordprocessingml.header+xml"/>
  <Override PartName="/word/header290.xml" ContentType="application/vnd.openxmlformats-officedocument.wordprocessingml.header+xml"/>
  <Override PartName="/word/header291.xml" ContentType="application/vnd.openxmlformats-officedocument.wordprocessingml.header+xml"/>
  <Override PartName="/word/header292.xml" ContentType="application/vnd.openxmlformats-officedocument.wordprocessingml.header+xml"/>
  <Override PartName="/word/header293.xml" ContentType="application/vnd.openxmlformats-officedocument.wordprocessingml.header+xml"/>
  <Override PartName="/word/header294.xml" ContentType="application/vnd.openxmlformats-officedocument.wordprocessingml.header+xml"/>
  <Override PartName="/word/header295.xml" ContentType="application/vnd.openxmlformats-officedocument.wordprocessingml.header+xml"/>
  <Override PartName="/word/header296.xml" ContentType="application/vnd.openxmlformats-officedocument.wordprocessingml.header+xml"/>
  <Override PartName="/word/header297.xml" ContentType="application/vnd.openxmlformats-officedocument.wordprocessingml.header+xml"/>
  <Override PartName="/word/header298.xml" ContentType="application/vnd.openxmlformats-officedocument.wordprocessingml.header+xml"/>
  <Override PartName="/word/header29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00.xml" ContentType="application/vnd.openxmlformats-officedocument.wordprocessingml.header+xml"/>
  <Override PartName="/word/header301.xml" ContentType="application/vnd.openxmlformats-officedocument.wordprocessingml.header+xml"/>
  <Override PartName="/word/header302.xml" ContentType="application/vnd.openxmlformats-officedocument.wordprocessingml.header+xml"/>
  <Override PartName="/word/header303.xml" ContentType="application/vnd.openxmlformats-officedocument.wordprocessingml.header+xml"/>
  <Override PartName="/word/header304.xml" ContentType="application/vnd.openxmlformats-officedocument.wordprocessingml.header+xml"/>
  <Override PartName="/word/header305.xml" ContentType="application/vnd.openxmlformats-officedocument.wordprocessingml.header+xml"/>
  <Override PartName="/word/header306.xml" ContentType="application/vnd.openxmlformats-officedocument.wordprocessingml.header+xml"/>
  <Override PartName="/word/header307.xml" ContentType="application/vnd.openxmlformats-officedocument.wordprocessingml.header+xml"/>
  <Override PartName="/word/header308.xml" ContentType="application/vnd.openxmlformats-officedocument.wordprocessingml.header+xml"/>
  <Override PartName="/word/header309.xml" ContentType="application/vnd.openxmlformats-officedocument.wordprocessingml.header+xml"/>
  <Override PartName="/word/header31.xml" ContentType="application/vnd.openxmlformats-officedocument.wordprocessingml.header+xml"/>
  <Override PartName="/word/header310.xml" ContentType="application/vnd.openxmlformats-officedocument.wordprocessingml.header+xml"/>
  <Override PartName="/word/header311.xml" ContentType="application/vnd.openxmlformats-officedocument.wordprocessingml.header+xml"/>
  <Override PartName="/word/header312.xml" ContentType="application/vnd.openxmlformats-officedocument.wordprocessingml.header+xml"/>
  <Override PartName="/word/header313.xml" ContentType="application/vnd.openxmlformats-officedocument.wordprocessingml.header+xml"/>
  <Override PartName="/word/header314.xml" ContentType="application/vnd.openxmlformats-officedocument.wordprocessingml.header+xml"/>
  <Override PartName="/word/header315.xml" ContentType="application/vnd.openxmlformats-officedocument.wordprocessingml.header+xml"/>
  <Override PartName="/word/header316.xml" ContentType="application/vnd.openxmlformats-officedocument.wordprocessingml.header+xml"/>
  <Override PartName="/word/header317.xml" ContentType="application/vnd.openxmlformats-officedocument.wordprocessingml.header+xml"/>
  <Override PartName="/word/header318.xml" ContentType="application/vnd.openxmlformats-officedocument.wordprocessingml.header+xml"/>
  <Override PartName="/word/header319.xml" ContentType="application/vnd.openxmlformats-officedocument.wordprocessingml.header+xml"/>
  <Override PartName="/word/header32.xml" ContentType="application/vnd.openxmlformats-officedocument.wordprocessingml.header+xml"/>
  <Override PartName="/word/header320.xml" ContentType="application/vnd.openxmlformats-officedocument.wordprocessingml.header+xml"/>
  <Override PartName="/word/header321.xml" ContentType="application/vnd.openxmlformats-officedocument.wordprocessingml.header+xml"/>
  <Override PartName="/word/header322.xml" ContentType="application/vnd.openxmlformats-officedocument.wordprocessingml.header+xml"/>
  <Override PartName="/word/header323.xml" ContentType="application/vnd.openxmlformats-officedocument.wordprocessingml.header+xml"/>
  <Override PartName="/word/header324.xml" ContentType="application/vnd.openxmlformats-officedocument.wordprocessingml.header+xml"/>
  <Override PartName="/word/header325.xml" ContentType="application/vnd.openxmlformats-officedocument.wordprocessingml.header+xml"/>
  <Override PartName="/word/header326.xml" ContentType="application/vnd.openxmlformats-officedocument.wordprocessingml.header+xml"/>
  <Override PartName="/word/header327.xml" ContentType="application/vnd.openxmlformats-officedocument.wordprocessingml.header+xml"/>
  <Override PartName="/word/header328.xml" ContentType="application/vnd.openxmlformats-officedocument.wordprocessingml.header+xml"/>
  <Override PartName="/word/header329.xml" ContentType="application/vnd.openxmlformats-officedocument.wordprocessingml.header+xml"/>
  <Override PartName="/word/header33.xml" ContentType="application/vnd.openxmlformats-officedocument.wordprocessingml.header+xml"/>
  <Override PartName="/word/header330.xml" ContentType="application/vnd.openxmlformats-officedocument.wordprocessingml.header+xml"/>
  <Override PartName="/word/header331.xml" ContentType="application/vnd.openxmlformats-officedocument.wordprocessingml.header+xml"/>
  <Override PartName="/word/header332.xml" ContentType="application/vnd.openxmlformats-officedocument.wordprocessingml.header+xml"/>
  <Override PartName="/word/header333.xml" ContentType="application/vnd.openxmlformats-officedocument.wordprocessingml.header+xml"/>
  <Override PartName="/word/header334.xml" ContentType="application/vnd.openxmlformats-officedocument.wordprocessingml.header+xml"/>
  <Override PartName="/word/header335.xml" ContentType="application/vnd.openxmlformats-officedocument.wordprocessingml.header+xml"/>
  <Override PartName="/word/header336.xml" ContentType="application/vnd.openxmlformats-officedocument.wordprocessingml.header+xml"/>
  <Override PartName="/word/header337.xml" ContentType="application/vnd.openxmlformats-officedocument.wordprocessingml.header+xml"/>
  <Override PartName="/word/header338.xml" ContentType="application/vnd.openxmlformats-officedocument.wordprocessingml.header+xml"/>
  <Override PartName="/word/header339.xml" ContentType="application/vnd.openxmlformats-officedocument.wordprocessingml.header+xml"/>
  <Override PartName="/word/header34.xml" ContentType="application/vnd.openxmlformats-officedocument.wordprocessingml.header+xml"/>
  <Override PartName="/word/header340.xml" ContentType="application/vnd.openxmlformats-officedocument.wordprocessingml.header+xml"/>
  <Override PartName="/word/header341.xml" ContentType="application/vnd.openxmlformats-officedocument.wordprocessingml.header+xml"/>
  <Override PartName="/word/header342.xml" ContentType="application/vnd.openxmlformats-officedocument.wordprocessingml.header+xml"/>
  <Override PartName="/word/header343.xml" ContentType="application/vnd.openxmlformats-officedocument.wordprocessingml.header+xml"/>
  <Override PartName="/word/header344.xml" ContentType="application/vnd.openxmlformats-officedocument.wordprocessingml.header+xml"/>
  <Override PartName="/word/header345.xml" ContentType="application/vnd.openxmlformats-officedocument.wordprocessingml.header+xml"/>
  <Override PartName="/word/header346.xml" ContentType="application/vnd.openxmlformats-officedocument.wordprocessingml.header+xml"/>
  <Override PartName="/word/header347.xml" ContentType="application/vnd.openxmlformats-officedocument.wordprocessingml.header+xml"/>
  <Override PartName="/word/header348.xml" ContentType="application/vnd.openxmlformats-officedocument.wordprocessingml.header+xml"/>
  <Override PartName="/word/header349.xml" ContentType="application/vnd.openxmlformats-officedocument.wordprocessingml.header+xml"/>
  <Override PartName="/word/header35.xml" ContentType="application/vnd.openxmlformats-officedocument.wordprocessingml.header+xml"/>
  <Override PartName="/word/header350.xml" ContentType="application/vnd.openxmlformats-officedocument.wordprocessingml.header+xml"/>
  <Override PartName="/word/header351.xml" ContentType="application/vnd.openxmlformats-officedocument.wordprocessingml.header+xml"/>
  <Override PartName="/word/header352.xml" ContentType="application/vnd.openxmlformats-officedocument.wordprocessingml.header+xml"/>
  <Override PartName="/word/header353.xml" ContentType="application/vnd.openxmlformats-officedocument.wordprocessingml.header+xml"/>
  <Override PartName="/word/header354.xml" ContentType="application/vnd.openxmlformats-officedocument.wordprocessingml.header+xml"/>
  <Override PartName="/word/header355.xml" ContentType="application/vnd.openxmlformats-officedocument.wordprocessingml.header+xml"/>
  <Override PartName="/word/header356.xml" ContentType="application/vnd.openxmlformats-officedocument.wordprocessingml.header+xml"/>
  <Override PartName="/word/header357.xml" ContentType="application/vnd.openxmlformats-officedocument.wordprocessingml.header+xml"/>
  <Override PartName="/word/header358.xml" ContentType="application/vnd.openxmlformats-officedocument.wordprocessingml.header+xml"/>
  <Override PartName="/word/header359.xml" ContentType="application/vnd.openxmlformats-officedocument.wordprocessingml.header+xml"/>
  <Override PartName="/word/header36.xml" ContentType="application/vnd.openxmlformats-officedocument.wordprocessingml.header+xml"/>
  <Override PartName="/word/header360.xml" ContentType="application/vnd.openxmlformats-officedocument.wordprocessingml.header+xml"/>
  <Override PartName="/word/header361.xml" ContentType="application/vnd.openxmlformats-officedocument.wordprocessingml.header+xml"/>
  <Override PartName="/word/header362.xml" ContentType="application/vnd.openxmlformats-officedocument.wordprocessingml.header+xml"/>
  <Override PartName="/word/header363.xml" ContentType="application/vnd.openxmlformats-officedocument.wordprocessingml.header+xml"/>
  <Override PartName="/word/header364.xml" ContentType="application/vnd.openxmlformats-officedocument.wordprocessingml.header+xml"/>
  <Override PartName="/word/header365.xml" ContentType="application/vnd.openxmlformats-officedocument.wordprocessingml.header+xml"/>
  <Override PartName="/word/header366.xml" ContentType="application/vnd.openxmlformats-officedocument.wordprocessingml.header+xml"/>
  <Override PartName="/word/header367.xml" ContentType="application/vnd.openxmlformats-officedocument.wordprocessingml.header+xml"/>
  <Override PartName="/word/header368.xml" ContentType="application/vnd.openxmlformats-officedocument.wordprocessingml.header+xml"/>
  <Override PartName="/word/header369.xml" ContentType="application/vnd.openxmlformats-officedocument.wordprocessingml.header+xml"/>
  <Override PartName="/word/header37.xml" ContentType="application/vnd.openxmlformats-officedocument.wordprocessingml.header+xml"/>
  <Override PartName="/word/header370.xml" ContentType="application/vnd.openxmlformats-officedocument.wordprocessingml.header+xml"/>
  <Override PartName="/word/header371.xml" ContentType="application/vnd.openxmlformats-officedocument.wordprocessingml.header+xml"/>
  <Override PartName="/word/header372.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extended-properties" Target="docProps/app.xml"/>
  <Relationship Id="rId3" Type="http://schemas.openxmlformats.org/officeDocument/2006/relationships/officeDocument" Target="word/document.xml"/>
  <Relationship Id="rId4" Type="http://schemas.openxmlformats.org/package/2006/relationships/metadata/core-properties" Target="docProps/core.xml"/>
</Relationships>

</file>

<file path=word/document.xml><?xml version="1.0" encoding="utf-8"?>
<w: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taisx="http://lrs.lt/TAIS/DocPartXmlMark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body>
    <w:sdt>
      <w:sdtPr>
        <w:alias w:val="pagrindine"/>
        <w:tag w:val="part_83de2da9d8c643df8cdd8e947e5bb736"/>
        <w:lock w:val="sdtLocked"/>
        <w:richText/>
      </w:sdtPr>
      <w:sdtContent>
        <w:p>
          <w:pPr>
            <w:jc w:val="both"/>
            <w:rPr>
              <w:rFonts w:ascii="Times New Roman" w:hAnsi="Times New Roman"/>
            </w:rPr>
          </w:pPr>
          <w:r>
            <w:rPr>
              <w:rFonts w:ascii="Times New Roman" w:hAnsi="Times New Roman"/>
              <w:b/>
              <w:i/>
            </w:rPr>
            <w:t>Suvestinė redakcija nuo 2021-11-17 iki 2023-02-06</w:t>
          </w:r>
        </w:p>
        <w:p>
          <w:pPr>
            <w:jc w:val="both"/>
            <w:rPr>
              <w:rFonts w:ascii="Times New Roman" w:hAnsi="Times New Roman"/>
              <w:sz w:val="20"/>
            </w:rPr>
          </w:pPr>
        </w:p>
        <w:p>
          <w:pPr>
            <w:jc w:val="both"/>
            <w:rPr>
              <w:rFonts w:ascii="Times New Roman" w:hAnsi="Times New Roman"/>
              <w:sz w:val="20"/>
            </w:rPr>
          </w:pPr>
          <w:bookmarkStart w:id="0" w:name="_GoBack"/>
          <w:bookmarkEnd w:id="0"/>
          <w:r>
            <w:rPr>
              <w:rFonts w:ascii="Times New Roman" w:hAnsi="Times New Roman"/>
              <w:sz w:val="20"/>
              <w:i/>
            </w:rPr>
            <w:t xml:space="preserve">Įsakymas paskelbtas: Žin. 2000, Nr. </w:t>
          </w:r>
          <w:fldSimple w:instr="HYPERLINK https://www.e-tar.lt/portal/legalAct.html?documentId=TAR.DC61D74561C5">
            <w:r w:rsidRPr="00532B9F">
              <w:rPr>
                <w:rFonts w:ascii="Times New Roman" w:eastAsia="MS Mincho" w:hAnsi="Times New Roman"/>
                <w:sz w:val="20"/>
                <w:i/>
                <w:iCs/>
                <w:color w:val="0000FF" w:themeColor="hyperlink"/>
                <w:u w:val="single"/>
              </w:rPr>
              <w:t>47-1365</w:t>
            </w:r>
          </w:fldSimple>
          <w:r>
            <w:rPr>
              <w:rFonts w:ascii="Times New Roman" w:eastAsia="MS Mincho" w:hAnsi="Times New Roman"/>
              <w:sz w:val="20"/>
              <w:i/>
              <w:iCs/>
            </w:rPr>
            <w:t>, i. k. 1002250ISAK00000301</w:t>
          </w:r>
        </w:p>
        <w:p>
          <w:pPr>
            <w:jc w:val="both"/>
            <w:rPr>
              <w:rFonts w:ascii="Times New Roman" w:hAnsi="Times New Roman"/>
              <w:sz w:val="20"/>
            </w:rPr>
          </w:pPr>
        </w:p>
        <w:p>
          <w:pPr>
            <w:tabs>
              <w:tab w:val="center" w:pos="4153"/>
              <w:tab w:val="right" w:pos="8306"/>
            </w:tabs>
            <w:rPr>
              <w:lang w:val="en-GB"/>
            </w:rPr>
          </w:pPr>
          <w:r>
            <w:t xml:space="preserve"> </w:t>
          </w:r>
        </w:p>
        <w:p>
          <w:pPr>
            <w:widowControl w:val="0"/>
            <w:ind w:left="360"/>
            <w:jc w:val="center"/>
            <w:rPr>
              <w:b/>
              <w:color w:val="000000"/>
            </w:rPr>
          </w:pPr>
          <w:r>
            <w:rPr>
              <w:b/>
              <w:color w:val="000000"/>
              <w:lang w:eastAsia="lt-LT"/>
            </w:rPr>
            <w:drawing>
              <wp:anchor distT="0" distB="0" distL="114300" distR="114300" simplePos="0" relativeHeight="251657728" behindDoc="0" locked="0" layoutInCell="1" allowOverlap="1">
                <wp:simplePos x="0" y="0"/>
                <wp:positionH relativeFrom="column">
                  <wp:posOffset>-1080135</wp:posOffset>
                </wp:positionH>
                <wp:positionV relativeFrom="paragraph">
                  <wp:posOffset>-720090</wp:posOffset>
                </wp:positionV>
                <wp:extent cx="9525" cy="9525"/>
                <wp:effectExtent l="0" t="0" r="0" b="0"/>
                <wp:wrapNone/>
                <wp:docPr id="3" name="Paveikslėlis 3" hidden="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hidden="1"/>
                        <pic:cNvPicPr preferRelativeResize="0">
                          <a:picLocks noChangeArrowheads="1" noChangeShapeType="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rPr>
            <w:t>LIETUVOS RESPUBLIKOS SVEIKATOS APSAUGOS MINISTRO</w:t>
          </w:r>
        </w:p>
        <w:p>
          <w:pPr>
            <w:widowControl w:val="0"/>
            <w:ind w:left="360"/>
            <w:jc w:val="center"/>
            <w:rPr>
              <w:color w:val="000000"/>
            </w:rPr>
          </w:pPr>
        </w:p>
        <w:p>
          <w:pPr>
            <w:widowControl w:val="0"/>
            <w:ind w:left="360"/>
            <w:jc w:val="center"/>
            <w:rPr>
              <w:b/>
              <w:color w:val="000000"/>
            </w:rPr>
          </w:pPr>
          <w:r>
            <w:rPr>
              <w:b/>
              <w:color w:val="000000"/>
            </w:rPr>
            <w:t>Į S A K Y M A S</w:t>
          </w:r>
        </w:p>
        <w:p>
          <w:pPr>
            <w:widowControl w:val="0"/>
            <w:ind w:left="360"/>
            <w:jc w:val="center"/>
            <w:rPr>
              <w:b/>
              <w:color w:val="000000"/>
            </w:rPr>
          </w:pPr>
          <w:r>
            <w:rPr>
              <w:b/>
              <w:color w:val="000000"/>
            </w:rPr>
            <w:t>DĖL PROFILAKTINIŲ SVEIKATOS TIKRINIMŲ SVEIKATOS PRIEŽIŪROS ĮSTAIGOSE</w:t>
          </w:r>
        </w:p>
        <w:p>
          <w:pPr>
            <w:widowControl w:val="0"/>
            <w:ind w:left="360"/>
            <w:jc w:val="center"/>
            <w:rPr>
              <w:color w:val="000000"/>
            </w:rPr>
          </w:pPr>
        </w:p>
        <w:p>
          <w:pPr>
            <w:widowControl w:val="0"/>
            <w:ind w:left="360"/>
            <w:jc w:val="center"/>
            <w:rPr>
              <w:color w:val="000000"/>
            </w:rPr>
          </w:pPr>
          <w:r>
            <w:rPr>
              <w:color w:val="000000"/>
            </w:rPr>
            <w:t>2000 m. gegužės 31 d. Nr. 301</w:t>
          </w:r>
        </w:p>
        <w:p>
          <w:pPr>
            <w:widowControl w:val="0"/>
            <w:ind w:left="360"/>
            <w:jc w:val="center"/>
            <w:rPr>
              <w:color w:val="000000"/>
            </w:rPr>
          </w:pPr>
          <w:r>
            <w:rPr>
              <w:color w:val="000000"/>
            </w:rPr>
            <w:t>Vilnius</w:t>
          </w:r>
        </w:p>
        <w:p>
          <w:pPr>
            <w:widowControl w:val="0"/>
            <w:ind w:left="360"/>
            <w:jc w:val="center"/>
            <w:rPr>
              <w:color w:val="000000"/>
            </w:rPr>
          </w:pPr>
        </w:p>
        <w:p>
          <w:pPr>
            <w:widowControl w:val="0"/>
            <w:ind w:left="360"/>
            <w:jc w:val="center"/>
            <w:rPr>
              <w:color w:val="000000"/>
            </w:rPr>
          </w:pPr>
        </w:p>
        <w:sdt>
          <w:sdtPr>
            <w:alias w:val="preambule"/>
            <w:tag w:val="part_f5ddadfe99834666b97375087dc3bdf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r>
                <w:rPr>
                  <w:szCs w:val="24"/>
                </w:rPr>
                <w:t>Siekdamas reglamentuoti profilaktinių sveikatos tikrinimų vykdymą ir kokybę bei apmokėjimo už juos tvarką ir vykdydamas Lietuvos Respublikos darbuotojų saugos ir sveikatos įstatymo, Lietuvos Respublikos sveikatos sistemos įstatymo, Lietuvos Respublikos radiacinės saugos įstatymo, Lietuvos Respublikos saugios laivybos įstatymo, Lietuvos Respublikos geležinkelių transporto eismo saugos įstatymo nuostatas: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Preambulės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
            <w:tag w:val="part_1530be58f24e43d8a6d75290b82e37df"/>
            <w:lock w:val="sdtLocked"/>
            <w:richText/>
          </w:sdtPr>
          <w:sdtContent>
            <w:p>
              <w:pPr>
                <w:widowControl w:val="0"/>
                <w:ind w:firstLine="720"/>
                <w:jc w:val="both"/>
                <w:rPr>
                  <w:color w:val="000000"/>
                </w:rPr>
              </w:pPr>
              <w:sdt>
                <w:sdtPr>
                  <w:alias w:val="Numeris"/>
                  <w:tag w:val="nr_1530be58f24e43d8a6d75290b82e37df"/>
                  <w:lock w:val="sdtLocked"/>
                  <w:richText/>
                </w:sdtPr>
                <w:sdtContent>
                  <w:r>
                    <w:rPr>
                      <w:color w:val="000000"/>
                    </w:rPr>
                    <w:t>1</w:t>
                  </w:r>
                </w:sdtContent>
              </w:sdt>
              <w:r>
                <w:rPr>
                  <w:color w:val="000000"/>
                </w:rPr>
                <w:t xml:space="preserve">. </w:t>
              </w:r>
              <w:r>
                <w:rPr>
                  <w:color w:val="000000"/>
                  <w:spacing w:val="60"/>
                </w:rPr>
                <w:t>Tvirtin</w:t>
              </w:r>
              <w:r>
                <w:rPr>
                  <w:color w:val="000000"/>
                  <w:spacing w:val="20"/>
                </w:rPr>
                <w:t>u:</w:t>
              </w:r>
            </w:p>
            <w:sdt>
              <w:sdtPr>
                <w:alias w:val="1.1 p."/>
                <w:tag w:val="part_17c524fca50d49f181fef67eb482d83e"/>
                <w:lock w:val="sdtLocked"/>
                <w:richText/>
              </w:sdtPr>
              <w:sdtContent>
                <w:p>
                  <w:pPr>
                    <w:widowControl w:val="0"/>
                    <w:ind w:firstLine="720"/>
                    <w:jc w:val="both"/>
                    <w:rPr>
                      <w:color w:val="000000"/>
                    </w:rPr>
                  </w:pPr>
                  <w:sdt>
                    <w:sdtPr>
                      <w:alias w:val="Numeris"/>
                      <w:tag w:val="nr_17c524fca50d49f181fef67eb482d83e"/>
                      <w:lock w:val="sdtLocked"/>
                      <w:richText/>
                    </w:sdtPr>
                    <w:sdtContent>
                      <w:r>
                        <w:rPr>
                          <w:color w:val="000000"/>
                        </w:rPr>
                        <w:t>1.1</w:t>
                      </w:r>
                    </w:sdtContent>
                  </w:sdt>
                  <w:r>
                    <w:rPr>
                      <w:color w:val="000000"/>
                    </w:rPr>
                    <w:t>. Profilaktinių sveikatos tikrinimų rūšis ir apmokėjimo tvarką (1 priedas);</w:t>
                  </w:r>
                </w:p>
              </w:sdtContent>
            </w:sdt>
            <w:sdt>
              <w:sdtPr>
                <w:alias w:val="1.2 p."/>
                <w:tag w:val="part_106ef918db734350a3380edd26d37b58"/>
                <w:lock w:val="sdtLocked"/>
                <w:richText/>
              </w:sdtPr>
              <w:sdtContent>
                <w:p>
                  <w:pPr>
                    <w:widowControl w:val="0"/>
                    <w:ind w:firstLine="720"/>
                    <w:jc w:val="both"/>
                    <w:rPr>
                      <w:color w:val="000000"/>
                    </w:rPr>
                  </w:pPr>
                  <w:sdt>
                    <w:sdtPr>
                      <w:alias w:val="Numeris"/>
                      <w:tag w:val="nr_106ef918db734350a3380edd26d37b58"/>
                      <w:lock w:val="sdtLocked"/>
                      <w:richText/>
                    </w:sdtPr>
                    <w:sdtContent>
                      <w:r>
                        <w:rPr>
                          <w:color w:val="000000"/>
                        </w:rPr>
                        <w:t>1.2</w:t>
                      </w:r>
                    </w:sdtContent>
                  </w:sdt>
                  <w:r>
                    <w:rPr>
                      <w:color w:val="000000"/>
                    </w:rPr>
                    <w:t>. Nėščiųjų ir motinų, iki vaikui sukaks vieneri metai, sveikatos tikrinimo tvarką (2 priedas);</w:t>
                  </w:r>
                </w:p>
              </w:sdtContent>
            </w:sdt>
            <w:sdt>
              <w:sdtPr>
                <w:alias w:val="1.3 p."/>
                <w:tag w:val="part_858ccc378d1b4def9d5409f053bb13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858ccc378d1b4def9d5409f053bb13fe"/>
                      <w:lock w:val="sdtLocked"/>
                      <w:richText/>
                    </w:sdtPr>
                    <w:sdtContent>
                      <w:r>
                        <w:rPr>
                          <w:bCs/>
                          <w:szCs w:val="24"/>
                        </w:rPr>
                        <w:t>1.3</w:t>
                      </w:r>
                    </w:sdtContent>
                  </w:sdt>
                  <w:r>
                    <w:rPr>
                      <w:bCs/>
                      <w:szCs w:val="24"/>
                    </w:rPr>
                    <w:t>. Vaikų ir pilnamečių mokinių, ugdomų pagal bendrojo ugdymo programas, sveikatos tikrinimo tvarkos aprašą (3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1.4 p."/>
                <w:tag w:val="part_780c9e0493b44986922e8dd2013d598c"/>
                <w:lock w:val="sdtLocked"/>
                <w:richText/>
              </w:sdtPr>
              <w:sdtContent>
                <w:p>
                  <w:pPr>
                    <w:widowControl w:val="0"/>
                    <w:ind w:firstLine="720"/>
                    <w:jc w:val="both"/>
                    <w:rPr>
                      <w:color w:val="000000"/>
                    </w:rPr>
                  </w:pPr>
                  <w:sdt>
                    <w:sdtPr>
                      <w:alias w:val="Numeris"/>
                      <w:tag w:val="nr_780c9e0493b44986922e8dd2013d598c"/>
                      <w:lock w:val="sdtLocked"/>
                      <w:richText/>
                    </w:sdtPr>
                    <w:sdtContent>
                      <w:r>
                        <w:rPr>
                          <w:color w:val="000000"/>
                        </w:rPr>
                        <w:t>1.4</w:t>
                      </w:r>
                    </w:sdtContent>
                  </w:sdt>
                  <w:r>
                    <w:rPr>
                      <w:color w:val="000000"/>
                    </w:rPr>
                    <w:t>. Stojančiųjų į profesinio mokymo mokyklas ir įdarbinamų nepilnamečių sveikatos tikrinimo tvarką (4 priedas);</w:t>
                  </w:r>
                </w:p>
              </w:sdtContent>
            </w:sdt>
            <w:sdt>
              <w:sdtPr>
                <w:alias w:val="1.5 p."/>
                <w:tag w:val="part_d1456022716b4f28809a825cddc745ca"/>
                <w:lock w:val="sdtLocked"/>
                <w:richText/>
              </w:sdtPr>
              <w:sdtContent>
                <w:p>
                  <w:pPr>
                    <w:widowControl w:val="0"/>
                    <w:ind w:firstLine="720"/>
                    <w:jc w:val="both"/>
                    <w:rPr>
                      <w:color w:val="000000"/>
                    </w:rPr>
                  </w:pPr>
                  <w:sdt>
                    <w:sdtPr>
                      <w:alias w:val="Numeris"/>
                      <w:tag w:val="nr_d1456022716b4f28809a825cddc745ca"/>
                      <w:lock w:val="sdtLocked"/>
                      <w:richText/>
                    </w:sdtPr>
                    <w:sdtContent>
                      <w:r>
                        <w:rPr>
                          <w:color w:val="000000"/>
                        </w:rPr>
                        <w:t>1.5</w:t>
                      </w:r>
                    </w:sdtContent>
                  </w:sdt>
                  <w:r>
                    <w:rPr>
                      <w:color w:val="000000"/>
                    </w:rPr>
                    <w:t>. Sportuojančių asmenų sveikatos tikrinimo tvarką</w:t>
                  </w:r>
                  <w:r>
                    <w:rPr>
                      <w:caps/>
                      <w:color w:val="000000"/>
                    </w:rPr>
                    <w:t xml:space="preserve"> </w:t>
                  </w:r>
                  <w:r>
                    <w:rPr>
                      <w:color w:val="000000"/>
                    </w:rPr>
                    <w:t>(5 priedas);</w:t>
                  </w:r>
                </w:p>
              </w:sdtContent>
            </w:sdt>
            <w:sdt>
              <w:sdtPr>
                <w:alias w:val="1.6 p."/>
                <w:tag w:val="part_312617211fe048639b4dcdc44fe6f3cc"/>
                <w:lock w:val="sdtLocked"/>
                <w:richText/>
              </w:sdtPr>
              <w:sdtContent>
                <w:p>
                  <w:pPr>
                    <w:widowControl w:val="0"/>
                    <w:ind w:firstLine="720"/>
                    <w:jc w:val="both"/>
                    <w:rPr>
                      <w:color w:val="000000"/>
                    </w:rPr>
                  </w:pPr>
                  <w:sdt>
                    <w:sdtPr>
                      <w:alias w:val="Numeris"/>
                      <w:tag w:val="nr_312617211fe048639b4dcdc44fe6f3cc"/>
                      <w:lock w:val="sdtLocked"/>
                      <w:richText/>
                    </w:sdtPr>
                    <w:sdtContent>
                      <w:r>
                        <w:rPr>
                          <w:color w:val="000000"/>
                        </w:rPr>
                        <w:t>1.6</w:t>
                      </w:r>
                    </w:sdtContent>
                  </w:sdt>
                  <w:r>
                    <w:rPr>
                      <w:color w:val="000000"/>
                    </w:rPr>
                    <w:t>. Neinfekcinių ligų profilaktikos ir kontrolės tvarką (6 priedas);</w:t>
                  </w:r>
                </w:p>
              </w:sdtContent>
            </w:sdt>
            <w:sdt>
              <w:sdtPr>
                <w:alias w:val="1.7 p."/>
                <w:tag w:val="part_d74a264081fe45bfae0f930a375f505a"/>
                <w:lock w:val="sdtLocked"/>
                <w:richText/>
              </w:sdtPr>
              <w:sdtContent>
                <w:p>
                  <w:pPr>
                    <w:ind w:firstLine="709"/>
                    <w:jc w:val="both"/>
                    <w:rPr>
                      <w:color w:val="000000"/>
                    </w:rPr>
                  </w:pPr>
                  <w:sdt>
                    <w:sdtPr>
                      <w:alias w:val="Numeris"/>
                      <w:tag w:val="nr_d74a264081fe45bfae0f930a375f505a"/>
                      <w:lock w:val="sdtLocked"/>
                      <w:richText/>
                    </w:sdtPr>
                    <w:sdtContent>
                      <w:r>
                        <w:t>1.7</w:t>
                      </w:r>
                    </w:sdtContent>
                  </w:sdt>
                  <w:r>
                    <w:t xml:space="preserve">. Vairuotojų sveikatos tikrinimo reikalavimų ir tvarkos aprašą (7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1.8 p."/>
                <w:tag w:val="part_0aacbd902b8b4fa1ac6b21cc9adfe4ab"/>
                <w:lock w:val="sdtLocked"/>
                <w:richText/>
              </w:sdtPr>
              <w:sdtContent>
                <w:p>
                  <w:pPr>
                    <w:widowControl w:val="0"/>
                    <w:ind w:firstLine="720"/>
                    <w:jc w:val="both"/>
                    <w:rPr>
                      <w:color w:val="000000"/>
                    </w:rPr>
                  </w:pPr>
                  <w:sdt>
                    <w:sdtPr>
                      <w:alias w:val="Numeris"/>
                      <w:tag w:val="nr_0aacbd902b8b4fa1ac6b21cc9adfe4ab"/>
                      <w:lock w:val="sdtLocked"/>
                      <w:richText/>
                    </w:sdtPr>
                    <w:sdtContent>
                      <w:r>
                        <w:rPr>
                          <w:color w:val="000000"/>
                        </w:rPr>
                        <w:t>1.8</w:t>
                      </w:r>
                    </w:sdtContent>
                  </w:sdt>
                  <w:r>
                    <w:rPr>
                      <w:color w:val="000000"/>
                    </w:rPr>
                    <w:t>. Norinčiųjų įsigyti civilinį ginklą sveikatos tikrinimo tvarką (8 priedas);</w:t>
                  </w:r>
                </w:p>
              </w:sdtContent>
            </w:sdt>
            <w:sdt>
              <w:sdtPr>
                <w:alias w:val="1.9 p."/>
                <w:tag w:val="part_aebc7d4347c14a0b8b1010d60b3b523e"/>
                <w:lock w:val="sdtLocked"/>
                <w:richText/>
              </w:sdtPr>
              <w:sdtContent>
                <w:p>
                  <w:pPr>
                    <w:widowControl w:val="0"/>
                    <w:ind w:firstLine="720"/>
                    <w:jc w:val="both"/>
                    <w:rPr>
                      <w:color w:val="000000"/>
                    </w:rPr>
                  </w:pPr>
                  <w:sdt>
                    <w:sdtPr>
                      <w:alias w:val="Numeris"/>
                      <w:tag w:val="nr_aebc7d4347c14a0b8b1010d60b3b523e"/>
                      <w:lock w:val="sdtLocked"/>
                      <w:richText/>
                    </w:sdtPr>
                    <w:sdtContent>
                      <w:r>
                        <w:rPr>
                          <w:color w:val="000000"/>
                        </w:rPr>
                        <w:t>1.9</w:t>
                      </w:r>
                    </w:sdtContent>
                  </w:sdt>
                  <w:r>
                    <w:rPr>
                      <w:color w:val="000000"/>
                    </w:rPr>
                    <w:t>. Vykstančiųjų į užsienį sveikatos tikrinimo tvarką (9 priedas);</w:t>
                  </w:r>
                </w:p>
              </w:sdtContent>
            </w:sdt>
            <w:sdt>
              <w:sdtPr>
                <w:alias w:val="1.10 p."/>
                <w:tag w:val="part_306b40940c344cb2af846af3419640ab"/>
                <w:lock w:val="sdtLocked"/>
                <w:richText/>
              </w:sdtPr>
              <w:sdtContent>
                <w:p>
                  <w:pPr>
                    <w:ind w:firstLine="709"/>
                    <w:jc w:val="both"/>
                    <w:rPr>
                      <w:color w:val="000000"/>
                    </w:rPr>
                  </w:pPr>
                  <w:sdt>
                    <w:sdtPr>
                      <w:alias w:val="Numeris"/>
                      <w:tag w:val="nr_306b40940c344cb2af846af3419640ab"/>
                      <w:lock w:val="sdtLocked"/>
                      <w:richText/>
                    </w:sdtPr>
                    <w:sdtContent>
                      <w:r>
                        <w:t>1.10</w:t>
                      </w:r>
                    </w:sdtContent>
                  </w:sdt>
                  <w:r>
                    <w:t xml:space="preserve">. Licencijuojamų civilinės aviacijos specialistų sveikatos būklės tikrinimo tvarkos aprašą (10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Content>
            </w:sdt>
            <w:sdt>
              <w:sdtPr>
                <w:alias w:val="1.11 p."/>
                <w:tag w:val="part_c66e60e394684e7591f1478415e27b1b"/>
                <w:lock w:val="sdtLocked"/>
                <w:richText/>
              </w:sdtPr>
              <w:sdtContent>
                <w:p>
                  <w:pPr>
                    <w:tabs>
                      <w:tab w:val="left" w:pos="709"/>
                    </w:tabs>
                    <w:ind w:firstLine="709"/>
                    <w:jc w:val="both"/>
                    <w:rPr>
                      <w:color w:val="000000"/>
                    </w:rPr>
                  </w:pPr>
                  <w:sdt>
                    <w:sdtPr>
                      <w:alias w:val="Numeris"/>
                      <w:tag w:val="nr_c66e60e394684e7591f1478415e27b1b"/>
                      <w:lock w:val="sdtLocked"/>
                      <w:richText/>
                    </w:sdtPr>
                    <w:sdtContent>
                      <w:r>
                        <w:rPr>
                          <w:szCs w:val="24"/>
                          <w:lang w:eastAsia="lt-LT"/>
                        </w:rPr>
                        <w:t>1.11</w:t>
                      </w:r>
                    </w:sdtContent>
                  </w:sdt>
                  <w:r>
                    <w:rPr>
                      <w:szCs w:val="24"/>
                      <w:lang w:eastAsia="lt-LT"/>
                    </w:rPr>
                    <w:t>. Jūrininkų ir vidaus vandenų transporto specialistų bei motorinių pramoginių laivų ir kitų motorinių plaukiojimo priemonių laivavedžių sveikatos tikrinimo tvarkos aprašą (11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12 p."/>
                <w:tag w:val="part_4043fd5da3184d69b5e2538c87d5800c"/>
                <w:lock w:val="sdtLocked"/>
                <w:richText/>
              </w:sdtPr>
              <w:sdtContent>
                <w:p>
                  <w:pPr>
                    <w:widowControl w:val="0"/>
                    <w:suppressAutoHyphens/>
                    <w:ind w:firstLine="709"/>
                    <w:jc w:val="both"/>
                    <w:rPr>
                      <w:color w:val="000000"/>
                    </w:rPr>
                  </w:pPr>
                  <w:sdt>
                    <w:sdtPr>
                      <w:alias w:val="Numeris"/>
                      <w:tag w:val="nr_4043fd5da3184d69b5e2538c87d5800c"/>
                      <w:lock w:val="sdtLocked"/>
                      <w:richText/>
                    </w:sdtPr>
                    <w:sdtContent>
                      <w:r>
                        <w:rPr>
                          <w:color w:val="000000"/>
                        </w:rPr>
                        <w:t>1.12</w:t>
                      </w:r>
                    </w:sdtContent>
                  </w:sdt>
                  <w:r>
                    <w:rPr>
                      <w:color w:val="000000"/>
                    </w:rPr>
                    <w:t>. „Traukinio mašinistų ir darbuotojų, kurių darbas susijęs su geležinkelių transporto eismu, sveikatos tikrinimo reikalavimų ir tvarkos aprašą (12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sdtContent>
            </w:sdt>
            <w:sdt>
              <w:sdtPr>
                <w:alias w:val="1.13 p."/>
                <w:tag w:val="part_730ce55f0bc04f6dbf8fc38d74c8ff50"/>
                <w:lock w:val="sdtLocked"/>
                <w:richText/>
              </w:sdtPr>
              <w:sdtContent>
                <w:p>
                  <w:pPr>
                    <w:widowControl w:val="0"/>
                    <w:suppressAutoHyphens/>
                    <w:ind w:firstLine="709"/>
                    <w:jc w:val="both"/>
                    <w:rPr>
                      <w:color w:val="000000"/>
                    </w:rPr>
                  </w:pPr>
                  <w:sdt>
                    <w:sdtPr>
                      <w:alias w:val="Numeris"/>
                      <w:tag w:val="nr_730ce55f0bc04f6dbf8fc38d74c8ff50"/>
                      <w:lock w:val="sdtLocked"/>
                      <w:richText/>
                    </w:sdtPr>
                    <w:sdtContent>
                      <w:r>
                        <w:rPr>
                          <w:color w:val="000000"/>
                        </w:rPr>
                        <w:t>1.13</w:t>
                      </w:r>
                    </w:sdtContent>
                  </w:sdt>
                  <w:r>
                    <w:rPr>
                      <w:color w:val="000000"/>
                    </w:rPr>
                    <w:t>. Asmenų, dirbančių darbo aplinkoje, kurioje galima profesinė rizika (kenksmingų veiksnių poveikis ir (ar) pavojingas darbas), privalomo sveikatos tikrinimo tvarkos aprašą (13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14 p."/>
                <w:tag w:val="part_32427971ce1445a9b8bca7dcc65c1f8b"/>
                <w:lock w:val="sdtLocked"/>
                <w:richText/>
              </w:sdtPr>
              <w:sdtContent>
                <w:p>
                  <w:pPr>
                    <w:pStyle w:val="PlainText"/>
                    <w:ind w:firstLine="567"/>
                    <w:jc w:val="both"/>
                    <w:rPr>
                      <w:rFonts w:ascii="Times New Roman" w:hAnsi="Times New Roman"/>
                      <w:b/>
                      <w:bCs/>
                      <w:sz w:val="22"/>
                    </w:rPr>
                  </w:pPr>
                  <w:r>
                    <w:rPr>
                      <w:rFonts w:ascii="Times New Roman" w:hAnsi="Times New Roman"/>
                      <w:sz w:val="22"/>
                    </w:rPr>
                    <w:t>1.14</w:t>
                  </w:r>
                  <w:r>
                    <w:rPr>
                      <w:rFonts w:ascii="Times New Roman" w:hAnsi="Times New Roman"/>
                      <w:sz w:val="22"/>
                    </w:rPr>
                    <w:t>.</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15 p."/>
                <w:tag w:val="part_106860d84ddd458ba855cf35a66128ab"/>
                <w:lock w:val="sdtLocked"/>
                <w:richText/>
              </w:sdtPr>
              <w:sdtContent>
                <w:p>
                  <w:pPr>
                    <w:pStyle w:val="PlainText"/>
                    <w:ind w:firstLine="567"/>
                    <w:jc w:val="both"/>
                    <w:rPr>
                      <w:rFonts w:ascii="Times New Roman" w:hAnsi="Times New Roman"/>
                      <w:b/>
                      <w:bCs/>
                      <w:sz w:val="22"/>
                    </w:rPr>
                  </w:pPr>
                  <w:r>
                    <w:rPr>
                      <w:rFonts w:ascii="Times New Roman" w:hAnsi="Times New Roman"/>
                      <w:sz w:val="22"/>
                    </w:rPr>
                    <w:t>1.15</w:t>
                  </w:r>
                  <w:r>
                    <w:rPr>
                      <w:rFonts w:ascii="Times New Roman" w:hAnsi="Times New Roman"/>
                      <w:sz w:val="22"/>
                    </w:rPr>
                    <w:t>.</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16 p."/>
                <w:tag w:val="part_bbf3e6bbc6ec42dbb00074080dd2082a"/>
                <w:lock w:val="sdtLocked"/>
                <w:richText/>
              </w:sdtPr>
              <w:sdtContent>
                <w:p>
                  <w:pPr>
                    <w:pStyle w:val="PlainText"/>
                    <w:ind w:firstLine="567"/>
                    <w:jc w:val="both"/>
                    <w:rPr>
                      <w:rFonts w:ascii="Times New Roman" w:hAnsi="Times New Roman"/>
                      <w:b/>
                      <w:bCs/>
                      <w:sz w:val="22"/>
                    </w:rPr>
                  </w:pPr>
                  <w:r>
                    <w:rPr>
                      <w:rFonts w:ascii="Times New Roman" w:hAnsi="Times New Roman"/>
                      <w:sz w:val="22"/>
                    </w:rPr>
                    <w:t>1.16</w:t>
                  </w:r>
                  <w:r>
                    <w:rPr>
                      <w:rFonts w:ascii="Times New Roman" w:hAnsi="Times New Roman"/>
                      <w:sz w:val="22"/>
                    </w:rPr>
                    <w:t>.</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17 p."/>
                <w:tag w:val="part_5d1d60a5b7a041d4b22777e500e3c49b"/>
                <w:lock w:val="sdtLocked"/>
                <w:richText/>
              </w:sdtPr>
              <w:sdtContent>
                <w:p>
                  <w:pPr>
                    <w:widowControl w:val="0"/>
                    <w:ind w:firstLine="720"/>
                    <w:jc w:val="both"/>
                    <w:rPr>
                      <w:color w:val="000000"/>
                    </w:rPr>
                  </w:pPr>
                  <w:sdt>
                    <w:sdtPr>
                      <w:alias w:val="Numeris"/>
                      <w:tag w:val="nr_5d1d60a5b7a041d4b22777e500e3c49b"/>
                      <w:lock w:val="sdtLocked"/>
                      <w:richText/>
                    </w:sdtPr>
                    <w:sdtContent>
                      <w:r>
                        <w:rPr>
                          <w:color w:val="000000"/>
                        </w:rPr>
                        <w:t>1.17</w:t>
                      </w:r>
                    </w:sdtContent>
                  </w:sdt>
                  <w:r>
                    <w:rPr>
                      <w:color w:val="000000"/>
                    </w:rPr>
                    <w:t>. Asmenų, norinčių susituokti, sveikatos tikrinimo tvarką (17 priedas);</w:t>
                  </w:r>
                </w:p>
              </w:sdtContent>
            </w:sdt>
            <w:sdt>
              <w:sdtPr>
                <w:alias w:val="1.18 p."/>
                <w:tag w:val="part_68723a4904474b729d4a20aeafe20cf8"/>
                <w:lock w:val="sdtLocked"/>
                <w:richText/>
              </w:sdtPr>
              <w:sdtContent>
                <w:p>
                  <w:pPr>
                    <w:tabs>
                      <w:tab w:val="left" w:pos="142"/>
                      <w:tab w:val="left" w:pos="1832"/>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20"/>
                    <w:jc w:val="both"/>
                    <w:rPr>
                      <w:color w:val="000000"/>
                    </w:rPr>
                  </w:pPr>
                  <w:sdt>
                    <w:sdtPr>
                      <w:alias w:val="Numeris"/>
                      <w:tag w:val="nr_68723a4904474b729d4a20aeafe20cf8"/>
                      <w:lock w:val="sdtLocked"/>
                      <w:richText/>
                    </w:sdtPr>
                    <w:sdtContent>
                      <w:r>
                        <w:rPr>
                          <w:szCs w:val="24"/>
                        </w:rPr>
                        <w:t>1.18</w:t>
                      </w:r>
                    </w:sdtContent>
                  </w:sdt>
                  <w:r>
                    <w:rPr>
                      <w:szCs w:val="24"/>
                    </w:rPr>
                    <w:t>. Profilaktinių sveikatos tikrinimų kainas ir gydytojų specialistų, teikiančių profilaktinių sveikatos tikrinimų paslaugas, apmokamas iš privalomojo sveikatos draudimo fondo biudžeto, paslaugų kainas (18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Content>
        </w:sdt>
        <w:sdt>
          <w:sdtPr>
            <w:alias w:val="2 p."/>
            <w:tag w:val="part_8e8d287a01464ceb8396cbd92f3b6410"/>
            <w:lock w:val="sdtLocked"/>
            <w:richText/>
          </w:sdtPr>
          <w:sdtContent>
            <w:p>
              <w:pPr>
                <w:widowControl w:val="0"/>
                <w:ind w:firstLine="720"/>
                <w:jc w:val="both"/>
                <w:rPr>
                  <w:color w:val="000000"/>
                </w:rPr>
              </w:pPr>
              <w:sdt>
                <w:sdtPr>
                  <w:alias w:val="Numeris"/>
                  <w:tag w:val="nr_8e8d287a01464ceb8396cbd92f3b6410"/>
                  <w:lock w:val="sdtLocked"/>
                  <w:richText/>
                </w:sdtPr>
                <w:sdtContent>
                  <w:r>
                    <w:rPr>
                      <w:color w:val="000000"/>
                    </w:rPr>
                    <w:t>2</w:t>
                  </w:r>
                </w:sdtContent>
              </w:sdt>
              <w:r>
                <w:rPr>
                  <w:color w:val="000000"/>
                </w:rPr>
                <w:t>. Pavedu:</w:t>
              </w:r>
            </w:p>
            <w:sdt>
              <w:sdtPr>
                <w:alias w:val="2.1 p."/>
                <w:tag w:val="part_ccf28d5ff538449b80667513f8037149"/>
                <w:lock w:val="sdtLocked"/>
                <w:richText/>
              </w:sdtPr>
              <w:sdtContent>
                <w:p>
                  <w:pPr>
                    <w:pStyle w:val="PlainText"/>
                    <w:ind w:firstLine="567"/>
                    <w:jc w:val="both"/>
                    <w:rPr>
                      <w:rFonts w:ascii="Times New Roman" w:hAnsi="Times New Roman"/>
                      <w:b/>
                      <w:bCs/>
                      <w:sz w:val="22"/>
                    </w:rPr>
                  </w:pPr>
                  <w:r>
                    <w:rPr>
                      <w:rFonts w:ascii="Times New Roman" w:hAnsi="Times New Roman"/>
                      <w:sz w:val="22"/>
                    </w:rPr>
                    <w:t>2.1</w:t>
                  </w:r>
                  <w:r>
                    <w:rPr>
                      <w:rFonts w:ascii="Times New Roman" w:hAnsi="Times New Roman"/>
                      <w:sz w:val="22"/>
                    </w:rPr>
                    <w:t>.</w:t>
                  </w:r>
                  <w:r>
                    <w:rPr>
                      <w:rFonts w:ascii="Times New Roman" w:eastAsia="MS Mincho" w:hAnsi="Times New Roman"/>
                      <w:sz w:val="20"/>
                      <w:i/>
                      <w:iCs/>
                    </w:rPr>
                    <w:t xml:space="preserve"> Neteko galios nuo 2009-04-08</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23F49D02CD8">
                    <w:r w:rsidRPr="00532B9F">
                      <w:rPr>
                        <w:rFonts w:ascii="Times New Roman" w:eastAsia="MS Mincho" w:hAnsi="Times New Roman"/>
                        <w:sz w:val="20"/>
                        <w:i/>
                        <w:iCs/>
                        <w:color w:val="0000FF" w:themeColor="hyperlink"/>
                        <w:u w:val="single"/>
                      </w:rPr>
                      <w:t>V-178</w:t>
                    </w:r>
                  </w:fldSimple>
                  <w:r>
                    <w:rPr>
                      <w:rFonts w:ascii="Times New Roman" w:eastAsia="MS Mincho" w:hAnsi="Times New Roman"/>
                      <w:sz w:val="20"/>
                      <w:i/>
                      <w:iCs/>
                    </w:rPr>
                    <w:t>,
2009-03-13,
Žin. 2009,
Nr.
39-1480 (2009-04-07), i. k. 1092250ISAK000V-178        </w:t>
                  </w:r>
                </w:p>
                <w:p/>
              </w:sdtContent>
            </w:sdt>
            <w:sdt>
              <w:sdtPr>
                <w:alias w:val="2.2 p."/>
                <w:tag w:val="part_2e6f7b9fc7c447dd8897db737d79f372"/>
                <w:lock w:val="sdtLocked"/>
                <w:richText/>
              </w:sdtPr>
              <w:sdtContent>
                <w:p>
                  <w:pPr>
                    <w:widowControl w:val="0"/>
                    <w:ind w:firstLine="720"/>
                    <w:jc w:val="both"/>
                    <w:rPr>
                      <w:color w:val="000000"/>
                    </w:rPr>
                  </w:pPr>
                  <w:sdt>
                    <w:sdtPr>
                      <w:alias w:val="Numeris"/>
                      <w:tag w:val="nr_2e6f7b9fc7c447dd8897db737d79f372"/>
                      <w:lock w:val="sdtLocked"/>
                      <w:richText/>
                    </w:sdtPr>
                    <w:sdtContent>
                      <w:r>
                        <w:rPr>
                          <w:color w:val="000000"/>
                        </w:rPr>
                        <w:t>2.2</w:t>
                      </w:r>
                    </w:sdtContent>
                  </w:sdt>
                  <w:r>
                    <w:rPr>
                      <w:color w:val="000000"/>
                    </w:rPr>
                    <w:t>. Asmens sveikatos priežiūros įstaigų vadovams užtikrinti šio įsakymo vykdymą.</w:t>
                  </w:r>
                </w:p>
              </w:sdtContent>
            </w:sdt>
          </w:sdtContent>
        </w:sdt>
        <w:sdt>
          <w:sdtPr>
            <w:alias w:val="3 p."/>
            <w:tag w:val="part_5eba5cb9df4c445f9636e5ac2f0c53ff"/>
            <w:lock w:val="sdtLocked"/>
            <w:richText/>
          </w:sdtPr>
          <w:sdtContent>
            <w:p>
              <w:pPr>
                <w:widowControl w:val="0"/>
                <w:ind w:firstLine="720"/>
                <w:jc w:val="both"/>
                <w:rPr>
                  <w:color w:val="000000"/>
                </w:rPr>
              </w:pPr>
              <w:sdt>
                <w:sdtPr>
                  <w:alias w:val="Numeris"/>
                  <w:tag w:val="nr_5eba5cb9df4c445f9636e5ac2f0c53ff"/>
                  <w:lock w:val="sdtLocked"/>
                  <w:richText/>
                </w:sdtPr>
                <w:sdtContent>
                  <w:r>
                    <w:rPr>
                      <w:color w:val="000000"/>
                    </w:rPr>
                    <w:t>3</w:t>
                  </w:r>
                </w:sdtContent>
              </w:sdt>
              <w:r>
                <w:rPr>
                  <w:color w:val="000000"/>
                </w:rPr>
                <w:t>. Laikau netekusiais galios:</w:t>
              </w:r>
            </w:p>
            <w:sdt>
              <w:sdtPr>
                <w:alias w:val="3.1 p."/>
                <w:tag w:val="part_cab2641df5aa435f9531b8469f01e2a7"/>
                <w:lock w:val="sdtLocked"/>
                <w:richText/>
              </w:sdtPr>
              <w:sdtContent>
                <w:p>
                  <w:pPr>
                    <w:widowControl w:val="0"/>
                    <w:ind w:firstLine="720"/>
                    <w:jc w:val="both"/>
                    <w:rPr>
                      <w:color w:val="000000"/>
                    </w:rPr>
                  </w:pPr>
                  <w:sdt>
                    <w:sdtPr>
                      <w:alias w:val="Numeris"/>
                      <w:tag w:val="nr_cab2641df5aa435f9531b8469f01e2a7"/>
                      <w:lock w:val="sdtLocked"/>
                      <w:richText/>
                    </w:sdtPr>
                    <w:sdtContent>
                      <w:r>
                        <w:rPr>
                          <w:color w:val="000000"/>
                        </w:rPr>
                        <w:t>3.1</w:t>
                      </w:r>
                    </w:sdtContent>
                  </w:sdt>
                  <w:r>
                    <w:rPr>
                      <w:color w:val="000000"/>
                    </w:rPr>
                    <w:t>. Sveikatos apsaugos ministerijos 1992 04 21 įsakymą Nr. 144 „Dėl gyventojų sveikatos tikrinimo tvarkos“;</w:t>
                  </w:r>
                </w:p>
              </w:sdtContent>
            </w:sdt>
            <w:sdt>
              <w:sdtPr>
                <w:alias w:val="3.2 p."/>
                <w:tag w:val="part_efd89e1b526c439291da0633d149ccf7"/>
                <w:lock w:val="sdtLocked"/>
                <w:richText/>
              </w:sdtPr>
              <w:sdtContent>
                <w:p>
                  <w:pPr>
                    <w:widowControl w:val="0"/>
                    <w:ind w:firstLine="720"/>
                    <w:jc w:val="both"/>
                    <w:rPr>
                      <w:color w:val="000000"/>
                    </w:rPr>
                  </w:pPr>
                  <w:sdt>
                    <w:sdtPr>
                      <w:alias w:val="Numeris"/>
                      <w:tag w:val="nr_efd89e1b526c439291da0633d149ccf7"/>
                      <w:lock w:val="sdtLocked"/>
                      <w:richText/>
                    </w:sdtPr>
                    <w:sdtContent>
                      <w:r>
                        <w:rPr>
                          <w:color w:val="000000"/>
                        </w:rPr>
                        <w:t>3.2</w:t>
                      </w:r>
                    </w:sdtContent>
                  </w:sdt>
                  <w:r>
                    <w:rPr>
                      <w:color w:val="000000"/>
                    </w:rPr>
                    <w:t xml:space="preserve">. Sveikatos apsaugos ministerijos 1994 12 13 įsakymą Nr. 432 „Dėl 1992 04 21 įsakymo Nr. 144 „Dėl gyventojų sveikatos tikrinimo tvarkos papildymo“ (Žin., 1994, Nr. </w:t>
                  </w:r>
                  <w:hyperlink r:id="rId13" w:tgtFrame="_blank" w:history="1">
                    <w:r>
                      <w:rPr>
                        <w:color w:val="0000FF" w:themeColor="hyperlink"/>
                        <w:u w:val="single"/>
                      </w:rPr>
                      <w:t>99-1992</w:t>
                    </w:r>
                  </w:hyperlink>
                  <w:r>
                    <w:rPr>
                      <w:color w:val="000000"/>
                    </w:rPr>
                    <w:t>);</w:t>
                  </w:r>
                </w:p>
              </w:sdtContent>
            </w:sdt>
            <w:sdt>
              <w:sdtPr>
                <w:alias w:val="3.3 p."/>
                <w:tag w:val="part_ecf4b51920d049b8a9b182c85362311a"/>
                <w:lock w:val="sdtLocked"/>
                <w:richText/>
              </w:sdtPr>
              <w:sdtContent>
                <w:p>
                  <w:pPr>
                    <w:widowControl w:val="0"/>
                    <w:ind w:firstLine="720"/>
                    <w:jc w:val="both"/>
                    <w:rPr>
                      <w:color w:val="000000"/>
                    </w:rPr>
                  </w:pPr>
                  <w:sdt>
                    <w:sdtPr>
                      <w:alias w:val="Numeris"/>
                      <w:tag w:val="nr_ecf4b51920d049b8a9b182c85362311a"/>
                      <w:lock w:val="sdtLocked"/>
                      <w:richText/>
                    </w:sdtPr>
                    <w:sdtContent>
                      <w:r>
                        <w:rPr>
                          <w:color w:val="000000"/>
                        </w:rPr>
                        <w:t>3.3</w:t>
                      </w:r>
                    </w:sdtContent>
                  </w:sdt>
                  <w:r>
                    <w:rPr>
                      <w:color w:val="000000"/>
                    </w:rPr>
                    <w:t xml:space="preserve">. Sveikatos apsaugos ministerijos 1996 03 05 įsakymą Nr. 131 „Dėl asmenų, dirbančių kenksmingomis ir pavojingomis sąlygomis, privalomo sveikatos tikrinimo ir apmokėjimo tvarkos patvirtinimo“ (Žin., 1996, Nr. </w:t>
                  </w:r>
                  <w:hyperlink r:id="rId14" w:tgtFrame="_blank" w:history="1">
                    <w:r>
                      <w:rPr>
                        <w:color w:val="0000FF" w:themeColor="hyperlink"/>
                        <w:u w:val="single"/>
                      </w:rPr>
                      <w:t>23-613</w:t>
                    </w:r>
                  </w:hyperlink>
                  <w:r>
                    <w:rPr>
                      <w:color w:val="000000"/>
                    </w:rPr>
                    <w:t>);</w:t>
                  </w:r>
                </w:p>
              </w:sdtContent>
            </w:sdt>
            <w:sdt>
              <w:sdtPr>
                <w:alias w:val="3.4 p."/>
                <w:tag w:val="part_38f3df114b9346ccba005ba5d67dd756"/>
                <w:lock w:val="sdtLocked"/>
                <w:richText/>
              </w:sdtPr>
              <w:sdtContent>
                <w:p>
                  <w:pPr>
                    <w:widowControl w:val="0"/>
                    <w:ind w:firstLine="720"/>
                    <w:jc w:val="both"/>
                    <w:rPr>
                      <w:color w:val="000000"/>
                    </w:rPr>
                  </w:pPr>
                  <w:sdt>
                    <w:sdtPr>
                      <w:alias w:val="Numeris"/>
                      <w:tag w:val="nr_38f3df114b9346ccba005ba5d67dd756"/>
                      <w:lock w:val="sdtLocked"/>
                      <w:richText/>
                    </w:sdtPr>
                    <w:sdtContent>
                      <w:r>
                        <w:rPr>
                          <w:color w:val="000000"/>
                        </w:rPr>
                        <w:t>3.4</w:t>
                      </w:r>
                    </w:sdtContent>
                  </w:sdt>
                  <w:r>
                    <w:rPr>
                      <w:color w:val="000000"/>
                    </w:rPr>
                    <w:t>. Sveikatos apsaugos ministerijos 1995 05 16 įsakymą Nr. 260 „Dėl valdininkų sveikatos patikrinimo“;</w:t>
                  </w:r>
                </w:p>
              </w:sdtContent>
            </w:sdt>
            <w:sdt>
              <w:sdtPr>
                <w:alias w:val="3.5 p."/>
                <w:tag w:val="part_d7966e5ef5584c129d9ca2154eb25307"/>
                <w:lock w:val="sdtLocked"/>
                <w:richText/>
              </w:sdtPr>
              <w:sdtContent>
                <w:p>
                  <w:pPr>
                    <w:widowControl w:val="0"/>
                    <w:ind w:firstLine="720"/>
                    <w:jc w:val="both"/>
                    <w:rPr>
                      <w:color w:val="000000"/>
                    </w:rPr>
                  </w:pPr>
                  <w:sdt>
                    <w:sdtPr>
                      <w:alias w:val="Numeris"/>
                      <w:tag w:val="nr_d7966e5ef5584c129d9ca2154eb25307"/>
                      <w:lock w:val="sdtLocked"/>
                      <w:richText/>
                    </w:sdtPr>
                    <w:sdtContent>
                      <w:r>
                        <w:rPr>
                          <w:color w:val="000000"/>
                        </w:rPr>
                        <w:t>3.5</w:t>
                      </w:r>
                    </w:sdtContent>
                  </w:sdt>
                  <w:r>
                    <w:rPr>
                      <w:color w:val="000000"/>
                    </w:rPr>
                    <w:t xml:space="preserve">. Sveikatos apsaugos ministerijos ir Kūno kultūros ir sporto departamento prie Lietuvos Respublikos Vyriausybės 1996 06 12 įsakymą „Dėl sportuojančių asmenų sveikatos priežiūros ir medicinos priežiūros sporto renginių metu tvarkos patvirtinimo“ (Žin.,1996, Nr. </w:t>
                  </w:r>
                  <w:hyperlink r:id="rId15" w:tgtFrame="_blank" w:history="1">
                    <w:r>
                      <w:rPr>
                        <w:color w:val="0000FF" w:themeColor="hyperlink"/>
                        <w:u w:val="single"/>
                      </w:rPr>
                      <w:t>57-1368</w:t>
                    </w:r>
                  </w:hyperlink>
                  <w:r>
                    <w:rPr>
                      <w:color w:val="000000"/>
                    </w:rPr>
                    <w:t>);</w:t>
                  </w:r>
                </w:p>
              </w:sdtContent>
            </w:sdt>
            <w:sdt>
              <w:sdtPr>
                <w:alias w:val="3.6 p."/>
                <w:tag w:val="part_74a05be7bcb043e79d3f9f5d68184cd5"/>
                <w:lock w:val="sdtLocked"/>
                <w:richText/>
              </w:sdtPr>
              <w:sdtContent>
                <w:p>
                  <w:pPr>
                    <w:widowControl w:val="0"/>
                    <w:ind w:firstLine="720"/>
                    <w:jc w:val="both"/>
                    <w:rPr>
                      <w:color w:val="000000"/>
                    </w:rPr>
                  </w:pPr>
                  <w:sdt>
                    <w:sdtPr>
                      <w:alias w:val="Numeris"/>
                      <w:tag w:val="nr_74a05be7bcb043e79d3f9f5d68184cd5"/>
                      <w:lock w:val="sdtLocked"/>
                      <w:richText/>
                    </w:sdtPr>
                    <w:sdtContent>
                      <w:r>
                        <w:rPr>
                          <w:color w:val="000000"/>
                        </w:rPr>
                        <w:t>3.6</w:t>
                      </w:r>
                    </w:sdtContent>
                  </w:sdt>
                  <w:r>
                    <w:rPr>
                      <w:color w:val="000000"/>
                    </w:rPr>
                    <w:t xml:space="preserve">. Sveikatos apsaugos ministerijos 1996 10 28 įsakymą Nr. 541 „Dėl 1992 04 21 sveikatos apsaugos ministerijos įsakymo Nr. 144 „Dėl gyventojų sveikatos tikrinimo tvarkos“ 2 priedo ir 4 priedo 3 skyriaus pakeitimo“ (Žin., 1996, Nr. </w:t>
                  </w:r>
                  <w:hyperlink r:id="rId16" w:tgtFrame="_blank" w:history="1">
                    <w:r>
                      <w:rPr>
                        <w:color w:val="0000FF" w:themeColor="hyperlink"/>
                        <w:u w:val="single"/>
                      </w:rPr>
                      <w:t>109-2493</w:t>
                    </w:r>
                  </w:hyperlink>
                  <w:r>
                    <w:rPr>
                      <w:color w:val="000000"/>
                    </w:rPr>
                    <w:t>);</w:t>
                  </w:r>
                </w:p>
              </w:sdtContent>
            </w:sdt>
            <w:sdt>
              <w:sdtPr>
                <w:alias w:val="3.7 p."/>
                <w:tag w:val="part_952dcf6b29c84b1fabc67e5428740fa2"/>
                <w:lock w:val="sdtLocked"/>
                <w:richText/>
              </w:sdtPr>
              <w:sdtContent>
                <w:p>
                  <w:pPr>
                    <w:widowControl w:val="0"/>
                    <w:ind w:firstLine="720"/>
                    <w:jc w:val="both"/>
                    <w:rPr>
                      <w:color w:val="000000"/>
                    </w:rPr>
                  </w:pPr>
                  <w:sdt>
                    <w:sdtPr>
                      <w:alias w:val="Numeris"/>
                      <w:tag w:val="nr_952dcf6b29c84b1fabc67e5428740fa2"/>
                      <w:lock w:val="sdtLocked"/>
                      <w:richText/>
                    </w:sdtPr>
                    <w:sdtContent>
                      <w:r>
                        <w:rPr>
                          <w:color w:val="000000"/>
                        </w:rPr>
                        <w:t>3.7</w:t>
                      </w:r>
                    </w:sdtContent>
                  </w:sdt>
                  <w:r>
                    <w:rPr>
                      <w:color w:val="000000"/>
                    </w:rPr>
                    <w:t xml:space="preserve">. Sveikatos apsaugos ministerijos 1996 10 29 įsakymą Nr. 544 „Dėl Privalomojo sveikatos draudimo tarybos nustatytų draudžiamųjų sveikatos profilaktinių tikrinimų tvarkos“ (Žin., 1996, Nr. </w:t>
                  </w:r>
                  <w:hyperlink r:id="rId17" w:tgtFrame="_blank" w:history="1">
                    <w:r>
                      <w:rPr>
                        <w:color w:val="0000FF" w:themeColor="hyperlink"/>
                        <w:u w:val="single"/>
                      </w:rPr>
                      <w:t>109-2494</w:t>
                    </w:r>
                  </w:hyperlink>
                  <w:r>
                    <w:rPr>
                      <w:color w:val="000000"/>
                    </w:rPr>
                    <w:t>);</w:t>
                  </w:r>
                </w:p>
              </w:sdtContent>
            </w:sdt>
            <w:sdt>
              <w:sdtPr>
                <w:alias w:val="3.8 p."/>
                <w:tag w:val="part_b7ecf5c4981f4e4d90746a358ecdf685"/>
                <w:lock w:val="sdtLocked"/>
                <w:richText/>
              </w:sdtPr>
              <w:sdtContent>
                <w:p>
                  <w:pPr>
                    <w:widowControl w:val="0"/>
                    <w:ind w:firstLine="720"/>
                    <w:jc w:val="both"/>
                    <w:rPr>
                      <w:color w:val="000000"/>
                    </w:rPr>
                  </w:pPr>
                  <w:sdt>
                    <w:sdtPr>
                      <w:alias w:val="Numeris"/>
                      <w:tag w:val="nr_b7ecf5c4981f4e4d90746a358ecdf685"/>
                      <w:lock w:val="sdtLocked"/>
                      <w:richText/>
                    </w:sdtPr>
                    <w:sdtContent>
                      <w:r>
                        <w:rPr>
                          <w:color w:val="000000"/>
                        </w:rPr>
                        <w:t>3.8</w:t>
                      </w:r>
                    </w:sdtContent>
                  </w:sdt>
                  <w:r>
                    <w:rPr>
                      <w:color w:val="000000"/>
                    </w:rPr>
                    <w:t>. Sveikatos apsaugos ministerijos 1996 11 14 įsakymą Nr. 575 „Dėl ketinančiųjų susituokti sveikatos tikrinimo tvarkos“;</w:t>
                  </w:r>
                </w:p>
              </w:sdtContent>
            </w:sdt>
            <w:sdt>
              <w:sdtPr>
                <w:alias w:val="3.9 p."/>
                <w:tag w:val="part_6e52abfa904b42a79dde061962514ac7"/>
                <w:lock w:val="sdtLocked"/>
                <w:richText/>
              </w:sdtPr>
              <w:sdtContent>
                <w:p>
                  <w:pPr>
                    <w:widowControl w:val="0"/>
                    <w:ind w:firstLine="720"/>
                    <w:jc w:val="both"/>
                    <w:rPr>
                      <w:color w:val="000000"/>
                    </w:rPr>
                  </w:pPr>
                  <w:sdt>
                    <w:sdtPr>
                      <w:alias w:val="Numeris"/>
                      <w:tag w:val="nr_6e52abfa904b42a79dde061962514ac7"/>
                      <w:lock w:val="sdtLocked"/>
                      <w:richText/>
                    </w:sdtPr>
                    <w:sdtContent>
                      <w:r>
                        <w:rPr>
                          <w:color w:val="000000"/>
                        </w:rPr>
                        <w:t>3.9</w:t>
                      </w:r>
                    </w:sdtContent>
                  </w:sdt>
                  <w:r>
                    <w:rPr>
                      <w:color w:val="000000"/>
                    </w:rPr>
                    <w:t xml:space="preserve">. sveikatos apsaugos ministro 1998 01 30 įsakymą Nr. 55 „Dėl Sveikatos apsaugos ministerijos 1992 04 21 įsakymo Nr. 144 „Dėl gyventojų sveikatos tikrinimo tvarkos“ 10 priedo pakeitimo“ (Žin., 1998, Nr. </w:t>
                  </w:r>
                  <w:hyperlink r:id="rId18" w:tgtFrame="_blank" w:history="1">
                    <w:r>
                      <w:rPr>
                        <w:color w:val="0000FF" w:themeColor="hyperlink"/>
                        <w:u w:val="single"/>
                      </w:rPr>
                      <w:t>20-526</w:t>
                    </w:r>
                  </w:hyperlink>
                  <w:r>
                    <w:rPr>
                      <w:color w:val="000000"/>
                    </w:rPr>
                    <w:t>);</w:t>
                  </w:r>
                </w:p>
              </w:sdtContent>
            </w:sdt>
            <w:sdt>
              <w:sdtPr>
                <w:alias w:val="3.10 p."/>
                <w:tag w:val="part_4236926cdf20470bac16c8c7b84aae08"/>
                <w:lock w:val="sdtLocked"/>
                <w:richText/>
              </w:sdtPr>
              <w:sdtContent>
                <w:p>
                  <w:pPr>
                    <w:widowControl w:val="0"/>
                    <w:ind w:firstLine="720"/>
                    <w:jc w:val="both"/>
                    <w:rPr>
                      <w:color w:val="000000"/>
                    </w:rPr>
                  </w:pPr>
                  <w:sdt>
                    <w:sdtPr>
                      <w:alias w:val="Numeris"/>
                      <w:tag w:val="nr_4236926cdf20470bac16c8c7b84aae08"/>
                      <w:lock w:val="sdtLocked"/>
                      <w:richText/>
                    </w:sdtPr>
                    <w:sdtContent>
                      <w:r>
                        <w:rPr>
                          <w:color w:val="000000"/>
                        </w:rPr>
                        <w:t>3.10</w:t>
                      </w:r>
                    </w:sdtContent>
                  </w:sdt>
                  <w:r>
                    <w:rPr>
                      <w:color w:val="000000"/>
                    </w:rPr>
                    <w:t>. sveikatos apsaugos ministro 1999 03 18 įsakymą Nr. 125 „Dėl Sveikatos apsaugos ministerijos 1998 01 30 įsakymo Nr. 55 „Dėl Sveikatos apsaugos ministerijos 1992 04 21 įsakymo Nr. 144 „Dėl gyventojų sveikatos tikrinimo tvarkos“ 10 priedo pakeitimo“ dalinio pakeitimo“.</w:t>
                  </w:r>
                </w:p>
              </w:sdtContent>
            </w:sdt>
          </w:sdtContent>
        </w:sdt>
        <w:sdt>
          <w:sdtPr>
            <w:alias w:val="4 p."/>
            <w:tag w:val="part_8c79cbd4d6cc4ea99bb9f2812157b427"/>
            <w:lock w:val="sdtLocked"/>
            <w:richText/>
          </w:sdtPr>
          <w:sdtContent>
            <w:p>
              <w:pPr>
                <w:widowControl w:val="0"/>
                <w:suppressAutoHyphens/>
                <w:ind w:firstLine="709"/>
                <w:jc w:val="both"/>
                <w:rPr>
                  <w:color w:val="000000"/>
                </w:rPr>
              </w:pPr>
              <w:sdt>
                <w:sdtPr>
                  <w:alias w:val="Numeris"/>
                  <w:tag w:val="nr_8c79cbd4d6cc4ea99bb9f2812157b427"/>
                  <w:lock w:val="sdtLocked"/>
                  <w:richText/>
                </w:sdtPr>
                <w:sdtContent>
                  <w:r>
                    <w:rPr>
                      <w:color w:val="000000"/>
                    </w:rPr>
                    <w:t>4</w:t>
                  </w:r>
                </w:sdtContent>
              </w:sdt>
              <w:r>
                <w:rPr>
                  <w:color w:val="000000"/>
                </w:rPr>
                <w:t>. P a v e d u įsakymo vykdymą kontroliuoti viceministrui pagal administruojamą sritį.</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signatura"/>
            <w:tag w:val="part_119eefcaf33143279c922cdc85f223e0"/>
            <w:lock w:val="sdtLocked"/>
            <w:richText/>
          </w:sdtPr>
          <w:sdtContent>
            <w:p>
              <w:pPr>
                <w:tabs>
                  <w:tab w:val="right" w:pos="9639"/>
                </w:tabs>
              </w:pPr>
            </w:p>
            <w:p>
              <w:pPr>
                <w:tabs>
                  <w:tab w:val="right" w:pos="9639"/>
                </w:tabs>
              </w:pPr>
            </w:p>
            <w:p>
              <w:pPr>
                <w:tabs>
                  <w:tab w:val="right" w:pos="9639"/>
                </w:tabs>
              </w:pPr>
            </w:p>
            <w:p>
              <w:pPr>
                <w:tabs>
                  <w:tab w:val="right" w:pos="9639"/>
                </w:tabs>
                <w:rPr>
                  <w:color w:val="000000"/>
                </w:rPr>
              </w:pPr>
              <w:r>
                <w:t>SVEIKATOS APSAUGOS MINISTRAS</w:t>
                <w:tab/>
                <w:t>RAIMUNDAS ALEKNA</w:t>
              </w:r>
            </w:p>
          </w:sdtContent>
        </w:sdt>
      </w:sdtContent>
    </w:sdt>
    <w:sdt>
      <w:sdtPr>
        <w:alias w:val="1 pr."/>
        <w:tag w:val="part_a7de17c02269426790fbbeed49fff014"/>
        <w:lock w:val="sdtLocked"/>
        <w:richText/>
      </w:sdtPr>
      <w:sdtContent>
        <w:p>
          <w:pPr>
            <w:tabs>
              <w:tab w:val="left" w:pos="1304"/>
              <w:tab w:val="left" w:pos="1457"/>
              <w:tab w:val="left" w:pos="1604"/>
              <w:tab w:val="left" w:pos="1757"/>
            </w:tabs>
            <w:ind w:left="5102"/>
            <w:sectPr>
              <w:headerReference w:type="even" r:id="rId19"/>
              <w:headerReference w:type="default" r:id="rId20"/>
              <w:footerReference w:type="even" r:id="rId21"/>
              <w:footerReference w:type="default" r:id="rId22"/>
              <w:headerReference w:type="first" r:id="rId23"/>
              <w:footerReference w:type="first" r:id="rId24"/>
              <w:pgSz w:w="11907" w:h="16840" w:code="9"/>
              <w:pgMar w:top="1134" w:right="1134" w:bottom="1134" w:left="1701" w:header="709" w:footer="709" w:gutter="0"/>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a7de17c02269426790fbbeed49fff014"/>
              <w:lock w:val="sdtLocked"/>
              <w:richText/>
            </w:sdtPr>
            <w:sdtContent>
              <w:r>
                <w:rPr>
                  <w:color w:val="000000"/>
                </w:rPr>
                <w:t>1</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a7de17c02269426790fbbeed49fff014"/>
              <w:lock w:val="sdtLocked"/>
              <w:richText/>
            </w:sdtPr>
            <w:sdtContent>
              <w:r>
                <w:rPr>
                  <w:b/>
                  <w:caps/>
                  <w:color w:val="000000"/>
                </w:rPr>
                <w:t>PROFILAKTINIŲ SVEIKATOS TIKRINIMŲ RŪŠYS IR APMOKĖJIMO TVARKA</w:t>
              </w:r>
            </w:sdtContent>
          </w:sdt>
        </w:p>
        <w:p>
          <w:pPr>
            <w:widowControl w:val="0"/>
            <w:tabs>
              <w:tab w:val="left" w:pos="6253"/>
            </w:tabs>
            <w:ind w:left="1069"/>
            <w:jc w:val="both"/>
            <w:rPr>
              <w:color w:val="000000"/>
            </w:rPr>
          </w:pPr>
        </w:p>
        <w:sdt>
          <w:sdtPr>
            <w:alias w:val="skyrius"/>
            <w:tag w:val="part_58256caa98574452ae9eada2489d6dca"/>
            <w:lock w:val="sdtLocked"/>
            <w:richText/>
          </w:sdtPr>
          <w:sdtContent>
            <w:p>
              <w:pPr>
                <w:jc w:val="center"/>
                <w:rPr>
                  <w:b/>
                  <w:caps/>
                  <w:color w:val="000000"/>
                </w:rPr>
              </w:pPr>
              <w:sdt>
                <w:sdtPr>
                  <w:alias w:val="Numeris"/>
                  <w:tag w:val="nr_58256caa98574452ae9eada2489d6dca"/>
                  <w:lock w:val="sdtLocked"/>
                  <w:richText/>
                </w:sdtPr>
                <w:sdtContent>
                  <w:r>
                    <w:rPr>
                      <w:b/>
                      <w:caps/>
                      <w:color w:val="000000"/>
                    </w:rPr>
                    <w:t>I</w:t>
                  </w:r>
                </w:sdtContent>
              </w:sdt>
              <w:r>
                <w:rPr>
                  <w:b/>
                  <w:caps/>
                  <w:color w:val="000000"/>
                </w:rPr>
                <w:t xml:space="preserve">. </w:t>
              </w:r>
              <w:sdt>
                <w:sdtPr>
                  <w:alias w:val="Pavadinimas"/>
                  <w:tag w:val="title_58256caa98574452ae9eada2489d6dca"/>
                  <w:lock w:val="sdtLocked"/>
                  <w:richText/>
                </w:sdtPr>
                <w:sdtContent>
                  <w:r>
                    <w:rPr>
                      <w:b/>
                      <w:caps/>
                      <w:color w:val="000000"/>
                    </w:rPr>
                    <w:t>PROFILAKTINIŲ SVEIKATOS TIKRINIMŲ RŪŠYS</w:t>
                  </w:r>
                </w:sdtContent>
              </w:sdt>
            </w:p>
            <w:p>
              <w:pPr>
                <w:widowControl w:val="0"/>
                <w:tabs>
                  <w:tab w:val="left" w:pos="6253"/>
                </w:tabs>
                <w:ind w:left="1069"/>
                <w:jc w:val="both"/>
                <w:rPr>
                  <w:color w:val="000000"/>
                </w:rPr>
              </w:pPr>
            </w:p>
            <w:sdt>
              <w:sdtPr>
                <w:alias w:val="1 pr. 1 p."/>
                <w:tag w:val="part_f77d9f8e4c844d3aa3796dddc2ed25e8"/>
                <w:lock w:val="sdtLocked"/>
                <w:richText/>
              </w:sdtPr>
              <w:sdtContent>
                <w:p>
                  <w:pPr>
                    <w:widowControl w:val="0"/>
                    <w:ind w:firstLine="720"/>
                    <w:jc w:val="both"/>
                    <w:rPr>
                      <w:color w:val="000000"/>
                    </w:rPr>
                  </w:pPr>
                  <w:sdt>
                    <w:sdtPr>
                      <w:alias w:val="Numeris"/>
                      <w:tag w:val="nr_f77d9f8e4c844d3aa3796dddc2ed25e8"/>
                      <w:lock w:val="sdtLocked"/>
                      <w:richText/>
                    </w:sdtPr>
                    <w:sdtContent>
                      <w:r>
                        <w:rPr>
                          <w:color w:val="000000"/>
                        </w:rPr>
                        <w:t>1</w:t>
                      </w:r>
                    </w:sdtContent>
                  </w:sdt>
                  <w:r>
                    <w:rPr>
                      <w:color w:val="000000"/>
                    </w:rPr>
                    <w:t>. Profilaktiniai sveikatos tikrinimai:</w:t>
                  </w:r>
                </w:p>
                <w:sdt>
                  <w:sdtPr>
                    <w:alias w:val="1 pr. 1.1 p."/>
                    <w:tag w:val="part_f76e00e4df9b4a45a6bc48ee574d7c43"/>
                    <w:lock w:val="sdtLocked"/>
                    <w:richText/>
                  </w:sdtPr>
                  <w:sdtContent>
                    <w:p>
                      <w:pPr>
                        <w:widowControl w:val="0"/>
                        <w:ind w:firstLine="720"/>
                        <w:jc w:val="both"/>
                        <w:rPr>
                          <w:color w:val="000000"/>
                        </w:rPr>
                      </w:pPr>
                      <w:sdt>
                        <w:sdtPr>
                          <w:alias w:val="Numeris"/>
                          <w:tag w:val="nr_f76e00e4df9b4a45a6bc48ee574d7c43"/>
                          <w:lock w:val="sdtLocked"/>
                          <w:richText/>
                        </w:sdtPr>
                        <w:sdtContent>
                          <w:r>
                            <w:rPr>
                              <w:color w:val="000000"/>
                            </w:rPr>
                            <w:t>1.1</w:t>
                          </w:r>
                        </w:sdtContent>
                      </w:sdt>
                      <w:r>
                        <w:rPr>
                          <w:color w:val="000000"/>
                        </w:rPr>
                        <w:t>. nėščiųjų ir motinų, iki vaikui sukaks vieneri metai (2 priedas);</w:t>
                      </w:r>
                    </w:p>
                  </w:sdtContent>
                </w:sdt>
                <w:sdt>
                  <w:sdtPr>
                    <w:alias w:val="1 pr. 1.2 p."/>
                    <w:tag w:val="part_682b3a33a62a41e7970732757e845b6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682b3a33a62a41e7970732757e845b61"/>
                          <w:lock w:val="sdtLocked"/>
                          <w:richText/>
                        </w:sdtPr>
                        <w:sdtContent>
                          <w:r>
                            <w:rPr>
                              <w:color w:val="000000"/>
                              <w:szCs w:val="24"/>
                              <w:lang w:eastAsia="lt-LT"/>
                            </w:rPr>
                            <w:t>1.2</w:t>
                          </w:r>
                        </w:sdtContent>
                      </w:sdt>
                      <w:r>
                        <w:rPr>
                          <w:color w:val="000000"/>
                          <w:szCs w:val="24"/>
                          <w:lang w:eastAsia="lt-LT"/>
                        </w:rPr>
                        <w:t xml:space="preserve"> vaikų </w:t>
                      </w:r>
                      <w:r>
                        <w:rPr>
                          <w:bCs/>
                          <w:szCs w:val="24"/>
                        </w:rPr>
                        <w:t>ir pilnamečių mokinių, ugdomų pagal bendrojo ugdymo programas</w:t>
                      </w:r>
                      <w:r>
                        <w:rPr>
                          <w:color w:val="000000"/>
                          <w:szCs w:val="24"/>
                          <w:lang w:eastAsia="lt-LT"/>
                        </w:rPr>
                        <w:t xml:space="preserve"> (3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1 pr. 1.3 p."/>
                    <w:tag w:val="part_574158a02cd54146b636cfb95c2aa311"/>
                    <w:lock w:val="sdtLocked"/>
                    <w:richText/>
                  </w:sdtPr>
                  <w:sdtContent>
                    <w:p>
                      <w:pPr>
                        <w:widowControl w:val="0"/>
                        <w:ind w:firstLine="720"/>
                        <w:jc w:val="both"/>
                        <w:rPr>
                          <w:color w:val="000000"/>
                        </w:rPr>
                      </w:pPr>
                      <w:sdt>
                        <w:sdtPr>
                          <w:alias w:val="Numeris"/>
                          <w:tag w:val="nr_574158a02cd54146b636cfb95c2aa311"/>
                          <w:lock w:val="sdtLocked"/>
                          <w:richText/>
                        </w:sdtPr>
                        <w:sdtContent>
                          <w:r>
                            <w:rPr>
                              <w:color w:val="000000"/>
                            </w:rPr>
                            <w:t>1.3</w:t>
                          </w:r>
                        </w:sdtContent>
                      </w:sdt>
                      <w:r>
                        <w:rPr>
                          <w:color w:val="000000"/>
                        </w:rPr>
                        <w:t>. stojančiųjų į profesinio mokymo mokyklas ir įdarbinamų nepilnamečių (4 priedas);</w:t>
                      </w:r>
                    </w:p>
                  </w:sdtContent>
                </w:sdt>
                <w:sdt>
                  <w:sdtPr>
                    <w:alias w:val="1 pr. 1.4 p."/>
                    <w:tag w:val="part_fbbd8393067d4e65b04e948c816bd9b7"/>
                    <w:lock w:val="sdtLocked"/>
                    <w:richText/>
                  </w:sdtPr>
                  <w:sdtContent>
                    <w:p>
                      <w:pPr>
                        <w:widowControl w:val="0"/>
                        <w:ind w:firstLine="720"/>
                        <w:jc w:val="both"/>
                        <w:rPr>
                          <w:color w:val="000000"/>
                        </w:rPr>
                      </w:pPr>
                      <w:sdt>
                        <w:sdtPr>
                          <w:alias w:val="Numeris"/>
                          <w:tag w:val="nr_fbbd8393067d4e65b04e948c816bd9b7"/>
                          <w:lock w:val="sdtLocked"/>
                          <w:richText/>
                        </w:sdtPr>
                        <w:sdtContent>
                          <w:r>
                            <w:rPr>
                              <w:color w:val="000000"/>
                            </w:rPr>
                            <w:t>1.4</w:t>
                          </w:r>
                        </w:sdtContent>
                      </w:sdt>
                      <w:r>
                        <w:rPr>
                          <w:color w:val="000000"/>
                        </w:rPr>
                        <w:t>. stojančiųjų į krašto apsaugos, vidaus reikalų sistemos aukštesniąsias ir aukštąsias mokyklas Krašto apsaugos ir Vidaus reikalų ministerijų nustatyta tvarka;</w:t>
                      </w:r>
                    </w:p>
                  </w:sdtContent>
                </w:sdt>
                <w:sdt>
                  <w:sdtPr>
                    <w:alias w:val="1 pr. 1.5 p."/>
                    <w:tag w:val="part_c87117f876384bf4b52f51ae1ef48fb4"/>
                    <w:lock w:val="sdtLocked"/>
                    <w:richText/>
                  </w:sdtPr>
                  <w:sdtContent>
                    <w:p>
                      <w:pPr>
                        <w:widowControl w:val="0"/>
                        <w:ind w:firstLine="720"/>
                        <w:jc w:val="both"/>
                        <w:rPr>
                          <w:color w:val="000000"/>
                        </w:rPr>
                      </w:pPr>
                      <w:sdt>
                        <w:sdtPr>
                          <w:alias w:val="Numeris"/>
                          <w:tag w:val="nr_c87117f876384bf4b52f51ae1ef48fb4"/>
                          <w:lock w:val="sdtLocked"/>
                          <w:richText/>
                        </w:sdtPr>
                        <w:sdtContent>
                          <w:r>
                            <w:rPr>
                              <w:color w:val="000000"/>
                            </w:rPr>
                            <w:t>1.5</w:t>
                          </w:r>
                        </w:sdtContent>
                      </w:sdt>
                      <w:r>
                        <w:rPr>
                          <w:color w:val="000000"/>
                        </w:rPr>
                        <w:t>. sportuojančių asmenų sveikatos tikrinimas (išskyrus profesionalus) (5 priedas);</w:t>
                      </w:r>
                    </w:p>
                  </w:sdtContent>
                </w:sdt>
                <w:sdt>
                  <w:sdtPr>
                    <w:alias w:val="1 pr. 1.6 p."/>
                    <w:tag w:val="part_800e4bfb391247409d6528006a7d7007"/>
                    <w:lock w:val="sdtLocked"/>
                    <w:richText/>
                  </w:sdtPr>
                  <w:sdtContent>
                    <w:p>
                      <w:pPr>
                        <w:widowControl w:val="0"/>
                        <w:ind w:firstLine="720"/>
                        <w:jc w:val="both"/>
                        <w:rPr>
                          <w:color w:val="000000"/>
                        </w:rPr>
                      </w:pPr>
                      <w:sdt>
                        <w:sdtPr>
                          <w:alias w:val="Numeris"/>
                          <w:tag w:val="nr_800e4bfb391247409d6528006a7d7007"/>
                          <w:lock w:val="sdtLocked"/>
                          <w:richText/>
                        </w:sdtPr>
                        <w:sdtContent>
                          <w:r>
                            <w:rPr>
                              <w:color w:val="000000"/>
                            </w:rPr>
                            <w:t>1.6</w:t>
                          </w:r>
                        </w:sdtContent>
                      </w:sdt>
                      <w:r>
                        <w:rPr>
                          <w:color w:val="000000"/>
                        </w:rPr>
                        <w:t>. neinfekcinių ligų profilaktikos ir kontrolės (6 priedas);</w:t>
                      </w:r>
                    </w:p>
                  </w:sdtContent>
                </w:sdt>
                <w:sdt>
                  <w:sdtPr>
                    <w:alias w:val="1 pr. 1.7 p."/>
                    <w:tag w:val="part_63aa5a0e6f9748efb0dfca04184b46dc"/>
                    <w:lock w:val="sdtLocked"/>
                    <w:richText/>
                  </w:sdtPr>
                  <w:sdtContent>
                    <w:p>
                      <w:pPr>
                        <w:widowControl w:val="0"/>
                        <w:ind w:firstLine="720"/>
                        <w:jc w:val="both"/>
                        <w:rPr>
                          <w:color w:val="000000"/>
                        </w:rPr>
                      </w:pPr>
                      <w:sdt>
                        <w:sdtPr>
                          <w:alias w:val="Numeris"/>
                          <w:tag w:val="nr_63aa5a0e6f9748efb0dfca04184b46dc"/>
                          <w:lock w:val="sdtLocked"/>
                          <w:richText/>
                        </w:sdtPr>
                        <w:sdtContent>
                          <w:r>
                            <w:rPr>
                              <w:color w:val="000000"/>
                            </w:rPr>
                            <w:t>1.7</w:t>
                          </w:r>
                        </w:sdtContent>
                      </w:sdt>
                      <w:r>
                        <w:rPr>
                          <w:color w:val="000000"/>
                        </w:rPr>
                        <w:t>. dispanserizuotųjų (atskira tvarka);</w:t>
                      </w:r>
                    </w:p>
                  </w:sdtContent>
                </w:sdt>
                <w:sdt>
                  <w:sdtPr>
                    <w:alias w:val="1 pr. 1.8 p."/>
                    <w:tag w:val="part_99763f4e1b2c494e96ae42a3f382b710"/>
                    <w:lock w:val="sdtLocked"/>
                    <w:richText/>
                  </w:sdtPr>
                  <w:sdtContent>
                    <w:p>
                      <w:pPr>
                        <w:ind w:firstLine="709"/>
                        <w:jc w:val="both"/>
                        <w:rPr>
                          <w:color w:val="000000"/>
                        </w:rPr>
                      </w:pPr>
                      <w:sdt>
                        <w:sdtPr>
                          <w:alias w:val="Numeris"/>
                          <w:tag w:val="nr_99763f4e1b2c494e96ae42a3f382b710"/>
                          <w:lock w:val="sdtLocked"/>
                          <w:richText/>
                        </w:sdtPr>
                        <w:sdtContent>
                          <w:r>
                            <w:t>1.8</w:t>
                          </w:r>
                        </w:sdtContent>
                      </w:sdt>
                      <w:r>
                        <w:t xml:space="preserve">. Vairuotojų (7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1 pr. 1.9 p."/>
                    <w:tag w:val="part_79776b24751a44c794c70a91470eb9e1"/>
                    <w:lock w:val="sdtLocked"/>
                    <w:richText/>
                  </w:sdtPr>
                  <w:sdtContent>
                    <w:p>
                      <w:pPr>
                        <w:widowControl w:val="0"/>
                        <w:ind w:firstLine="720"/>
                        <w:jc w:val="both"/>
                        <w:rPr>
                          <w:color w:val="000000"/>
                        </w:rPr>
                      </w:pPr>
                      <w:sdt>
                        <w:sdtPr>
                          <w:alias w:val="Numeris"/>
                          <w:tag w:val="nr_79776b24751a44c794c70a91470eb9e1"/>
                          <w:lock w:val="sdtLocked"/>
                          <w:richText/>
                        </w:sdtPr>
                        <w:sdtContent>
                          <w:r>
                            <w:rPr>
                              <w:color w:val="000000"/>
                            </w:rPr>
                            <w:t>1.9</w:t>
                          </w:r>
                        </w:sdtContent>
                      </w:sdt>
                      <w:r>
                        <w:rPr>
                          <w:color w:val="000000"/>
                        </w:rPr>
                        <w:t>. norinčiųjų įsigyti civilinį ginklą (8 priedas);</w:t>
                      </w:r>
                    </w:p>
                  </w:sdtContent>
                </w:sdt>
                <w:sdt>
                  <w:sdtPr>
                    <w:alias w:val="1 pr. 1.10 p."/>
                    <w:tag w:val="part_a9f7bbbbc45644d8acc2bfe01b26a242"/>
                    <w:lock w:val="sdtLocked"/>
                    <w:richText/>
                  </w:sdtPr>
                  <w:sdtContent>
                    <w:p>
                      <w:pPr>
                        <w:widowControl w:val="0"/>
                        <w:ind w:firstLine="720"/>
                        <w:jc w:val="both"/>
                        <w:rPr>
                          <w:color w:val="000000"/>
                        </w:rPr>
                      </w:pPr>
                      <w:sdt>
                        <w:sdtPr>
                          <w:alias w:val="Numeris"/>
                          <w:tag w:val="nr_a9f7bbbbc45644d8acc2bfe01b26a242"/>
                          <w:lock w:val="sdtLocked"/>
                          <w:richText/>
                        </w:sdtPr>
                        <w:sdtContent>
                          <w:r>
                            <w:rPr>
                              <w:color w:val="000000"/>
                            </w:rPr>
                            <w:t>1.10</w:t>
                          </w:r>
                        </w:sdtContent>
                      </w:sdt>
                      <w:r>
                        <w:rPr>
                          <w:color w:val="000000"/>
                        </w:rPr>
                        <w:t>. vykstančiųjų į užsienį (9 priedas);</w:t>
                      </w:r>
                    </w:p>
                  </w:sdtContent>
                </w:sdt>
                <w:sdt>
                  <w:sdtPr>
                    <w:alias w:val="1 pr. 1.11 p."/>
                    <w:tag w:val="part_74cd2b489515417982a9fe95637b5e2f"/>
                    <w:lock w:val="sdtLocked"/>
                    <w:richText/>
                  </w:sdtPr>
                  <w:sdtContent>
                    <w:p>
                      <w:pPr>
                        <w:ind w:firstLine="709"/>
                        <w:jc w:val="both"/>
                        <w:rPr>
                          <w:color w:val="000000"/>
                        </w:rPr>
                      </w:pPr>
                      <w:sdt>
                        <w:sdtPr>
                          <w:alias w:val="Numeris"/>
                          <w:tag w:val="nr_74cd2b489515417982a9fe95637b5e2f"/>
                          <w:lock w:val="sdtLocked"/>
                          <w:richText/>
                        </w:sdtPr>
                        <w:sdtContent>
                          <w:r>
                            <w:t>1.11</w:t>
                          </w:r>
                        </w:sdtContent>
                      </w:sdt>
                      <w:r>
                        <w:t xml:space="preserve">. Licencijuojamų civilinės aviacijos specialistų (10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Content>
                </w:sdt>
                <w:sdt>
                  <w:sdtPr>
                    <w:alias w:val="1 pr. 1.12 p."/>
                    <w:tag w:val="part_bc3135c6bb29414a92a86ef0e9c34887"/>
                    <w:lock w:val="sdtLocked"/>
                    <w:richText/>
                  </w:sdtPr>
                  <w:sdtContent>
                    <w:p>
                      <w:pPr>
                        <w:widowControl w:val="0"/>
                        <w:ind w:firstLine="720"/>
                        <w:jc w:val="both"/>
                        <w:rPr>
                          <w:color w:val="000000"/>
                        </w:rPr>
                      </w:pPr>
                      <w:sdt>
                        <w:sdtPr>
                          <w:alias w:val="Numeris"/>
                          <w:tag w:val="nr_bc3135c6bb29414a92a86ef0e9c34887"/>
                          <w:lock w:val="sdtLocked"/>
                          <w:richText/>
                        </w:sdtPr>
                        <w:sdtContent>
                          <w:r>
                            <w:rPr>
                              <w:color w:val="000000"/>
                            </w:rPr>
                            <w:t>1.12</w:t>
                          </w:r>
                        </w:sdtContent>
                      </w:sdt>
                      <w:r>
                        <w:rPr>
                          <w:color w:val="000000"/>
                        </w:rPr>
                        <w:t>. išankstiniai (prieš pradedant darbą ar veiklą) ir periodiniai (darbo metu ar kai veikla tęsiama) profilaktiniai sveikatos tikrinimai:</w:t>
                      </w:r>
                    </w:p>
                    <w:sdt>
                      <w:sdtPr>
                        <w:alias w:val="1 pr. 1.12.1 p."/>
                        <w:tag w:val="part_d5b249b3963547638b6ff9a232b60fc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5b249b3963547638b6ff9a232b60fc4"/>
                              <w:lock w:val="sdtLocked"/>
                              <w:richText/>
                            </w:sdtPr>
                            <w:sdtContent>
                              <w:r>
                                <w:rPr>
                                  <w:color w:val="000000"/>
                                  <w:szCs w:val="24"/>
                                </w:rPr>
                                <w:t>1.12.1</w:t>
                              </w:r>
                            </w:sdtContent>
                          </w:sdt>
                          <w:r>
                            <w:rPr>
                              <w:color w:val="000000"/>
                              <w:szCs w:val="24"/>
                            </w:rPr>
                            <w:t>. jūrininkų ir vidaus vandenų transporto specialistų bei motorinių pramoginių laivų ir kitų motorinių plaukiojimo priemonių laivavedžių (11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r. 1.12.2 p."/>
                        <w:tag w:val="part_d40c4ee6e05b4ddc8663e8c836ad13a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40c4ee6e05b4ddc8663e8c836ad13a5"/>
                              <w:lock w:val="sdtLocked"/>
                              <w:richText/>
                            </w:sdtPr>
                            <w:sdtContent>
                              <w:r>
                                <w:rPr>
                                  <w:color w:val="000000"/>
                                  <w:szCs w:val="24"/>
                                </w:rPr>
                                <w:t>1.12.2</w:t>
                              </w:r>
                            </w:sdtContent>
                          </w:sdt>
                          <w:r>
                            <w:rPr>
                              <w:color w:val="000000"/>
                              <w:szCs w:val="24"/>
                            </w:rPr>
                            <w:t>. traukinio mašinistų ir darbuotojų, kurių darbas susijęs su geležinkelių transporto eismu (12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r. 1.12.3 p."/>
                        <w:tag w:val="part_90d70fb014ff49d5ac2e778dbe167b58"/>
                        <w:lock w:val="sdtLocked"/>
                        <w:richText/>
                      </w:sdtPr>
                      <w:sdtContent>
                        <w:p>
                          <w:pPr>
                            <w:widowControl w:val="0"/>
                            <w:ind w:firstLine="720"/>
                            <w:jc w:val="both"/>
                            <w:rPr>
                              <w:color w:val="000000"/>
                            </w:rPr>
                          </w:pPr>
                          <w:sdt>
                            <w:sdtPr>
                              <w:alias w:val="Numeris"/>
                              <w:tag w:val="nr_90d70fb014ff49d5ac2e778dbe167b58"/>
                              <w:lock w:val="sdtLocked"/>
                              <w:richText/>
                            </w:sdtPr>
                            <w:sdtContent>
                              <w:r>
                                <w:rPr>
                                  <w:color w:val="000000"/>
                                </w:rPr>
                                <w:t>1.12.3</w:t>
                              </w:r>
                            </w:sdtContent>
                          </w:sdt>
                          <w:r>
                            <w:rPr>
                              <w:color w:val="000000"/>
                            </w:rPr>
                            <w:t>. aviacijos darbuotojų (10 priedas);</w:t>
                          </w:r>
                        </w:p>
                      </w:sdtContent>
                    </w:sdt>
                    <w:sdt>
                      <w:sdtPr>
                        <w:alias w:val="1 pr. 1.12.4 p."/>
                        <w:tag w:val="part_0d1e4cc016b74c12beeced825a545ce0"/>
                        <w:lock w:val="sdtLocked"/>
                        <w:richText/>
                      </w:sdtPr>
                      <w:sdtContent>
                        <w:p>
                          <w:pPr>
                            <w:widowControl w:val="0"/>
                            <w:ind w:firstLine="720"/>
                            <w:jc w:val="both"/>
                            <w:rPr>
                              <w:color w:val="000000"/>
                            </w:rPr>
                          </w:pPr>
                          <w:sdt>
                            <w:sdtPr>
                              <w:alias w:val="Numeris"/>
                              <w:tag w:val="nr_0d1e4cc016b74c12beeced825a545ce0"/>
                              <w:lock w:val="sdtLocked"/>
                              <w:richText/>
                            </w:sdtPr>
                            <w:sdtContent>
                              <w:r>
                                <w:rPr>
                                  <w:color w:val="000000"/>
                                </w:rPr>
                                <w:t>1.12.4</w:t>
                              </w:r>
                            </w:sdtContent>
                          </w:sdt>
                          <w:r>
                            <w:rPr>
                              <w:color w:val="000000"/>
                            </w:rPr>
                            <w:t>. vairuotojų (7 priedas);</w:t>
                          </w:r>
                        </w:p>
                      </w:sdtContent>
                    </w:sdt>
                    <w:sdt>
                      <w:sdtPr>
                        <w:alias w:val="1 pr. 1.12.5 p."/>
                        <w:tag w:val="part_f000a85fcb5c4df4a56060c6dae985a0"/>
                        <w:lock w:val="sdtLocked"/>
                        <w:richText/>
                      </w:sdtPr>
                      <w:sdtContent>
                        <w:p>
                          <w:pPr>
                            <w:widowControl w:val="0"/>
                            <w:ind w:firstLine="720"/>
                            <w:jc w:val="both"/>
                            <w:rPr>
                              <w:color w:val="000000"/>
                            </w:rPr>
                          </w:pPr>
                          <w:sdt>
                            <w:sdtPr>
                              <w:alias w:val="Numeris"/>
                              <w:tag w:val="nr_f000a85fcb5c4df4a56060c6dae985a0"/>
                              <w:lock w:val="sdtLocked"/>
                              <w:richText/>
                            </w:sdtPr>
                            <w:sdtContent>
                              <w:r>
                                <w:rPr>
                                  <w:color w:val="000000"/>
                                </w:rPr>
                                <w:t>1.12.5</w:t>
                              </w:r>
                            </w:sdtContent>
                          </w:sdt>
                          <w:r>
                            <w:rPr>
                              <w:color w:val="000000"/>
                            </w:rPr>
                            <w:t>. asmenų, norinčių pradėti dirbti ar dirbančių galimos profesinės rizikos sąlygomis (sveikatai kenksmingų veiksnių poveikyje ar pavojingus darbus) (13 priedas);</w:t>
                          </w:r>
                        </w:p>
                      </w:sdtContent>
                    </w:sdt>
                    <w:sdt>
                      <w:sdtPr>
                        <w:alias w:val="1 pr. 1.12.6 p."/>
                        <w:tag w:val="part_796c7d8b235349e9a896c5ae2341d15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796c7d8b235349e9a896c5ae2341d151"/>
                              <w:lock w:val="sdtLocked"/>
                              <w:richText/>
                            </w:sdtPr>
                            <w:sdtContent>
                              <w:r>
                                <w:rPr>
                                  <w:szCs w:val="24"/>
                                </w:rPr>
                                <w:t>1.12.6</w:t>
                              </w:r>
                            </w:sdtContent>
                          </w:sdt>
                          <w:r>
                            <w:rPr>
                              <w:szCs w:val="24"/>
                            </w:rPr>
                            <w:t xml:space="preserve">. darbuotojų, kuriems leidžiama dirbti tik iš anksto pasitikrinusiems ir vėliau periodiškai besitikrinantiems, ar neserga užkrečiamosiomis ligomis (atliekami vadovaujantis </w:t>
                          </w:r>
                          <w:r>
                            <w:rPr>
                              <w:color w:val="000000"/>
                              <w:szCs w:val="24"/>
                            </w:rPr>
                            <w:t xml:space="preserve">Darbų ir veiklos sričių, kuriose leidžiama dirbti darbuotojams, tik iš anksto pasitikrinusiems ir vėliau periodiškai besitikrinantiems, ar neserga užkrečiamosiomis ligomis, sąrašu ir Darbuotojų, kuriems leidžiama dirbti tik iš anksto pasitikrinusiems ir vėliau periodiškai besitikrinantiems, ar neserga užkrečiamosiomis ligomis, sveikatos tikrinimosi tvarka, patvirtintais </w:t>
                          </w:r>
                          <w:r>
                            <w:rPr>
                              <w:szCs w:val="24"/>
                            </w:rPr>
                            <w:t xml:space="preserve">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1 pr. 1.13 p."/>
                    <w:tag w:val="part_21aaa503a97e40b1bf86f9971f370a9c"/>
                    <w:lock w:val="sdtLocked"/>
                    <w:richText/>
                  </w:sdtPr>
                  <w:sdtContent>
                    <w:p>
                      <w:pPr>
                        <w:widowControl w:val="0"/>
                        <w:ind w:firstLine="720"/>
                        <w:jc w:val="both"/>
                        <w:rPr>
                          <w:color w:val="000000"/>
                        </w:rPr>
                      </w:pPr>
                      <w:sdt>
                        <w:sdtPr>
                          <w:alias w:val="Numeris"/>
                          <w:tag w:val="nr_21aaa503a97e40b1bf86f9971f370a9c"/>
                          <w:lock w:val="sdtLocked"/>
                          <w:richText/>
                        </w:sdtPr>
                        <w:sdtContent>
                          <w:r>
                            <w:rPr>
                              <w:color w:val="000000"/>
                            </w:rPr>
                            <w:t>1.13</w:t>
                          </w:r>
                        </w:sdtContent>
                      </w:sdt>
                      <w:r>
                        <w:rPr>
                          <w:color w:val="000000"/>
                        </w:rPr>
                        <w:t>. kiti profilaktiniai sveikatos tikrinimai:</w:t>
                      </w:r>
                    </w:p>
                    <w:sdt>
                      <w:sdtPr>
                        <w:alias w:val="1 pr. 1.13.1 p."/>
                        <w:tag w:val="part_fcac63615b3346b898c32020472318bc"/>
                        <w:lock w:val="sdtLocked"/>
                        <w:richText/>
                      </w:sdtPr>
                      <w:sdtContent>
                        <w:p>
                          <w:pPr>
                            <w:tabs>
                              <w:tab w:val="left" w:pos="142"/>
                              <w:tab w:val="left" w:pos="851"/>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20"/>
                            <w:jc w:val="both"/>
                            <w:rPr>
                              <w:color w:val="000000"/>
                            </w:rPr>
                          </w:pPr>
                          <w:sdt>
                            <w:sdtPr>
                              <w:alias w:val="Numeris"/>
                              <w:tag w:val="nr_fcac63615b3346b898c32020472318bc"/>
                              <w:lock w:val="sdtLocked"/>
                              <w:richText/>
                            </w:sdtPr>
                            <w:sdtContent>
                              <w:r>
                                <w:rPr>
                                  <w:szCs w:val="24"/>
                                </w:rPr>
                                <w:t>1.13.1</w:t>
                              </w:r>
                            </w:sdtContent>
                          </w:sdt>
                          <w:r>
                            <w:rPr>
                              <w:szCs w:val="24"/>
                            </w:rPr>
                            <w:t>. gydytojų, norinčių gauti medicinos praktikos licenciją (15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 pr. 1.13.2 p."/>
                        <w:tag w:val="part_8eb6fa25fc39415896db9c48e1f9d629"/>
                        <w:lock w:val="sdtLocked"/>
                        <w:richText/>
                      </w:sdtPr>
                      <w:sdtContent>
                        <w:p>
                          <w:pPr>
                            <w:pStyle w:val="PlainText"/>
                            <w:ind w:firstLine="567"/>
                            <w:jc w:val="both"/>
                            <w:rPr>
                              <w:rFonts w:ascii="Times New Roman" w:hAnsi="Times New Roman"/>
                              <w:b/>
                              <w:bCs/>
                              <w:sz w:val="22"/>
                            </w:rPr>
                          </w:pPr>
                          <w:r>
                            <w:rPr>
                              <w:rFonts w:ascii="Times New Roman" w:hAnsi="Times New Roman"/>
                              <w:sz w:val="22"/>
                            </w:rPr>
                            <w:t>1.13.2</w:t>
                          </w:r>
                          <w:r>
                            <w:rPr>
                              <w:rFonts w:ascii="Times New Roman" w:hAnsi="Times New Roman"/>
                              <w:sz w:val="22"/>
                            </w:rPr>
                            <w:t>.</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 pr. 1.13.3 p."/>
                        <w:tag w:val="part_41bf8167eb4f490094a1a5ec5a884d51"/>
                        <w:lock w:val="sdtLocked"/>
                        <w:richText/>
                      </w:sdtPr>
                      <w:sdtContent>
                        <w:p>
                          <w:pPr>
                            <w:widowControl w:val="0"/>
                            <w:ind w:firstLine="720"/>
                            <w:jc w:val="both"/>
                            <w:rPr>
                              <w:color w:val="000000"/>
                            </w:rPr>
                          </w:pPr>
                          <w:sdt>
                            <w:sdtPr>
                              <w:alias w:val="Numeris"/>
                              <w:tag w:val="nr_41bf8167eb4f490094a1a5ec5a884d51"/>
                              <w:lock w:val="sdtLocked"/>
                              <w:richText/>
                            </w:sdtPr>
                            <w:sdtContent>
                              <w:r>
                                <w:rPr>
                                  <w:color w:val="000000"/>
                                </w:rPr>
                                <w:t>1.13.3</w:t>
                              </w:r>
                            </w:sdtContent>
                          </w:sdt>
                          <w:r>
                            <w:rPr>
                              <w:color w:val="000000"/>
                            </w:rPr>
                            <w:t>. asmenų, atvykusių tikrintis savo noru, profilaktiniai sveikatos tikrinimai (tarp jų – asmenų, norinčių susituokti (17 priedas));</w:t>
                          </w:r>
                        </w:p>
                      </w:sdtContent>
                    </w:sdt>
                  </w:sdtContent>
                </w:sdt>
                <w:sdt>
                  <w:sdtPr>
                    <w:alias w:val="1 pr. 1.14 p."/>
                    <w:tag w:val="part_07e8ee926c814645863b769717a19734"/>
                    <w:lock w:val="sdtLocked"/>
                    <w:richText/>
                  </w:sdtPr>
                  <w:sdtContent>
                    <w:p>
                      <w:pPr>
                        <w:pStyle w:val="PlainText"/>
                        <w:ind w:firstLine="567"/>
                        <w:jc w:val="both"/>
                        <w:rPr>
                          <w:rFonts w:ascii="Times New Roman" w:hAnsi="Times New Roman"/>
                          <w:b/>
                          <w:bCs/>
                          <w:sz w:val="22"/>
                        </w:rPr>
                      </w:pPr>
                      <w:r>
                        <w:rPr>
                          <w:rFonts w:ascii="Times New Roman" w:hAnsi="Times New Roman"/>
                          <w:sz w:val="22"/>
                        </w:rPr>
                        <w:t>1.14</w:t>
                      </w:r>
                      <w:r>
                        <w:rPr>
                          <w:rFonts w:ascii="Times New Roman" w:hAnsi="Times New Roman"/>
                          <w:sz w:val="22"/>
                        </w:rPr>
                        <w:t>.</w:t>
                      </w:r>
                      <w:r>
                        <w:rPr>
                          <w:rFonts w:ascii="Times New Roman" w:eastAsia="MS Mincho" w:hAnsi="Times New Roman"/>
                          <w:sz w:val="20"/>
                          <w:i/>
                          <w:iCs/>
                        </w:rPr>
                        <w:t xml:space="preserve"> Neteko galios nuo 2015-08-20</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Content>
            </w:sdt>
          </w:sdtContent>
        </w:sdt>
        <w:sdt>
          <w:sdtPr>
            <w:alias w:val="skyrius"/>
            <w:tag w:val="part_a5c38340b80e4e2dab7fc6276dab8f95"/>
            <w:lock w:val="sdtLocked"/>
            <w:richText/>
          </w:sdtPr>
          <w:sdtContent>
            <w:p>
              <w:pPr>
                <w:jc w:val="center"/>
                <w:rPr>
                  <w:b/>
                  <w:caps/>
                  <w:color w:val="000000"/>
                </w:rPr>
              </w:pPr>
              <w:sdt>
                <w:sdtPr>
                  <w:alias w:val="Numeris"/>
                  <w:tag w:val="nr_a5c38340b80e4e2dab7fc6276dab8f95"/>
                  <w:lock w:val="sdtLocked"/>
                  <w:richText/>
                </w:sdtPr>
                <w:sdtContent>
                  <w:r>
                    <w:rPr>
                      <w:b/>
                      <w:caps/>
                      <w:color w:val="000000"/>
                    </w:rPr>
                    <w:t>II</w:t>
                  </w:r>
                </w:sdtContent>
              </w:sdt>
              <w:r>
                <w:rPr>
                  <w:b/>
                  <w:caps/>
                  <w:color w:val="000000"/>
                </w:rPr>
                <w:t xml:space="preserve">. </w:t>
              </w:r>
              <w:sdt>
                <w:sdtPr>
                  <w:alias w:val="Pavadinimas"/>
                  <w:tag w:val="title_a5c38340b80e4e2dab7fc6276dab8f95"/>
                  <w:lock w:val="sdtLocked"/>
                  <w:richText/>
                </w:sdtPr>
                <w:sdtContent>
                  <w:r>
                    <w:rPr>
                      <w:b/>
                      <w:caps/>
                      <w:color w:val="000000"/>
                    </w:rPr>
                    <w:t>PROFILAKTINIŲ SVEIKATOS TIKRINIMŲ APMOKĖJIMO TVARKA</w:t>
                  </w:r>
                </w:sdtContent>
              </w:sdt>
            </w:p>
            <w:p>
              <w:pPr>
                <w:widowControl w:val="0"/>
                <w:tabs>
                  <w:tab w:val="left" w:pos="6253"/>
                </w:tabs>
                <w:ind w:left="1069"/>
                <w:jc w:val="both"/>
                <w:rPr>
                  <w:color w:val="000000"/>
                </w:rPr>
              </w:pPr>
            </w:p>
            <w:sdt>
              <w:sdtPr>
                <w:alias w:val="1 pr. 2 p."/>
                <w:tag w:val="part_a905037600ef4d558c80a2dcca2b3814"/>
                <w:lock w:val="sdtLocked"/>
                <w:richText/>
              </w:sdtPr>
              <w:sdtContent>
                <w:p>
                  <w:pPr>
                    <w:widowControl w:val="0"/>
                    <w:ind w:firstLine="720"/>
                    <w:jc w:val="both"/>
                    <w:rPr>
                      <w:color w:val="000000"/>
                    </w:rPr>
                  </w:pPr>
                  <w:sdt>
                    <w:sdtPr>
                      <w:alias w:val="Numeris"/>
                      <w:tag w:val="nr_a905037600ef4d558c80a2dcca2b3814"/>
                      <w:lock w:val="sdtLocked"/>
                      <w:richText/>
                    </w:sdtPr>
                    <w:sdtContent>
                      <w:r>
                        <w:rPr>
                          <w:color w:val="000000"/>
                        </w:rPr>
                        <w:t>2</w:t>
                      </w:r>
                    </w:sdtContent>
                  </w:sdt>
                  <w:r>
                    <w:rPr>
                      <w:color w:val="000000"/>
                    </w:rPr>
                    <w:t xml:space="preserve">. Pirminės ir antrinės sveikatos priežiūros paslaugos, teikiamos atliekant profilaktinius sveikatos tikrinimus, nurodytus 1.1–1.3 ir 1.5–1.7 ir 1.13 punktuose, apdraustiesiems privalomuoju sveikatos draudimu (toliau vadinami – apdraustaisiais), apmokamos iš Privalomojo sveikatos draudimo fondo biudžeto lėšų. Pirminės sveikatos priežiūros paslaugos – iš nustatytos metinės vieno gyventojo pirminės sveikatos priežiūros bazinės kainos, specialistų konsultacijos, reglamentuojamos šiuo įsakymu – pagal specialistų profilaktinio tikrinimo kainą, patvirtintą šiuo įsakymu. Jeigu specialistų, nesant bendrosios praktikos gydytojo (BPG), konsultacijos suteikiamos pagal Lietuvos medicinos normoje MN 14:1999 „Bendrosios praktikos gydytojas. Teisės, pareigos, kompetencija ir atsakomybė“ (Žin., 1999, Nr. </w:t>
                  </w:r>
                  <w:hyperlink r:id="rId25" w:tgtFrame="_blank" w:history="1">
                    <w:r>
                      <w:rPr>
                        <w:color w:val="0000FF" w:themeColor="hyperlink"/>
                        <w:u w:val="single"/>
                      </w:rPr>
                      <w:t>109-3196</w:t>
                    </w:r>
                  </w:hyperlink>
                  <w:r>
                    <w:rPr>
                      <w:color w:val="000000"/>
                    </w:rPr>
                    <w:t>) nurodytą kompetenciją, jos apmokamos iš Privalomojo sveikatos draudimo fondo biudžeto lėšų (pirminės sveikatos priežiūros metinės vieno gyventojo bazinės kainos).</w:t>
                  </w:r>
                </w:p>
                <w:p>
                  <w:pPr>
                    <w:widowControl w:val="0"/>
                    <w:ind w:firstLine="720"/>
                    <w:jc w:val="both"/>
                    <w:rPr>
                      <w:color w:val="000000"/>
                    </w:rPr>
                  </w:pPr>
                  <w:r>
                    <w:rPr>
                      <w:color w:val="000000"/>
                    </w:rPr>
                    <w:t>Sporto medicinos centruose profilaktiniai sveikatos tikrinimai atliekami pagal šio įsakymo 5 priedą „Sportuojančių asmenų sveikatos tikrinimas“, ir tokių tikrinimų išlaidos dengiamos iš lėšų, skirtų šiems centrams išlaikyti.</w:t>
                  </w:r>
                </w:p>
              </w:sdtContent>
            </w:sdt>
            <w:sdt>
              <w:sdtPr>
                <w:alias w:val="1 pr. 3 p."/>
                <w:tag w:val="part_d2065fb0008c4d8b9ec327d548a265ec"/>
                <w:lock w:val="sdtLocked"/>
                <w:richText/>
              </w:sdtPr>
              <w:sdtContent>
                <w:p>
                  <w:pPr>
                    <w:widowControl w:val="0"/>
                    <w:ind w:firstLine="720"/>
                    <w:jc w:val="both"/>
                    <w:rPr>
                      <w:color w:val="000000"/>
                    </w:rPr>
                  </w:pPr>
                  <w:sdt>
                    <w:sdtPr>
                      <w:alias w:val="Numeris"/>
                      <w:tag w:val="nr_d2065fb0008c4d8b9ec327d548a265ec"/>
                      <w:lock w:val="sdtLocked"/>
                      <w:richText/>
                    </w:sdtPr>
                    <w:sdtContent>
                      <w:r>
                        <w:rPr>
                          <w:color w:val="000000"/>
                        </w:rPr>
                        <w:t>3</w:t>
                      </w:r>
                    </w:sdtContent>
                  </w:sdt>
                  <w:r>
                    <w:rPr>
                      <w:color w:val="000000"/>
                    </w:rPr>
                    <w:t>. Pirminės ir antrinės sveikatos priežiūros paslaugos, teikiamos atliekant profilaktinius sveikatos tikrinimus, nurodytus 1.4 punkte, krašto apsaugos, vidaus reikalų sistemos sveikatos priežiūros įstaigose apmokamos iš lėšų, skirtų šioms įstaigoms išlaikyti. Šiais atvejais asmens sveikatos priežiūros įstaiga, kurią pacientai yra pasirinkę, išduoda išrašą (F Nr. 027/a) iš asmens sveikatos istorijos (F Nr. 025/a) ar asmens sveikatos istoriją (F Nr. 025/a), ne trumpesnę kaip paskutinių 5 metų (F Nr. 025/a išduodama tik prašant asmens sveikatos priežiūros įstaigai).</w:t>
                  </w:r>
                </w:p>
              </w:sdtContent>
            </w:sdt>
            <w:sdt>
              <w:sdtPr>
                <w:alias w:val="1 pr. 4 p."/>
                <w:tag w:val="part_2b731c66709e4c328681cbff896cfffa"/>
                <w:lock w:val="sdtLocked"/>
                <w:richText/>
              </w:sdtPr>
              <w:sdtContent>
                <w:p>
                  <w:pPr>
                    <w:widowControl w:val="0"/>
                    <w:ind w:firstLine="720"/>
                    <w:jc w:val="both"/>
                    <w:rPr>
                      <w:color w:val="000000"/>
                    </w:rPr>
                  </w:pPr>
                  <w:sdt>
                    <w:sdtPr>
                      <w:alias w:val="Numeris"/>
                      <w:tag w:val="nr_2b731c66709e4c328681cbff896cfffa"/>
                      <w:lock w:val="sdtLocked"/>
                      <w:richText/>
                    </w:sdtPr>
                    <w:sdtContent>
                      <w:r>
                        <w:rPr>
                          <w:color w:val="000000"/>
                        </w:rPr>
                        <w:t>4</w:t>
                      </w:r>
                    </w:sdtContent>
                  </w:sdt>
                  <w:r>
                    <w:rPr>
                      <w:color w:val="000000"/>
                    </w:rPr>
                    <w:t xml:space="preserve">. Pirminės ir antrinės sveikatos priežiūros paslaugas, teikiamas atliekant profilaktinius sveikatos tikrinimus, nurodytus 1.8–1.11 punktuose, apmoka pacientas arba už jį moka kiti fiziniai ar juridiniai asmenys pagal sveikatos apsaugos ministro 1999 07 30 įsakymu Nr. 357 „Dėl mokamų asmens sveikatos priežiūros paslaugų sąrašo, kainų nustatymo ir jų indeksavimo tvarkos bei šių paslaugų teikimo ir apmokėjimo tvarkos“ (Žin., 1999, Nr. </w:t>
                  </w:r>
                  <w:hyperlink r:id="rId26" w:tgtFrame="_blank" w:history="1">
                    <w:r>
                      <w:rPr>
                        <w:color w:val="0000FF" w:themeColor="hyperlink"/>
                        <w:u w:val="single"/>
                      </w:rPr>
                      <w:t>67-2175</w:t>
                    </w:r>
                  </w:hyperlink>
                  <w:r>
                    <w:rPr>
                      <w:color w:val="000000"/>
                    </w:rPr>
                    <w:t>) patvirtintas mokamų asmens sveikatos priežiūros paslaugų kainas.</w:t>
                  </w:r>
                </w:p>
              </w:sdtContent>
            </w:sdt>
            <w:sdt>
              <w:sdtPr>
                <w:alias w:val="1 pr. 5 p."/>
                <w:tag w:val="part_43ea2376ca7e4ff380f65cf5472c2d17"/>
                <w:lock w:val="sdtLocked"/>
                <w:richText/>
              </w:sdtPr>
              <w:sdtContent>
                <w:p>
                  <w:pPr>
                    <w:widowControl w:val="0"/>
                    <w:ind w:firstLine="720"/>
                    <w:jc w:val="both"/>
                    <w:rPr>
                      <w:color w:val="000000"/>
                    </w:rPr>
                  </w:pPr>
                  <w:sdt>
                    <w:sdtPr>
                      <w:alias w:val="Numeris"/>
                      <w:tag w:val="nr_43ea2376ca7e4ff380f65cf5472c2d17"/>
                      <w:lock w:val="sdtLocked"/>
                      <w:richText/>
                    </w:sdtPr>
                    <w:sdtContent>
                      <w:r>
                        <w:rPr>
                          <w:color w:val="000000"/>
                        </w:rPr>
                        <w:t>5</w:t>
                      </w:r>
                    </w:sdtContent>
                  </w:sdt>
                  <w:r>
                    <w:rPr>
                      <w:color w:val="000000"/>
                    </w:rPr>
                    <w:t>. Išankstinių (prieš pradedant darbą) ir periodinių profilaktinių 1.12 papunkčiuose nurodytų sveikatos tikrinimų paslaugos apmokamos šia tvarka:</w:t>
                  </w:r>
                </w:p>
                <w:sdt>
                  <w:sdtPr>
                    <w:alias w:val="1 pr. 5.1 p."/>
                    <w:tag w:val="part_920f51a0aa434881be848a632dd5ff1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920f51a0aa434881be848a632dd5ff1f"/>
                          <w:lock w:val="sdtLocked"/>
                          <w:richText/>
                        </w:sdtPr>
                        <w:sdtContent>
                          <w:r>
                            <w:rPr>
                              <w:szCs w:val="24"/>
                              <w:lang w:eastAsia="lt-LT"/>
                            </w:rPr>
                            <w:t>5.1</w:t>
                          </w:r>
                        </w:sdtContent>
                      </w:sdt>
                      <w:r>
                        <w:rPr>
                          <w:szCs w:val="24"/>
                          <w:lang w:eastAsia="lt-LT"/>
                        </w:rPr>
                        <w:t>. įsidarbinant (1.12 papunktis) numatytos šios tvarkos prieduose pirminės sveikatos priežiūros paslaugų išlaidos apdraustiesiems apmokamos iš Privalomojo sveikatos draudimo fondo biudžeto lėšų (nustatytos pirminės sveikatos priežiūros metinės vieno gyventojo bazinės kainos), 1.12.1–1.12.5 papunkčiuose nurodytų sveikatos tikrinimų antrinės sveikatos priežiūros paslaugos ir pirminės sveikatos priežiūros specializuotos darbo medicinos paslaugos apmokamos iš darbdavio lėšų pagal šiuo įsakymu patvirtintą profilaktinio tikrinimo kainą. 1.12.6 papunktyje nurodytų sveikatos tikrinimų (</w:t>
                      </w:r>
                      <w:r>
                        <w:rPr>
                          <w:szCs w:val="24"/>
                        </w:rPr>
                        <w:t>darbuotojų, kuriems leidžiama dirbti tik iš anksto pasitikrinusiems ir vėliau periodiškai besitikrinantiems, ar neserga užkrečiamosiomis ligomis</w:t>
                      </w:r>
                      <w:r>
                        <w:rPr>
                          <w:szCs w:val="24"/>
                          <w:lang w:eastAsia="lt-LT"/>
                        </w:rPr>
                        <w:t>) antrinės sveikatos priežiūros paslaugas apmoka pats pacientas arba už jį moka kiti fiziniai ar juridiniai asmenys pagal šiuo įsakymu patvirtintą profilaktinio tikrinimo kainą;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 pr. 5.2 p."/>
                    <w:tag w:val="part_5517faf5e2f542ea9dbac563d67ae0d2"/>
                    <w:lock w:val="sdtLocked"/>
                    <w:richText/>
                  </w:sdtPr>
                  <w:sdtContent>
                    <w:p>
                      <w:pPr>
                        <w:widowControl w:val="0"/>
                        <w:ind w:firstLine="720"/>
                        <w:jc w:val="both"/>
                        <w:rPr>
                          <w:color w:val="000000"/>
                        </w:rPr>
                      </w:pPr>
                      <w:sdt>
                        <w:sdtPr>
                          <w:alias w:val="Numeris"/>
                          <w:tag w:val="nr_5517faf5e2f542ea9dbac563d67ae0d2"/>
                          <w:lock w:val="sdtLocked"/>
                          <w:richText/>
                        </w:sdtPr>
                        <w:sdtContent>
                          <w:r>
                            <w:rPr>
                              <w:color w:val="000000"/>
                            </w:rPr>
                            <w:t>5.2</w:t>
                          </w:r>
                        </w:sdtContent>
                      </w:sdt>
                      <w:r>
                        <w:rPr>
                          <w:color w:val="000000"/>
                        </w:rPr>
                        <w:t>. periodinių sveikatos tikrinimų (1.12 papunktis) išlaidos apmokamos iš darbdavio lėšų.</w:t>
                      </w:r>
                    </w:p>
                  </w:sdtContent>
                </w:sdt>
                <w:sdt>
                  <w:sdtPr>
                    <w:alias w:val="1 pr. 5.3 p."/>
                    <w:tag w:val="part_ca7a93b731ba4db6b5a98275787d8727"/>
                    <w:lock w:val="sdtLocked"/>
                    <w:richText/>
                  </w:sdtPr>
                  <w:sdtContent>
                    <w:p>
                      <w:pPr>
                        <w:ind w:firstLine="720"/>
                        <w:jc w:val="both"/>
                        <w:rPr>
                          <w:color w:val="000000"/>
                        </w:rPr>
                      </w:pPr>
                      <w:sdt>
                        <w:sdtPr>
                          <w:alias w:val="Numeris"/>
                          <w:tag w:val="nr_ca7a93b731ba4db6b5a98275787d8727"/>
                          <w:lock w:val="sdtLocked"/>
                          <w:richText/>
                        </w:sdtPr>
                        <w:sdtContent>
                          <w:r>
                            <w:rPr>
                              <w:szCs w:val="24"/>
                              <w:lang w:eastAsia="lt-LT"/>
                            </w:rPr>
                            <w:t>5.3</w:t>
                          </w:r>
                        </w:sdtContent>
                      </w:sdt>
                      <w:r>
                        <w:rPr>
                          <w:szCs w:val="24"/>
                          <w:lang w:eastAsia="lt-LT"/>
                        </w:rPr>
                        <w:t>. Profilaktinių sveikatos tikrinimų kainos ir gydytojų specialistų, teikiančių profilaktinių sveikatos tikrinimų paslaugas, apmokamas iš Privalomojo sveikatos draudimo fondo biudžeto, paslaugų kainos (18 priedas) nurodytos Lietuvos Respublikos sveikatos apsaugos ministro 2000 m. gegužės 31 d. įsakymo Nr. 301 „Dėl profilaktinių sveikatos tikrinimų sveikatos priežiūros įstaigose“ I skyriuje „Profilaktinių sveikatos tikrinimų, už kuriuos moka pats darbuotojas, darbdavys ar kiti asmenys, kainos“, gali būti indeksuojamos Mokamų asmens sveikatos priežiūros paslaugų kainų nustatymo ir jų indeksavimo tvarkos, patvirtintos Lietuvos Respublikos sveikatos apsaugos ministro 1999 m. liepos 30 d. įsakymu Nr. 357 „Dėl Mokamų asmens sveikatos priežiūros paslaugų sąrašo, kainų nustatymo ir jų indeksavimo tvarkos bei šių paslaugų teikimo ir apmokėjimo tvarkos“, 2 punkte nustatyta tvarka apskaičiuotu koeficientu. Kainos gali būti indeksuojamos, kai koeficientas yra ne mažesnis kaip 1,2.</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AF677B2B031">
                        <w:r w:rsidRPr="00532B9F">
                          <w:rPr>
                            <w:rFonts w:ascii="Times New Roman" w:eastAsia="MS Mincho" w:hAnsi="Times New Roman"/>
                            <w:sz w:val="20"/>
                            <w:i/>
                            <w:iCs/>
                            <w:color w:val="0000FF" w:themeColor="hyperlink"/>
                            <w:u w:val="single"/>
                          </w:rPr>
                          <w:t>V-481</w:t>
                        </w:r>
                      </w:fldSimple>
                      <w:r>
                        <w:rPr>
                          <w:rFonts w:ascii="Times New Roman" w:eastAsia="MS Mincho" w:hAnsi="Times New Roman"/>
                          <w:sz w:val="20"/>
                          <w:i/>
                          <w:iCs/>
                        </w:rPr>
                        <w:t>,
2011-05-19,
Žin., 2011, Nr.
63-3002 (2011-05-26), i. k. 1112250ISAK000V-481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2331b102b1511eabe008ea93139d588">
                        <w:r w:rsidRPr="00532B9F">
                          <w:rPr>
                            <w:rFonts w:ascii="Times New Roman" w:eastAsia="MS Mincho" w:hAnsi="Times New Roman"/>
                            <w:sz w:val="20"/>
                            <w:i/>
                            <w:iCs/>
                            <w:color w:val="0000FF" w:themeColor="hyperlink"/>
                            <w:u w:val="single"/>
                          </w:rPr>
                          <w:t>V-1512</w:t>
                        </w:r>
                      </w:fldSimple>
                      <w:r>
                        <w:rPr>
                          <w:rFonts w:ascii="Times New Roman" w:eastAsia="MS Mincho" w:hAnsi="Times New Roman"/>
                          <w:sz w:val="20"/>
                          <w:i/>
                          <w:iCs/>
                        </w:rPr>
                        <w:t>,
2019-12-30,
paskelbta TAR 2019-12-31, i. k. 2019-21686            </w:t>
                      </w:r>
                    </w:p>
                    <w:p/>
                  </w:sdtContent>
                </w:sdt>
              </w:sdtContent>
            </w:sdt>
            <w:sdt>
              <w:sdtPr>
                <w:alias w:val="1 pr. 6 p."/>
                <w:tag w:val="part_0cd2f975c3264c48a6431b523231041b"/>
                <w:lock w:val="sdtLocked"/>
                <w:richText/>
              </w:sdtPr>
              <w:sdtContent>
                <w:p>
                  <w:pPr>
                    <w:widowControl w:val="0"/>
                    <w:ind w:firstLine="720"/>
                    <w:jc w:val="both"/>
                    <w:rPr>
                      <w:color w:val="000000"/>
                    </w:rPr>
                  </w:pPr>
                  <w:sdt>
                    <w:sdtPr>
                      <w:alias w:val="Numeris"/>
                      <w:tag w:val="nr_0cd2f975c3264c48a6431b523231041b"/>
                      <w:lock w:val="sdtLocked"/>
                      <w:richText/>
                    </w:sdtPr>
                    <w:sdtContent>
                      <w:r>
                        <w:rPr>
                          <w:color w:val="000000"/>
                        </w:rPr>
                        <w:t>6</w:t>
                      </w:r>
                    </w:sdtContent>
                  </w:sdt>
                  <w:r>
                    <w:rPr>
                      <w:color w:val="000000"/>
                    </w:rPr>
                    <w:t xml:space="preserve">. Neapdraustieji privalomuoju sveikatos draudimu (išskyrus nėščiąsias) už visas profilaktinio sveikatos tikrinimo paslaugas moka patys ar už juos moka kiti fiziniai ar juridiniai asmenys pagal profilaktinių tikrinimų ar paslaugų kainas, nustatytas Sveikatos apsaugos ministerijos 1996 03 26 įsakymu Nr. 178 „Dėl valstybės ir savivaldybių remiamų asmens sveikatos priežiūros paslaugų kainyno patvirtinimo“ (Žin.,1996, Nr. </w:t>
                  </w:r>
                  <w:hyperlink r:id="rId27" w:tgtFrame="_blank" w:history="1">
                    <w:r>
                      <w:rPr>
                        <w:color w:val="0000FF" w:themeColor="hyperlink"/>
                        <w:u w:val="single"/>
                      </w:rPr>
                      <w:t>35-892</w:t>
                    </w:r>
                  </w:hyperlink>
                  <w:r>
                    <w:rPr>
                      <w:color w:val="000000"/>
                    </w:rPr>
                    <w:t>).</w:t>
                  </w:r>
                </w:p>
              </w:sdtContent>
            </w:sdt>
            <w:sdt>
              <w:sdtPr>
                <w:alias w:val="1 pr. 7 p."/>
                <w:tag w:val="part_53b9ec944d254592a5c32db30318cbb0"/>
                <w:lock w:val="sdtLocked"/>
                <w:richText/>
              </w:sdtPr>
              <w:sdtContent>
                <w:p>
                  <w:pPr>
                    <w:widowControl w:val="0"/>
                    <w:ind w:firstLine="720"/>
                    <w:jc w:val="both"/>
                    <w:rPr>
                      <w:color w:val="000000"/>
                    </w:rPr>
                  </w:pPr>
                  <w:sdt>
                    <w:sdtPr>
                      <w:alias w:val="Numeris"/>
                      <w:tag w:val="nr_53b9ec944d254592a5c32db30318cbb0"/>
                      <w:lock w:val="sdtLocked"/>
                      <w:richText/>
                    </w:sdtPr>
                    <w:sdtContent>
                      <w:r>
                        <w:rPr>
                          <w:color w:val="000000"/>
                        </w:rPr>
                        <w:t>7</w:t>
                      </w:r>
                    </w:sdtContent>
                  </w:sdt>
                  <w:r>
                    <w:rPr>
                      <w:color w:val="000000"/>
                    </w:rPr>
                    <w:t>. Jei asmuo tuo pačiu metu kreipiasi dėl kelių profilaktinių sveikatos tikrinimų, tai mokama tik už vieną, daugiau kainuojantį, sveikatos tikrinimą.</w:t>
                  </w:r>
                </w:p>
              </w:sdtContent>
            </w:sdt>
            <w:sdt>
              <w:sdtPr>
                <w:alias w:val="1 pr. 8 p."/>
                <w:tag w:val="part_cc5e6cc8391b443ca427ec562decb388"/>
                <w:lock w:val="sdtLocked"/>
                <w:richText/>
              </w:sdtPr>
              <w:sdtContent>
                <w:p>
                  <w:pPr>
                    <w:widowControl w:val="0"/>
                    <w:ind w:firstLine="720"/>
                    <w:jc w:val="both"/>
                    <w:rPr>
                      <w:color w:val="000000"/>
                    </w:rPr>
                  </w:pPr>
                  <w:sdt>
                    <w:sdtPr>
                      <w:alias w:val="Numeris"/>
                      <w:tag w:val="nr_cc5e6cc8391b443ca427ec562decb388"/>
                      <w:lock w:val="sdtLocked"/>
                      <w:richText/>
                    </w:sdtPr>
                    <w:sdtContent>
                      <w:r>
                        <w:rPr>
                          <w:color w:val="000000"/>
                        </w:rPr>
                        <w:t>8</w:t>
                      </w:r>
                    </w:sdtContent>
                  </w:sdt>
                  <w:r>
                    <w:rPr>
                      <w:color w:val="000000"/>
                    </w:rPr>
                    <w:t>. Pirminės sveikatos priežiūros paslaugos apdraustiesiems šios tvarkos numatytais atvejais apmokamos iš Privalomojo sveikatos draudimo fondo biudžeto lėšų (pirminės sveikatos priežiūros metinės vieno gyventojo bazinės kainos), kai apdraustiesiems šios paslaugos suteikiamos toje sveikatos priežiūros įstaigoje, kurią jie nustatyta tvarka yra pasirinkę. Jei apdraustieji dėl šių paslaugų kreipiasi į kitą sveikatos priežiūros įstaigą, už paslaugas moka patys arba už juos moka kiti fiziniai ar juridiniai asmenys. Pirminės sveikatos priežiūros profilaktinių sveikatos tikrinimų paslaugos atliekamos vadovaujantis Lietuvos medicinos norma MN 14:1999 „Bendrosios praktikos gydytojas. Teisės, pareigos, kompetencija ir atsakomybė“.</w:t>
                  </w:r>
                </w:p>
              </w:sdtContent>
            </w:sdt>
            <w:sdt>
              <w:sdtPr>
                <w:alias w:val="1 pr. 9 p."/>
                <w:tag w:val="part_d2a8947929b54755b3620c68251855b8"/>
                <w:lock w:val="sdtLocked"/>
                <w:richText/>
              </w:sdtPr>
              <w:sdtContent>
                <w:p>
                  <w:pPr>
                    <w:widowControl w:val="0"/>
                    <w:ind w:firstLine="720"/>
                    <w:jc w:val="both"/>
                    <w:rPr>
                      <w:color w:val="000000"/>
                    </w:rPr>
                  </w:pPr>
                  <w:sdt>
                    <w:sdtPr>
                      <w:alias w:val="Numeris"/>
                      <w:tag w:val="nr_d2a8947929b54755b3620c68251855b8"/>
                      <w:lock w:val="sdtLocked"/>
                      <w:richText/>
                    </w:sdtPr>
                    <w:sdtContent>
                      <w:r>
                        <w:rPr>
                          <w:color w:val="000000"/>
                        </w:rPr>
                        <w:t>9</w:t>
                      </w:r>
                    </w:sdtContent>
                  </w:sdt>
                  <w:r>
                    <w:rPr>
                      <w:color w:val="000000"/>
                    </w:rPr>
                    <w:t>. Pacientas gali būti siunčiamas konsultuotis pas kitus gydytojus specialistus (nenurodytus šio įsakymo prieduose), jei profilaktinio sveikatos tikrinimo metu nustatomos medicininės indikacijos. Šios konsultacijos apmokamos pagal patvirtintą gydytojo specialisto konsultacijos bazinę kainą iš Privalomojo sveikatos draudimo fondo biudžeto lėšų.</w:t>
                  </w:r>
                </w:p>
              </w:sdtContent>
            </w:sdt>
            <w:sdt>
              <w:sdtPr>
                <w:alias w:val="1 pr. 10 p."/>
                <w:tag w:val="part_83850d30df4c4b10a06565142949c3b8"/>
                <w:lock w:val="sdtLocked"/>
                <w:richText/>
              </w:sdtPr>
              <w:sdtContent>
                <w:p>
                  <w:pPr>
                    <w:widowControl w:val="0"/>
                    <w:ind w:firstLine="720"/>
                    <w:jc w:val="both"/>
                    <w:rPr>
                      <w:color w:val="000000"/>
                    </w:rPr>
                  </w:pPr>
                  <w:sdt>
                    <w:sdtPr>
                      <w:alias w:val="Numeris"/>
                      <w:tag w:val="nr_83850d30df4c4b10a06565142949c3b8"/>
                      <w:lock w:val="sdtLocked"/>
                      <w:richText/>
                    </w:sdtPr>
                    <w:sdtContent>
                      <w:r>
                        <w:rPr>
                          <w:color w:val="000000"/>
                        </w:rPr>
                        <w:t>10</w:t>
                      </w:r>
                    </w:sdtContent>
                  </w:sdt>
                  <w:r>
                    <w:rPr>
                      <w:color w:val="000000"/>
                    </w:rPr>
                    <w:t>. Atvykusių savo noru profilaktinių sveikatos tikrinimų (1.13.3 papunktis), jei teisės aktai nenumato kitaip, periodiškumą, siuntimą atlikti tyrimus ir konsultuotis nustato pirminės sveikatos priežiūros paslaugas teikiantis gydytojas. Šios sveikatos priežiūros paslaugos apdraustiesiems apmokamos iš Privalomojo sveikatos draudimo fondo biudžeto lėšų (pirminės sveikatos priežiūros metinės vieno gyventojo bazinės kainos). Pas specialistus konsultuotis siunčiama tik esant medicininių indikacijų.</w:t>
                  </w:r>
                </w:p>
                <w:p>
                  <w:pPr>
                    <w:widowControl w:val="0"/>
                    <w:tabs>
                      <w:tab w:val="left" w:pos="6253"/>
                    </w:tabs>
                    <w:ind w:left="1069"/>
                    <w:jc w:val="both"/>
                    <w:rPr>
                      <w:color w:val="000000"/>
                    </w:rPr>
                  </w:pPr>
                </w:p>
              </w:sdtContent>
            </w:sdt>
          </w:sdtContent>
        </w:sdt>
        <w:sdt>
          <w:sdtPr>
            <w:alias w:val="skyrius"/>
            <w:tag w:val="part_762932fea13d47da8ebe953f76e1a78b"/>
            <w:lock w:val="sdtLocked"/>
            <w:richText/>
          </w:sdtPr>
          <w:sdtContent>
            <w:p>
              <w:pPr>
                <w:jc w:val="center"/>
                <w:rPr>
                  <w:b/>
                  <w:caps/>
                  <w:color w:val="000000"/>
                </w:rPr>
              </w:pPr>
              <w:sdt>
                <w:sdtPr>
                  <w:alias w:val="Numeris"/>
                  <w:tag w:val="nr_762932fea13d47da8ebe953f76e1a78b"/>
                  <w:lock w:val="sdtLocked"/>
                  <w:richText/>
                </w:sdtPr>
                <w:sdtContent>
                  <w:r>
                    <w:rPr>
                      <w:b/>
                      <w:caps/>
                      <w:color w:val="000000"/>
                    </w:rPr>
                    <w:t>III</w:t>
                  </w:r>
                </w:sdtContent>
              </w:sdt>
              <w:r>
                <w:rPr>
                  <w:b/>
                  <w:caps/>
                  <w:color w:val="000000"/>
                </w:rPr>
                <w:t xml:space="preserve">. </w:t>
              </w:r>
              <w:sdt>
                <w:sdtPr>
                  <w:alias w:val="Pavadinimas"/>
                  <w:tag w:val="title_762932fea13d47da8ebe953f76e1a78b"/>
                  <w:lock w:val="sdtLocked"/>
                  <w:richText/>
                </w:sdtPr>
                <w:sdtContent>
                  <w:r>
                    <w:rPr>
                      <w:b/>
                      <w:caps/>
                      <w:color w:val="000000"/>
                    </w:rPr>
                    <w:t>MEDICININĖS DOKUMENTACIJOS PILDYMAS ATLIKUS PROFILAKTINIUS SVEIKATOS TIKRINIMUS</w:t>
                  </w:r>
                </w:sdtContent>
              </w:sdt>
            </w:p>
            <w:p>
              <w:pPr>
                <w:widowControl w:val="0"/>
                <w:tabs>
                  <w:tab w:val="left" w:pos="6253"/>
                </w:tabs>
                <w:ind w:left="1069"/>
                <w:jc w:val="both"/>
                <w:rPr>
                  <w:color w:val="000000"/>
                </w:rPr>
              </w:pPr>
            </w:p>
            <w:sdt>
              <w:sdtPr>
                <w:alias w:val="1 pr. 11 p."/>
                <w:tag w:val="part_d48b677f49cd4d4690e084ab3a5536f0"/>
                <w:lock w:val="sdtLocked"/>
                <w:richText/>
              </w:sdtPr>
              <w:sdtContent>
                <w:p>
                  <w:pPr>
                    <w:widowControl w:val="0"/>
                    <w:ind w:firstLine="720"/>
                    <w:jc w:val="both"/>
                    <w:rPr>
                      <w:color w:val="000000"/>
                    </w:rPr>
                  </w:pPr>
                  <w:sdt>
                    <w:sdtPr>
                      <w:alias w:val="Numeris"/>
                      <w:tag w:val="nr_d48b677f49cd4d4690e084ab3a5536f0"/>
                      <w:lock w:val="sdtLocked"/>
                      <w:richText/>
                    </w:sdtPr>
                    <w:sdtContent>
                      <w:r>
                        <w:rPr>
                          <w:color w:val="000000"/>
                        </w:rPr>
                        <w:t>11</w:t>
                      </w:r>
                    </w:sdtContent>
                  </w:sdt>
                  <w:r>
                    <w:rPr>
                      <w:color w:val="000000"/>
                    </w:rPr>
                    <w:t>. Profilaktinių sveikatos tikrinimų duomenys įrašomi į paciento asmens sveikatos istoriją (F Nr. 025/a) ar vaiko sveikatos raidos istoriją (F Nr. 025-</w:t>
                  </w:r>
                  <w:smartTag w:uri="urn:schemas-microsoft-com:office:smarttags" w:element="metricconverter">
                    <w:smartTagPr>
                      <w:attr w:name="ProductID" w:val="112 a"/>
                    </w:smartTagPr>
                    <w:r>
                      <w:rPr>
                        <w:color w:val="000000"/>
                      </w:rPr>
                      <w:t>112 a</w:t>
                    </w:r>
                  </w:smartTag>
                  <w:r>
                    <w:rPr>
                      <w:color w:val="000000"/>
                    </w:rPr>
                    <w:t>) ir kitus reikiamus dokumentus.</w:t>
                  </w:r>
                </w:p>
              </w:sdtContent>
            </w:sdt>
            <w:sdt>
              <w:sdtPr>
                <w:alias w:val="1 pr. 12 p."/>
                <w:tag w:val="part_78b99775aec247998092b3d1be2912ea"/>
                <w:lock w:val="sdtLocked"/>
                <w:richText/>
              </w:sdtPr>
              <w:sdtContent>
                <w:p>
                  <w:pPr>
                    <w:widowControl w:val="0"/>
                    <w:ind w:firstLine="720"/>
                    <w:jc w:val="both"/>
                    <w:rPr>
                      <w:color w:val="000000"/>
                    </w:rPr>
                  </w:pPr>
                  <w:sdt>
                    <w:sdtPr>
                      <w:alias w:val="Numeris"/>
                      <w:tag w:val="nr_78b99775aec247998092b3d1be2912ea"/>
                      <w:lock w:val="sdtLocked"/>
                      <w:richText/>
                    </w:sdtPr>
                    <w:sdtContent>
                      <w:r>
                        <w:rPr>
                          <w:color w:val="000000"/>
                        </w:rPr>
                        <w:t>12</w:t>
                      </w:r>
                    </w:sdtContent>
                  </w:sdt>
                  <w:r>
                    <w:rPr>
                      <w:color w:val="000000"/>
                    </w:rPr>
                    <w:t>. Atlikus profilaktinį tikrinimą, pacientui išduodama nustatytos formos pažyma.</w:t>
                  </w:r>
                </w:p>
                <w:p>
                  <w:pPr>
                    <w:tabs>
                      <w:tab w:val="left" w:pos="1304"/>
                      <w:tab w:val="left" w:pos="1457"/>
                      <w:tab w:val="left" w:pos="1604"/>
                      <w:tab w:val="left" w:pos="1757"/>
                    </w:tabs>
                    <w:jc w:val="center"/>
                    <w:rPr>
                      <w:color w:val="000000"/>
                    </w:rPr>
                  </w:pPr>
                  <w:r>
                    <w:rPr>
                      <w:color w:val="000000"/>
                    </w:rPr>
                    <w:t>______________</w:t>
                  </w:r>
                </w:p>
              </w:sdtContent>
            </w:sdt>
          </w:sdtContent>
        </w:sdt>
      </w:sdtContent>
    </w:sdt>
    <w:sdt>
      <w:sdtPr>
        <w:alias w:val="2 pr."/>
        <w:tag w:val="part_8ae6e116f4634be680858dabb08f7081"/>
        <w:lock w:val="sdtLocked"/>
        <w:richText/>
      </w:sdtPr>
      <w:sdtContent>
        <w:p>
          <w:pPr>
            <w:tabs>
              <w:tab w:val="left" w:pos="1304"/>
              <w:tab w:val="left" w:pos="1457"/>
              <w:tab w:val="left" w:pos="1604"/>
              <w:tab w:val="left" w:pos="1757"/>
            </w:tabs>
            <w:ind w:left="5102"/>
            <w:sectPr>
              <w:pgSz w:w="11907" w:h="16840" w:code="9"/>
              <w:pgMar w:top="1134" w:right="1134" w:bottom="1134" w:left="1701" w:header="709" w:footer="709" w:gutter="0"/>
              <w:pgNumType w:start="1"/>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8ae6e116f4634be680858dabb08f7081"/>
              <w:lock w:val="sdtLocked"/>
              <w:richText/>
            </w:sdtPr>
            <w:sdtContent>
              <w:r>
                <w:rPr>
                  <w:color w:val="000000"/>
                </w:rPr>
                <w:t>2</w:t>
              </w:r>
            </w:sdtContent>
          </w:sdt>
          <w:r>
            <w:rPr>
              <w:color w:val="000000"/>
            </w:rPr>
            <w:t xml:space="preserve"> priedas</w:t>
          </w:r>
        </w:p>
        <w:p>
          <w:pPr>
            <w:widowControl w:val="0"/>
            <w:tabs>
              <w:tab w:val="left" w:pos="6253"/>
            </w:tabs>
            <w:ind w:left="1069"/>
            <w:jc w:val="both"/>
            <w:rPr>
              <w:color w:val="000000"/>
            </w:rPr>
          </w:pPr>
        </w:p>
        <w:p>
          <w:pPr>
            <w:jc w:val="center"/>
            <w:rPr>
              <w:b/>
              <w:caps/>
              <w:color w:val="000000"/>
            </w:rPr>
          </w:pPr>
          <w:sdt>
            <w:sdtPr>
              <w:alias w:val="Pavadinimas"/>
              <w:tag w:val="title_8ae6e116f4634be680858dabb08f7081"/>
              <w:lock w:val="sdtLocked"/>
              <w:richText/>
            </w:sdtPr>
            <w:sdtContent>
              <w:r>
                <w:rPr>
                  <w:b/>
                  <w:caps/>
                  <w:color w:val="000000"/>
                </w:rPr>
                <w:t>NĖŠČIŲJŲ IR MOTINŲ, IKI VAIKUI SUKAKS VIENERI METAI, SVEIKATOS TIKRINIMO TVARKA</w:t>
              </w:r>
            </w:sdtContent>
          </w:sdt>
        </w:p>
        <w:p>
          <w:pPr>
            <w:jc w:val="center"/>
            <w:rPr>
              <w:b/>
              <w:caps/>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2024"/>
            <w:gridCol w:w="2101"/>
            <w:gridCol w:w="1964"/>
            <w:gridCol w:w="2420"/>
          </w:tblGrid>
          <w:tr>
            <w:tc>
              <w:tcPr>
                <w:tcW w:w="1128" w:type="dxa"/>
                <w:vMerge w:val="restart"/>
                <w:shd w:val="clear" w:color="auto" w:fill="auto"/>
              </w:tcPr>
              <w:p>
                <w:pPr>
                  <w:widowControl w:val="0"/>
                  <w:ind w:left="360"/>
                  <w:jc w:val="center"/>
                  <w:rPr>
                    <w:sz w:val="14"/>
                  </w:rPr>
                </w:pPr>
                <w:r>
                  <w:rPr>
                    <w:sz w:val="14"/>
                  </w:rPr>
                  <w:t>Eil. Nr.</w:t>
                </w:r>
              </w:p>
              <w:p>
                <w:pPr>
                  <w:widowControl w:val="0"/>
                  <w:ind w:left="360"/>
                  <w:jc w:val="center"/>
                  <w:rPr>
                    <w:sz w:val="14"/>
                  </w:rPr>
                </w:pPr>
              </w:p>
            </w:tc>
            <w:tc>
              <w:tcPr>
                <w:tcW w:w="2024" w:type="dxa"/>
                <w:vMerge w:val="restart"/>
                <w:shd w:val="clear" w:color="auto" w:fill="auto"/>
              </w:tcPr>
              <w:p>
                <w:pPr>
                  <w:widowControl w:val="0"/>
                  <w:ind w:left="360"/>
                  <w:jc w:val="center"/>
                  <w:rPr>
                    <w:sz w:val="14"/>
                  </w:rPr>
                </w:pPr>
                <w:r>
                  <w:rPr>
                    <w:sz w:val="14"/>
                  </w:rPr>
                  <w:t>Tikrinamųjų kontingentai</w:t>
                </w:r>
              </w:p>
            </w:tc>
            <w:tc>
              <w:tcPr>
                <w:tcW w:w="4065" w:type="dxa"/>
                <w:gridSpan w:val="2"/>
                <w:vMerge w:val="restart"/>
                <w:shd w:val="clear" w:color="auto" w:fill="auto"/>
              </w:tcPr>
              <w:p>
                <w:pPr>
                  <w:widowControl w:val="0"/>
                  <w:ind w:left="360"/>
                  <w:jc w:val="center"/>
                  <w:rPr>
                    <w:sz w:val="14"/>
                  </w:rPr>
                </w:pPr>
                <w:r>
                  <w:rPr>
                    <w:sz w:val="14"/>
                  </w:rPr>
                  <w:t>Tikrintojas</w:t>
                </w:r>
              </w:p>
            </w:tc>
            <w:tc>
              <w:tcPr>
                <w:tcW w:w="2420" w:type="dxa"/>
                <w:shd w:val="clear" w:color="auto" w:fill="auto"/>
              </w:tcPr>
              <w:p>
                <w:pPr>
                  <w:widowControl w:val="0"/>
                  <w:ind w:left="360"/>
                  <w:jc w:val="center"/>
                  <w:rPr>
                    <w:sz w:val="14"/>
                  </w:rPr>
                </w:pPr>
                <w:r>
                  <w:rPr>
                    <w:sz w:val="14"/>
                  </w:rPr>
                  <w:t>Sveikatos tikrinimų tvarką reglamentuojantys teisės aktai</w:t>
                </w:r>
              </w:p>
            </w:tc>
          </w:tr>
          <w:tr>
            <w:trPr>
              <w:trHeight w:val="230"/>
            </w:trPr>
            <w:tc>
              <w:tcPr>
                <w:tcW w:w="1128" w:type="dxa"/>
                <w:vMerge/>
                <w:shd w:val="clear" w:color="auto" w:fill="auto"/>
              </w:tcPr>
              <w:p>
                <w:pPr>
                  <w:widowControl w:val="0"/>
                  <w:ind w:left="360"/>
                  <w:jc w:val="center"/>
                  <w:rPr>
                    <w:sz w:val="14"/>
                  </w:rPr>
                </w:pPr>
              </w:p>
            </w:tc>
            <w:tc>
              <w:tcPr>
                <w:tcW w:w="2024" w:type="dxa"/>
                <w:vMerge/>
                <w:shd w:val="clear" w:color="auto" w:fill="auto"/>
              </w:tcPr>
              <w:p>
                <w:pPr>
                  <w:widowControl w:val="0"/>
                  <w:ind w:left="360"/>
                  <w:jc w:val="center"/>
                  <w:rPr>
                    <w:sz w:val="14"/>
                  </w:rPr>
                </w:pPr>
              </w:p>
            </w:tc>
            <w:tc>
              <w:tcPr>
                <w:tcW w:w="4065" w:type="dxa"/>
                <w:gridSpan w:val="2"/>
                <w:vMerge/>
                <w:shd w:val="clear" w:color="auto" w:fill="auto"/>
              </w:tcPr>
              <w:p>
                <w:pPr>
                  <w:widowControl w:val="0"/>
                  <w:ind w:left="360"/>
                  <w:jc w:val="center"/>
                  <w:rPr>
                    <w:sz w:val="14"/>
                  </w:rPr>
                </w:pPr>
              </w:p>
            </w:tc>
            <w:tc>
              <w:tcPr>
                <w:tcW w:w="2420" w:type="dxa"/>
                <w:vMerge w:val="restart"/>
                <w:shd w:val="clear" w:color="auto" w:fill="auto"/>
              </w:tcPr>
              <w:p>
                <w:pPr>
                  <w:widowControl w:val="0"/>
                  <w:ind w:left="360"/>
                  <w:jc w:val="center"/>
                  <w:rPr>
                    <w:sz w:val="14"/>
                  </w:rPr>
                </w:pPr>
              </w:p>
            </w:tc>
          </w:tr>
          <w:tr>
            <w:trPr>
              <w:trHeight w:val="905"/>
            </w:trPr>
            <w:tc>
              <w:tcPr>
                <w:tcW w:w="1128" w:type="dxa"/>
                <w:vMerge/>
                <w:tcBorders>
                  <w:bottom w:val="single" w:sz="4" w:space="0" w:color="auto"/>
                </w:tcBorders>
                <w:shd w:val="clear" w:color="auto" w:fill="auto"/>
              </w:tcPr>
              <w:p>
                <w:pPr>
                  <w:widowControl w:val="0"/>
                  <w:ind w:left="360"/>
                  <w:jc w:val="center"/>
                  <w:rPr>
                    <w:sz w:val="14"/>
                  </w:rPr>
                </w:pPr>
              </w:p>
            </w:tc>
            <w:tc>
              <w:tcPr>
                <w:tcW w:w="2024" w:type="dxa"/>
                <w:vMerge/>
                <w:tcBorders>
                  <w:bottom w:val="single" w:sz="4" w:space="0" w:color="auto"/>
                </w:tcBorders>
                <w:shd w:val="clear" w:color="auto" w:fill="auto"/>
              </w:tcPr>
              <w:p>
                <w:pPr>
                  <w:widowControl w:val="0"/>
                  <w:ind w:left="360"/>
                  <w:jc w:val="center"/>
                  <w:rPr>
                    <w:sz w:val="14"/>
                  </w:rPr>
                </w:pPr>
              </w:p>
            </w:tc>
            <w:tc>
              <w:tcPr>
                <w:tcW w:w="2101"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1964"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2420" w:type="dxa"/>
                <w:vMerge/>
                <w:tcBorders>
                  <w:bottom w:val="single" w:sz="4" w:space="0" w:color="auto"/>
                </w:tcBorders>
                <w:shd w:val="clear" w:color="auto" w:fill="auto"/>
              </w:tcPr>
              <w:p>
                <w:pPr>
                  <w:widowControl w:val="0"/>
                  <w:ind w:left="360"/>
                  <w:jc w:val="center"/>
                  <w:rPr>
                    <w:sz w:val="14"/>
                  </w:rPr>
                </w:pPr>
              </w:p>
            </w:tc>
          </w:tr>
          <w:tr>
            <w:trPr>
              <w:trHeight w:val="4075"/>
            </w:trPr>
            <w:tc>
              <w:tcPr>
                <w:tcW w:w="1128" w:type="dxa"/>
                <w:shd w:val="clear" w:color="auto" w:fill="auto"/>
              </w:tcPr>
              <w:p>
                <w:pPr>
                  <w:widowControl w:val="0"/>
                  <w:ind w:left="360"/>
                  <w:rPr>
                    <w:sz w:val="14"/>
                  </w:rPr>
                </w:pPr>
                <w:r>
                  <w:rPr>
                    <w:sz w:val="14"/>
                  </w:rPr>
                  <w:t>1.</w:t>
                </w:r>
              </w:p>
            </w:tc>
            <w:tc>
              <w:tcPr>
                <w:tcW w:w="2024" w:type="dxa"/>
                <w:shd w:val="clear" w:color="auto" w:fill="auto"/>
              </w:tcPr>
              <w:p>
                <w:pPr>
                  <w:widowControl w:val="0"/>
                  <w:ind w:left="360"/>
                  <w:rPr>
                    <w:sz w:val="14"/>
                  </w:rPr>
                </w:pPr>
                <w:r>
                  <w:rPr>
                    <w:sz w:val="14"/>
                  </w:rPr>
                  <w:t>Ambulatorinė nėščiųjų priežiūra</w:t>
                </w:r>
              </w:p>
            </w:tc>
            <w:tc>
              <w:tcPr>
                <w:tcW w:w="2101" w:type="dxa"/>
                <w:shd w:val="clear" w:color="auto" w:fill="auto"/>
              </w:tcPr>
              <w:p>
                <w:pPr>
                  <w:widowControl w:val="0"/>
                  <w:ind w:left="360"/>
                  <w:rPr>
                    <w:sz w:val="14"/>
                  </w:rPr>
                </w:pPr>
                <w:r>
                  <w:rPr>
                    <w:sz w:val="14"/>
                  </w:rPr>
                  <w:t xml:space="preserve">Akušeris-ginekologas arba BPG (pagal Lietuvos medicinos normą MN 14:1999 „Bendrosios praktikos gydytojas. Teisės, pareigos, kompetencija ir atsakomybė“ (Žin., 1999, Nr. </w:t>
                </w:r>
                <w:hyperlink r:id="rId28" w:history="1">
                  <w:r>
                    <w:rPr>
                      <w:sz w:val="14"/>
                    </w:rPr>
                    <w:t>109-3196</w:t>
                  </w:r>
                </w:hyperlink>
                <w:r>
                  <w:rPr>
                    <w:sz w:val="14"/>
                  </w:rPr>
                  <w:t>) arba kvalifikuota akušerė</w:t>
                </w:r>
              </w:p>
              <w:p>
                <w:pPr>
                  <w:widowControl w:val="0"/>
                  <w:ind w:left="360"/>
                  <w:rPr>
                    <w:sz w:val="14"/>
                  </w:rPr>
                </w:pPr>
                <w:r>
                  <w:rPr>
                    <w:sz w:val="14"/>
                    <w:u w:val="single"/>
                  </w:rPr>
                  <w:t>Privaloma:</w:t>
                </w:r>
              </w:p>
              <w:p>
                <w:pPr>
                  <w:widowControl w:val="0"/>
                  <w:ind w:left="360"/>
                  <w:rPr>
                    <w:sz w:val="14"/>
                  </w:rPr>
                </w:pPr>
                <w:r>
                  <w:rPr>
                    <w:sz w:val="14"/>
                  </w:rPr>
                  <w:t>• Odontologo konsultacija • BPG ar apylinkės terapeuto konsultacija, jei tikrina akušeris-ginekologas</w:t>
                </w:r>
              </w:p>
            </w:tc>
            <w:tc>
              <w:tcPr>
                <w:tcW w:w="1964" w:type="dxa"/>
                <w:shd w:val="clear" w:color="auto" w:fill="auto"/>
              </w:tcPr>
              <w:p>
                <w:pPr>
                  <w:widowControl w:val="0"/>
                  <w:ind w:left="360"/>
                  <w:rPr>
                    <w:sz w:val="14"/>
                  </w:rPr>
                </w:pPr>
                <w:r>
                  <w:rPr>
                    <w:sz w:val="14"/>
                  </w:rPr>
                  <w:t>Oftalmologo</w:t>
                </w:r>
              </w:p>
              <w:p>
                <w:pPr>
                  <w:widowControl w:val="0"/>
                  <w:ind w:left="360"/>
                  <w:rPr>
                    <w:sz w:val="14"/>
                  </w:rPr>
                </w:pPr>
                <w:r>
                  <w:rPr>
                    <w:sz w:val="14"/>
                  </w:rPr>
                  <w:t>Kitų specialistų, jei yra indikacijų</w:t>
                </w:r>
              </w:p>
            </w:tc>
            <w:tc>
              <w:tcPr>
                <w:tcW w:w="2420" w:type="dxa"/>
                <w:shd w:val="clear" w:color="auto" w:fill="auto"/>
              </w:tcPr>
              <w:p>
                <w:pPr>
                  <w:widowControl w:val="0"/>
                  <w:ind w:left="360"/>
                  <w:rPr>
                    <w:sz w:val="14"/>
                  </w:rPr>
                </w:pPr>
                <w:r>
                  <w:rPr>
                    <w:sz w:val="14"/>
                  </w:rPr>
                  <w:t xml:space="preserve">Sveikatos apsaugos ministro 1999 03 15 įsakymas Nr. 117 „Dėl nėščiųjų, gimdyvių ir naujagimių sveikatos priežiūros tvarkos patvirtinimo“ (Žin., 1999, Nr. </w:t>
                </w:r>
                <w:hyperlink r:id="rId29" w:history="1">
                  <w:r>
                    <w:rPr>
                      <w:sz w:val="14"/>
                    </w:rPr>
                    <w:t>28-811</w:t>
                  </w:r>
                </w:hyperlink>
                <w:r>
                  <w:rPr>
                    <w:sz w:val="14"/>
                  </w:rPr>
                  <w:t>)</w:t>
                </w:r>
              </w:p>
            </w:tc>
          </w:tr>
          <w:tr>
            <w:trPr>
              <w:trHeight w:val="2125"/>
            </w:trPr>
            <w:tc>
              <w:tcPr>
                <w:tcW w:w="1128" w:type="dxa"/>
                <w:shd w:val="clear" w:color="auto" w:fill="auto"/>
              </w:tcPr>
              <w:p>
                <w:pPr>
                  <w:widowControl w:val="0"/>
                  <w:ind w:left="360"/>
                  <w:rPr>
                    <w:sz w:val="14"/>
                  </w:rPr>
                </w:pPr>
                <w:r>
                  <w:rPr>
                    <w:sz w:val="14"/>
                  </w:rPr>
                  <w:t>2.</w:t>
                </w:r>
              </w:p>
            </w:tc>
            <w:tc>
              <w:tcPr>
                <w:tcW w:w="2024" w:type="dxa"/>
                <w:shd w:val="clear" w:color="auto" w:fill="auto"/>
              </w:tcPr>
              <w:p>
                <w:pPr>
                  <w:widowControl w:val="0"/>
                  <w:ind w:left="360"/>
                  <w:rPr>
                    <w:sz w:val="14"/>
                  </w:rPr>
                </w:pPr>
                <w:r>
                  <w:rPr>
                    <w:sz w:val="14"/>
                  </w:rPr>
                  <w:t>Motinų, iki vaikui sukaks vieneri metai, sveikatos tikrinimas</w:t>
                </w:r>
              </w:p>
            </w:tc>
            <w:tc>
              <w:tcPr>
                <w:tcW w:w="2101" w:type="dxa"/>
                <w:shd w:val="clear" w:color="auto" w:fill="auto"/>
              </w:tcPr>
              <w:p>
                <w:pPr>
                  <w:widowControl w:val="0"/>
                  <w:ind w:left="360"/>
                  <w:rPr>
                    <w:sz w:val="14"/>
                  </w:rPr>
                </w:pPr>
                <w:r>
                  <w:rPr>
                    <w:sz w:val="14"/>
                  </w:rPr>
                  <w:t>Akušerės patronažas</w:t>
                </w:r>
              </w:p>
              <w:p>
                <w:pPr>
                  <w:widowControl w:val="0"/>
                  <w:ind w:left="360"/>
                  <w:rPr>
                    <w:sz w:val="14"/>
                  </w:rPr>
                </w:pPr>
                <w:r>
                  <w:rPr>
                    <w:sz w:val="14"/>
                  </w:rPr>
                  <w:t>Akušerio-ginekologo (arba BPG) apžiūra 6-8 savaitę po gimdymo</w:t>
                </w:r>
              </w:p>
            </w:tc>
            <w:tc>
              <w:tcPr>
                <w:tcW w:w="1964" w:type="dxa"/>
                <w:shd w:val="clear" w:color="auto" w:fill="auto"/>
              </w:tcPr>
              <w:p>
                <w:pPr>
                  <w:widowControl w:val="0"/>
                  <w:ind w:left="360"/>
                  <w:rPr>
                    <w:sz w:val="14"/>
                  </w:rPr>
                </w:pPr>
                <w:r>
                  <w:rPr>
                    <w:sz w:val="14"/>
                  </w:rPr>
                  <w:t>Krūtinės ląstos rentgenologinis tyrimas</w:t>
                </w:r>
              </w:p>
              <w:p>
                <w:pPr>
                  <w:widowControl w:val="0"/>
                  <w:ind w:left="360"/>
                  <w:rPr>
                    <w:sz w:val="14"/>
                  </w:rPr>
                </w:pPr>
                <w:r>
                  <w:rPr>
                    <w:sz w:val="14"/>
                  </w:rPr>
                  <w:t>Kitų specialistų konsultacijos ir tyrimai, jei yra indikacijų</w:t>
                </w:r>
              </w:p>
            </w:tc>
            <w:tc>
              <w:tcPr>
                <w:tcW w:w="2420" w:type="dxa"/>
                <w:shd w:val="clear" w:color="auto" w:fill="auto"/>
              </w:tcPr>
              <w:p>
                <w:pPr>
                  <w:widowControl w:val="0"/>
                  <w:ind w:left="360"/>
                  <w:rPr>
                    <w:sz w:val="14"/>
                  </w:rPr>
                </w:pPr>
                <w:r>
                  <w:rPr>
                    <w:sz w:val="14"/>
                  </w:rPr>
                  <w:t>Sveikatos apsaugos ministro 1999 03 15</w:t>
                </w:r>
              </w:p>
              <w:p>
                <w:pPr>
                  <w:widowControl w:val="0"/>
                  <w:ind w:left="360"/>
                  <w:rPr>
                    <w:sz w:val="14"/>
                  </w:rPr>
                </w:pPr>
                <w:r>
                  <w:rPr>
                    <w:sz w:val="14"/>
                  </w:rPr>
                  <w:t xml:space="preserve">įsakymas Nr. 117 „Dėl nėščiųjų, gimdyvių ir naujagimių sveikatos priežiūros tvarkos patvirtinimo“ (Žin., 1999, Nr. </w:t>
                </w:r>
                <w:hyperlink r:id="rId30" w:history="1">
                  <w:r>
                    <w:rPr>
                      <w:sz w:val="14"/>
                    </w:rPr>
                    <w:t>28-811</w:t>
                  </w:r>
                </w:hyperlink>
                <w:r>
                  <w:rPr>
                    <w:sz w:val="14"/>
                  </w:rPr>
                  <w:t>)</w:t>
                </w:r>
              </w:p>
            </w:tc>
          </w:tr>
        </w:tbl>
        <w:p>
          <w:pPr>
            <w:jc w:val="center"/>
            <w:rPr>
              <w:color w:val="000000"/>
            </w:rPr>
          </w:pPr>
          <w:r>
            <w:rPr>
              <w:color w:val="000000"/>
            </w:rPr>
            <w:t>______________</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sdtContent>
    </w:sdt>
    <w:sdt>
      <w:sdtPr>
        <w:alias w:val="3 pr."/>
        <w:tag w:val="part_0e51bcef02ce4385a7634e3de21fc569"/>
        <w:lock w:val="sdtLocked"/>
        <w:richText/>
      </w:sdtPr>
      <w:sdtContent>
        <w:p>
          <w:pPr>
            <w:tabs>
              <w:tab w:val="left" w:pos="6521"/>
            </w:tabs>
            <w:ind w:left="3888" w:firstLine="2633"/>
            <w:sectPr>
              <w:headerReference w:type="even" r:id="rId31"/>
              <w:headerReference w:type="default" r:id="rId32"/>
              <w:footerReference w:type="even" r:id="rId33"/>
              <w:footerReference w:type="default" r:id="rId34"/>
              <w:headerReference w:type="first" r:id="rId35"/>
              <w:footerReference w:type="first" r:id="rId36"/>
              <w:pgSz w:w="11906" w:h="16838" w:code="9"/>
              <w:pgMar w:top="1134" w:right="567" w:bottom="1134" w:left="1701" w:header="1134" w:footer="1134" w:gutter="0"/>
              <w:cols w:space="720"/>
              <w:titlePg/>
            </w:sectPr>
          </w:pPr>
        </w:p>
        <w:p>
          <w:pPr>
            <w:tabs>
              <w:tab w:val="left" w:pos="6521"/>
            </w:tabs>
            <w:ind w:left="3894" w:firstLine="1776"/>
            <w:rPr>
              <w:szCs w:val="24"/>
            </w:rPr>
          </w:pPr>
          <w:r>
            <w:rPr>
              <w:szCs w:val="24"/>
            </w:rPr>
            <w:t>PATVIRTINTA</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3894" w:firstLine="1776"/>
            <w:jc w:val="both"/>
            <w:rPr>
              <w:szCs w:val="24"/>
            </w:rPr>
          </w:pPr>
          <w:r>
            <w:rPr>
              <w:szCs w:val="24"/>
            </w:rPr>
            <w:t xml:space="preserve">2000 m. gegužės 31 d. įsakymu Nr. 301 </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5670"/>
            <w:jc w:val="both"/>
            <w:rPr>
              <w:szCs w:val="24"/>
            </w:rPr>
          </w:pPr>
          <w:r>
            <w:rPr>
              <w:szCs w:val="24"/>
            </w:rPr>
            <w:t>2015 m. kovo 23 d. įsakymo</w:t>
          </w:r>
        </w:p>
        <w:p>
          <w:pPr>
            <w:ind w:left="5670"/>
            <w:jc w:val="both"/>
            <w:rPr>
              <w:szCs w:val="24"/>
            </w:rPr>
          </w:pPr>
          <w:r>
            <w:rPr>
              <w:szCs w:val="24"/>
            </w:rPr>
            <w:t>Nr. V-383 redakcija)</w:t>
          </w:r>
        </w:p>
        <w:p>
          <w:pPr>
            <w:ind w:left="5670"/>
            <w:jc w:val="both"/>
            <w:rPr>
              <w:szCs w:val="24"/>
            </w:rPr>
          </w:pPr>
          <w:sdt>
            <w:sdtPr>
              <w:alias w:val="Numeris"/>
              <w:tag w:val="nr_0e51bcef02ce4385a7634e3de21fc569"/>
              <w:lock w:val="sdtLocked"/>
              <w:richText/>
            </w:sdtPr>
            <w:sdtContent>
              <w:r>
                <w:rPr>
                  <w:szCs w:val="24"/>
                </w:rPr>
                <w:t>3</w:t>
              </w:r>
            </w:sdtContent>
          </w:sdt>
          <w:r>
            <w:rPr>
              <w:szCs w:val="24"/>
            </w:rPr>
            <w:t xml:space="preserve"> priedas</w:t>
          </w:r>
        </w:p>
        <w:p>
          <w:pPr>
            <w:jc w:val="center"/>
            <w:rPr>
              <w:b/>
              <w:caps/>
              <w:color w:val="000000"/>
              <w:szCs w:val="24"/>
            </w:rPr>
          </w:pPr>
        </w:p>
        <w:p>
          <w:pPr>
            <w:jc w:val="center"/>
            <w:rPr>
              <w:b/>
              <w:caps/>
              <w:color w:val="000000"/>
              <w:szCs w:val="24"/>
            </w:rPr>
          </w:pPr>
        </w:p>
        <w:p>
          <w:pPr>
            <w:jc w:val="center"/>
            <w:rPr>
              <w:b/>
              <w:caps/>
              <w:color w:val="000000"/>
              <w:szCs w:val="24"/>
            </w:rPr>
          </w:pPr>
          <w:sdt>
            <w:sdtPr>
              <w:alias w:val="Pavadinimas"/>
              <w:tag w:val="title_0e51bcef02ce4385a7634e3de21fc569"/>
              <w:lock w:val="sdtLocked"/>
              <w:richText/>
            </w:sdtPr>
            <w:sdtContent>
              <w:r>
                <w:rPr>
                  <w:b/>
                  <w:caps/>
                  <w:color w:val="000000"/>
                  <w:szCs w:val="24"/>
                </w:rPr>
                <w:t xml:space="preserve">VAIKŲ IR PILNAMEČIŲ MOKINIŲ, UGDOMŲ PAGAL BENDROJO UGDYMO PROGRAMAS, SVEIKATOS TIKRINIMO TVARKOS APRAŠAS </w:t>
              </w:r>
            </w:sdtContent>
          </w:sdt>
        </w:p>
        <w:p>
          <w:pPr>
            <w:snapToGrid w:val="0"/>
            <w:jc w:val="center"/>
            <w:rPr>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skyrius"/>
            <w:tag w:val="part_fb9892e1576644058c6853638be99e39"/>
            <w:lock w:val="sdtLocked"/>
            <w:richText/>
          </w:sdtPr>
          <w:sdtContent>
            <w:p>
              <w:pPr>
                <w:ind w:left="360"/>
                <w:jc w:val="center"/>
                <w:rPr>
                  <w:b/>
                  <w:caps/>
                  <w:color w:val="000000"/>
                  <w:szCs w:val="24"/>
                </w:rPr>
              </w:pPr>
              <w:sdt>
                <w:sdtPr>
                  <w:alias w:val="Numeris"/>
                  <w:tag w:val="nr_fb9892e1576644058c6853638be99e39"/>
                  <w:lock w:val="sdtLocked"/>
                  <w:richText/>
                </w:sdtPr>
                <w:sdtContent>
                  <w:r>
                    <w:rPr>
                      <w:b/>
                      <w:caps/>
                      <w:color w:val="000000"/>
                      <w:szCs w:val="24"/>
                    </w:rPr>
                    <w:t>I</w:t>
                  </w:r>
                </w:sdtContent>
              </w:sdt>
              <w:r>
                <w:rPr>
                  <w:b/>
                  <w:caps/>
                  <w:color w:val="000000"/>
                  <w:szCs w:val="24"/>
                </w:rPr>
                <w:t xml:space="preserve"> SKYRIUS</w:t>
              </w:r>
            </w:p>
            <w:p>
              <w:pPr>
                <w:ind w:left="360"/>
                <w:jc w:val="center"/>
                <w:rPr>
                  <w:b/>
                  <w:caps/>
                  <w:color w:val="000000"/>
                  <w:szCs w:val="24"/>
                </w:rPr>
              </w:pPr>
              <w:sdt>
                <w:sdtPr>
                  <w:alias w:val="Pavadinimas"/>
                  <w:tag w:val="title_fb9892e1576644058c6853638be99e39"/>
                  <w:lock w:val="sdtLocked"/>
                  <w:richText/>
                </w:sdtPr>
                <w:sdtContent>
                  <w:r>
                    <w:rPr>
                      <w:b/>
                      <w:caps/>
                      <w:color w:val="000000"/>
                      <w:szCs w:val="24"/>
                    </w:rPr>
                    <w:t>BENDROSIOS NUOSTATOS</w:t>
                  </w:r>
                </w:sdtContent>
              </w:sdt>
            </w:p>
            <w:p>
              <w:pPr>
                <w:ind w:left="360"/>
                <w:jc w:val="center"/>
                <w:rPr>
                  <w:b/>
                  <w:caps/>
                  <w:color w:val="000000"/>
                  <w:szCs w:val="24"/>
                </w:rPr>
              </w:pPr>
            </w:p>
            <w:sdt>
              <w:sdtPr>
                <w:alias w:val="3 pr. 1 p."/>
                <w:tag w:val="part_e590613e73de43299d891ecef0c9810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e590613e73de43299d891ecef0c98105"/>
                      <w:lock w:val="sdtLocked"/>
                      <w:richText/>
                    </w:sdtPr>
                    <w:sdtContent>
                      <w:r>
                        <w:rPr>
                          <w:szCs w:val="24"/>
                          <w:lang w:eastAsia="lt-LT"/>
                        </w:rPr>
                        <w:t>1</w:t>
                      </w:r>
                    </w:sdtContent>
                  </w:sdt>
                  <w:r>
                    <w:rPr>
                      <w:szCs w:val="24"/>
                      <w:lang w:eastAsia="lt-LT"/>
                    </w:rPr>
                    <w:t xml:space="preserve">. Vaikų </w:t>
                  </w:r>
                  <w:r>
                    <w:rPr>
                      <w:bCs/>
                      <w:szCs w:val="24"/>
                    </w:rPr>
                    <w:t>ir pilnamečių mokinių, ugdomų pagal bendrojo ugdymo programas,</w:t>
                  </w:r>
                  <w:r>
                    <w:rPr>
                      <w:color w:val="000000"/>
                      <w:szCs w:val="24"/>
                      <w:lang w:eastAsia="lt-LT"/>
                    </w:rPr>
                    <w:t xml:space="preserve"> </w:t>
                  </w:r>
                  <w:r>
                    <w:rPr>
                      <w:szCs w:val="24"/>
                      <w:lang w:eastAsia="lt-LT"/>
                    </w:rPr>
                    <w:t xml:space="preserve">sveikatos tikrinimo tvarkos aprašas (toliau – Aprašas) nustato privalomo profilaktinio vaikų, Lietuvos Respublikos sveikatos draudimo įstatymo 6 straipsnio 4 dalies 7 punkte nurodytų 18 metų ir vyresnių mokinių, kurie mokosi Lietuvos Respublikos mokyklose pagal bendrojo ugdymo programas,      (toliau – pilnamečių mokinių) sveikatos bei ankstyvojo amžiaus vaikų (iki 4 metų) psichomotorinės raidos tikrinimo reikalavimus, šių paslaugų teikimo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 p."/>
                <w:tag w:val="part_bcc4d858d3d54ca784b9c03b4d23281a"/>
                <w:lock w:val="sdtLocked"/>
                <w:richText/>
              </w:sdtPr>
              <w:sdtContent>
                <w:p>
                  <w:pPr>
                    <w:tabs>
                      <w:tab w:val="left" w:pos="851"/>
                    </w:tabs>
                    <w:ind w:firstLine="851"/>
                    <w:jc w:val="both"/>
                    <w:rPr>
                      <w:szCs w:val="24"/>
                    </w:rPr>
                  </w:pPr>
                  <w:sdt>
                    <w:sdtPr>
                      <w:alias w:val="Numeris"/>
                      <w:tag w:val="nr_bcc4d858d3d54ca784b9c03b4d23281a"/>
                      <w:lock w:val="sdtLocked"/>
                      <w:richText/>
                    </w:sdtPr>
                    <w:sdtContent>
                      <w:r>
                        <w:rPr>
                          <w:szCs w:val="24"/>
                        </w:rPr>
                        <w:t>2</w:t>
                      </w:r>
                    </w:sdtContent>
                  </w:sdt>
                  <w:r>
                    <w:rPr>
                      <w:szCs w:val="24"/>
                    </w:rPr>
                    <w:t>. Vaiko amžiaus tarpsniai:</w:t>
                  </w:r>
                </w:p>
                <w:sdt>
                  <w:sdtPr>
                    <w:alias w:val="3 pr. 2.1 pp."/>
                    <w:tag w:val="part_96ab6c074341447e9232b3dd63b28cb6"/>
                    <w:lock w:val="sdtLocked"/>
                    <w:richText/>
                  </w:sdtPr>
                  <w:sdtContent>
                    <w:p>
                      <w:pPr>
                        <w:tabs>
                          <w:tab w:val="left" w:pos="851"/>
                        </w:tabs>
                        <w:ind w:firstLine="851"/>
                        <w:jc w:val="both"/>
                        <w:rPr>
                          <w:bCs/>
                          <w:color w:val="000000"/>
                          <w:szCs w:val="24"/>
                        </w:rPr>
                      </w:pPr>
                      <w:sdt>
                        <w:sdtPr>
                          <w:alias w:val="Numeris"/>
                          <w:tag w:val="nr_96ab6c074341447e9232b3dd63b28cb6"/>
                          <w:lock w:val="sdtLocked"/>
                          <w:richText/>
                        </w:sdtPr>
                        <w:sdtContent>
                          <w:r>
                            <w:rPr>
                              <w:szCs w:val="24"/>
                            </w:rPr>
                            <w:t>2.1</w:t>
                          </w:r>
                        </w:sdtContent>
                      </w:sdt>
                      <w:r>
                        <w:rPr>
                          <w:szCs w:val="24"/>
                        </w:rPr>
                        <w:t xml:space="preserve">. </w:t>
                      </w:r>
                      <w:r>
                        <w:rPr>
                          <w:bCs/>
                          <w:color w:val="000000"/>
                          <w:szCs w:val="24"/>
                        </w:rPr>
                        <w:t>naujagimis</w:t>
                      </w:r>
                      <w:r>
                        <w:rPr>
                          <w:b/>
                          <w:bCs/>
                          <w:color w:val="000000"/>
                          <w:szCs w:val="24"/>
                        </w:rPr>
                        <w:t xml:space="preserve"> – </w:t>
                      </w:r>
                      <w:r>
                        <w:rPr>
                          <w:szCs w:val="24"/>
                        </w:rPr>
                        <w:t xml:space="preserve">nuo </w:t>
                      </w:r>
                      <w:r>
                        <w:rPr>
                          <w:bCs/>
                          <w:color w:val="000000"/>
                          <w:szCs w:val="24"/>
                        </w:rPr>
                        <w:t xml:space="preserve">gimimo iki 28 dienų </w:t>
                      </w:r>
                      <w:r>
                        <w:rPr>
                          <w:szCs w:val="24"/>
                        </w:rPr>
                        <w:t>amžiaus</w:t>
                      </w:r>
                      <w:r>
                        <w:rPr>
                          <w:bCs/>
                          <w:color w:val="000000"/>
                          <w:szCs w:val="24"/>
                        </w:rPr>
                        <w:t>;</w:t>
                      </w:r>
                    </w:p>
                  </w:sdtContent>
                </w:sdt>
                <w:sdt>
                  <w:sdtPr>
                    <w:alias w:val="3 pr. 2.2 pp."/>
                    <w:tag w:val="part_62d838a4d7fd4db58bec03c53a8fa33a"/>
                    <w:lock w:val="sdtLocked"/>
                    <w:richText/>
                  </w:sdtPr>
                  <w:sdtContent>
                    <w:p>
                      <w:pPr>
                        <w:tabs>
                          <w:tab w:val="left" w:pos="851"/>
                        </w:tabs>
                        <w:ind w:firstLine="851"/>
                        <w:jc w:val="both"/>
                        <w:rPr>
                          <w:color w:val="000000"/>
                          <w:szCs w:val="24"/>
                        </w:rPr>
                      </w:pPr>
                      <w:sdt>
                        <w:sdtPr>
                          <w:alias w:val="Numeris"/>
                          <w:tag w:val="nr_62d838a4d7fd4db58bec03c53a8fa33a"/>
                          <w:lock w:val="sdtLocked"/>
                          <w:richText/>
                        </w:sdtPr>
                        <w:sdtContent>
                          <w:r>
                            <w:rPr>
                              <w:bCs/>
                              <w:color w:val="000000"/>
                              <w:szCs w:val="24"/>
                            </w:rPr>
                            <w:t>2.2</w:t>
                          </w:r>
                        </w:sdtContent>
                      </w:sdt>
                      <w:r>
                        <w:rPr>
                          <w:bCs/>
                          <w:color w:val="000000"/>
                          <w:szCs w:val="24"/>
                        </w:rPr>
                        <w:t>. kūdikis</w:t>
                      </w:r>
                      <w:r>
                        <w:rPr>
                          <w:b/>
                          <w:bCs/>
                          <w:color w:val="000000"/>
                          <w:szCs w:val="24"/>
                        </w:rPr>
                        <w:t xml:space="preserve"> – </w:t>
                      </w:r>
                      <w:r>
                        <w:rPr>
                          <w:bCs/>
                          <w:color w:val="000000"/>
                          <w:szCs w:val="24"/>
                        </w:rPr>
                        <w:t xml:space="preserve">nuo gimimo iki 1 metų </w:t>
                      </w:r>
                      <w:r>
                        <w:rPr>
                          <w:szCs w:val="24"/>
                        </w:rPr>
                        <w:t>amžiaus</w:t>
                      </w:r>
                      <w:r>
                        <w:rPr>
                          <w:bCs/>
                          <w:color w:val="000000"/>
                          <w:szCs w:val="24"/>
                        </w:rPr>
                        <w:t>;</w:t>
                      </w:r>
                      <w:r>
                        <w:rPr>
                          <w:szCs w:val="24"/>
                        </w:rPr>
                        <w:tab/>
                      </w:r>
                    </w:p>
                  </w:sdtContent>
                </w:sdt>
                <w:sdt>
                  <w:sdtPr>
                    <w:alias w:val="3 pr. 2.3 pp."/>
                    <w:tag w:val="part_8aa77f118ab249ad85e9bf4b723c954f"/>
                    <w:lock w:val="sdtLocked"/>
                    <w:richText/>
                  </w:sdtPr>
                  <w:sdtContent>
                    <w:p>
                      <w:pPr>
                        <w:tabs>
                          <w:tab w:val="left" w:pos="851"/>
                        </w:tabs>
                        <w:ind w:firstLine="851"/>
                        <w:jc w:val="both"/>
                        <w:rPr>
                          <w:szCs w:val="24"/>
                        </w:rPr>
                      </w:pPr>
                      <w:sdt>
                        <w:sdtPr>
                          <w:alias w:val="Numeris"/>
                          <w:tag w:val="nr_8aa77f118ab249ad85e9bf4b723c954f"/>
                          <w:lock w:val="sdtLocked"/>
                          <w:richText/>
                        </w:sdtPr>
                        <w:sdtContent>
                          <w:r>
                            <w:rPr>
                              <w:szCs w:val="24"/>
                            </w:rPr>
                            <w:t>2.3</w:t>
                          </w:r>
                        </w:sdtContent>
                      </w:sdt>
                      <w:r>
                        <w:rPr>
                          <w:szCs w:val="24"/>
                        </w:rPr>
                        <w:t>.</w:t>
                      </w:r>
                      <w:r>
                        <w:rPr>
                          <w:b/>
                          <w:szCs w:val="24"/>
                        </w:rPr>
                        <w:t xml:space="preserve"> </w:t>
                      </w:r>
                      <w:r>
                        <w:rPr>
                          <w:szCs w:val="24"/>
                        </w:rPr>
                        <w:t>ankstyvojo amžiaus vaikas</w:t>
                      </w:r>
                      <w:r>
                        <w:rPr>
                          <w:b/>
                          <w:szCs w:val="24"/>
                        </w:rPr>
                        <w:t xml:space="preserve">  – </w:t>
                      </w:r>
                      <w:r>
                        <w:rPr>
                          <w:szCs w:val="24"/>
                        </w:rPr>
                        <w:t>nuo</w:t>
                      </w:r>
                      <w:r>
                        <w:rPr>
                          <w:b/>
                          <w:szCs w:val="24"/>
                        </w:rPr>
                        <w:t xml:space="preserve"> </w:t>
                      </w:r>
                      <w:r>
                        <w:rPr>
                          <w:bCs/>
                          <w:color w:val="000000"/>
                          <w:szCs w:val="24"/>
                        </w:rPr>
                        <w:t xml:space="preserve">1 iki 4 metų </w:t>
                      </w:r>
                      <w:r>
                        <w:rPr>
                          <w:szCs w:val="24"/>
                        </w:rPr>
                        <w:t>amžiaus;</w:t>
                      </w:r>
                    </w:p>
                  </w:sdtContent>
                </w:sdt>
                <w:sdt>
                  <w:sdtPr>
                    <w:alias w:val="3 pr. 2.4 pp."/>
                    <w:tag w:val="part_cd388879d08c48f3bb3c5a4bb5475a57"/>
                    <w:lock w:val="sdtLocked"/>
                    <w:richText/>
                  </w:sdtPr>
                  <w:sdtContent>
                    <w:p>
                      <w:pPr>
                        <w:tabs>
                          <w:tab w:val="left" w:pos="851"/>
                        </w:tabs>
                        <w:ind w:firstLine="851"/>
                        <w:jc w:val="both"/>
                        <w:rPr>
                          <w:b/>
                          <w:szCs w:val="24"/>
                        </w:rPr>
                      </w:pPr>
                      <w:sdt>
                        <w:sdtPr>
                          <w:alias w:val="Numeris"/>
                          <w:tag w:val="nr_cd388879d08c48f3bb3c5a4bb5475a57"/>
                          <w:lock w:val="sdtLocked"/>
                          <w:richText/>
                        </w:sdtPr>
                        <w:sdtContent>
                          <w:r>
                            <w:rPr>
                              <w:szCs w:val="24"/>
                            </w:rPr>
                            <w:t>2.4</w:t>
                          </w:r>
                        </w:sdtContent>
                      </w:sdt>
                      <w:r>
                        <w:rPr>
                          <w:szCs w:val="24"/>
                        </w:rPr>
                        <w:t>. viduriniojo amžiaus vaikas</w:t>
                      </w:r>
                      <w:r>
                        <w:rPr>
                          <w:b/>
                          <w:szCs w:val="24"/>
                        </w:rPr>
                        <w:t xml:space="preserve">  –</w:t>
                      </w:r>
                      <w:r>
                        <w:rPr>
                          <w:szCs w:val="24"/>
                        </w:rPr>
                        <w:t xml:space="preserve"> nuo 4 iki 10 metų amžiaus;</w:t>
                      </w:r>
                    </w:p>
                  </w:sdtContent>
                </w:sdt>
                <w:sdt>
                  <w:sdtPr>
                    <w:alias w:val="3 pr. 2.5 pp."/>
                    <w:tag w:val="part_8bf0c62b7fdb4da88d61293a845bd271"/>
                    <w:lock w:val="sdtLocked"/>
                    <w:richText/>
                  </w:sdtPr>
                  <w:sdtContent>
                    <w:p>
                      <w:pPr>
                        <w:tabs>
                          <w:tab w:val="left" w:pos="851"/>
                        </w:tabs>
                        <w:ind w:firstLine="851"/>
                        <w:jc w:val="both"/>
                        <w:rPr>
                          <w:szCs w:val="24"/>
                        </w:rPr>
                      </w:pPr>
                      <w:sdt>
                        <w:sdtPr>
                          <w:alias w:val="Numeris"/>
                          <w:tag w:val="nr_8bf0c62b7fdb4da88d61293a845bd271"/>
                          <w:lock w:val="sdtLocked"/>
                          <w:richText/>
                        </w:sdtPr>
                        <w:sdtContent>
                          <w:r>
                            <w:rPr>
                              <w:szCs w:val="24"/>
                            </w:rPr>
                            <w:t>2.5</w:t>
                          </w:r>
                        </w:sdtContent>
                      </w:sdt>
                      <w:r>
                        <w:rPr>
                          <w:szCs w:val="24"/>
                        </w:rPr>
                        <w:t>.</w:t>
                      </w:r>
                      <w:r>
                        <w:rPr>
                          <w:b/>
                          <w:szCs w:val="24"/>
                        </w:rPr>
                        <w:t xml:space="preserve"> </w:t>
                      </w:r>
                      <w:r>
                        <w:rPr>
                          <w:szCs w:val="24"/>
                        </w:rPr>
                        <w:t xml:space="preserve">paauglys </w:t>
                      </w:r>
                      <w:r>
                        <w:rPr>
                          <w:color w:val="000000"/>
                          <w:szCs w:val="24"/>
                        </w:rPr>
                        <w:t>–</w:t>
                      </w:r>
                      <w:r>
                        <w:rPr>
                          <w:bCs/>
                          <w:color w:val="000000"/>
                          <w:szCs w:val="24"/>
                        </w:rPr>
                        <w:t xml:space="preserve"> nuo </w:t>
                      </w:r>
                      <w:r>
                        <w:rPr>
                          <w:szCs w:val="24"/>
                        </w:rPr>
                        <w:t>10 iki 18 metų amžiaus.</w:t>
                        <w:tab/>
                      </w:r>
                    </w:p>
                  </w:sdtContent>
                </w:sdt>
              </w:sdtContent>
            </w:sdt>
            <w:sdt>
              <w:sdtPr>
                <w:alias w:val="3 pr. 3 p."/>
                <w:tag w:val="part_df2ce585f04e4a6f8a69076c298ca8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df2ce585f04e4a6f8a69076c298ca8ae"/>
                      <w:lock w:val="sdtLocked"/>
                      <w:richText/>
                    </w:sdtPr>
                    <w:sdtContent>
                      <w:r>
                        <w:rPr>
                          <w:szCs w:val="24"/>
                          <w:lang w:eastAsia="lt-LT"/>
                        </w:rPr>
                        <w:t>3</w:t>
                      </w:r>
                    </w:sdtContent>
                  </w:sdt>
                  <w:r>
                    <w:rPr>
                      <w:szCs w:val="24"/>
                      <w:lang w:eastAsia="lt-LT"/>
                    </w:rPr>
                    <w:t xml:space="preserve">. </w:t>
                  </w:r>
                  <w:r>
                    <w:rPr>
                      <w:color w:val="000000"/>
                      <w:szCs w:val="24"/>
                      <w:lang w:eastAsia="lt-LT"/>
                    </w:rPr>
                    <w:t xml:space="preserve">Apraše nustatyto profilaktinio </w:t>
                  </w:r>
                  <w:r>
                    <w:rPr>
                      <w:szCs w:val="24"/>
                      <w:lang w:eastAsia="lt-LT"/>
                    </w:rPr>
                    <w:t xml:space="preserve">vaikų ir pilnamečių mokinių sveikatos  tikrinimo tikslas – išaiškinti ir koreguoti rizikos sveikatai veiksnius, nustatyti, ar tikrinamo asmens sveikatos būklė atitinka jo augimo ir brendimo pagal amžių ir lytį normatyvus, ar  dėl sveikatos būklės jis gali lankyti švietimo įstaigą ir  pan.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4 p."/>
                <w:tag w:val="part_7767116a6d7b474bb402dd02a0a65f23"/>
                <w:lock w:val="sdtLocked"/>
                <w:richText/>
              </w:sdtPr>
              <w:sdtContent>
                <w:p>
                  <w:pPr>
                    <w:ind w:firstLine="851"/>
                    <w:jc w:val="both"/>
                    <w:rPr>
                      <w:color w:val="000000"/>
                      <w:szCs w:val="24"/>
                    </w:rPr>
                  </w:pPr>
                  <w:sdt>
                    <w:sdtPr>
                      <w:alias w:val="Numeris"/>
                      <w:tag w:val="nr_7767116a6d7b474bb402dd02a0a65f23"/>
                      <w:lock w:val="sdtLocked"/>
                      <w:richText/>
                    </w:sdtPr>
                    <w:sdtContent>
                      <w:r>
                        <w:rPr>
                          <w:szCs w:val="24"/>
                        </w:rPr>
                        <w:t>4</w:t>
                      </w:r>
                    </w:sdtContent>
                  </w:sdt>
                  <w:r>
                    <w:rPr>
                      <w:szCs w:val="24"/>
                    </w:rPr>
                    <w:t xml:space="preserve">. </w:t>
                  </w:r>
                  <w:r>
                    <w:rPr>
                      <w:color w:val="000000"/>
                      <w:szCs w:val="24"/>
                    </w:rPr>
                    <w:t xml:space="preserve">Apraše nustatyto vaikų psichomotorinės raidos tikrinimo tikslas – ankstyvas vaikų, turinčių raidos sutrikimų riziką, išaiškinimas ir  siuntimas toliau tirti bei gydyti. </w:t>
                  </w:r>
                </w:p>
              </w:sdtContent>
            </w:sdt>
            <w:sdt>
              <w:sdtPr>
                <w:alias w:val="3 pr. 5 p."/>
                <w:tag w:val="part_3d3645cb4b694f6d91dc1f0ead9a63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d3645cb4b694f6d91dc1f0ead9a6363"/>
                      <w:lock w:val="sdtLocked"/>
                      <w:richText/>
                    </w:sdtPr>
                    <w:sdtContent>
                      <w:r>
                        <w:rPr>
                          <w:szCs w:val="24"/>
                          <w:lang w:eastAsia="lt-LT"/>
                        </w:rPr>
                        <w:t>5</w:t>
                      </w:r>
                    </w:sdtContent>
                  </w:sdt>
                  <w:r>
                    <w:rPr>
                      <w:szCs w:val="24"/>
                      <w:lang w:eastAsia="lt-LT"/>
                    </w:rPr>
                    <w:t xml:space="preserve">. Vaikų, pilnamečių mokinių sveikatos ir vaikų psichomotorinės raidos tikrinimas atliekamas licenciją teikti asmens sveikatos priežiūros paslaugas turinčioje įstaigoje (toliau – ASPĮ), kurioje asmuo yra prirašytas Lietuvos Respublikos sveikatos apsaugos ministro 2001 m. lapkričio      9 d. įsakymo Nr. 583 „Dėl gyventojų prisirašymo prie pirminės asmens sveikatos priežiūros įstaigų tvarkos“ nustatyta tvarka (toliau – prirašytas). Vaikų sveikatos tikrinimą atlieka šeimos medicinos paslaugas teikiantis šeimos gydytojas ar vaikų ligų gydytojas, kurį pacientas (jo tėvai ar kiti atstovai pagal įstatymą) yra pasirinkęs. Pilnamečių mokinių sveikatos tikrinimą atlieka šeimos medicinos paslaugas teikiantis šeimos gydytojas ar vidaus ligų gydytojas, kurį pacientas yra pasirinkęs.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6 p."/>
                <w:tag w:val="part_5538dd5c1be44eb393b0a441d008c53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5538dd5c1be44eb393b0a441d008c534"/>
                      <w:lock w:val="sdtLocked"/>
                      <w:richText/>
                    </w:sdtPr>
                    <w:sdtContent>
                      <w:r>
                        <w:rPr>
                          <w:color w:val="000000"/>
                          <w:szCs w:val="24"/>
                          <w:lang w:eastAsia="lt-LT"/>
                        </w:rPr>
                        <w:t>6</w:t>
                      </w:r>
                    </w:sdtContent>
                  </w:sdt>
                  <w:r>
                    <w:rPr>
                      <w:color w:val="000000"/>
                      <w:szCs w:val="24"/>
                      <w:lang w:eastAsia="lt-LT"/>
                    </w:rPr>
                    <w:t>.</w:t>
                  </w:r>
                  <w:r>
                    <w:rPr>
                      <w:szCs w:val="24"/>
                      <w:lang w:eastAsia="lt-LT"/>
                    </w:rPr>
                    <w:t xml:space="preserve"> Vaikų ir pilnamečių mokinių dantų ir burnos higienos būklę pagal kompetenciją tikrina ir informavimo dantų ir burnos ligų profilaktikos klausimais paslaugą teikia gydytojas odontologas arba gydytojas odontologas specialistas, arba burnos higienistas ASPĮ, teikiančiose pirminės odontologinės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7 p."/>
                <w:tag w:val="part_5c4cbf7f3d07488aa9be70f64d1e484f"/>
                <w:lock w:val="sdtLocked"/>
                <w:richText/>
              </w:sdtPr>
              <w:sdtContent>
                <w:p>
                  <w:pPr>
                    <w:tabs>
                      <w:tab w:val="left" w:pos="851"/>
                    </w:tabs>
                    <w:ind w:firstLine="851"/>
                    <w:jc w:val="both"/>
                    <w:rPr>
                      <w:szCs w:val="24"/>
                    </w:rPr>
                  </w:pPr>
                  <w:sdt>
                    <w:sdtPr>
                      <w:alias w:val="Numeris"/>
                      <w:tag w:val="nr_5c4cbf7f3d07488aa9be70f64d1e484f"/>
                      <w:lock w:val="sdtLocked"/>
                      <w:richText/>
                    </w:sdtPr>
                    <w:sdtContent>
                      <w:r>
                        <w:rPr>
                          <w:szCs w:val="24"/>
                        </w:rPr>
                        <w:t>7</w:t>
                      </w:r>
                    </w:sdtContent>
                  </w:sdt>
                  <w:r>
                    <w:rPr>
                      <w:szCs w:val="24"/>
                    </w:rPr>
                    <w:t xml:space="preserve">. Sveikatą tikrinantys specialistai, esant </w:t>
                  </w:r>
                  <w:r>
                    <w:rPr>
                      <w:color w:val="000000"/>
                      <w:szCs w:val="24"/>
                    </w:rPr>
                    <w:t>indikacijų ar poreikiui tikslinti diagnozę,</w:t>
                  </w:r>
                  <w:r>
                    <w:rPr>
                      <w:szCs w:val="24"/>
                    </w:rPr>
                    <w:t xml:space="preserve"> paskiria tyrimus, nustato jų dažnumą, siunčia kito reikiamos profesinės kvalifikacijos specialisto konsultacijos ar atlikti diagnostinių tyrimų, atsižvelgdami į </w:t>
                  </w:r>
                  <w:r>
                    <w:rPr>
                      <w:color w:val="000000"/>
                      <w:szCs w:val="24"/>
                    </w:rPr>
                    <w:t xml:space="preserve">Aprašo 1 ir 2 prieduose nustatytus vaiko amžiaus tarpsnius bei periodiškumą, vadovaudamiesi </w:t>
                  </w:r>
                  <w:r>
                    <w:rPr>
                      <w:szCs w:val="24"/>
                    </w:rPr>
                    <w:t>šiuo Aprašu bei kitais teisės aktais.</w:t>
                  </w:r>
                </w:p>
                <w:p>
                  <w:pPr>
                    <w:ind w:left="360"/>
                    <w:jc w:val="center"/>
                    <w:rPr>
                      <w:b/>
                      <w:caps/>
                      <w:color w:val="000000"/>
                      <w:szCs w:val="24"/>
                    </w:rPr>
                  </w:pPr>
                </w:p>
              </w:sdtContent>
            </w:sdt>
          </w:sdtContent>
        </w:sdt>
        <w:sdt>
          <w:sdtPr>
            <w:alias w:val="skyrius"/>
            <w:tag w:val="part_97c9cc681b0b45a7acdd644c2ea8af2b"/>
            <w:lock w:val="sdtLocked"/>
            <w:richText/>
          </w:sdtPr>
          <w:sdtContent>
            <w:p>
              <w:pPr>
                <w:ind w:left="360"/>
                <w:jc w:val="center"/>
                <w:rPr>
                  <w:b/>
                  <w:caps/>
                  <w:color w:val="000000"/>
                  <w:szCs w:val="24"/>
                </w:rPr>
              </w:pPr>
              <w:sdt>
                <w:sdtPr>
                  <w:alias w:val="Numeris"/>
                  <w:tag w:val="nr_97c9cc681b0b45a7acdd644c2ea8af2b"/>
                  <w:lock w:val="sdtLocked"/>
                  <w:richText/>
                </w:sdtPr>
                <w:sdtContent>
                  <w:r>
                    <w:rPr>
                      <w:b/>
                      <w:caps/>
                      <w:color w:val="000000"/>
                      <w:szCs w:val="24"/>
                    </w:rPr>
                    <w:t>II</w:t>
                  </w:r>
                </w:sdtContent>
              </w:sdt>
              <w:r>
                <w:rPr>
                  <w:b/>
                  <w:caps/>
                  <w:color w:val="000000"/>
                  <w:szCs w:val="24"/>
                </w:rPr>
                <w:t xml:space="preserve"> SKYRIUS</w:t>
              </w:r>
            </w:p>
            <w:p>
              <w:pPr>
                <w:ind w:left="360" w:firstLine="60"/>
                <w:jc w:val="center"/>
                <w:rPr>
                  <w:b/>
                  <w:color w:val="000000"/>
                  <w:szCs w:val="24"/>
                </w:rPr>
              </w:pPr>
              <w:sdt>
                <w:sdtPr>
                  <w:alias w:val="Pavadinimas"/>
                  <w:tag w:val="title_97c9cc681b0b45a7acdd644c2ea8af2b"/>
                  <w:lock w:val="sdtLocked"/>
                  <w:richText/>
                </w:sdtPr>
                <w:sdtContent>
                  <w:r>
                    <w:rPr>
                      <w:b/>
                      <w:caps/>
                      <w:szCs w:val="24"/>
                    </w:rPr>
                    <w:t xml:space="preserve">PROFILAKTINIO VAIKŲ IR PILNAMEČIŲ MOKINIŲ SVEIKATOS TIKRINIMO REIKALAVIMAI IR TVARKA </w:t>
                  </w:r>
                </w:sdtContent>
              </w:sdt>
            </w:p>
            <w:p>
              <w:pPr>
                <w:ind w:left="360"/>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skyriaus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3 pr. 8 p."/>
                <w:tag w:val="part_80c2a14edf654891af57d9a15daf0c88"/>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80c2a14edf654891af57d9a15daf0c88"/>
                      <w:lock w:val="sdtLocked"/>
                      <w:richText/>
                    </w:sdtPr>
                    <w:sdtContent>
                      <w:r>
                        <w:rPr>
                          <w:szCs w:val="24"/>
                          <w:lang w:eastAsia="lt-LT"/>
                        </w:rPr>
                        <w:t>8</w:t>
                      </w:r>
                    </w:sdtContent>
                  </w:sdt>
                  <w:r>
                    <w:rPr>
                      <w:szCs w:val="24"/>
                      <w:lang w:eastAsia="lt-LT"/>
                    </w:rPr>
                    <w:t xml:space="preserve">. Profilaktinio vaikų ir pilnamečių mokinių sveikatos tikrinimo reikalavimai taikomi sveikatos priežiūrai ir profilaktiniam sveikatos tikrinimui, nustatyti Aprašo 1 priede.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9 p."/>
                <w:tag w:val="part_61e76c17f0fa4160a857bb8698e7eada"/>
                <w:lock w:val="sdtLocked"/>
                <w:richText/>
              </w:sdtPr>
              <w:sdtContent>
                <w:p>
                  <w:pPr>
                    <w:tabs>
                      <w:tab w:val="left" w:pos="851"/>
                    </w:tabs>
                    <w:ind w:firstLine="851"/>
                    <w:jc w:val="both"/>
                    <w:rPr>
                      <w:color w:val="000000"/>
                      <w:szCs w:val="24"/>
                    </w:rPr>
                  </w:pPr>
                  <w:sdt>
                    <w:sdtPr>
                      <w:alias w:val="Numeris"/>
                      <w:tag w:val="nr_61e76c17f0fa4160a857bb8698e7eada"/>
                      <w:lock w:val="sdtLocked"/>
                      <w:richText/>
                    </w:sdtPr>
                    <w:sdtContent>
                      <w:r>
                        <w:rPr>
                          <w:color w:val="000000"/>
                          <w:szCs w:val="24"/>
                        </w:rPr>
                        <w:t>9</w:t>
                      </w:r>
                    </w:sdtContent>
                  </w:sdt>
                  <w:r>
                    <w:rPr>
                      <w:color w:val="000000"/>
                      <w:szCs w:val="24"/>
                    </w:rPr>
                    <w:t>. Imunoprofilaktika atliekama pagal Lietuvos Respublikos vaikų profilaktinių skiepijimų kalendorių, patvirtintą Lietuvos Respublikos sveikatos apsaugos ministro 2014 m. vasario 27 d. įsakymu Nr. V-283 „Dėl Lietuvos Respublikos vaikų profilaktinių skiepijimų kalendoriaus patvirtinimo“.</w:t>
                  </w:r>
                </w:p>
              </w:sdtContent>
            </w:sdt>
            <w:sdt>
              <w:sdtPr>
                <w:alias w:val="3 pr. 10 p."/>
                <w:tag w:val="part_82ef7a84079c42aba69df3fff8caa0ff"/>
                <w:lock w:val="sdtLocked"/>
                <w:richText/>
              </w:sdtPr>
              <w:sdtContent>
                <w:p>
                  <w:pPr>
                    <w:ind w:firstLine="851"/>
                    <w:jc w:val="both"/>
                    <w:rPr>
                      <w:color w:val="000000"/>
                      <w:szCs w:val="24"/>
                    </w:rPr>
                  </w:pPr>
                  <w:sdt>
                    <w:sdtPr>
                      <w:alias w:val="Numeris"/>
                      <w:tag w:val="nr_82ef7a84079c42aba69df3fff8caa0ff"/>
                      <w:lock w:val="sdtLocked"/>
                      <w:richText/>
                    </w:sdtPr>
                    <w:sdtContent>
                      <w:r>
                        <w:rPr>
                          <w:szCs w:val="24"/>
                        </w:rPr>
                        <w:t>10</w:t>
                      </w:r>
                    </w:sdtContent>
                  </w:sdt>
                  <w:r>
                    <w:rPr>
                      <w:szCs w:val="24"/>
                    </w:rPr>
                    <w:t xml:space="preserve">. </w:t>
                  </w:r>
                  <w:r>
                    <w:rPr>
                      <w:color w:val="000000"/>
                      <w:szCs w:val="24"/>
                    </w:rPr>
                    <w:t xml:space="preserve">Prieš vaikui pradedant lankyti ikimokyklinio ar pradinio ugdymo įstaigą ir pereinant į kitą ikimokyklinio ar pradinio ugdymo įstaigą, profilaktiškai </w:t>
                  </w:r>
                  <w:r>
                    <w:rPr>
                      <w:szCs w:val="24"/>
                    </w:rPr>
                    <w:t>ASPĮ</w:t>
                  </w:r>
                  <w:r>
                    <w:rPr>
                      <w:color w:val="000000"/>
                      <w:szCs w:val="24"/>
                    </w:rPr>
                    <w:t xml:space="preserve"> atliekami nuograndų ir išmatų helmintologiniai tyrimai.</w:t>
                  </w:r>
                </w:p>
              </w:sdtContent>
            </w:sdt>
            <w:sdt>
              <w:sdtPr>
                <w:alias w:val="3 pr. 11 p."/>
                <w:tag w:val="part_78afa658c5ae46fcb2aff0d334850b9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8afa658c5ae46fcb2aff0d334850b90"/>
                      <w:lock w:val="sdtLocked"/>
                      <w:richText/>
                    </w:sdtPr>
                    <w:sdtContent>
                      <w:r>
                        <w:rPr>
                          <w:color w:val="000000"/>
                          <w:szCs w:val="24"/>
                          <w:lang w:eastAsia="lt-LT"/>
                        </w:rPr>
                        <w:t>11</w:t>
                      </w:r>
                    </w:sdtContent>
                  </w:sdt>
                  <w:r>
                    <w:rPr>
                      <w:color w:val="000000"/>
                      <w:szCs w:val="24"/>
                      <w:lang w:eastAsia="lt-LT"/>
                    </w:rPr>
                    <w:t xml:space="preserve">. </w:t>
                  </w:r>
                  <w:r>
                    <w:rPr>
                      <w:szCs w:val="24"/>
                      <w:lang w:eastAsia="lt-LT"/>
                    </w:rPr>
                    <w:t>Fizinio ugdymo grupė</w:t>
                  </w:r>
                  <w:r>
                    <w:rPr>
                      <w:color w:val="000000"/>
                      <w:szCs w:val="24"/>
                      <w:lang w:eastAsia="lt-LT"/>
                    </w:rPr>
                    <w:t xml:space="preserve">, </w:t>
                  </w:r>
                  <w:r>
                    <w:rPr>
                      <w:szCs w:val="24"/>
                      <w:lang w:eastAsia="lt-LT"/>
                    </w:rPr>
                    <w:t>kurioje vaikui ar pilnamečiam mokiniui rekomenduojama dalyvauti kūno kultūros pamokose, nustatoma vadovaujantis Lietuvos Respublikos švietimo ir mokslo ministerijos metodinėmis rekomendacijomis „Kūno kultūra silpnesnės sveikatos moksleiviams“ (1999 m., antrasis leidimas, 2003 m).</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2 p."/>
                <w:tag w:val="part_ac4b335ebf334e7f830d129ce14a415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ac4b335ebf334e7f830d129ce14a4153"/>
                      <w:lock w:val="sdtLocked"/>
                      <w:richText/>
                    </w:sdtPr>
                    <w:sdtContent>
                      <w:r>
                        <w:rPr>
                          <w:szCs w:val="24"/>
                          <w:lang w:eastAsia="lt-LT"/>
                        </w:rPr>
                        <w:t>12</w:t>
                      </w:r>
                    </w:sdtContent>
                  </w:sdt>
                  <w:r>
                    <w:rPr>
                      <w:szCs w:val="24"/>
                      <w:lang w:eastAsia="lt-LT"/>
                    </w:rPr>
                    <w:t>. Pilnametis mokinys, vaikas, jo tėvai ar kiti atstovai pagal įstatymą ASPĮ informuojami apie higienos įgūdžius, o švietimo ar kitą ugdymo įstaigą lankančio vaiko tėvai ar kiti atstovai pagal įstatymą informuojami</w:t>
                  </w:r>
                  <w:r>
                    <w:rPr>
                      <w:color w:val="000000"/>
                      <w:szCs w:val="24"/>
                      <w:lang w:eastAsia="lt-LT"/>
                    </w:rPr>
                    <w:t>, kaip nuolat prižiūrėti odą, nagus, plaukus, kaip tikrinti dėl utėlių ir niežų.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3 p."/>
                <w:tag w:val="part_81a3b019ba60423d9c4df432dbebe34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81a3b019ba60423d9c4df432dbebe34b"/>
                      <w:lock w:val="sdtLocked"/>
                      <w:richText/>
                    </w:sdtPr>
                    <w:sdtContent>
                      <w:r>
                        <w:rPr>
                          <w:color w:val="000000"/>
                          <w:szCs w:val="24"/>
                          <w:lang w:eastAsia="lt-LT"/>
                        </w:rPr>
                        <w:t>13</w:t>
                      </w:r>
                    </w:sdtContent>
                  </w:sdt>
                  <w:r>
                    <w:rPr>
                      <w:color w:val="000000"/>
                      <w:szCs w:val="24"/>
                      <w:lang w:eastAsia="lt-LT"/>
                    </w:rPr>
                    <w:t xml:space="preserve">. Duomenis apie profilaktinį sveikatos tikrinimą Aprašo 5 ir 6 punktuose bei Aprašo 1 priede </w:t>
                  </w:r>
                  <w:r>
                    <w:rPr>
                      <w:szCs w:val="24"/>
                      <w:lang w:eastAsia="lt-LT"/>
                    </w:rPr>
                    <w:t>nurodyti specialistai įrašo į:</w:t>
                  </w:r>
                </w:p>
                <w:sdt>
                  <w:sdtPr>
                    <w:alias w:val="13.1 pp."/>
                    <w:tag w:val="part_19a76c172fa24a5ca7fa7adf8f4781b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19a76c172fa24a5ca7fa7adf8f4781b3"/>
                          <w:lock w:val="sdtLocked"/>
                          <w:richText/>
                        </w:sdtPr>
                        <w:sdtContent>
                          <w:r>
                            <w:rPr>
                              <w:szCs w:val="24"/>
                              <w:lang w:eastAsia="lt-LT"/>
                            </w:rPr>
                            <w:t>13.1</w:t>
                          </w:r>
                        </w:sdtContent>
                      </w:sdt>
                      <w:r>
                        <w:rPr>
                          <w:szCs w:val="24"/>
                          <w:lang w:eastAsia="lt-LT"/>
                        </w:rPr>
                        <w:t>. formą Nr. 025-112/a „Vaiko sveikatos raidos istorija“, patvirtintą Lietuvos Respublikos sveikatos apsaugos ministro 2014 m. sausio 27 d. įsakymu Nr. V-120 „Dėl privalomų sveikatos statistikos apskaitos ir kitų tipinių formų bei privalomų sveikatos statistikos ataskaitų formų patvirtinimo“ (toliau – forma Nr. 025-112/a), jeigu buvo patikrinta vaiko sveikata;</w:t>
                      </w:r>
                    </w:p>
                  </w:sdtContent>
                </w:sdt>
                <w:sdt>
                  <w:sdtPr>
                    <w:alias w:val="13.2 pp."/>
                    <w:tag w:val="part_7d21c345854143d1a9f6a8c2364ed73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d21c345854143d1a9f6a8c2364ed73f"/>
                          <w:lock w:val="sdtLocked"/>
                          <w:richText/>
                        </w:sdtPr>
                        <w:sdtContent>
                          <w:r>
                            <w:rPr>
                              <w:szCs w:val="24"/>
                              <w:lang w:eastAsia="lt-LT"/>
                            </w:rPr>
                            <w:t>13.2</w:t>
                          </w:r>
                        </w:sdtContent>
                      </w:sdt>
                      <w:r>
                        <w:rPr>
                          <w:szCs w:val="24"/>
                          <w:lang w:eastAsia="lt-LT"/>
                        </w:rPr>
                        <w:t>. formą Nr. 025/a „Ambulatorinė asmens sveikatos istorija“, patvirtintą Lietuvos Respublikos sveikatos apsaugos ministro 2014 m. sausio 27 d. įsakymu Nr. V-120 „Dėl privalomų sveikatos statistikos apskaitos ir kitų tipinių formų bei privalomų sveikatos statistikos ataskaitų formų patvirtinimo“, jeigu buvo patikrinta pilnamečio mokinio sveikata.</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Content>
        </w:sdt>
        <w:sdt>
          <w:sdtPr>
            <w:alias w:val="skyrius"/>
            <w:tag w:val="part_e2e676d223e4422baa4bb3f46ee397b7"/>
            <w:lock w:val="sdtLocked"/>
            <w:richText/>
          </w:sdtPr>
          <w:sdtContent>
            <w:p>
              <w:pPr>
                <w:ind w:left="360"/>
                <w:jc w:val="center"/>
                <w:rPr>
                  <w:b/>
                  <w:caps/>
                  <w:color w:val="000000"/>
                  <w:szCs w:val="24"/>
                </w:rPr>
              </w:pPr>
              <w:sdt>
                <w:sdtPr>
                  <w:alias w:val="Numeris"/>
                  <w:tag w:val="nr_e2e676d223e4422baa4bb3f46ee397b7"/>
                  <w:lock w:val="sdtLocked"/>
                  <w:richText/>
                </w:sdtPr>
                <w:sdtContent>
                  <w:r>
                    <w:rPr>
                      <w:b/>
                      <w:caps/>
                      <w:color w:val="000000"/>
                      <w:szCs w:val="24"/>
                    </w:rPr>
                    <w:t>III</w:t>
                  </w:r>
                </w:sdtContent>
              </w:sdt>
              <w:r>
                <w:rPr>
                  <w:b/>
                  <w:caps/>
                  <w:color w:val="000000"/>
                  <w:szCs w:val="24"/>
                </w:rPr>
                <w:t xml:space="preserve"> SKYRIUS</w:t>
              </w:r>
            </w:p>
            <w:p>
              <w:pPr>
                <w:ind w:left="360"/>
                <w:jc w:val="center"/>
                <w:rPr>
                  <w:b/>
                  <w:caps/>
                  <w:color w:val="000000"/>
                  <w:szCs w:val="24"/>
                </w:rPr>
              </w:pPr>
              <w:sdt>
                <w:sdtPr>
                  <w:alias w:val="Pavadinimas"/>
                  <w:tag w:val="title_e2e676d223e4422baa4bb3f46ee397b7"/>
                  <w:lock w:val="sdtLocked"/>
                  <w:richText/>
                </w:sdtPr>
                <w:sdtContent>
                  <w:r>
                    <w:rPr>
                      <w:b/>
                      <w:color w:val="000000"/>
                      <w:szCs w:val="24"/>
                    </w:rPr>
                    <w:t xml:space="preserve">VAIKŲ PSICHOMOTORINĖS RAIDOS TIKRINIMO REIKALAVIMAI IR TVARKA </w:t>
                  </w:r>
                </w:sdtContent>
              </w:sdt>
            </w:p>
            <w:p>
              <w:pPr>
                <w:ind w:left="360"/>
                <w:jc w:val="center"/>
                <w:rPr>
                  <w:b/>
                  <w:caps/>
                  <w:color w:val="000000"/>
                  <w:szCs w:val="24"/>
                </w:rPr>
              </w:pPr>
            </w:p>
            <w:sdt>
              <w:sdtPr>
                <w:alias w:val="3 pr. 14 p."/>
                <w:tag w:val="part_fb8acae386dc4c108fa353ac4282edf5"/>
                <w:lock w:val="sdtLocked"/>
                <w:richText/>
              </w:sdtPr>
              <w:sdtContent>
                <w:p>
                  <w:pPr>
                    <w:ind w:firstLine="851"/>
                    <w:jc w:val="both"/>
                    <w:rPr>
                      <w:color w:val="000000"/>
                      <w:szCs w:val="24"/>
                    </w:rPr>
                  </w:pPr>
                  <w:sdt>
                    <w:sdtPr>
                      <w:alias w:val="Numeris"/>
                      <w:tag w:val="nr_fb8acae386dc4c108fa353ac4282edf5"/>
                      <w:lock w:val="sdtLocked"/>
                      <w:richText/>
                    </w:sdtPr>
                    <w:sdtContent>
                      <w:r>
                        <w:rPr>
                          <w:color w:val="000000"/>
                          <w:szCs w:val="24"/>
                        </w:rPr>
                        <w:t>14</w:t>
                      </w:r>
                    </w:sdtContent>
                  </w:sdt>
                  <w:r>
                    <w:rPr>
                      <w:color w:val="000000"/>
                      <w:szCs w:val="24"/>
                    </w:rPr>
                    <w:t xml:space="preserve">. Vaiko psichomotorinės raidos tikrinimas </w:t>
                  </w:r>
                  <w:r>
                    <w:rPr>
                      <w:bCs/>
                      <w:color w:val="000000"/>
                      <w:szCs w:val="24"/>
                    </w:rPr>
                    <w:t>(toliau – raidos tikrinimas)</w:t>
                  </w:r>
                  <w:r>
                    <w:rPr>
                      <w:color w:val="000000"/>
                      <w:szCs w:val="24"/>
                    </w:rPr>
                    <w:t xml:space="preserve"> apima pagrindines vaiko raidos sritis: bendrąją motoriką, smulkiąją motoriką, pažinimą, kalbos supratimą, kalbos išraišką, savitvarką, socialinę emocinę raidą.</w:t>
                    <w:tab/>
                  </w:r>
                </w:p>
              </w:sdtContent>
            </w:sdt>
            <w:sdt>
              <w:sdtPr>
                <w:alias w:val="3 pr. 15 p."/>
                <w:tag w:val="part_fbb4c090c4074381bb572415f57b9603"/>
                <w:lock w:val="sdtLocked"/>
                <w:richText/>
              </w:sdtPr>
              <w:sdtContent>
                <w:p>
                  <w:pPr>
                    <w:ind w:firstLine="851"/>
                    <w:jc w:val="both"/>
                    <w:rPr>
                      <w:color w:val="000000"/>
                      <w:szCs w:val="24"/>
                    </w:rPr>
                  </w:pPr>
                  <w:sdt>
                    <w:sdtPr>
                      <w:alias w:val="Numeris"/>
                      <w:tag w:val="nr_fbb4c090c4074381bb572415f57b9603"/>
                      <w:lock w:val="sdtLocked"/>
                      <w:richText/>
                    </w:sdtPr>
                    <w:sdtContent>
                      <w:r>
                        <w:rPr>
                          <w:color w:val="000000"/>
                          <w:szCs w:val="24"/>
                        </w:rPr>
                        <w:t>15</w:t>
                      </w:r>
                    </w:sdtContent>
                  </w:sdt>
                  <w:r>
                    <w:rPr>
                      <w:color w:val="000000"/>
                      <w:szCs w:val="24"/>
                    </w:rPr>
                    <w:t xml:space="preserve">. Raida tikrinama Aprašo 1 priede nurodytais amžiaus tarpsniais ir periodiškumu. Neišnešiotų naujagimių raida tikrinama sulaukus 3, 6, 9 mėnesių koreguoto amžiaus,  o ankstyvojo amžiaus vaikų – 12, 18, 24 mėnesių koreguoto amžiaus bei 36 ir 48 mėnesių chronologinio</w:t>
                  </w:r>
                  <w:r>
                    <w:rPr>
                      <w:color w:val="FF0000"/>
                      <w:szCs w:val="24"/>
                    </w:rPr>
                    <w:t xml:space="preserve"> </w:t>
                  </w:r>
                  <w:r>
                    <w:rPr>
                      <w:color w:val="000000"/>
                      <w:szCs w:val="24"/>
                    </w:rPr>
                    <w:t>amžiaus. Leidžiamas tikrinimo laiko nukrypimas nuo nustatyto laiko – ne daugiau kaip 2 savaitės.</w:t>
                  </w:r>
                </w:p>
              </w:sdtContent>
            </w:sdt>
            <w:sdt>
              <w:sdtPr>
                <w:alias w:val="3 pr. 16 p."/>
                <w:tag w:val="part_acf7f5be067049e3938e6b56b4b51fc3"/>
                <w:lock w:val="sdtLocked"/>
                <w:richText/>
              </w:sdtPr>
              <w:sdtContent>
                <w:p>
                  <w:pPr>
                    <w:ind w:firstLine="851"/>
                    <w:jc w:val="both"/>
                    <w:rPr>
                      <w:color w:val="000000"/>
                      <w:szCs w:val="24"/>
                    </w:rPr>
                  </w:pPr>
                  <w:sdt>
                    <w:sdtPr>
                      <w:alias w:val="Numeris"/>
                      <w:tag w:val="nr_acf7f5be067049e3938e6b56b4b51fc3"/>
                      <w:lock w:val="sdtLocked"/>
                      <w:richText/>
                    </w:sdtPr>
                    <w:sdtContent>
                      <w:r>
                        <w:rPr>
                          <w:color w:val="000000"/>
                          <w:szCs w:val="24"/>
                        </w:rPr>
                        <w:t>16</w:t>
                      </w:r>
                    </w:sdtContent>
                  </w:sdt>
                  <w:r>
                    <w:rPr>
                      <w:color w:val="000000"/>
                      <w:szCs w:val="24"/>
                    </w:rPr>
                    <w:t xml:space="preserve">. Raidos tikrinimas pagal vaiko amžių ir įgūdžius nustatytas Vaiko psichomotorinės raidos tikrinimo lape (2 priedas). </w:t>
                  </w:r>
                </w:p>
              </w:sdtContent>
            </w:sdt>
            <w:sdt>
              <w:sdtPr>
                <w:alias w:val="3 pr. 17 p."/>
                <w:tag w:val="part_aee314df27454a0895ea5c441fdd42b0"/>
                <w:lock w:val="sdtLocked"/>
                <w:richText/>
              </w:sdtPr>
              <w:sdtContent>
                <w:p>
                  <w:pPr>
                    <w:ind w:firstLine="851"/>
                    <w:jc w:val="both"/>
                    <w:rPr>
                      <w:color w:val="000000"/>
                      <w:szCs w:val="24"/>
                    </w:rPr>
                  </w:pPr>
                  <w:sdt>
                    <w:sdtPr>
                      <w:alias w:val="Numeris"/>
                      <w:tag w:val="nr_aee314df27454a0895ea5c441fdd42b0"/>
                      <w:lock w:val="sdtLocked"/>
                      <w:richText/>
                    </w:sdtPr>
                    <w:sdtContent>
                      <w:r>
                        <w:rPr>
                          <w:color w:val="000000"/>
                          <w:szCs w:val="24"/>
                        </w:rPr>
                        <w:t>17</w:t>
                      </w:r>
                    </w:sdtContent>
                  </w:sdt>
                  <w:r>
                    <w:rPr>
                      <w:color w:val="000000"/>
                      <w:szCs w:val="24"/>
                    </w:rPr>
                    <w:t xml:space="preserve">. Tikrinant raidą naudojamos šios priemonės: barškutis ar varpelis, plastikinis puodelis arba analogiško dydžio dėžutė, kaladėlės, dėlionė: lenta su 3 pagrindinėmis formomis (trikampis, kvadratas, apskritimas) arba plastikinė dėžutė su atitinkamų formų angomis, knygutė su paveikslėliais, skirta 1–3 metų vaikams, lėlė,  popierius, vaikiškos piešimo kreidelės arba pieštukai.</w:t>
                  </w:r>
                </w:p>
              </w:sdtContent>
            </w:sdt>
            <w:sdt>
              <w:sdtPr>
                <w:alias w:val="3 pr. 18 p."/>
                <w:tag w:val="part_e83a7a7011d14455aeb332e8c655a75e"/>
                <w:lock w:val="sdtLocked"/>
                <w:richText/>
              </w:sdtPr>
              <w:sdtContent>
                <w:p>
                  <w:pPr>
                    <w:ind w:firstLine="851"/>
                    <w:jc w:val="both"/>
                    <w:rPr>
                      <w:color w:val="000000"/>
                      <w:szCs w:val="24"/>
                    </w:rPr>
                  </w:pPr>
                  <w:sdt>
                    <w:sdtPr>
                      <w:alias w:val="Numeris"/>
                      <w:tag w:val="nr_e83a7a7011d14455aeb332e8c655a75e"/>
                      <w:lock w:val="sdtLocked"/>
                      <w:richText/>
                    </w:sdtPr>
                    <w:sdtContent>
                      <w:r>
                        <w:rPr>
                          <w:color w:val="000000"/>
                          <w:szCs w:val="24"/>
                        </w:rPr>
                        <w:t>18</w:t>
                      </w:r>
                    </w:sdtContent>
                  </w:sdt>
                  <w:r>
                    <w:rPr>
                      <w:color w:val="000000"/>
                      <w:szCs w:val="24"/>
                    </w:rPr>
                    <w:t xml:space="preserve">. Atitinkamo amžiaus vaiko raidos  įgūdžius, nurodytus Aprašo 2 priede, galima tikrinti ne eilės tvarka.</w:t>
                  </w:r>
                </w:p>
              </w:sdtContent>
            </w:sdt>
            <w:sdt>
              <w:sdtPr>
                <w:alias w:val="3 pr. 19 p."/>
                <w:tag w:val="part_24227c835eb64439ba73fa26c66dce87"/>
                <w:lock w:val="sdtLocked"/>
                <w:richText/>
              </w:sdtPr>
              <w:sdtContent>
                <w:p>
                  <w:pPr>
                    <w:ind w:firstLine="851"/>
                    <w:jc w:val="both"/>
                    <w:rPr>
                      <w:color w:val="000000"/>
                      <w:szCs w:val="24"/>
                    </w:rPr>
                  </w:pPr>
                  <w:sdt>
                    <w:sdtPr>
                      <w:alias w:val="Numeris"/>
                      <w:tag w:val="nr_24227c835eb64439ba73fa26c66dce87"/>
                      <w:lock w:val="sdtLocked"/>
                      <w:richText/>
                    </w:sdtPr>
                    <w:sdtContent>
                      <w:r>
                        <w:rPr>
                          <w:color w:val="000000"/>
                          <w:szCs w:val="24"/>
                        </w:rPr>
                        <w:t>19</w:t>
                      </w:r>
                    </w:sdtContent>
                  </w:sdt>
                  <w:r>
                    <w:rPr>
                      <w:color w:val="000000"/>
                      <w:szCs w:val="24"/>
                    </w:rPr>
                    <w:t xml:space="preserve">. Raidos tikrinimas atliekamas tik pagal vaiko amžiaus tarpsnio užduotis. Svarbu atkreipti dėmesį ir įvertinti raidos sutrikimo riziką, kai tėvai pasako apie  anksčiau turėtų įgūdžių praradimą, t. y. vaikas nebesugeba atlikti to, ką anksčiau atliko gerai.</w:t>
                  </w:r>
                </w:p>
              </w:sdtContent>
            </w:sdt>
            <w:sdt>
              <w:sdtPr>
                <w:alias w:val="3 pr. 20 p."/>
                <w:tag w:val="part_d00eb34842824508a3c8349003bf643e"/>
                <w:lock w:val="sdtLocked"/>
                <w:richText/>
              </w:sdtPr>
              <w:sdtContent>
                <w:p>
                  <w:pPr>
                    <w:ind w:firstLine="851"/>
                    <w:jc w:val="both"/>
                    <w:rPr>
                      <w:color w:val="000000"/>
                      <w:szCs w:val="24"/>
                    </w:rPr>
                  </w:pPr>
                  <w:sdt>
                    <w:sdtPr>
                      <w:alias w:val="Numeris"/>
                      <w:tag w:val="nr_d00eb34842824508a3c8349003bf643e"/>
                      <w:lock w:val="sdtLocked"/>
                      <w:richText/>
                    </w:sdtPr>
                    <w:sdtContent>
                      <w:r>
                        <w:rPr>
                          <w:color w:val="000000"/>
                          <w:szCs w:val="24"/>
                        </w:rPr>
                        <w:t>20</w:t>
                      </w:r>
                    </w:sdtContent>
                  </w:sdt>
                  <w:r>
                    <w:rPr>
                      <w:color w:val="000000"/>
                      <w:szCs w:val="24"/>
                    </w:rPr>
                    <w:t>. Kiekvieno raidos tikrinimo metu Aprašo 5 punkte nurodytas gydytojas įvertina, kaip vaikas pagal savo amžių atlieka atitinkamas užduotis, ir užpildo Vaiko psichomotorinės raidos tikrinimo lapą (atitinkama Aprašo 2 priedo lentelė):</w:t>
                  </w:r>
                </w:p>
                <w:sdt>
                  <w:sdtPr>
                    <w:alias w:val="3 pr. 20.1 pp."/>
                    <w:tag w:val="part_0bbe62841cb24986afabed62b7aa31bf"/>
                    <w:lock w:val="sdtLocked"/>
                    <w:richText/>
                  </w:sdtPr>
                  <w:sdtContent>
                    <w:p>
                      <w:pPr>
                        <w:ind w:firstLine="851"/>
                        <w:jc w:val="both"/>
                        <w:rPr>
                          <w:color w:val="000000"/>
                          <w:szCs w:val="24"/>
                        </w:rPr>
                      </w:pPr>
                      <w:sdt>
                        <w:sdtPr>
                          <w:alias w:val="Numeris"/>
                          <w:tag w:val="nr_0bbe62841cb24986afabed62b7aa31bf"/>
                          <w:lock w:val="sdtLocked"/>
                          <w:richText/>
                        </w:sdtPr>
                        <w:sdtContent>
                          <w:r>
                            <w:rPr>
                              <w:color w:val="000000"/>
                              <w:szCs w:val="24"/>
                            </w:rPr>
                            <w:t>20.1</w:t>
                          </w:r>
                        </w:sdtContent>
                      </w:sdt>
                      <w:r>
                        <w:rPr>
                          <w:color w:val="000000"/>
                          <w:szCs w:val="24"/>
                        </w:rPr>
                        <w:t>. jeigu vaikas atlieka vertinamo amžiaus tarpsnio užduotis, įrašo išvadą „Normali raida“ ir tėvams pateikia kito laikotarpio vaiko įgūdžių lavinimo rekomendacijas, informuoja apie kito tikrinimo terminą;</w:t>
                      </w:r>
                    </w:p>
                  </w:sdtContent>
                </w:sdt>
                <w:sdt>
                  <w:sdtPr>
                    <w:alias w:val="3 pr. 20.2 pp."/>
                    <w:tag w:val="part_3f4b7a3eb7e340929876954df8c659bd"/>
                    <w:lock w:val="sdtLocked"/>
                    <w:richText/>
                  </w:sdtPr>
                  <w:sdtContent>
                    <w:p>
                      <w:pPr>
                        <w:ind w:firstLine="851"/>
                        <w:jc w:val="both"/>
                        <w:rPr>
                          <w:color w:val="000000"/>
                          <w:szCs w:val="24"/>
                        </w:rPr>
                      </w:pPr>
                      <w:sdt>
                        <w:sdtPr>
                          <w:alias w:val="Numeris"/>
                          <w:tag w:val="nr_3f4b7a3eb7e340929876954df8c659bd"/>
                          <w:lock w:val="sdtLocked"/>
                          <w:richText/>
                        </w:sdtPr>
                        <w:sdtContent>
                          <w:r>
                            <w:rPr>
                              <w:color w:val="000000"/>
                              <w:szCs w:val="24"/>
                            </w:rPr>
                            <w:t>20.2</w:t>
                          </w:r>
                        </w:sdtContent>
                      </w:sdt>
                      <w:r>
                        <w:rPr>
                          <w:color w:val="000000"/>
                          <w:szCs w:val="24"/>
                        </w:rPr>
                        <w:t>. jeigu vaikas neatlieka bent vienos iš vertinamo amžiaus tarpsnio užduočių, įrašo išvadą „Raidos sutrikimo rizika“.</w:t>
                      </w:r>
                    </w:p>
                  </w:sdtContent>
                </w:sdt>
              </w:sdtContent>
            </w:sdt>
            <w:sdt>
              <w:sdtPr>
                <w:alias w:val="3 pr. 21 p."/>
                <w:tag w:val="part_5c2bbb922ba54f07a3dc02dc969d4c13"/>
                <w:lock w:val="sdtLocked"/>
                <w:richText/>
              </w:sdtPr>
              <w:sdtContent>
                <w:p>
                  <w:pPr>
                    <w:ind w:firstLine="851"/>
                    <w:jc w:val="both"/>
                    <w:rPr>
                      <w:color w:val="000000"/>
                      <w:szCs w:val="24"/>
                    </w:rPr>
                  </w:pPr>
                  <w:sdt>
                    <w:sdtPr>
                      <w:alias w:val="Numeris"/>
                      <w:tag w:val="nr_5c2bbb922ba54f07a3dc02dc969d4c13"/>
                      <w:lock w:val="sdtLocked"/>
                      <w:richText/>
                    </w:sdtPr>
                    <w:sdtContent>
                      <w:r>
                        <w:rPr>
                          <w:color w:val="000000"/>
                          <w:szCs w:val="24"/>
                        </w:rPr>
                        <w:t>21</w:t>
                      </w:r>
                    </w:sdtContent>
                  </w:sdt>
                  <w:r>
                    <w:rPr>
                      <w:color w:val="000000"/>
                      <w:szCs w:val="24"/>
                    </w:rPr>
                    <w:t>. Vaiko psichomotorinės raidos tikrinimo lapai įklijuojami į Aprašo 5 punkte nurodyto gydytojo pildomą formą Nr. 025-112/a.</w:t>
                  </w:r>
                </w:p>
              </w:sdtContent>
            </w:sdt>
            <w:sdt>
              <w:sdtPr>
                <w:alias w:val="3 pr. 22 p."/>
                <w:tag w:val="part_d645e1d7c8cf4fe5a5c46a5c5b285e36"/>
                <w:lock w:val="sdtLocked"/>
                <w:richText/>
              </w:sdtPr>
              <w:sdtContent>
                <w:p>
                  <w:pPr>
                    <w:ind w:firstLine="851"/>
                    <w:jc w:val="both"/>
                    <w:rPr>
                      <w:color w:val="000000"/>
                      <w:szCs w:val="24"/>
                    </w:rPr>
                  </w:pPr>
                  <w:sdt>
                    <w:sdtPr>
                      <w:alias w:val="Numeris"/>
                      <w:tag w:val="nr_d645e1d7c8cf4fe5a5c46a5c5b285e36"/>
                      <w:lock w:val="sdtLocked"/>
                      <w:richText/>
                    </w:sdtPr>
                    <w:sdtContent>
                      <w:r>
                        <w:rPr>
                          <w:color w:val="000000"/>
                          <w:szCs w:val="24"/>
                        </w:rPr>
                        <w:t>22</w:t>
                      </w:r>
                    </w:sdtContent>
                  </w:sdt>
                  <w:r>
                    <w:rPr>
                      <w:color w:val="000000"/>
                      <w:szCs w:val="24"/>
                    </w:rPr>
                    <w:t>. Gydytojas su vaiko tėvais ar kitais vaiko atstovais pagal įstatymą aptaria kiekvieno raidos tikrinimo vertinimo rezultatus. Jei nustatoma raidos sutrikimo rizika, numatomas išsamesnis raidos vertinimas.</w:t>
                  </w:r>
                </w:p>
              </w:sdtContent>
            </w:sdt>
            <w:sdt>
              <w:sdtPr>
                <w:alias w:val="3 pr. 23 p."/>
                <w:tag w:val="part_1f08ee79734e4b21818ca4687a3905a8"/>
                <w:lock w:val="sdtLocked"/>
                <w:richText/>
              </w:sdtPr>
              <w:sdtContent>
                <w:p>
                  <w:pPr>
                    <w:ind w:firstLine="851"/>
                    <w:jc w:val="both"/>
                    <w:rPr>
                      <w:color w:val="000000"/>
                      <w:szCs w:val="24"/>
                    </w:rPr>
                  </w:pPr>
                  <w:sdt>
                    <w:sdtPr>
                      <w:alias w:val="Numeris"/>
                      <w:tag w:val="nr_1f08ee79734e4b21818ca4687a3905a8"/>
                      <w:lock w:val="sdtLocked"/>
                      <w:richText/>
                    </w:sdtPr>
                    <w:sdtContent>
                      <w:r>
                        <w:rPr>
                          <w:color w:val="000000"/>
                          <w:szCs w:val="24"/>
                        </w:rPr>
                        <w:t>23</w:t>
                      </w:r>
                    </w:sdtContent>
                  </w:sdt>
                  <w:r>
                    <w:rPr>
                      <w:color w:val="000000"/>
                      <w:szCs w:val="24"/>
                    </w:rPr>
                    <w:t>. Jeigu po raidos tikrinimo pacientas siunčiamas pas antrinio lygio sveikatos priežiūros paslaugas teikiantį specialistą atlikti išsamesnio raidos vertinimo ir vaikų raidos sutrikimų ankstyvosios reabilitacijos į antrinio lygio vaikų raidos sutrikimų ankstyvosios reabilitacijos paslaugas teikiančią ASPĮ, apie tai įrašoma formoje Nr. 025-112/a. Siunčiant išsamiau įvertinti psichomotorinės raidos, išrašo iš medicinos dokumentų formoje Nr. 027/a įrašoma, kurių raidos tikrinimo užduočių vaikas neatliko.</w:t>
                  </w:r>
                </w:p>
              </w:sdtContent>
            </w:sdt>
            <w:sdt>
              <w:sdtPr>
                <w:alias w:val="3 pr. 24 p."/>
                <w:tag w:val="part_339d2d45277e47c8a59d398b8053dd3b"/>
                <w:lock w:val="sdtLocked"/>
                <w:richText/>
              </w:sdtPr>
              <w:sdtContent>
                <w:p>
                  <w:pPr>
                    <w:ind w:firstLine="851"/>
                    <w:jc w:val="both"/>
                    <w:rPr>
                      <w:color w:val="000000"/>
                      <w:szCs w:val="24"/>
                    </w:rPr>
                  </w:pPr>
                  <w:sdt>
                    <w:sdtPr>
                      <w:alias w:val="Numeris"/>
                      <w:tag w:val="nr_339d2d45277e47c8a59d398b8053dd3b"/>
                      <w:lock w:val="sdtLocked"/>
                      <w:richText/>
                    </w:sdtPr>
                    <w:sdtContent>
                      <w:r>
                        <w:rPr>
                          <w:color w:val="000000"/>
                          <w:szCs w:val="24"/>
                        </w:rPr>
                        <w:t>24</w:t>
                      </w:r>
                    </w:sdtContent>
                  </w:sdt>
                  <w:r>
                    <w:rPr>
                      <w:color w:val="000000"/>
                      <w:szCs w:val="24"/>
                    </w:rPr>
                    <w:t xml:space="preserve">. Nesant galimybės pagal vaiko gyvenamąją vietą teikti antrinio lygio ambulatorinių vaiko raidos sutrikimų ankstyvosios reabilitacijos paslaugų, Aprašo 5 punkte nurodytas gydytojas vaiką siunčia vaikų ir paauglių psichiatro konsultacijos arba vaikų neurologo konsultacijos. </w:t>
                  </w:r>
                </w:p>
              </w:sdtContent>
            </w:sdt>
            <w:sdt>
              <w:sdtPr>
                <w:alias w:val="3 pr. 25 p."/>
                <w:tag w:val="part_b40990ce1a5c44549ca9f908d1b10599"/>
                <w:lock w:val="sdtLocked"/>
                <w:richText/>
              </w:sdtPr>
              <w:sdtContent>
                <w:p>
                  <w:pPr>
                    <w:ind w:firstLine="851"/>
                    <w:jc w:val="both"/>
                    <w:rPr>
                      <w:color w:val="000000"/>
                      <w:szCs w:val="24"/>
                    </w:rPr>
                  </w:pPr>
                  <w:sdt>
                    <w:sdtPr>
                      <w:alias w:val="Numeris"/>
                      <w:tag w:val="nr_b40990ce1a5c44549ca9f908d1b10599"/>
                      <w:lock w:val="sdtLocked"/>
                      <w:richText/>
                    </w:sdtPr>
                    <w:sdtContent>
                      <w:r>
                        <w:rPr>
                          <w:color w:val="000000"/>
                          <w:szCs w:val="24"/>
                        </w:rPr>
                        <w:t>25</w:t>
                      </w:r>
                    </w:sdtContent>
                  </w:sdt>
                  <w:r>
                    <w:rPr>
                      <w:color w:val="000000"/>
                      <w:szCs w:val="24"/>
                    </w:rPr>
                    <w:t>. Jei vaikas toliau stebimas ir gydomas vaikų raidos sutrikimų ankstyvosios reabilitacijos paslaugas teikiančioje ASPĮ dėl raidos sutrikimo, raidos tikrinimas pirminės ASPĮ nebeatliekamas ir Aprašo 5 punkte nurodytas gydytojas tai įrašo jo formoje Nr. 025-112/a.</w:t>
                  </w:r>
                </w:p>
                <w:p>
                  <w:pPr>
                    <w:jc w:val="both"/>
                    <w:rPr>
                      <w:color w:val="000000"/>
                      <w:szCs w:val="24"/>
                    </w:rPr>
                  </w:pPr>
                </w:p>
              </w:sdtContent>
            </w:sdt>
          </w:sdtContent>
        </w:sdt>
        <w:sdt>
          <w:sdtPr>
            <w:alias w:val="skyrius"/>
            <w:tag w:val="part_4eaab3b2a8fe47f183fc0aa0f01c44e3"/>
            <w:lock w:val="sdtLocked"/>
            <w:richText/>
          </w:sdtPr>
          <w:sdtContent>
            <w:p>
              <w:pPr>
                <w:ind w:left="360"/>
                <w:jc w:val="center"/>
                <w:rPr>
                  <w:caps/>
                  <w:color w:val="000000"/>
                  <w:szCs w:val="24"/>
                </w:rPr>
              </w:pPr>
              <w:sdt>
                <w:sdtPr>
                  <w:alias w:val="Numeris"/>
                  <w:tag w:val="nr_4eaab3b2a8fe47f183fc0aa0f01c44e3"/>
                  <w:lock w:val="sdtLocked"/>
                  <w:richText/>
                </w:sdtPr>
                <w:sdtContent>
                  <w:r>
                    <w:rPr>
                      <w:b/>
                      <w:caps/>
                      <w:color w:val="000000"/>
                      <w:szCs w:val="24"/>
                    </w:rPr>
                    <w:t>IV</w:t>
                  </w:r>
                </w:sdtContent>
              </w:sdt>
              <w:r>
                <w:rPr>
                  <w:b/>
                  <w:caps/>
                  <w:color w:val="000000"/>
                  <w:szCs w:val="24"/>
                </w:rPr>
                <w:t xml:space="preserve"> SKYRIUS </w:t>
              </w:r>
            </w:p>
            <w:p>
              <w:pPr>
                <w:ind w:left="360"/>
                <w:jc w:val="center"/>
                <w:rPr>
                  <w:b/>
                  <w:caps/>
                  <w:color w:val="000000"/>
                  <w:szCs w:val="24"/>
                </w:rPr>
              </w:pPr>
              <w:sdt>
                <w:sdtPr>
                  <w:alias w:val="Pavadinimas"/>
                  <w:tag w:val="title_4eaab3b2a8fe47f183fc0aa0f01c44e3"/>
                  <w:lock w:val="sdtLocked"/>
                  <w:richText/>
                </w:sdtPr>
                <w:sdtContent>
                  <w:r>
                    <w:rPr>
                      <w:b/>
                      <w:caps/>
                      <w:color w:val="000000"/>
                      <w:szCs w:val="24"/>
                    </w:rPr>
                    <w:t>BAIGIAMOSIOS NUOSTATOS</w:t>
                  </w:r>
                </w:sdtContent>
              </w:sdt>
            </w:p>
            <w:p>
              <w:pPr>
                <w:ind w:left="360"/>
                <w:jc w:val="center"/>
                <w:rPr>
                  <w:b/>
                  <w:caps/>
                  <w:color w:val="000000"/>
                  <w:szCs w:val="24"/>
                </w:rPr>
              </w:pPr>
            </w:p>
            <w:sdt>
              <w:sdtPr>
                <w:alias w:val="3 pr. 26 p."/>
                <w:tag w:val="part_a049b2d0aaf94017b371316a52daa43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pPr>
                  <w:sdt>
                    <w:sdtPr>
                      <w:alias w:val="Numeris"/>
                      <w:tag w:val="nr_a049b2d0aaf94017b371316a52daa436"/>
                      <w:lock w:val="sdtLocked"/>
                      <w:richText/>
                    </w:sdtPr>
                    <w:sdtContent>
                      <w:r>
                        <w:rPr>
                          <w:color w:val="000000"/>
                          <w:szCs w:val="24"/>
                          <w:lang w:eastAsia="lt-LT"/>
                        </w:rPr>
                        <w:t>26</w:t>
                      </w:r>
                    </w:sdtContent>
                  </w:sdt>
                  <w:r>
                    <w:rPr>
                      <w:color w:val="000000"/>
                      <w:szCs w:val="24"/>
                      <w:lang w:eastAsia="lt-LT"/>
                    </w:rPr>
                    <w:t>. Atlikus privalomą profilaktinį</w:t>
                  </w:r>
                  <w:r>
                    <w:rPr>
                      <w:szCs w:val="24"/>
                      <w:lang w:eastAsia="lt-LT"/>
                    </w:rPr>
                    <w:t xml:space="preserve"> pilnamečio mokinio ar vaiko, lankančio švietimo ar kitą ugdymo įstaigą, sveikatos tikrinimą, </w:t>
                  </w:r>
                  <w:r>
                    <w:rPr>
                      <w:rFonts w:eastAsia="Calibri"/>
                      <w:szCs w:val="24"/>
                    </w:rPr>
                    <w:t xml:space="preserve">elektroninės sveikatos paslaugų ir bendradarbiavimo infrastruktūros informacinėje sistemoje (toliau – ESPBI IS) užpildoma </w:t>
                  </w:r>
                  <w:r>
                    <w:rPr>
                      <w:szCs w:val="24"/>
                    </w:rPr>
                    <w:t xml:space="preserve">elektroninės statistinės apskaitos forma Nr. E027-1 „Mokinio sveikatos pažymėjimas“, patvirtinta </w:t>
                  </w:r>
                  <w:r>
                    <w:rPr>
                      <w:szCs w:val="24"/>
                      <w:lang w:eastAsia="lt-LT"/>
                    </w:rPr>
                    <w:t>Lietuvos Respublikos sveikatos apsaugos ministro 2004 m. gruodžio 24 d. įsakymu Nr. V-951 „Dėl e</w:t>
                  </w:r>
                  <w:r>
                    <w:rPr>
                      <w:szCs w:val="24"/>
                    </w:rPr>
                    <w:t>lektroninės statistinės apskaitos formos Nr. E027-1 „Mokinio sveikatos pažymėjimas“</w:t>
                  </w:r>
                  <w:r>
                    <w:rPr>
                      <w:szCs w:val="24"/>
                      <w:lang w:eastAsia="lt-LT"/>
                    </w:rPr>
                    <w:t xml:space="preserve"> patvirtinimo“ (toliau – forma E027-1), kurioje įrašomi reikiami duomenys, išvados ir rekomendacijos švietimo ar kitai ugdymo įstaigai.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babfed02ba411eabe008ea93139d588">
                    <w:r w:rsidRPr="00532B9F">
                      <w:rPr>
                        <w:rFonts w:ascii="Times New Roman" w:eastAsia="MS Mincho" w:hAnsi="Times New Roman"/>
                        <w:sz w:val="20"/>
                        <w:i/>
                        <w:iCs/>
                        <w:color w:val="0000FF" w:themeColor="hyperlink"/>
                        <w:u w:val="single"/>
                      </w:rPr>
                      <w:t>V-1535</w:t>
                    </w:r>
                  </w:fldSimple>
                  <w:r>
                    <w:rPr>
                      <w:rFonts w:ascii="Times New Roman" w:eastAsia="MS Mincho" w:hAnsi="Times New Roman"/>
                      <w:sz w:val="20"/>
                      <w:i/>
                      <w:iCs/>
                    </w:rPr>
                    <w:t>,
2019-12-30,
paskelbta TAR 2019-12-31, i. k. 2019-21774            </w:t>
                  </w:r>
                </w:p>
                <w:p/>
              </w:sdtContent>
            </w:sdt>
            <w:sdt>
              <w:sdtPr>
                <w:alias w:val="26-1 p."/>
                <w:tag w:val="part_3a83b56652c443d19faa6fc3a71ad1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a83b56652c443d19faa6fc3a71ad132"/>
                      <w:lock w:val="sdtLocked"/>
                      <w:richText/>
                    </w:sdtPr>
                    <w:sdtContent>
                      <w:r>
                        <w:rPr>
                          <w:szCs w:val="24"/>
                          <w:lang w:eastAsia="lt-LT"/>
                        </w:rPr>
                        <w:t>26</w:t>
                      </w:r>
                      <w:r>
                        <w:rPr>
                          <w:szCs w:val="24"/>
                          <w:vertAlign w:val="superscript"/>
                          <w:lang w:eastAsia="lt-LT"/>
                        </w:rPr>
                        <w:t>1</w:t>
                      </w:r>
                    </w:sdtContent>
                  </w:sdt>
                  <w:r>
                    <w:rPr>
                      <w:szCs w:val="24"/>
                      <w:lang w:eastAsia="lt-LT"/>
                    </w:rPr>
                    <w:t xml:space="preserve">. </w:t>
                  </w:r>
                  <w:r>
                    <w:rPr>
                      <w:bCs/>
                      <w:szCs w:val="24"/>
                      <w:lang w:eastAsia="lt-LT"/>
                    </w:rPr>
                    <w:t>Esant ESPBI IS arba ASPĮ vidinių informacinės sistemos veikimo sutrikimų, forma E027-1 užpildoma atkūrus sistemos / sistemų veiklą.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7 p."/>
                <w:tag w:val="part_8d2b7b70ce7c406ea672890a3bf6084a"/>
                <w:lock w:val="sdtLocked"/>
                <w:richText/>
              </w:sdtPr>
              <w:sdtContent>
                <w:p>
                  <w:pPr>
                    <w:ind w:firstLine="851"/>
                    <w:jc w:val="both"/>
                    <w:rPr>
                      <w:color w:val="000000"/>
                      <w:szCs w:val="24"/>
                    </w:rPr>
                  </w:pPr>
                  <w:sdt>
                    <w:sdtPr>
                      <w:alias w:val="Numeris"/>
                      <w:tag w:val="nr_8d2b7b70ce7c406ea672890a3bf6084a"/>
                      <w:lock w:val="sdtLocked"/>
                      <w:richText/>
                    </w:sdtPr>
                    <w:sdtContent>
                      <w:r>
                        <w:rPr>
                          <w:szCs w:val="24"/>
                          <w:lang w:eastAsia="lt-LT"/>
                        </w:rPr>
                        <w:t>27</w:t>
                      </w:r>
                    </w:sdtContent>
                  </w:sdt>
                  <w:r>
                    <w:rPr>
                      <w:szCs w:val="24"/>
                      <w:lang w:eastAsia="lt-LT"/>
                    </w:rPr>
                    <w:t xml:space="preserve">. Jeigu nepasibaigus formos Nr. </w:t>
                  </w:r>
                  <w:r>
                    <w:rPr>
                      <w:szCs w:val="24"/>
                    </w:rPr>
                    <w:t xml:space="preserve">E027-1 galiojimo laikui vaiko ar pilnamečio mokinio sveikatos būklė pasikeičia taip, kad turi būti keičiama jo fizinio ugdymo grupė arba atsiranda naujų bendrų arba specialių rekomendacijų, kurių turi būti laikomasi jam dalyvaujant ugdymo veikloje, ši informacija įrašoma į formą Nr. 046/a „Medicininis pažymėjimas“, </w:t>
                  </w:r>
                  <w:r>
                    <w:rPr>
                      <w:color w:val="000000"/>
                      <w:spacing w:val="-4"/>
                      <w:szCs w:val="24"/>
                      <w:lang w:eastAsia="lt-LT"/>
                    </w:rPr>
                    <w:t xml:space="preserve">patvirtintą Lietuvos Respublikos sveikatos apsaugos ministro 2014 m. sausio 27 d.  įsakymu Nr. V-120 „Dėl privalomų sveikatos statistikos apskaitos ir kitų tipinių formų bei privalomų sveikatos statistikos ataskaitų formų patvirtinimo“</w:t>
                  </w:r>
                  <w:r>
                    <w:rPr>
                      <w:szCs w:val="24"/>
                    </w:rPr>
                    <w:t>, kuri pateikiama</w:t>
                  </w:r>
                  <w:r>
                    <w:rPr>
                      <w:szCs w:val="24"/>
                      <w:lang w:eastAsia="lt-LT"/>
                    </w:rPr>
                    <w:t xml:space="preserve"> visuomenės sveikatos specialistui, vykdančiam sveikatos priežiūrą mokykloje.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8 p."/>
                <w:tag w:val="part_7e98687be84a48ca85ac6bacae23fce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e98687be84a48ca85ac6bacae23fceb"/>
                      <w:lock w:val="sdtLocked"/>
                      <w:richText/>
                    </w:sdtPr>
                    <w:sdtContent>
                      <w:r>
                        <w:rPr>
                          <w:color w:val="000000"/>
                          <w:szCs w:val="24"/>
                          <w:lang w:eastAsia="lt-LT"/>
                        </w:rPr>
                        <w:t>28</w:t>
                      </w:r>
                    </w:sdtContent>
                  </w:sdt>
                  <w:r>
                    <w:rPr>
                      <w:color w:val="000000"/>
                      <w:szCs w:val="24"/>
                      <w:lang w:eastAsia="lt-LT"/>
                    </w:rPr>
                    <w:t>. Atlikus privalomą profilaktinį sveikatos tikrinimą</w:t>
                  </w:r>
                  <w:r>
                    <w:rPr>
                      <w:szCs w:val="24"/>
                      <w:lang w:eastAsia="lt-LT"/>
                    </w:rPr>
                    <w:t>,</w:t>
                  </w:r>
                  <w:r>
                    <w:rPr>
                      <w:color w:val="000000"/>
                      <w:szCs w:val="24"/>
                      <w:lang w:eastAsia="lt-LT"/>
                    </w:rPr>
                    <w:t xml:space="preserve"> p</w:t>
                  </w:r>
                  <w:r>
                    <w:rPr>
                      <w:szCs w:val="24"/>
                      <w:lang w:eastAsia="lt-LT"/>
                    </w:rPr>
                    <w:t xml:space="preserve">ilnamečiam mokiniui ar </w:t>
                  </w:r>
                  <w:r>
                    <w:rPr>
                      <w:color w:val="000000"/>
                      <w:szCs w:val="24"/>
                      <w:lang w:eastAsia="lt-LT"/>
                    </w:rPr>
                    <w:t xml:space="preserve">švietimo ar kitą ugdymo įstaigą lankančiam vaikui (jo tėvams arba kitiems atstovams pagal įstatymą) pageidaujant, ASPĮ nustatyta tvarka išduodama </w:t>
                  </w:r>
                  <w:r>
                    <w:rPr>
                      <w:szCs w:val="24"/>
                    </w:rPr>
                    <w:t>formos Nr. E027-1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9 p."/>
                <w:tag w:val="part_8555f97a3262479ba5fb4e463a613e5d"/>
                <w:lock w:val="sdtLocked"/>
                <w:richText/>
              </w:sdtPr>
              <w:sdtContent>
                <w:p>
                  <w:pPr>
                    <w:ind w:firstLine="851"/>
                    <w:jc w:val="both"/>
                    <w:rPr>
                      <w:color w:val="000000"/>
                      <w:szCs w:val="24"/>
                    </w:rPr>
                  </w:pPr>
                  <w:sdt>
                    <w:sdtPr>
                      <w:alias w:val="Numeris"/>
                      <w:tag w:val="nr_8555f97a3262479ba5fb4e463a613e5d"/>
                      <w:lock w:val="sdtLocked"/>
                      <w:richText/>
                    </w:sdtPr>
                    <w:sdtContent>
                      <w:r>
                        <w:rPr>
                          <w:szCs w:val="24"/>
                          <w:lang w:eastAsia="lt-LT"/>
                        </w:rPr>
                        <w:t>29</w:t>
                      </w:r>
                    </w:sdtContent>
                  </w:sdt>
                  <w:r>
                    <w:rPr>
                      <w:szCs w:val="24"/>
                      <w:lang w:eastAsia="lt-LT"/>
                    </w:rPr>
                    <w:t xml:space="preserve">. Atlikus privalomą profilaktinį sveikatos tikrinimą užpildyta forma Nr. </w:t>
                  </w:r>
                  <w:r>
                    <w:rPr>
                      <w:szCs w:val="24"/>
                    </w:rPr>
                    <w:t>E027-1 galioja 1 metus nuo užpildymo dienos.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29-1 p."/>
                <w:tag w:val="part_0351775175ec4b8b867f6171dceea24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351775175ec4b8b867f6171dceea24d"/>
                      <w:lock w:val="sdtLocked"/>
                      <w:richText/>
                    </w:sdtPr>
                    <w:sdtContent>
                      <w:r>
                        <w:rPr>
                          <w:color w:val="000000"/>
                          <w:szCs w:val="24"/>
                          <w:lang w:eastAsia="lt-LT"/>
                        </w:rPr>
                        <w:t>29</w:t>
                      </w:r>
                      <w:r>
                        <w:rPr>
                          <w:color w:val="000000"/>
                          <w:szCs w:val="24"/>
                          <w:vertAlign w:val="superscript"/>
                          <w:lang w:eastAsia="lt-LT"/>
                        </w:rPr>
                        <w:t>1</w:t>
                      </w:r>
                    </w:sdtContent>
                  </w:sdt>
                  <w:r>
                    <w:rPr>
                      <w:color w:val="000000"/>
                      <w:szCs w:val="24"/>
                      <w:lang w:eastAsia="lt-LT"/>
                    </w:rPr>
                    <w:t xml:space="preserve">. Jei </w:t>
                  </w:r>
                  <w:r>
                    <w:rPr>
                      <w:szCs w:val="24"/>
                    </w:rPr>
                    <w:t xml:space="preserve">Lietuvos Respublikos Vyriausybei paskelbus valstybės lygio ekstremaliąją situaciją ir (ar) karantiną visos Lietuvos Respublikos mastu </w:t>
                  </w:r>
                  <w:r>
                    <w:rPr>
                      <w:color w:val="000000"/>
                      <w:szCs w:val="24"/>
                      <w:lang w:eastAsia="lt-LT"/>
                    </w:rPr>
                    <w:t>sustabdomas arba apribojamas vaikų profilaktinio patikrinimo paslaugų teikimas, iki karantino ir (ar) ekstremaliosios situacijos paskelbimo dienos paskutinė išduota forma Nr. E027-1 laikoma galiojančia iki einamųjų metų pabaigos toliau nurodytas sąlygas atitinkantiems pilnamečiams mokiniams ir vaikams, lankantiems švietimo ar kitą ugdymo įstaigą:</w:t>
                  </w:r>
                </w:p>
                <w:sdt>
                  <w:sdtPr>
                    <w:alias w:val="29-1.1 pp."/>
                    <w:tag w:val="part_0ba28f4b4291473a96ab136c685fb4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ba28f4b4291473a96ab136c685fb4a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.1</w:t>
                          </w:r>
                        </w:sdtContent>
                      </w:sdt>
                      <w:r>
                        <w:rPr>
                          <w:color w:val="000000"/>
                          <w:szCs w:val="24"/>
                          <w:lang w:eastAsia="lt-LT"/>
                        </w:rPr>
                        <w:t>.</w:t>
                      </w:r>
                      <w:r>
                        <w:rPr>
                          <w:color w:val="000000"/>
                          <w:szCs w:val="24"/>
                          <w:vertAlign w:val="superscript"/>
                          <w:lang w:eastAsia="lt-LT"/>
                        </w:rPr>
                        <w:t xml:space="preserve"> </w:t>
                      </w:r>
                      <w:r>
                        <w:rPr>
                          <w:color w:val="000000"/>
                          <w:szCs w:val="24"/>
                          <w:lang w:eastAsia="lt-LT"/>
                        </w:rPr>
                        <w:t>kurių ugdymas naujais mokslo metais bus tęsiamas toje pačioje švietimo įstaigoje arba toje pačioje ugdymo įstaigoje;</w:t>
                      </w:r>
                    </w:p>
                  </w:sdtContent>
                </w:sdt>
                <w:sdt>
                  <w:sdtPr>
                    <w:alias w:val="29-1.2 pp."/>
                    <w:tag w:val="part_e1965469061a46bfa9f804aac3de40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e1965469061a46bfa9f804aac3de40f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.2</w:t>
                          </w:r>
                        </w:sdtContent>
                      </w:sdt>
                      <w:r>
                        <w:rPr>
                          <w:color w:val="000000"/>
                          <w:szCs w:val="24"/>
                          <w:lang w:eastAsia="lt-LT"/>
                        </w:rPr>
                        <w:t>. kurių sveikatos būklė nuo paskutinio privalomo profilaktinio sveikatos tikrinimo nepasikeitė taip, kad reikėtų keisti jų fizinio ugdymo grupę, arba neatsirado naujų bendrų arba specialių rekomendacijų, kurių turi būti laikomasi jiems dalyvaujant ugdymo veikloje.</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sdtContent>
            </w:sdt>
            <w:sdt>
              <w:sdtPr>
                <w:alias w:val="3 pr. 30 p."/>
                <w:tag w:val="part_fbfc8fe1fcff4eda8a8b2a87b2d3d1e5"/>
                <w:lock w:val="sdtLocked"/>
                <w:richText/>
              </w:sdtPr>
              <w:sdtContent>
                <w:p>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fbfc8fe1fcff4eda8a8b2a87b2d3d1e5"/>
                      <w:lock w:val="sdtLocked"/>
                      <w:richText/>
                    </w:sdtPr>
                    <w:sdtContent>
                      <w:r>
                        <w:rPr>
                          <w:color w:val="000000"/>
                          <w:szCs w:val="24"/>
                          <w:lang w:eastAsia="lt-LT"/>
                        </w:rPr>
                        <w:t>30</w:t>
                      </w:r>
                    </w:sdtContent>
                  </w:sdt>
                  <w:r>
                    <w:rPr>
                      <w:color w:val="000000"/>
                      <w:szCs w:val="24"/>
                      <w:lang w:eastAsia="lt-LT"/>
                    </w:rPr>
                    <w:t>. Sudėtingais atvejais (kai dėl medicininių priežasčių reikia priimti individualius sprendimus) išvadą ar rekomendacijas dėl tinkamumo dėl medicininių priežasčių lankyti švietimo ar kitą įstaigą pateikia ASPĮ gydytojų konsultacinė komisija.</w:t>
                  </w:r>
                </w:p>
                <w:p>
                  <w:pPr>
                    <w:ind w:firstLine="851"/>
                    <w:jc w:val="both"/>
                    <w:rPr>
                      <w:color w:val="000000"/>
                      <w:szCs w:val="24"/>
                    </w:rPr>
                  </w:pPr>
                </w:p>
                <w:p>
                  <w:pPr>
                    <w:snapToGrid w:val="0"/>
                    <w:ind w:left="851"/>
                    <w:jc w:val="center"/>
                  </w:pPr>
                  <w:r>
                    <w:rPr>
                      <w:color w:val="000000"/>
                      <w:szCs w:val="24"/>
                    </w:rPr>
                    <w:t>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sdtContent>
    </w:sdt>
    <w:sdt>
      <w:sdtPr>
        <w:alias w:val="1 pr."/>
        <w:tag w:val="part_1e6f2f143efc40b993e6e173b5c83d4d"/>
        <w:lock w:val="sdtLocked"/>
        <w:richText/>
      </w:sdtPr>
      <w:sdtContent>
        <w:p>
          <w:pPr>
            <w:suppressAutoHyphens/>
            <w:jc w:val="both"/>
            <w:textAlignment w:val="center"/>
            <w:rPr>
              <w:color w:val="000000"/>
              <w:szCs w:val="24"/>
            </w:rPr>
          </w:pPr>
        </w:p>
        <w:p>
          <w:pPr>
            <w:suppressAutoHyphens/>
            <w:jc w:val="both"/>
            <w:textAlignment w:val="center"/>
            <w:rPr>
              <w:color w:val="000000"/>
              <w:sz w:val="20"/>
            </w:rPr>
            <w:sectPr>
              <w:pgSz w:w="11906" w:h="16838" w:code="9"/>
              <w:pgMar w:top="1134" w:right="567" w:bottom="1134" w:left="1701" w:header="1134" w:footer="1134" w:gutter="0"/>
              <w:pgNumType w:start="1"/>
              <w:cols w:space="720"/>
              <w:titlePg/>
            </w:sectPr>
          </w:pPr>
        </w:p>
        <w:p>
          <w:pPr>
            <w:tabs>
              <w:tab w:val="left" w:pos="5812"/>
            </w:tabs>
            <w:ind w:left="7655"/>
            <w:rPr>
              <w:bCs/>
              <w:szCs w:val="24"/>
            </w:rPr>
          </w:pPr>
          <w:r>
            <w:rPr>
              <w:szCs w:val="24"/>
            </w:rPr>
            <w:t xml:space="preserve">Vaikų </w:t>
          </w:r>
          <w:r>
            <w:rPr>
              <w:bCs/>
              <w:szCs w:val="24"/>
            </w:rPr>
            <w:t xml:space="preserve">ir pilnamečių mokinių, ugdomų </w:t>
          </w:r>
        </w:p>
        <w:p>
          <w:pPr>
            <w:tabs>
              <w:tab w:val="left" w:pos="5812"/>
            </w:tabs>
            <w:ind w:left="7655"/>
            <w:rPr>
              <w:szCs w:val="24"/>
            </w:rPr>
          </w:pPr>
          <w:r>
            <w:rPr>
              <w:bCs/>
              <w:szCs w:val="24"/>
            </w:rPr>
            <w:t>pagal bendrojo ugdymo programas,</w:t>
          </w:r>
          <w:r>
            <w:rPr>
              <w:szCs w:val="24"/>
            </w:rPr>
            <w:t xml:space="preserve"> </w:t>
          </w:r>
        </w:p>
        <w:p>
          <w:pPr>
            <w:tabs>
              <w:tab w:val="left" w:pos="5812"/>
            </w:tabs>
            <w:ind w:left="7655"/>
            <w:rPr>
              <w:szCs w:val="24"/>
            </w:rPr>
          </w:pPr>
          <w:r>
            <w:rPr>
              <w:szCs w:val="24"/>
            </w:rPr>
            <w:t>tikrinimo tvarkos aprašo</w:t>
          </w:r>
        </w:p>
        <w:p>
          <w:pPr>
            <w:tabs>
              <w:tab w:val="left" w:pos="11057"/>
            </w:tabs>
            <w:ind w:left="7655" w:right="-195"/>
            <w:rPr>
              <w:color w:val="000000"/>
              <w:szCs w:val="24"/>
            </w:rPr>
          </w:pPr>
          <w:r>
            <w:rPr>
              <w:color w:val="000000"/>
              <w:szCs w:val="24"/>
            </w:rPr>
            <w:t xml:space="preserve">1 priedas </w:t>
          </w:r>
        </w:p>
        <w:p>
          <w:pPr>
            <w:ind w:left="10065"/>
            <w:rPr>
              <w:color w:val="000000"/>
              <w:szCs w:val="24"/>
            </w:rPr>
          </w:pPr>
        </w:p>
        <w:p>
          <w:pPr>
            <w:ind w:left="10065"/>
            <w:rPr>
              <w:color w:val="000000"/>
              <w:szCs w:val="24"/>
            </w:rPr>
          </w:pPr>
        </w:p>
        <w:sdt>
          <w:sdtPr>
            <w:alias w:val="Pavadinimas"/>
            <w:tag w:val="title_1e6f2f143efc40b993e6e173b5c83d4d"/>
            <w:lock w:val="sdtLocked"/>
            <w:richText/>
          </w:sdtPr>
          <w:sdtContent>
            <w:p>
              <w:pPr>
                <w:tabs>
                  <w:tab w:val="left" w:pos="945"/>
                  <w:tab w:val="center" w:pos="6979"/>
                </w:tabs>
                <w:jc w:val="center"/>
                <w:rPr>
                  <w:b/>
                  <w:color w:val="000000"/>
                  <w:szCs w:val="24"/>
                </w:rPr>
              </w:pPr>
              <w:r>
                <w:rPr>
                  <w:b/>
                  <w:szCs w:val="24"/>
                </w:rPr>
                <w:t xml:space="preserve">PROFILAKTINIO VAIKŲ IR PILNAMEČIŲ MOKINIŲ SVEIKATOS TIKRINIMO </w:t>
              </w:r>
              <w:r>
                <w:rPr>
                  <w:b/>
                  <w:color w:val="000000"/>
                  <w:szCs w:val="24"/>
                </w:rPr>
                <w:t>REIKALAVIMAI</w:t>
              </w:r>
            </w:p>
          </w:sdtContent>
        </w:sdt>
        <w:p>
          <w:pPr>
            <w:tabs>
              <w:tab w:val="left" w:pos="945"/>
              <w:tab w:val="center" w:pos="6979"/>
            </w:tabs>
            <w:rPr>
              <w:b/>
              <w:caps/>
              <w:color w:val="000000"/>
              <w:szCs w:val="24"/>
            </w:rPr>
          </w:pPr>
        </w:p>
        <w:tbl>
          <w:tblPr>
            <w:tblW w:w="153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568"/>
            <w:gridCol w:w="1276"/>
            <w:gridCol w:w="1701"/>
            <w:gridCol w:w="2268"/>
            <w:gridCol w:w="4536"/>
            <w:gridCol w:w="1701"/>
            <w:gridCol w:w="1559"/>
            <w:gridCol w:w="1701"/>
          </w:tblGrid>
          <w:tr>
            <w:trPr>
              <w:trHeight w:val="20"/>
            </w:trPr>
            <w:tc>
              <w:tcPr>
                <w:tcW w:w="568" w:type="dxa"/>
                <w:vMerge w:val="restart"/>
                <w:vAlign w:val="center"/>
              </w:tcPr>
              <w:p>
                <w:pPr>
                  <w:widowControl w:val="0"/>
                  <w:jc w:val="center"/>
                  <w:outlineLvl w:val="2"/>
                  <w:rPr>
                    <w:caps/>
                    <w:color w:val="000000"/>
                    <w:szCs w:val="24"/>
                    <w:lang w:val="en-GB"/>
                  </w:rPr>
                </w:pPr>
                <w:r>
                  <w:rPr>
                    <w:caps/>
                    <w:color w:val="000000"/>
                    <w:szCs w:val="24"/>
                  </w:rPr>
                  <w:t>Eil. Nr.</w:t>
                </w:r>
              </w:p>
            </w:tc>
            <w:tc>
              <w:tcPr>
                <w:tcW w:w="1276" w:type="dxa"/>
                <w:vMerge w:val="restart"/>
                <w:shd w:val="clear" w:color="auto" w:fill="auto"/>
                <w:vAlign w:val="center"/>
              </w:tcPr>
              <w:p>
                <w:pPr>
                  <w:widowControl w:val="0"/>
                  <w:jc w:val="center"/>
                  <w:outlineLvl w:val="2"/>
                  <w:rPr>
                    <w:caps/>
                    <w:color w:val="000000"/>
                    <w:szCs w:val="24"/>
                    <w:lang w:val="en-GB"/>
                  </w:rPr>
                </w:pPr>
                <w:r>
                  <w:rPr>
                    <w:caps/>
                    <w:color w:val="000000"/>
                    <w:szCs w:val="24"/>
                  </w:rPr>
                  <w:t>Amžius</w:t>
                </w:r>
              </w:p>
            </w:tc>
            <w:tc>
              <w:tcPr>
                <w:tcW w:w="8505" w:type="dxa"/>
                <w:gridSpan w:val="3"/>
                <w:vAlign w:val="center"/>
              </w:tcPr>
              <w:p>
                <w:pPr>
                  <w:rPr>
                    <w:sz w:val="42"/>
                    <w:szCs w:val="42"/>
                  </w:rPr>
                </w:pPr>
              </w:p>
              <w:p>
                <w:pPr>
                  <w:keepLines/>
                  <w:widowControl w:val="0"/>
                  <w:rPr>
                    <w:b/>
                    <w:bCs/>
                    <w:color w:val="000000"/>
                    <w:sz w:val="28"/>
                    <w:szCs w:val="24"/>
                  </w:rPr>
                </w:pPr>
                <w:r>
                  <w:rPr>
                    <w:b/>
                    <w:bCs/>
                    <w:color w:val="000000"/>
                    <w:sz w:val="28"/>
                    <w:szCs w:val="24"/>
                  </w:rPr>
                  <w:t xml:space="preserve">Sveikatos priežiūra </w:t>
                </w:r>
              </w:p>
            </w:tc>
            <w:tc>
              <w:tcPr>
                <w:tcW w:w="4961" w:type="dxa"/>
                <w:gridSpan w:val="3"/>
                <w:tcBorders>
                  <w:right w:val="single" w:sz="4" w:space="0" w:color="auto"/>
                </w:tcBorders>
                <w:vAlign w:val="center"/>
              </w:tcPr>
              <w:p>
                <w:pPr>
                  <w:jc w:val="center"/>
                  <w:rPr>
                    <w:b/>
                    <w:color w:val="000000"/>
                    <w:szCs w:val="24"/>
                  </w:rPr>
                </w:pPr>
                <w:r>
                  <w:rPr>
                    <w:b/>
                    <w:color w:val="000000"/>
                    <w:szCs w:val="24"/>
                  </w:rPr>
                  <w:t>Profilaktinis sveikatos tikrinimas</w:t>
                </w:r>
              </w:p>
            </w:tc>
          </w:tr>
          <w:tr>
            <w:trPr>
              <w:trHeight w:val="20"/>
            </w:trPr>
            <w:tc>
              <w:tcPr>
                <w:tcW w:w="568" w:type="dxa"/>
                <w:vMerge/>
                <w:vAlign w:val="center"/>
              </w:tcPr>
              <w:p>
                <w:pPr>
                  <w:widowControl w:val="0"/>
                  <w:jc w:val="center"/>
                  <w:outlineLvl w:val="2"/>
                  <w:rPr>
                    <w:b/>
                    <w:caps/>
                    <w:color w:val="000000"/>
                    <w:szCs w:val="24"/>
                    <w:lang w:val="en-GB"/>
                  </w:rPr>
                </w:pPr>
              </w:p>
            </w:tc>
            <w:tc>
              <w:tcPr>
                <w:tcW w:w="1276" w:type="dxa"/>
                <w:vMerge/>
                <w:shd w:val="clear" w:color="auto" w:fill="auto"/>
                <w:vAlign w:val="center"/>
              </w:tcPr>
              <w:p>
                <w:pPr>
                  <w:keepNext/>
                  <w:widowControl w:val="0"/>
                  <w:pBdr>
                    <w:bottom w:val="single" w:sz="6" w:space="1" w:color="auto"/>
                  </w:pBdr>
                  <w:jc w:val="center"/>
                  <w:outlineLvl w:val="2"/>
                  <w:rPr>
                    <w:b/>
                    <w:caps/>
                    <w:color w:val="000000"/>
                    <w:szCs w:val="24"/>
                    <w:lang w:val="en-GB"/>
                  </w:rPr>
                </w:pPr>
              </w:p>
            </w:tc>
            <w:tc>
              <w:tcPr>
                <w:tcW w:w="1701" w:type="dxa"/>
                <w:vAlign w:val="center"/>
              </w:tcPr>
              <w:p>
                <w:pPr>
                  <w:widowControl w:val="0"/>
                  <w:tabs>
                    <w:tab w:val="left" w:pos="1170"/>
                  </w:tabs>
                  <w:jc w:val="center"/>
                  <w:outlineLvl w:val="2"/>
                  <w:rPr>
                    <w:b/>
                    <w:caps/>
                    <w:color w:val="000000"/>
                    <w:szCs w:val="24"/>
                    <w:lang w:val="en-GB"/>
                  </w:rPr>
                </w:pPr>
                <w:r>
                  <w:rPr>
                    <w:caps/>
                    <w:color w:val="000000"/>
                    <w:szCs w:val="24"/>
                  </w:rPr>
                  <w:t>Periodiškumas</w:t>
                </w:r>
              </w:p>
            </w:tc>
            <w:tc>
              <w:tcPr>
                <w:tcW w:w="2268"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4536" w:type="dxa"/>
                <w:vAlign w:val="center"/>
              </w:tcPr>
              <w:p>
                <w:pPr>
                  <w:rPr>
                    <w:sz w:val="18"/>
                    <w:szCs w:val="18"/>
                  </w:rPr>
                </w:pPr>
              </w:p>
              <w:p>
                <w:pPr>
                  <w:keepNext/>
                  <w:keepLines/>
                  <w:outlineLvl w:val="5"/>
                  <w:rPr>
                    <w:i/>
                    <w:iCs/>
                    <w:color w:val="000000"/>
                    <w:szCs w:val="24"/>
                  </w:rPr>
                </w:pPr>
                <w:r>
                  <w:rPr>
                    <w:i/>
                    <w:iCs/>
                    <w:color w:val="000000"/>
                    <w:szCs w:val="24"/>
                  </w:rPr>
                  <w:t>Privalomieji veiksmai ir būtini tyrimai</w:t>
                </w:r>
              </w:p>
              <w:p>
                <w:pPr>
                  <w:rPr>
                    <w:color w:val="000000"/>
                    <w:szCs w:val="24"/>
                  </w:rPr>
                </w:pPr>
              </w:p>
            </w:tc>
            <w:tc>
              <w:tcPr>
                <w:tcW w:w="1701" w:type="dxa"/>
                <w:vAlign w:val="center"/>
              </w:tcPr>
              <w:p>
                <w:pPr>
                  <w:widowControl w:val="0"/>
                  <w:ind w:left="-56"/>
                  <w:jc w:val="center"/>
                  <w:outlineLvl w:val="2"/>
                  <w:rPr>
                    <w:caps/>
                    <w:color w:val="000000"/>
                    <w:szCs w:val="24"/>
                    <w:lang w:val="en-GB"/>
                  </w:rPr>
                </w:pPr>
                <w:r>
                  <w:rPr>
                    <w:caps/>
                    <w:color w:val="000000"/>
                    <w:szCs w:val="24"/>
                  </w:rPr>
                  <w:t>Periodiškumas</w:t>
                </w:r>
              </w:p>
            </w:tc>
            <w:tc>
              <w:tcPr>
                <w:tcW w:w="1559"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1701" w:type="dxa"/>
                <w:vAlign w:val="center"/>
              </w:tcPr>
              <w:p>
                <w:pPr>
                  <w:jc w:val="center"/>
                  <w:rPr>
                    <w:color w:val="000000"/>
                    <w:szCs w:val="24"/>
                  </w:rPr>
                </w:pPr>
                <w:r>
                  <w:rPr>
                    <w:b/>
                    <w:color w:val="000000"/>
                    <w:szCs w:val="24"/>
                  </w:rPr>
                  <w:t>Privalomieji veiksmai</w:t>
                </w:r>
              </w:p>
            </w:tc>
          </w:tr>
          <w:tr>
            <w:trPr>
              <w:trHeight w:val="20"/>
            </w:trPr>
            <w:tc>
              <w:tcPr>
                <w:tcW w:w="568" w:type="dxa"/>
              </w:tcPr>
              <w:p>
                <w:pPr>
                  <w:widowControl w:val="0"/>
                  <w:jc w:val="center"/>
                  <w:outlineLvl w:val="2"/>
                  <w:rPr>
                    <w:b/>
                    <w:caps/>
                    <w:color w:val="000000"/>
                    <w:szCs w:val="24"/>
                    <w:lang w:val="en-GB"/>
                  </w:rPr>
                </w:pPr>
                <w:r>
                  <w:rPr>
                    <w:caps/>
                    <w:color w:val="000000"/>
                    <w:szCs w:val="24"/>
                  </w:rPr>
                  <w:t>1</w:t>
                </w:r>
              </w:p>
            </w:tc>
            <w:tc>
              <w:tcPr>
                <w:tcW w:w="1276" w:type="dxa"/>
              </w:tcPr>
              <w:p>
                <w:pPr>
                  <w:widowControl w:val="0"/>
                  <w:jc w:val="center"/>
                  <w:outlineLvl w:val="2"/>
                  <w:rPr>
                    <w:b/>
                    <w:caps/>
                    <w:color w:val="000000"/>
                    <w:szCs w:val="24"/>
                    <w:lang w:val="en-GB"/>
                  </w:rPr>
                </w:pPr>
                <w:r>
                  <w:rPr>
                    <w:caps/>
                    <w:color w:val="000000"/>
                    <w:szCs w:val="24"/>
                  </w:rPr>
                  <w:t>2</w:t>
                </w:r>
              </w:p>
            </w:tc>
            <w:tc>
              <w:tcPr>
                <w:tcW w:w="1701" w:type="dxa"/>
              </w:tcPr>
              <w:p>
                <w:pPr>
                  <w:jc w:val="center"/>
                  <w:rPr>
                    <w:color w:val="000000"/>
                    <w:szCs w:val="24"/>
                  </w:rPr>
                </w:pPr>
                <w:r>
                  <w:rPr>
                    <w:color w:val="000000"/>
                    <w:szCs w:val="24"/>
                  </w:rPr>
                  <w:t>3</w:t>
                </w:r>
              </w:p>
            </w:tc>
            <w:tc>
              <w:tcPr>
                <w:tcW w:w="2268" w:type="dxa"/>
              </w:tcPr>
              <w:p>
                <w:pPr>
                  <w:widowControl w:val="0"/>
                  <w:jc w:val="center"/>
                  <w:rPr>
                    <w:color w:val="000000"/>
                    <w:szCs w:val="24"/>
                  </w:rPr>
                </w:pPr>
                <w:r>
                  <w:rPr>
                    <w:color w:val="000000"/>
                    <w:szCs w:val="24"/>
                  </w:rPr>
                  <w:t>4</w:t>
                </w:r>
              </w:p>
            </w:tc>
            <w:tc>
              <w:tcPr>
                <w:tcW w:w="4536" w:type="dxa"/>
                <w:tcBorders>
                  <w:bottom w:val="single" w:sz="4" w:space="0" w:color="auto"/>
                </w:tcBorders>
              </w:tcPr>
              <w:p>
                <w:pPr>
                  <w:jc w:val="center"/>
                  <w:rPr>
                    <w:b/>
                    <w:i/>
                    <w:color w:val="000000"/>
                    <w:szCs w:val="24"/>
                  </w:rPr>
                </w:pPr>
                <w:r>
                  <w:rPr>
                    <w:color w:val="000000"/>
                    <w:szCs w:val="24"/>
                  </w:rPr>
                  <w:t>5</w:t>
                </w:r>
              </w:p>
            </w:tc>
            <w:tc>
              <w:tcPr>
                <w:tcW w:w="1701" w:type="dxa"/>
              </w:tcPr>
              <w:p>
                <w:pPr>
                  <w:widowControl w:val="0"/>
                  <w:jc w:val="center"/>
                  <w:rPr>
                    <w:color w:val="000000"/>
                    <w:szCs w:val="24"/>
                  </w:rPr>
                </w:pPr>
                <w:r>
                  <w:rPr>
                    <w:color w:val="000000"/>
                    <w:szCs w:val="24"/>
                  </w:rPr>
                  <w:t>6</w:t>
                </w:r>
              </w:p>
            </w:tc>
            <w:tc>
              <w:tcPr>
                <w:tcW w:w="1559" w:type="dxa"/>
              </w:tcPr>
              <w:p>
                <w:pPr>
                  <w:widowControl w:val="0"/>
                  <w:jc w:val="center"/>
                  <w:rPr>
                    <w:color w:val="000000"/>
                    <w:szCs w:val="24"/>
                  </w:rPr>
                </w:pPr>
                <w:r>
                  <w:rPr>
                    <w:color w:val="000000"/>
                    <w:szCs w:val="24"/>
                  </w:rPr>
                  <w:t>7</w:t>
                </w:r>
              </w:p>
            </w:tc>
            <w:tc>
              <w:tcPr>
                <w:tcW w:w="1701" w:type="dxa"/>
              </w:tcPr>
              <w:p>
                <w:pPr>
                  <w:widowControl w:val="0"/>
                  <w:jc w:val="center"/>
                  <w:rPr>
                    <w:color w:val="000000"/>
                    <w:szCs w:val="24"/>
                  </w:rPr>
                </w:pPr>
                <w:r>
                  <w:rPr>
                    <w:color w:val="000000"/>
                    <w:szCs w:val="24"/>
                  </w:rPr>
                  <w:t>8</w:t>
                </w:r>
              </w:p>
            </w:tc>
          </w:tr>
          <w:tr>
            <w:trPr>
              <w:trHeight w:val="20"/>
            </w:trPr>
            <w:tc>
              <w:tcPr>
                <w:tcW w:w="568" w:type="dxa"/>
                <w:vMerge w:val="restart"/>
              </w:tcPr>
              <w:p>
                <w:pPr>
                  <w:widowControl w:val="0"/>
                  <w:jc w:val="center"/>
                  <w:outlineLvl w:val="2"/>
                  <w:rPr>
                    <w:b/>
                    <w:caps/>
                    <w:color w:val="000000"/>
                    <w:szCs w:val="24"/>
                    <w:lang w:val="en-GB"/>
                  </w:rPr>
                </w:pPr>
                <w:r>
                  <w:rPr>
                    <w:caps/>
                    <w:color w:val="000000"/>
                    <w:szCs w:val="24"/>
                  </w:rPr>
                  <w:t>1.</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276" w:type="dxa"/>
                <w:vMerge w:val="restart"/>
              </w:tcPr>
              <w:p>
                <w:pPr>
                  <w:widowControl w:val="0"/>
                  <w:jc w:val="center"/>
                  <w:outlineLvl w:val="2"/>
                  <w:rPr>
                    <w:b/>
                    <w:caps/>
                    <w:color w:val="000000"/>
                    <w:szCs w:val="24"/>
                    <w:lang w:val="en-GB"/>
                  </w:rPr>
                </w:pPr>
                <w:r>
                  <w:rPr>
                    <w:caps/>
                    <w:color w:val="000000"/>
                    <w:szCs w:val="24"/>
                  </w:rPr>
                  <w:t>Naujagimis</w:t>
                </w:r>
              </w:p>
              <w:p>
                <w:pPr>
                  <w:widowControl w:val="0"/>
                  <w:jc w:val="center"/>
                  <w:outlineLvl w:val="2"/>
                  <w:rPr>
                    <w:b/>
                    <w:caps/>
                    <w:color w:val="000000"/>
                    <w:szCs w:val="24"/>
                    <w:lang w:val="en-GB"/>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Pr>
              <w:p>
                <w:pPr>
                  <w:rPr>
                    <w:color w:val="000000"/>
                    <w:szCs w:val="24"/>
                  </w:rPr>
                </w:pPr>
                <w:r>
                  <w:rPr>
                    <w:color w:val="000000"/>
                    <w:szCs w:val="24"/>
                  </w:rPr>
                  <w:t>1 kartą</w:t>
                </w:r>
                <w:r>
                  <w:rPr>
                    <w:b/>
                    <w:i/>
                    <w:color w:val="000000"/>
                    <w:szCs w:val="24"/>
                  </w:rPr>
                  <w:t xml:space="preserve"> </w:t>
                </w:r>
                <w:r>
                  <w:rPr>
                    <w:color w:val="000000"/>
                    <w:szCs w:val="24"/>
                  </w:rPr>
                  <w:t>per 3 darbo dienas nuo išvykimo iš akušerijos stacionaro</w:t>
                </w:r>
              </w:p>
              <w:p>
                <w:pPr>
                  <w:rPr>
                    <w:b/>
                    <w:color w:val="000000"/>
                    <w:szCs w:val="24"/>
                  </w:rPr>
                </w:pPr>
              </w:p>
            </w:tc>
            <w:tc>
              <w:tcPr>
                <w:tcW w:w="2268" w:type="dxa"/>
              </w:tcPr>
              <w:p>
                <w:pPr>
                  <w:widowControl w:val="0"/>
                  <w:rPr>
                    <w:color w:val="000000"/>
                    <w:szCs w:val="24"/>
                  </w:rPr>
                </w:pPr>
                <w:r>
                  <w:rPr>
                    <w:color w:val="000000"/>
                    <w:szCs w:val="24"/>
                  </w:rPr>
                  <w:t>Šeimos medicinos paslaugas teikiantis šeimos arba vaikų ligų gydytojas (toliau – gydytojas) arba bendrosios praktikos slaugytojas (toliau – slaugytojas), akušeris</w:t>
                </w:r>
              </w:p>
              <w:p>
                <w:pPr>
                  <w:widowControl w:val="0"/>
                  <w:rPr>
                    <w:color w:val="000000"/>
                    <w:szCs w:val="24"/>
                  </w:rPr>
                </w:pPr>
              </w:p>
            </w:tc>
            <w:tc>
              <w:tcPr>
                <w:tcW w:w="4536" w:type="dxa"/>
                <w:tcBorders>
                  <w:bottom w:val="single" w:sz="4" w:space="0" w:color="auto"/>
                </w:tcBorders>
              </w:tcPr>
              <w:p>
                <w:pPr>
                  <w:rPr>
                    <w:b/>
                    <w:i/>
                    <w:color w:val="000000"/>
                    <w:szCs w:val="24"/>
                  </w:rPr>
                </w:pPr>
                <w:r>
                  <w:rPr>
                    <w:color w:val="000000"/>
                    <w:szCs w:val="24"/>
                  </w:rPr>
                  <w:t xml:space="preserve">1.1. Aplankyti ir apžiūrėti  naujagimį namuose. </w:t>
                </w:r>
              </w:p>
              <w:p>
                <w:pPr>
                  <w:rPr>
                    <w:sz w:val="10"/>
                    <w:szCs w:val="10"/>
                  </w:rPr>
                </w:pPr>
              </w:p>
              <w:p>
                <w:pPr>
                  <w:rPr>
                    <w:b/>
                    <w:i/>
                    <w:color w:val="000000"/>
                    <w:szCs w:val="24"/>
                  </w:rPr>
                </w:pPr>
                <w:r>
                  <w:rPr>
                    <w:color w:val="000000"/>
                    <w:szCs w:val="24"/>
                  </w:rPr>
                  <w:t xml:space="preserve">1.2. Įvertinti šeimos socialinį, psichologinį pasirengimą. </w:t>
                </w:r>
              </w:p>
              <w:p>
                <w:pPr>
                  <w:rPr>
                    <w:sz w:val="10"/>
                    <w:szCs w:val="10"/>
                  </w:rPr>
                </w:pPr>
              </w:p>
              <w:p>
                <w:pPr>
                  <w:rPr>
                    <w:b/>
                    <w:i/>
                    <w:color w:val="000000"/>
                    <w:szCs w:val="24"/>
                  </w:rPr>
                </w:pPr>
                <w:r>
                  <w:rPr>
                    <w:color w:val="000000"/>
                    <w:szCs w:val="24"/>
                  </w:rPr>
                  <w:t xml:space="preserve">1.3. Patarti tėvams naujagimio priežiūros, higienos (ypač odos, bambos), maitinimo krūtimi,  mamos mitybos klausimais. </w:t>
                </w:r>
              </w:p>
              <w:p>
                <w:pPr>
                  <w:rPr>
                    <w:sz w:val="10"/>
                    <w:szCs w:val="10"/>
                  </w:rPr>
                </w:pPr>
              </w:p>
              <w:p>
                <w:pPr>
                  <w:rPr>
                    <w:b/>
                    <w:i/>
                    <w:color w:val="000000"/>
                    <w:szCs w:val="24"/>
                  </w:rPr>
                </w:pPr>
                <w:r>
                  <w:rPr>
                    <w:color w:val="000000"/>
                    <w:szCs w:val="24"/>
                  </w:rPr>
                  <w:t xml:space="preserve">1.4. Informuoti tėvus apie prisiregistravimo prie pirminės asmens sveikatos priežiūros įstaigos (toliau – PASPĮ) tvarką. </w:t>
                </w:r>
              </w:p>
              <w:p>
                <w:pPr>
                  <w:rPr>
                    <w:sz w:val="10"/>
                    <w:szCs w:val="10"/>
                  </w:rPr>
                </w:pPr>
              </w:p>
              <w:p>
                <w:pPr>
                  <w:rPr>
                    <w:b/>
                    <w:i/>
                    <w:color w:val="000000"/>
                    <w:szCs w:val="24"/>
                  </w:rPr>
                </w:pPr>
                <w:r>
                  <w:rPr>
                    <w:color w:val="000000"/>
                    <w:szCs w:val="24"/>
                  </w:rPr>
                  <w:t>1.5. Įvertinti įrašus apie akių dugno raudono reflekso tyrimo (toliau – tyrimas) ir klausos tikrinimo (toliau – tikrinimas) atlikimą bei kraujo paėmimą visuotiniam naujagimių tikrinimui dėl įgimtų medžiagų apykaitos ligų (toliau – kraujo paėmimas dėl ĮMAL) formo</w:t>
                </w:r>
                <w:r>
                  <w:rPr>
                    <w:color w:val="000000"/>
                    <w:szCs w:val="24"/>
                    <w:lang w:val="en-US"/>
                  </w:rPr>
                  <w:t>s</w:t>
                </w:r>
                <w:r>
                  <w:rPr>
                    <w:color w:val="000000"/>
                    <w:szCs w:val="24"/>
                  </w:rPr>
                  <w:t xml:space="preserve"> Nr. </w:t>
                </w:r>
                <w:r>
                  <w:rPr>
                    <w:color w:val="000000"/>
                    <w:szCs w:val="24"/>
                    <w:lang w:val="en-US"/>
                  </w:rPr>
                  <w:t>113/a dalyje „Žinios apie naujagimį.“ Jei tyrimas ir tikrinimas neatlikti, siųsti pas atitinkamus specialistus ištirti ir patikrinti, o jei nepaimtas kraujas dėl ĮMAL, paimti.</w:t>
                </w:r>
              </w:p>
              <w:p>
                <w:pPr>
                  <w:rPr>
                    <w:sz w:val="10"/>
                    <w:szCs w:val="10"/>
                  </w:rPr>
                </w:pPr>
              </w:p>
              <w:p>
                <w:pPr>
                  <w:rPr>
                    <w:color w:val="000000"/>
                    <w:szCs w:val="24"/>
                  </w:rPr>
                </w:pPr>
                <w:r>
                  <w:rPr>
                    <w:color w:val="000000"/>
                    <w:szCs w:val="24"/>
                  </w:rPr>
                  <w:t>1.6. Prireikus Lietuvos Respublikos sveikatos apsaugos ministro 2001 m. vasario 1 d. įsakymu Nr. 65 „Dėl informacijos apie pacientą valstybės institucijoms ir kitoms įstaigoms teikimo tvarkos patvirtinimo“ nustatyta tvarka informuoti socialinį darbuotoją ir (ar) savivaldybės vaiko teisių apsaugos tarnybą.</w:t>
                </w:r>
              </w:p>
            </w:tc>
            <w:tc>
              <w:tcPr>
                <w:tcW w:w="1701" w:type="dxa"/>
                <w:vMerge w:val="restart"/>
              </w:tcPr>
              <w:p>
                <w:pPr>
                  <w:widowControl w:val="0"/>
                  <w:rPr>
                    <w:color w:val="000000"/>
                    <w:szCs w:val="24"/>
                  </w:rPr>
                </w:pPr>
                <w:r>
                  <w:rPr>
                    <w:color w:val="000000"/>
                    <w:szCs w:val="24"/>
                  </w:rPr>
                  <w:t>1 kartą</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559" w:type="dxa"/>
                <w:vMerge w:val="restart"/>
              </w:tcPr>
              <w:p>
                <w:pPr>
                  <w:widowControl w:val="0"/>
                  <w:rPr>
                    <w:color w:val="000000"/>
                    <w:szCs w:val="24"/>
                  </w:rPr>
                </w:pPr>
                <w:r>
                  <w:rPr>
                    <w:color w:val="000000"/>
                    <w:szCs w:val="24"/>
                  </w:rPr>
                  <w:t xml:space="preserve">Gydytojas oftalmologas, </w:t>
                </w:r>
              </w:p>
              <w:p>
                <w:pPr>
                  <w:widowControl w:val="0"/>
                  <w:rPr>
                    <w:color w:val="000000"/>
                    <w:szCs w:val="24"/>
                  </w:rPr>
                </w:pPr>
                <w:r>
                  <w:rPr>
                    <w:color w:val="000000"/>
                    <w:szCs w:val="24"/>
                  </w:rPr>
                  <w:t>otorinolarin-gologas,</w:t>
                </w:r>
              </w:p>
              <w:p>
                <w:pPr>
                  <w:widowControl w:val="0"/>
                  <w:rPr>
                    <w:color w:val="000000"/>
                    <w:szCs w:val="24"/>
                  </w:rPr>
                </w:pPr>
                <w:r>
                  <w:rPr>
                    <w:color w:val="000000"/>
                    <w:szCs w:val="24"/>
                  </w:rPr>
                  <w:t>jeigu naujagimis nebuvo patikrintas akušerijos stacionare</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701" w:type="dxa"/>
                <w:vMerge w:val="restart"/>
              </w:tcPr>
              <w:p>
                <w:pPr>
                  <w:widowControl w:val="0"/>
                  <w:rPr>
                    <w:color w:val="000000"/>
                    <w:szCs w:val="24"/>
                  </w:rPr>
                </w:pPr>
                <w:r>
                  <w:rPr>
                    <w:color w:val="000000"/>
                    <w:szCs w:val="24"/>
                  </w:rPr>
                  <w:t>Akių dugno raudono reflekso tyrimas,</w:t>
                </w:r>
              </w:p>
              <w:p>
                <w:pPr>
                  <w:widowControl w:val="0"/>
                  <w:rPr>
                    <w:color w:val="000000"/>
                    <w:szCs w:val="24"/>
                  </w:rPr>
                </w:pPr>
                <w:r>
                  <w:rPr>
                    <w:color w:val="000000"/>
                    <w:szCs w:val="24"/>
                  </w:rPr>
                  <w:t xml:space="preserve">klausos tikrinimas </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b/>
                    <w:color w:val="000000"/>
                    <w:szCs w:val="24"/>
                  </w:rPr>
                </w:pPr>
                <w:r>
                  <w:rPr>
                    <w:color w:val="000000"/>
                    <w:szCs w:val="24"/>
                  </w:rPr>
                  <w:t>1–2 kartus per mėnesį</w:t>
                </w:r>
              </w:p>
              <w:p>
                <w:pPr>
                  <w:rPr>
                    <w:color w:val="000000"/>
                    <w:szCs w:val="24"/>
                  </w:rPr>
                </w:pPr>
              </w:p>
            </w:tc>
            <w:tc>
              <w:tcPr>
                <w:tcW w:w="2268" w:type="dxa"/>
              </w:tcPr>
              <w:p>
                <w:pPr>
                  <w:rPr>
                    <w:color w:val="000000"/>
                    <w:szCs w:val="24"/>
                  </w:rPr>
                </w:pPr>
                <w:r>
                  <w:rPr>
                    <w:color w:val="000000"/>
                    <w:szCs w:val="24"/>
                  </w:rPr>
                  <w:t>Gydytojas</w:t>
                </w:r>
              </w:p>
            </w:tc>
            <w:tc>
              <w:tcPr>
                <w:tcW w:w="4536" w:type="dxa"/>
                <w:tcBorders>
                  <w:bottom w:val="single" w:sz="4" w:space="0" w:color="auto"/>
                </w:tcBorders>
              </w:tcPr>
              <w:p>
                <w:pPr>
                  <w:rPr>
                    <w:b/>
                    <w:i/>
                    <w:color w:val="000000"/>
                    <w:szCs w:val="24"/>
                  </w:rPr>
                </w:pPr>
                <w:r>
                  <w:rPr>
                    <w:color w:val="000000"/>
                    <w:szCs w:val="24"/>
                  </w:rPr>
                  <w:t xml:space="preserve">1.7. Naujagimiui apsilankius PASPĮ,  įvertinti jo sveikatos būklę. </w:t>
                </w:r>
              </w:p>
              <w:p>
                <w:pPr>
                  <w:rPr>
                    <w:sz w:val="10"/>
                    <w:szCs w:val="10"/>
                  </w:rPr>
                </w:pPr>
              </w:p>
              <w:p>
                <w:pPr>
                  <w:rPr>
                    <w:color w:val="000000"/>
                    <w:szCs w:val="24"/>
                  </w:rPr>
                </w:pPr>
                <w:r>
                  <w:rPr>
                    <w:color w:val="000000"/>
                    <w:szCs w:val="24"/>
                  </w:rPr>
                  <w:t>1.8. Skatinti motiną naujagimį maitinti krūtimi.</w:t>
                </w:r>
              </w:p>
              <w:p>
                <w:pPr>
                  <w:rPr>
                    <w:color w:val="000000"/>
                    <w:szCs w:val="24"/>
                  </w:rPr>
                </w:pPr>
                <w:r>
                  <w:rPr>
                    <w:color w:val="000000"/>
                    <w:szCs w:val="24"/>
                  </w:rPr>
                  <w:t xml:space="preserve">1.9. Rachito profilaktika. </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tc>
            <w:tc>
              <w:tcPr>
                <w:tcW w:w="2268" w:type="dxa"/>
              </w:tcPr>
              <w:p>
                <w:pPr>
                  <w:widowControl w:val="0"/>
                  <w:rPr>
                    <w:color w:val="000000"/>
                    <w:szCs w:val="24"/>
                  </w:rPr>
                </w:pPr>
                <w:r>
                  <w:rPr>
                    <w:color w:val="000000"/>
                    <w:szCs w:val="24"/>
                  </w:rPr>
                  <w:t>Slaugytojas arba akušeris</w:t>
                </w:r>
              </w:p>
            </w:tc>
            <w:tc>
              <w:tcPr>
                <w:tcW w:w="4536" w:type="dxa"/>
                <w:tcBorders>
                  <w:bottom w:val="single" w:sz="4" w:space="0" w:color="auto"/>
                </w:tcBorders>
              </w:tcPr>
              <w:p>
                <w:pPr>
                  <w:widowControl w:val="0"/>
                  <w:rPr>
                    <w:color w:val="000000"/>
                    <w:szCs w:val="24"/>
                  </w:rPr>
                </w:pPr>
                <w:r>
                  <w:rPr>
                    <w:color w:val="000000"/>
                    <w:szCs w:val="24"/>
                  </w:rPr>
                  <w:t>1.10. Įvertinti naujagimio priežiūros kokybę.</w:t>
                </w:r>
              </w:p>
              <w:p>
                <w:pPr>
                  <w:widowControl w:val="0"/>
                  <w:rPr>
                    <w:color w:val="000000"/>
                    <w:szCs w:val="24"/>
                  </w:rPr>
                </w:pPr>
                <w:r>
                  <w:rPr>
                    <w:color w:val="000000"/>
                    <w:szCs w:val="24"/>
                  </w:rPr>
                  <w:t xml:space="preserve">1.11. Paaiškinti maitinimo krūtimi, dienos, mitybos režimo reikšmę, migdymo padėtį, šeimos sanitarinį higieninį pasirengimą. </w:t>
                </w:r>
              </w:p>
              <w:p>
                <w:pPr>
                  <w:rPr>
                    <w:b/>
                    <w:i/>
                    <w:color w:val="000000"/>
                    <w:szCs w:val="24"/>
                  </w:rPr>
                </w:pPr>
                <w:r>
                  <w:rPr>
                    <w:color w:val="000000"/>
                    <w:szCs w:val="24"/>
                  </w:rPr>
                  <w:t>1.12. Informuoti tėvus apie sveikos gyvensenos ugdymą, ligų, traumų, uždusimo, apsinuodijimo, nudegimų, prievartos profilaktiką, imunoprofilaktiką.</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74"/>
            </w:trPr>
            <w:tc>
              <w:tcPr>
                <w:tcW w:w="568" w:type="dxa"/>
                <w:vMerge w:val="restart"/>
              </w:tcPr>
              <w:p>
                <w:pPr>
                  <w:keepNext/>
                  <w:keepLines/>
                  <w:jc w:val="both"/>
                  <w:rPr>
                    <w:color w:val="000000"/>
                    <w:szCs w:val="24"/>
                  </w:rPr>
                </w:pPr>
                <w:r>
                  <w:rPr>
                    <w:color w:val="000000"/>
                    <w:szCs w:val="24"/>
                  </w:rPr>
                  <w:t>2.</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keepNext/>
                  <w:keepLines/>
                  <w:rPr>
                    <w:color w:val="000000"/>
                    <w:szCs w:val="24"/>
                  </w:rPr>
                </w:pPr>
                <w:r>
                  <w:rPr>
                    <w:color w:val="000000"/>
                    <w:szCs w:val="24"/>
                  </w:rPr>
                  <w:t>Kūdikis</w:t>
                </w:r>
              </w:p>
              <w:p>
                <w:pPr>
                  <w:keepNext/>
                  <w:keepLines/>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p>
                <w:pPr>
                  <w:keepNext/>
                  <w:keepLines/>
                  <w:rPr>
                    <w:color w:val="000000"/>
                    <w:szCs w:val="24"/>
                  </w:rPr>
                </w:pPr>
              </w:p>
            </w:tc>
            <w:tc>
              <w:tcPr>
                <w:tcW w:w="2268" w:type="dxa"/>
              </w:tcPr>
              <w:p>
                <w:pPr>
                  <w:rPr>
                    <w:color w:val="000000"/>
                    <w:szCs w:val="24"/>
                  </w:rPr>
                </w:pPr>
                <w:r>
                  <w:rPr>
                    <w:color w:val="000000"/>
                    <w:szCs w:val="24"/>
                  </w:rPr>
                  <w:t>Gydytojas</w:t>
                </w:r>
              </w:p>
              <w:p>
                <w:pPr>
                  <w:widowControl w:val="0"/>
                  <w:rPr>
                    <w:color w:val="000000"/>
                    <w:szCs w:val="24"/>
                  </w:rPr>
                </w:pPr>
              </w:p>
            </w:tc>
            <w:tc>
              <w:tcPr>
                <w:tcW w:w="4536" w:type="dxa"/>
              </w:tcPr>
              <w:p>
                <w:pPr>
                  <w:rPr>
                    <w:color w:val="000000"/>
                    <w:szCs w:val="24"/>
                  </w:rPr>
                </w:pPr>
                <w:r>
                  <w:rPr>
                    <w:color w:val="000000"/>
                    <w:szCs w:val="24"/>
                  </w:rPr>
                  <w:t xml:space="preserve">2.1. Kiekvieno apsilankymo metu įvertinti kūdikio sveikatos būklę, fizinę būklę pagal atitinkamą ūgio ir  svorio kitimo  diagramą, nubrėžiant asmeninę augimo kreivę. </w:t>
                </w:r>
              </w:p>
              <w:p>
                <w:pPr>
                  <w:keepNext/>
                  <w:keepLines/>
                  <w:rPr>
                    <w:color w:val="000000"/>
                    <w:szCs w:val="24"/>
                  </w:rPr>
                </w:pPr>
                <w:r>
                  <w:rPr>
                    <w:color w:val="000000"/>
                    <w:szCs w:val="24"/>
                  </w:rPr>
                  <w:t>2.</w:t>
                </w:r>
                <w:r>
                  <w:rPr>
                    <w:i/>
                    <w:color w:val="000000"/>
                    <w:szCs w:val="24"/>
                  </w:rPr>
                  <w:t>2.</w:t>
                </w:r>
                <w:r>
                  <w:rPr>
                    <w:color w:val="000000"/>
                    <w:szCs w:val="24"/>
                  </w:rPr>
                  <w:t xml:space="preserve"> Nustatyti ir įvertinti rizikos sveikatai veiksnius. Atkreipti dėmesį į klubo sąnarių būklę, širdies veiklą, momenėlio būklę, raumenų tonusą. </w:t>
                </w:r>
              </w:p>
              <w:p>
                <w:pPr>
                  <w:rPr>
                    <w:color w:val="000000"/>
                    <w:szCs w:val="24"/>
                  </w:rPr>
                </w:pPr>
                <w:r>
                  <w:rPr>
                    <w:color w:val="000000"/>
                    <w:szCs w:val="24"/>
                  </w:rPr>
                  <w:t>2.3. Atlikti, patikrinti ir įvertinti:</w:t>
                </w:r>
              </w:p>
              <w:p>
                <w:pPr>
                  <w:rPr>
                    <w:color w:val="000000"/>
                    <w:szCs w:val="24"/>
                  </w:rPr>
                </w:pPr>
                <w:r>
                  <w:rPr>
                    <w:color w:val="000000"/>
                    <w:szCs w:val="24"/>
                  </w:rPr>
                  <w:t>2.3.1. 3 mėn. ir 6 mėn. amžiaus kūdikio psichomotorinę raidą;</w:t>
                </w:r>
              </w:p>
            </w:tc>
            <w:tc>
              <w:tcPr>
                <w:tcW w:w="1701" w:type="dxa"/>
                <w:vMerge w:val="restart"/>
              </w:tcPr>
              <w:p>
                <w:pPr>
                  <w:widowControl w:val="0"/>
                  <w:rPr>
                    <w:color w:val="000000"/>
                    <w:szCs w:val="24"/>
                  </w:rPr>
                </w:pPr>
              </w:p>
              <w:p>
                <w:pPr>
                  <w:rPr>
                    <w:color w:val="000000"/>
                    <w:szCs w:val="24"/>
                  </w:rPr>
                </w:pPr>
              </w:p>
              <w:p>
                <w:pPr>
                  <w:rPr>
                    <w:color w:val="000000"/>
                    <w:szCs w:val="24"/>
                  </w:rPr>
                </w:pPr>
              </w:p>
            </w:tc>
            <w:tc>
              <w:tcPr>
                <w:tcW w:w="1559" w:type="dxa"/>
                <w:vMerge w:val="restart"/>
              </w:tcPr>
              <w:p>
                <w:pPr>
                  <w:rPr>
                    <w:color w:val="000000"/>
                    <w:szCs w:val="24"/>
                  </w:rPr>
                </w:pPr>
              </w:p>
            </w:tc>
            <w:tc>
              <w:tcPr>
                <w:tcW w:w="1701" w:type="dxa"/>
                <w:vMerge w:val="restart"/>
              </w:tcPr>
              <w:p>
                <w:pPr>
                  <w:keepNext/>
                  <w:keepLines/>
                  <w:rPr>
                    <w:color w:val="000000"/>
                    <w:szCs w:val="24"/>
                  </w:rPr>
                </w:pPr>
              </w:p>
            </w:tc>
          </w:tr>
          <w:tr>
            <w:trPr>
              <w:trHeight w:val="1683"/>
            </w:trPr>
            <w:tc>
              <w:tcPr>
                <w:tcW w:w="568" w:type="dxa"/>
                <w:vMerge/>
              </w:tcPr>
              <w:p>
                <w:pPr>
                  <w:keepNext/>
                  <w:keepLines/>
                  <w:jc w:val="both"/>
                  <w:rPr>
                    <w:color w:val="000000"/>
                    <w:szCs w:val="24"/>
                  </w:rPr>
                </w:pPr>
              </w:p>
            </w:tc>
            <w:tc>
              <w:tcPr>
                <w:tcW w:w="1276" w:type="dxa"/>
                <w:vMerge/>
              </w:tcPr>
              <w:p>
                <w:pPr>
                  <w:keepNext/>
                  <w:keepLines/>
                  <w:jc w:val="center"/>
                  <w:rPr>
                    <w:color w:val="000000"/>
                    <w:szCs w:val="24"/>
                  </w:rPr>
                </w:pPr>
              </w:p>
            </w:tc>
            <w:tc>
              <w:tcPr>
                <w:tcW w:w="1701" w:type="dxa"/>
              </w:tcPr>
              <w:p>
                <w:pPr>
                  <w:keepNext/>
                  <w:keepLines/>
                  <w:rPr>
                    <w:color w:val="000000"/>
                    <w:szCs w:val="24"/>
                  </w:rPr>
                </w:pPr>
                <w:r>
                  <w:rPr>
                    <w:color w:val="000000"/>
                    <w:szCs w:val="24"/>
                  </w:rPr>
                  <w:t xml:space="preserve">4–6 mėn. amžiaus 1 kartą </w:t>
                </w:r>
              </w:p>
            </w:tc>
            <w:tc>
              <w:tcPr>
                <w:tcW w:w="2268" w:type="dxa"/>
              </w:tcPr>
              <w:p>
                <w:pPr>
                  <w:rPr>
                    <w:color w:val="000000"/>
                    <w:szCs w:val="24"/>
                  </w:rPr>
                </w:pPr>
                <w:r>
                  <w:rPr>
                    <w:color w:val="000000"/>
                    <w:szCs w:val="24"/>
                  </w:rPr>
                  <w:t xml:space="preserve">Gydytojas </w:t>
                </w:r>
              </w:p>
            </w:tc>
            <w:tc>
              <w:tcPr>
                <w:tcW w:w="4536" w:type="dxa"/>
              </w:tcPr>
              <w:p>
                <w:pPr>
                  <w:rPr>
                    <w:color w:val="000000"/>
                    <w:szCs w:val="24"/>
                  </w:rPr>
                </w:pPr>
                <w:r>
                  <w:rPr>
                    <w:color w:val="000000"/>
                    <w:szCs w:val="24"/>
                  </w:rPr>
                  <w:t xml:space="preserve">2.3.2. bendrą kraujo tyrimą (kūdikio, priskirto rizikos grupei: jeigu jis gimė neišnešiotas, jei buvo  ABO ar Rh nesuderinamumas; įgimtos infekcijos; iš daugiavaisio nėštumo, mažo gimimo svorio (&lt;2500g).</w:t>
                </w:r>
              </w:p>
            </w:tc>
            <w:tc>
              <w:tcPr>
                <w:tcW w:w="1701" w:type="dxa"/>
                <w:vMerge/>
              </w:tcPr>
              <w:p>
                <w:pPr>
                  <w:widowControl w:val="0"/>
                  <w:rPr>
                    <w:color w:val="000000"/>
                    <w:szCs w:val="24"/>
                  </w:rPr>
                </w:pPr>
              </w:p>
            </w:tc>
            <w:tc>
              <w:tcPr>
                <w:tcW w:w="1559" w:type="dxa"/>
                <w:vMerge/>
              </w:tcPr>
              <w:p>
                <w:pPr>
                  <w:rPr>
                    <w:color w:val="000000"/>
                    <w:szCs w:val="24"/>
                  </w:rPr>
                </w:pPr>
              </w:p>
            </w:tc>
            <w:tc>
              <w:tcPr>
                <w:tcW w:w="1701" w:type="dxa"/>
                <w:vMerge/>
              </w:tcPr>
              <w:p>
                <w:pPr>
                  <w:keepNext/>
                  <w:keepLines/>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tc>
            <w:tc>
              <w:tcPr>
                <w:tcW w:w="2268" w:type="dxa"/>
                <w:tcBorders>
                  <w:bottom w:val="single" w:sz="4" w:space="0" w:color="auto"/>
                </w:tcBorders>
              </w:tcPr>
              <w:p>
                <w:pPr>
                  <w:widowControl w:val="0"/>
                  <w:rPr>
                    <w:color w:val="000000"/>
                    <w:szCs w:val="24"/>
                  </w:rPr>
                </w:pPr>
                <w:r>
                  <w:rPr>
                    <w:color w:val="000000"/>
                    <w:szCs w:val="24"/>
                  </w:rPr>
                  <w:t>Slaugytojas</w:t>
                </w:r>
              </w:p>
            </w:tc>
            <w:tc>
              <w:tcPr>
                <w:tcW w:w="4536" w:type="dxa"/>
                <w:tcBorders>
                  <w:bottom w:val="single" w:sz="4" w:space="0" w:color="auto"/>
                </w:tcBorders>
              </w:tcPr>
              <w:p>
                <w:pPr>
                  <w:rPr>
                    <w:color w:val="000000"/>
                    <w:szCs w:val="24"/>
                  </w:rPr>
                </w:pPr>
                <w:r>
                  <w:rPr>
                    <w:color w:val="000000"/>
                    <w:szCs w:val="24"/>
                  </w:rPr>
                  <w:t xml:space="preserve">2.4. Kiekvieno apsilankymo metu pamatuoti kūdikio galvos apimtį, ūgį ir svorį, įrašyti jų kitimą į  atitinkamas ūgio ir svorio kitimo diagramas. </w:t>
                </w:r>
              </w:p>
              <w:p>
                <w:pPr>
                  <w:rPr>
                    <w:color w:val="000000"/>
                    <w:szCs w:val="24"/>
                  </w:rPr>
                </w:pPr>
                <w:r>
                  <w:rPr>
                    <w:color w:val="000000"/>
                    <w:szCs w:val="24"/>
                  </w:rPr>
                  <w:t xml:space="preserve">2.5. Suteikti žinių apie kūdikio aplinkos higieną ir jos saugumą. </w:t>
                </w:r>
              </w:p>
              <w:p>
                <w:pPr>
                  <w:rPr>
                    <w:color w:val="000000"/>
                    <w:szCs w:val="24"/>
                  </w:rPr>
                </w:pPr>
                <w:r>
                  <w:rPr>
                    <w:color w:val="000000"/>
                    <w:szCs w:val="24"/>
                  </w:rPr>
                  <w:t xml:space="preserve">2.6. Informuoti tėvus apie ligų ir traumų, nudegimų ir prievartos profilaktiką, imunoprofilaktiką. </w:t>
                </w:r>
              </w:p>
              <w:p>
                <w:pPr>
                  <w:rPr>
                    <w:color w:val="000000"/>
                    <w:szCs w:val="24"/>
                  </w:rPr>
                </w:pPr>
                <w:r>
                  <w:rPr>
                    <w:color w:val="000000"/>
                    <w:szCs w:val="24"/>
                  </w:rPr>
                  <w:t>2.7. Padėti formuoti racionalios kūdikio ir motinos mitybos įgūdžius, skatinti maitinimą krūtimi.</w:t>
                </w:r>
              </w:p>
              <w:p>
                <w:pPr>
                  <w:rPr>
                    <w:color w:val="000000"/>
                    <w:szCs w:val="24"/>
                  </w:rPr>
                </w:pPr>
                <w:r>
                  <w:rPr>
                    <w:color w:val="000000"/>
                    <w:szCs w:val="24"/>
                  </w:rPr>
                  <w:t>2.8. Informuoti tėvus apie dantų ėduonies profilaktiką ir pamokyti burnos higienos pagrindų – išdygus pirmajam dančiui mokyti jį valyti.</w:t>
                </w:r>
              </w:p>
              <w:p>
                <w:pPr>
                  <w:rPr>
                    <w:color w:val="000000"/>
                    <w:szCs w:val="24"/>
                  </w:rPr>
                </w:pPr>
                <w:r>
                  <w:rPr>
                    <w:color w:val="000000"/>
                    <w:szCs w:val="24"/>
                  </w:rPr>
                  <w:t xml:space="preserve">2.9. Atkreipti dėmesį dėl motinos pogimdyminės depresijos pasireiškimo. </w:t>
                </w:r>
              </w:p>
            </w:tc>
            <w:tc>
              <w:tcPr>
                <w:tcW w:w="1701" w:type="dxa"/>
                <w:vMerge/>
                <w:tcBorders>
                  <w:bottom w:val="single" w:sz="4" w:space="0" w:color="auto"/>
                </w:tcBorders>
              </w:tcPr>
              <w:p>
                <w:pPr>
                  <w:rPr>
                    <w:b/>
                    <w:color w:val="000000"/>
                    <w:szCs w:val="24"/>
                  </w:rPr>
                </w:pPr>
              </w:p>
            </w:tc>
            <w:tc>
              <w:tcPr>
                <w:tcW w:w="1559" w:type="dxa"/>
                <w:vMerge/>
                <w:tcBorders>
                  <w:bottom w:val="single" w:sz="4" w:space="0" w:color="auto"/>
                </w:tcBorders>
              </w:tcPr>
              <w:p>
                <w:pPr>
                  <w:widowControl w:val="0"/>
                  <w:rPr>
                    <w:b/>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tc>
            <w:tc>
              <w:tcPr>
                <w:tcW w:w="2268" w:type="dxa"/>
              </w:tcPr>
              <w:p>
                <w:pPr>
                  <w:rPr>
                    <w:color w:val="000000"/>
                    <w:szCs w:val="24"/>
                  </w:rPr>
                </w:pPr>
                <w:r>
                  <w:rPr>
                    <w:color w:val="000000"/>
                    <w:szCs w:val="24"/>
                  </w:rPr>
                  <w:t>Gydytojas</w:t>
                </w:r>
              </w:p>
              <w:p>
                <w:pPr>
                  <w:rPr>
                    <w:color w:val="000000"/>
                    <w:szCs w:val="24"/>
                  </w:rPr>
                </w:pPr>
              </w:p>
            </w:tc>
            <w:tc>
              <w:tcPr>
                <w:tcW w:w="4536" w:type="dxa"/>
                <w:tcBorders>
                  <w:top w:val="single" w:sz="4" w:space="0" w:color="auto"/>
                  <w:bottom w:val="single" w:sz="4" w:space="0" w:color="auto"/>
                </w:tcBorders>
              </w:tcPr>
              <w:p>
                <w:pPr>
                  <w:rPr>
                    <w:color w:val="000000"/>
                    <w:szCs w:val="24"/>
                  </w:rPr>
                </w:pPr>
                <w:r>
                  <w:rPr>
                    <w:color w:val="000000"/>
                    <w:szCs w:val="24"/>
                  </w:rPr>
                  <w:t xml:space="preserve">2.10. Kiekvieno apsilankymo metu įvertinti  kūdikio sveikatos būklę, atkreipti dėmesį į regėjimo organus</w:t>
                </w:r>
                <w:r>
                  <w:rPr>
                    <w:color w:val="000000"/>
                    <w:szCs w:val="24"/>
                    <w:lang w:val="pl-PL"/>
                  </w:rPr>
                  <w:t xml:space="preserve">, </w:t>
                </w:r>
                <w:r>
                  <w:rPr>
                    <w:color w:val="000000"/>
                    <w:szCs w:val="24"/>
                  </w:rPr>
                  <w:t xml:space="preserve">klubo sąnarių būklę, fizinę būklę pagal atitinkamą ūgio ir svorio kitimo diagramą, nubrėžiant asmeninę augimo kreivę. </w:t>
                </w:r>
              </w:p>
              <w:p>
                <w:pPr>
                  <w:rPr>
                    <w:color w:val="000000"/>
                    <w:szCs w:val="24"/>
                  </w:rPr>
                </w:pPr>
                <w:r>
                  <w:rPr>
                    <w:color w:val="000000"/>
                    <w:szCs w:val="24"/>
                  </w:rPr>
                  <w:t>2.11. Atlikti, patikrinti ir įvertinti:</w:t>
                </w:r>
              </w:p>
              <w:p>
                <w:pPr>
                  <w:rPr>
                    <w:color w:val="000000"/>
                    <w:szCs w:val="24"/>
                  </w:rPr>
                </w:pPr>
                <w:r>
                  <w:rPr>
                    <w:color w:val="000000"/>
                    <w:szCs w:val="24"/>
                  </w:rPr>
                  <w:t xml:space="preserve">2.12. 9 mėn. amžiaus kūdikio psichomotorinę  raidą;</w:t>
                </w:r>
              </w:p>
            </w:tc>
            <w:tc>
              <w:tcPr>
                <w:tcW w:w="1701" w:type="dxa"/>
              </w:tcPr>
              <w:p>
                <w:pPr>
                  <w:rPr>
                    <w:color w:val="000000"/>
                    <w:szCs w:val="24"/>
                  </w:rPr>
                </w:pPr>
                <w:r>
                  <w:rPr>
                    <w:color w:val="000000"/>
                    <w:szCs w:val="24"/>
                  </w:rPr>
                  <w:t xml:space="preserve">9–11 mėn. amžiaus </w:t>
                </w:r>
              </w:p>
              <w:p>
                <w:pPr>
                  <w:rPr>
                    <w:color w:val="000000"/>
                    <w:szCs w:val="24"/>
                  </w:rPr>
                </w:pPr>
                <w:r>
                  <w:rPr>
                    <w:color w:val="000000"/>
                    <w:szCs w:val="24"/>
                  </w:rPr>
                  <w:t xml:space="preserve">1 kartą </w:t>
                </w:r>
              </w:p>
              <w:p>
                <w:pPr>
                  <w:rPr>
                    <w:color w:val="000000"/>
                    <w:szCs w:val="24"/>
                  </w:rPr>
                </w:pPr>
              </w:p>
            </w:tc>
            <w:tc>
              <w:tcPr>
                <w:tcW w:w="1559" w:type="dxa"/>
              </w:tcPr>
              <w:p>
                <w:pPr>
                  <w:widowControl w:val="0"/>
                  <w:rPr>
                    <w:color w:val="000000"/>
                    <w:szCs w:val="24"/>
                  </w:rPr>
                </w:pPr>
                <w:r>
                  <w:rPr>
                    <w:color w:val="000000"/>
                    <w:szCs w:val="24"/>
                  </w:rPr>
                  <w:t>Vaikų ligų gydytojas</w:t>
                </w:r>
              </w:p>
            </w:tc>
            <w:tc>
              <w:tcPr>
                <w:tcW w:w="1701" w:type="dxa"/>
              </w:tcPr>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9–12 mėn. amžiaus 1 kartą </w:t>
                </w:r>
              </w:p>
            </w:tc>
            <w:tc>
              <w:tcPr>
                <w:tcW w:w="2268" w:type="dxa"/>
              </w:tcPr>
              <w:p>
                <w:pPr>
                  <w:rPr>
                    <w:color w:val="000000"/>
                    <w:szCs w:val="24"/>
                  </w:rPr>
                </w:pPr>
                <w:r>
                  <w:rPr>
                    <w:color w:val="000000"/>
                    <w:szCs w:val="24"/>
                  </w:rPr>
                  <w:t xml:space="preserve">Gydytojas </w:t>
                </w:r>
              </w:p>
            </w:tc>
            <w:tc>
              <w:tcPr>
                <w:tcW w:w="4536" w:type="dxa"/>
                <w:tcBorders>
                  <w:top w:val="single" w:sz="4" w:space="0" w:color="auto"/>
                  <w:bottom w:val="single" w:sz="4" w:space="0" w:color="auto"/>
                </w:tcBorders>
              </w:tcPr>
              <w:p>
                <w:pPr>
                  <w:rPr>
                    <w:color w:val="000000"/>
                    <w:szCs w:val="24"/>
                  </w:rPr>
                </w:pPr>
                <w:r>
                  <w:rPr>
                    <w:color w:val="000000"/>
                    <w:szCs w:val="24"/>
                  </w:rPr>
                  <w:t xml:space="preserve">2.13. bendrą kraujo tyrimą. </w:t>
                </w:r>
              </w:p>
            </w:tc>
            <w:tc>
              <w:tcPr>
                <w:tcW w:w="1701" w:type="dxa"/>
                <w:vMerge w:val="restart"/>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rPr>
                    <w:color w:val="000000"/>
                    <w:szCs w:val="24"/>
                    <w:lang w:val="pl-PL"/>
                  </w:rPr>
                </w:pPr>
              </w:p>
              <w:p>
                <w:pPr>
                  <w:rPr>
                    <w:color w:val="000000"/>
                    <w:szCs w:val="24"/>
                  </w:rPr>
                </w:pPr>
              </w:p>
              <w:p>
                <w:pPr>
                  <w:rPr>
                    <w:color w:val="000000"/>
                    <w:szCs w:val="24"/>
                  </w:rPr>
                </w:pPr>
              </w:p>
            </w:tc>
            <w:tc>
              <w:tcPr>
                <w:tcW w:w="1701" w:type="dxa"/>
                <w:vMerge w:val="restart"/>
              </w:tcPr>
              <w:p>
                <w:pPr>
                  <w:rPr>
                    <w:color w:val="000000"/>
                    <w:szCs w:val="24"/>
                  </w:rPr>
                </w:pPr>
              </w:p>
              <w:p>
                <w:pPr>
                  <w:rPr>
                    <w:color w:val="000000"/>
                    <w:szCs w:val="24"/>
                  </w:rPr>
                </w:pPr>
              </w:p>
              <w:p>
                <w:pPr>
                  <w:rPr>
                    <w:color w:val="000000"/>
                    <w:szCs w:val="24"/>
                  </w:rPr>
                </w:pPr>
              </w:p>
            </w:tc>
          </w:tr>
          <w:tr>
            <w:trPr>
              <w:trHeight w:val="3826"/>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p>
                <w:pPr>
                  <w:rPr>
                    <w:color w:val="000000"/>
                    <w:szCs w:val="24"/>
                  </w:rPr>
                </w:pPr>
              </w:p>
            </w:tc>
            <w:tc>
              <w:tcPr>
                <w:tcW w:w="2268" w:type="dxa"/>
              </w:tcPr>
              <w:p>
                <w:pPr>
                  <w:widowControl w:val="0"/>
                  <w:rPr>
                    <w:color w:val="000000"/>
                    <w:szCs w:val="24"/>
                  </w:rPr>
                </w:pPr>
                <w:r>
                  <w:rPr>
                    <w:color w:val="000000"/>
                    <w:szCs w:val="24"/>
                  </w:rPr>
                  <w:t>Slaugytojas</w:t>
                </w:r>
              </w:p>
            </w:tc>
            <w:tc>
              <w:tcPr>
                <w:tcW w:w="4536" w:type="dxa"/>
                <w:tcBorders>
                  <w:top w:val="single" w:sz="4" w:space="0" w:color="auto"/>
                  <w:bottom w:val="single" w:sz="4" w:space="0" w:color="auto"/>
                </w:tcBorders>
              </w:tcPr>
              <w:p>
                <w:pPr>
                  <w:rPr>
                    <w:color w:val="000000"/>
                    <w:szCs w:val="24"/>
                  </w:rPr>
                </w:pPr>
                <w:r>
                  <w:rPr>
                    <w:color w:val="000000"/>
                    <w:szCs w:val="24"/>
                  </w:rPr>
                  <w:t xml:space="preserve">2.14. Kiekvieno apsilankymo metu pamatuoti galvos apimtį, ūgį ir svorį, įrašyti jų kitimą į atitinkamas diagramas bei svorio priklausomybės nuo ūgio kitimo diagramą. </w:t>
                </w:r>
              </w:p>
              <w:p>
                <w:pPr>
                  <w:rPr>
                    <w:color w:val="000000"/>
                    <w:szCs w:val="24"/>
                  </w:rPr>
                </w:pPr>
                <w:r>
                  <w:rPr>
                    <w:color w:val="000000"/>
                    <w:szCs w:val="24"/>
                  </w:rPr>
                  <w:t xml:space="preserve">2.15. Paaiškinti apie kūdikio aplinkos saugumą. </w:t>
                </w:r>
              </w:p>
              <w:p>
                <w:pPr>
                  <w:rPr>
                    <w:color w:val="000000"/>
                    <w:szCs w:val="24"/>
                  </w:rPr>
                </w:pPr>
                <w:r>
                  <w:rPr>
                    <w:color w:val="000000"/>
                    <w:szCs w:val="24"/>
                  </w:rPr>
                  <w:t xml:space="preserve">2.16. Padėti formuoti racionalios kūdikio ir šeimos mitybos įgūdžius. </w:t>
                </w:r>
              </w:p>
              <w:p>
                <w:pPr>
                  <w:rPr>
                    <w:color w:val="000000"/>
                    <w:szCs w:val="24"/>
                  </w:rPr>
                </w:pPr>
                <w:r>
                  <w:rPr>
                    <w:color w:val="000000"/>
                    <w:szCs w:val="24"/>
                  </w:rPr>
                  <w:t>2.17. Informuoti tėvus:</w:t>
                </w:r>
              </w:p>
              <w:p>
                <w:pPr>
                  <w:rPr>
                    <w:color w:val="000000"/>
                    <w:szCs w:val="24"/>
                  </w:rPr>
                </w:pPr>
                <w:r>
                  <w:rPr>
                    <w:color w:val="000000"/>
                    <w:szCs w:val="24"/>
                  </w:rPr>
                  <w:t>2.17.1. apie ligų ir traumų, nudegimų, prievartos profilaktiką, imunoprofilaktiką;</w:t>
                </w:r>
              </w:p>
              <w:p>
                <w:pPr>
                  <w:rPr>
                    <w:b/>
                    <w:color w:val="000000"/>
                    <w:szCs w:val="24"/>
                  </w:rPr>
                </w:pPr>
                <w:r>
                  <w:rPr>
                    <w:color w:val="000000"/>
                    <w:szCs w:val="24"/>
                  </w:rPr>
                  <w:t>2.17.2. apie dantų ėduonies profilaktiką ir pamokyti burnos higienos pagrindų – išdygus pirmajam dančiui mokyti jį valyti.</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Pr>
              <w:p>
                <w:pPr>
                  <w:rPr>
                    <w:color w:val="000000"/>
                    <w:szCs w:val="24"/>
                  </w:rPr>
                </w:pPr>
              </w:p>
            </w:tc>
          </w:tr>
          <w:tr>
            <w:trPr>
              <w:trHeight w:val="2113"/>
            </w:trPr>
            <w:tc>
              <w:tcPr>
                <w:tcW w:w="568" w:type="dxa"/>
                <w:vMerge w:val="restart"/>
              </w:tcPr>
              <w:p>
                <w:pPr>
                  <w:jc w:val="both"/>
                  <w:rPr>
                    <w:color w:val="000000"/>
                    <w:szCs w:val="24"/>
                  </w:rPr>
                </w:pPr>
                <w:r>
                  <w:rPr>
                    <w:color w:val="000000"/>
                    <w:szCs w:val="24"/>
                  </w:rPr>
                  <w:t>3.</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rPr>
                    <w:color w:val="000000"/>
                    <w:szCs w:val="24"/>
                  </w:rPr>
                </w:pPr>
                <w:r>
                  <w:rPr>
                    <w:color w:val="000000"/>
                    <w:szCs w:val="24"/>
                  </w:rPr>
                  <w:t xml:space="preserve">Ankstyvojo amžiaus vaikas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ind w:firstLine="60"/>
                  <w:rPr>
                    <w:color w:val="000000"/>
                    <w:szCs w:val="24"/>
                  </w:rPr>
                </w:pPr>
              </w:p>
            </w:tc>
            <w:tc>
              <w:tcPr>
                <w:tcW w:w="2268" w:type="dxa"/>
              </w:tcPr>
              <w:p>
                <w:pPr>
                  <w:widowControl w:val="0"/>
                  <w:rPr>
                    <w:color w:val="000000"/>
                    <w:szCs w:val="24"/>
                  </w:rPr>
                </w:pPr>
                <w:r>
                  <w:rPr>
                    <w:color w:val="000000"/>
                    <w:szCs w:val="24"/>
                  </w:rPr>
                  <w:t>Gydytojas</w:t>
                </w:r>
              </w:p>
            </w:tc>
            <w:tc>
              <w:tcPr>
                <w:tcW w:w="4536" w:type="dxa"/>
                <w:tcBorders>
                  <w:top w:val="single" w:sz="4" w:space="0" w:color="auto"/>
                </w:tcBorders>
              </w:tcPr>
              <w:p>
                <w:pPr>
                  <w:rPr>
                    <w:color w:val="000000"/>
                    <w:szCs w:val="24"/>
                  </w:rPr>
                </w:pPr>
                <w:r>
                  <w:rPr>
                    <w:color w:val="000000"/>
                    <w:szCs w:val="24"/>
                  </w:rPr>
                  <w:t>3.1. Kiekvieno apsilankymo metu įvertinti:</w:t>
                </w:r>
              </w:p>
              <w:p>
                <w:pPr>
                  <w:rPr>
                    <w:color w:val="000000"/>
                    <w:szCs w:val="24"/>
                  </w:rPr>
                </w:pPr>
                <w:r>
                  <w:rPr>
                    <w:color w:val="000000"/>
                    <w:szCs w:val="24"/>
                  </w:rPr>
                  <w:t>3.1.1. vaiko sveikatos būklę;</w:t>
                </w:r>
              </w:p>
              <w:p>
                <w:pPr>
                  <w:rPr>
                    <w:color w:val="000000"/>
                    <w:szCs w:val="24"/>
                  </w:rPr>
                </w:pPr>
                <w:r>
                  <w:rPr>
                    <w:color w:val="000000"/>
                    <w:szCs w:val="24"/>
                  </w:rPr>
                  <w:t xml:space="preserve">3.1.2. fizinę būklę pagal galvos apimties bei  svorio priklausomybės nuo ūgio kitimo diagramas pagal lytį nuo gimimo iki 2 metų, o nuo 2 metų amžiaus – pagal asmenines svorio priklausomybės nuo ūgio kitimo kreives pagal lytį;</w:t>
                </w:r>
              </w:p>
              <w:p>
                <w:pPr>
                  <w:rPr>
                    <w:color w:val="000000"/>
                    <w:szCs w:val="24"/>
                  </w:rPr>
                </w:pPr>
                <w:r>
                  <w:rPr>
                    <w:color w:val="000000"/>
                    <w:szCs w:val="24"/>
                  </w:rPr>
                  <w:t>3.1.3. regėjimą;</w:t>
                </w:r>
              </w:p>
              <w:p>
                <w:pPr>
                  <w:rPr>
                    <w:color w:val="000000"/>
                    <w:szCs w:val="24"/>
                  </w:rPr>
                </w:pPr>
                <w:r>
                  <w:rPr>
                    <w:color w:val="000000"/>
                    <w:szCs w:val="24"/>
                  </w:rPr>
                  <w:t>3.1.4. atramos judamąjį aparatą;</w:t>
                </w:r>
              </w:p>
              <w:p>
                <w:pPr>
                  <w:rPr>
                    <w:color w:val="000000"/>
                    <w:szCs w:val="24"/>
                  </w:rPr>
                </w:pPr>
                <w:r>
                  <w:rPr>
                    <w:color w:val="000000"/>
                    <w:szCs w:val="24"/>
                  </w:rPr>
                  <w:t>3.1.5. klausą.</w:t>
                </w:r>
              </w:p>
              <w:p>
                <w:pPr>
                  <w:rPr>
                    <w:color w:val="000000"/>
                    <w:szCs w:val="24"/>
                  </w:rPr>
                </w:pPr>
                <w:r>
                  <w:rPr>
                    <w:color w:val="000000"/>
                    <w:szCs w:val="24"/>
                  </w:rPr>
                  <w:t>3.2. Atlikti, patikrinti ir įvertinti:</w:t>
                </w:r>
              </w:p>
              <w:p>
                <w:pPr>
                  <w:rPr>
                    <w:color w:val="000000"/>
                    <w:szCs w:val="24"/>
                  </w:rPr>
                </w:pPr>
                <w:r>
                  <w:rPr>
                    <w:color w:val="000000"/>
                    <w:szCs w:val="24"/>
                  </w:rPr>
                  <w:t xml:space="preserve">3.2.1. 12 mėn.; 18 mėn.; 24 mėn.; 36 mėn.;  48 mėn. amžiaus vaiko psichomotorinę raidą;</w:t>
                </w:r>
              </w:p>
              <w:p>
                <w:pPr>
                  <w:rPr>
                    <w:color w:val="000000"/>
                    <w:szCs w:val="24"/>
                  </w:rPr>
                </w:pPr>
                <w:r>
                  <w:rPr>
                    <w:color w:val="000000"/>
                    <w:szCs w:val="24"/>
                  </w:rPr>
                  <w:t xml:space="preserve">3.2.2. arterinį kraujo spaudimą (toliau – AKS) iki 3 metų amžiaus – rizikos grupių vaikams:  neišnešiotiems, jei naujagimio svoris buvo mažesnis negu 1500 g, kuriems buvo kateterizuota bambos vena, turintiems įgimtą širdies ydą,  sergantiems inkstų ligomis, esant padidėjusiam intrakranijiniam spaudimui, po širdies ar kepenų transplantacijos, o n</w:t>
                </w:r>
                <w:r>
                  <w:rPr>
                    <w:color w:val="000000"/>
                    <w:szCs w:val="24"/>
                    <w:lang w:val="pl-PL"/>
                  </w:rPr>
                  <w:t xml:space="preserve">uo 3 metų amžiaus </w:t>
                </w:r>
                <w:r>
                  <w:rPr>
                    <w:color w:val="000000"/>
                    <w:szCs w:val="24"/>
                  </w:rPr>
                  <w:t>– visiems vaikams kiekvieno apsilankymo metu;</w:t>
                </w:r>
              </w:p>
            </w:tc>
            <w:tc>
              <w:tcPr>
                <w:tcW w:w="1701" w:type="dxa"/>
                <w:vMerge w:val="restart"/>
              </w:tcPr>
              <w:p>
                <w:pPr>
                  <w:rPr>
                    <w:color w:val="000000"/>
                    <w:szCs w:val="24"/>
                  </w:rPr>
                </w:pPr>
                <w:r>
                  <w:rPr>
                    <w:color w:val="000000"/>
                    <w:szCs w:val="24"/>
                  </w:rPr>
                  <w:t>1–3 metų amžiaus 1 kartą</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r>
                  <w:rPr>
                    <w:color w:val="000000"/>
                    <w:szCs w:val="24"/>
                  </w:rPr>
                  <w:t xml:space="preserve">Vaikų ligų gydytojas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864"/>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12–18 mėn. amžiaus</w:t>
                </w:r>
              </w:p>
              <w:p>
                <w:pPr>
                  <w:rPr>
                    <w:color w:val="000000"/>
                    <w:szCs w:val="24"/>
                  </w:rPr>
                </w:pPr>
                <w:r>
                  <w:rPr>
                    <w:color w:val="000000"/>
                    <w:szCs w:val="24"/>
                  </w:rPr>
                  <w:t>1 kartą</w:t>
                </w:r>
              </w:p>
            </w:tc>
            <w:tc>
              <w:tcPr>
                <w:tcW w:w="2268" w:type="dxa"/>
              </w:tcPr>
              <w:p>
                <w:pPr>
                  <w:widowControl w:val="0"/>
                  <w:rPr>
                    <w:color w:val="000000"/>
                    <w:szCs w:val="24"/>
                  </w:rPr>
                </w:pPr>
                <w:r>
                  <w:rPr>
                    <w:color w:val="000000"/>
                    <w:szCs w:val="24"/>
                  </w:rPr>
                  <w:t xml:space="preserve">Gydytojas </w:t>
                </w:r>
              </w:p>
            </w:tc>
            <w:tc>
              <w:tcPr>
                <w:tcW w:w="4536" w:type="dxa"/>
              </w:tcPr>
              <w:p>
                <w:pPr>
                  <w:rPr>
                    <w:color w:val="000000"/>
                    <w:szCs w:val="24"/>
                  </w:rPr>
                </w:pPr>
                <w:r>
                  <w:rPr>
                    <w:color w:val="000000"/>
                    <w:szCs w:val="24"/>
                    <w:lang w:val="pl-PL"/>
                  </w:rPr>
                  <w:t>3.2.3. šlapimo tyrimą;</w:t>
                </w:r>
              </w:p>
            </w:tc>
            <w:tc>
              <w:tcPr>
                <w:tcW w:w="1701" w:type="dxa"/>
                <w:vMerge/>
              </w:tcPr>
              <w:p>
                <w:pPr>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1941"/>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 xml:space="preserve">15–18 mėn. amžiaus </w:t>
                </w:r>
              </w:p>
              <w:p>
                <w:pPr>
                  <w:rPr>
                    <w:color w:val="000000"/>
                    <w:szCs w:val="24"/>
                  </w:rPr>
                </w:pPr>
                <w:r>
                  <w:rPr>
                    <w:color w:val="000000"/>
                    <w:szCs w:val="24"/>
                  </w:rPr>
                  <w:t>1 kartą</w:t>
                </w:r>
              </w:p>
              <w:p>
                <w:pPr>
                  <w:rPr>
                    <w:color w:val="000000"/>
                    <w:szCs w:val="24"/>
                  </w:rPr>
                </w:pPr>
              </w:p>
            </w:tc>
            <w:tc>
              <w:tcPr>
                <w:tcW w:w="2268" w:type="dxa"/>
                <w:tcBorders>
                  <w:bottom w:val="single" w:sz="4" w:space="0" w:color="auto"/>
                </w:tcBorders>
              </w:tcPr>
              <w:p>
                <w:pPr>
                  <w:rPr>
                    <w:color w:val="000000"/>
                    <w:szCs w:val="24"/>
                  </w:rPr>
                </w:pPr>
                <w:r>
                  <w:rPr>
                    <w:color w:val="000000"/>
                    <w:szCs w:val="24"/>
                  </w:rPr>
                  <w:t xml:space="preserve">Gydytojas </w:t>
                </w:r>
              </w:p>
              <w:p>
                <w:pPr>
                  <w:widowControl w:val="0"/>
                  <w:rPr>
                    <w:color w:val="000000"/>
                    <w:szCs w:val="24"/>
                  </w:rPr>
                </w:pPr>
              </w:p>
            </w:tc>
            <w:tc>
              <w:tcPr>
                <w:tcW w:w="4536" w:type="dxa"/>
                <w:tcBorders>
                  <w:bottom w:val="single" w:sz="4" w:space="0" w:color="auto"/>
                </w:tcBorders>
              </w:tcPr>
              <w:p>
                <w:pPr>
                  <w:rPr>
                    <w:color w:val="000000"/>
                    <w:szCs w:val="24"/>
                    <w:lang w:val="pl-PL"/>
                  </w:rPr>
                </w:pPr>
                <w:r>
                  <w:rPr>
                    <w:color w:val="000000"/>
                    <w:szCs w:val="24"/>
                    <w:lang w:val="pl-PL"/>
                  </w:rPr>
                  <w:t>3.2.4. b</w:t>
                </w:r>
                <w:r>
                  <w:rPr>
                    <w:color w:val="000000"/>
                    <w:szCs w:val="24"/>
                  </w:rPr>
                  <w:t>endrą kraujo tyrimą – 2.3.2 papunktyje nurodytų rizikos grupių vaikams, taip pat tiems, kurių</w:t>
                </w:r>
                <w:r>
                  <w:rPr>
                    <w:color w:val="000000"/>
                    <w:szCs w:val="24"/>
                    <w:lang w:val="pl-PL"/>
                  </w:rPr>
                  <w:t xml:space="preserve"> </w:t>
                </w:r>
                <w:r>
                  <w:rPr>
                    <w:color w:val="000000"/>
                    <w:szCs w:val="24"/>
                  </w:rPr>
                  <w:t xml:space="preserve">racione &gt; 600 ml karvės  / ožkos pieno, </w:t>
                </w:r>
                <w:r>
                  <w:rPr>
                    <w:color w:val="000000"/>
                    <w:szCs w:val="24"/>
                    <w:lang w:val="pl-PL"/>
                  </w:rPr>
                  <w:t xml:space="preserve"> tiems, kurių tėvai vegetarai, tiems, kurie turi specialiųjų sveikatos poreikių (serga lėtinėmis ligomis, dažnai serga, nustatytas neharmoningas augimas).</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widowControl w:val="0"/>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p>
                <w:pPr>
                  <w:rPr>
                    <w:color w:val="000000"/>
                    <w:szCs w:val="24"/>
                  </w:rPr>
                </w:pP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p>
            </w:tc>
            <w:tc>
              <w:tcPr>
                <w:tcW w:w="4536" w:type="dxa"/>
              </w:tcPr>
              <w:p>
                <w:pPr>
                  <w:rPr>
                    <w:color w:val="000000"/>
                    <w:szCs w:val="24"/>
                  </w:rPr>
                </w:pPr>
                <w:r>
                  <w:rPr>
                    <w:color w:val="000000"/>
                    <w:szCs w:val="24"/>
                  </w:rPr>
                  <w:t>3.3. 1–2 metų amžiaus įvertinti dantų dygimą;</w:t>
                </w:r>
              </w:p>
              <w:p>
                <w:pPr>
                  <w:spacing w:line="480" w:lineRule="auto"/>
                  <w:rPr>
                    <w:color w:val="000000"/>
                    <w:szCs w:val="24"/>
                  </w:rPr>
                </w:pPr>
                <w:r>
                  <w:rPr>
                    <w:color w:val="000000"/>
                    <w:szCs w:val="24"/>
                  </w:rPr>
                  <w:t>3.4. Atlikti ankstyvo dantų ėduonies diagnostiką;</w:t>
                </w:r>
              </w:p>
              <w:p>
                <w:pPr>
                  <w:rPr>
                    <w:sz w:val="10"/>
                    <w:szCs w:val="10"/>
                  </w:rPr>
                </w:pPr>
              </w:p>
              <w:p>
                <w:pPr>
                  <w:rPr>
                    <w:color w:val="000000"/>
                    <w:szCs w:val="24"/>
                  </w:rPr>
                </w:pPr>
                <w:r>
                  <w:rPr>
                    <w:color w:val="000000"/>
                    <w:szCs w:val="24"/>
                  </w:rPr>
                  <w:t>3.5. Įvertinti burnos higienos būklę ir išdygus pirmajam dančiui tėvus mokyti burnos higienos pagrindų.</w:t>
                </w:r>
              </w:p>
            </w:tc>
            <w:tc>
              <w:tcPr>
                <w:tcW w:w="1701" w:type="dxa"/>
                <w:vMerge w:val="restart"/>
              </w:tcPr>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559" w:type="dxa"/>
                <w:vMerge w:val="restart"/>
              </w:tcPr>
              <w:p>
                <w:pPr>
                  <w:rPr>
                    <w:b/>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vMerge w:val="restart"/>
                <w:tcBorders>
                  <w:tl2br w:val="nil"/>
                  <w:tr2bl w:val="nil"/>
                </w:tcBorders>
              </w:tcPr>
              <w:p>
                <w:pPr>
                  <w:spacing w:line="480" w:lineRule="auto"/>
                  <w:ind w:firstLine="60"/>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tc>
          </w:tr>
          <w:tr>
            <w:trPr>
              <w:trHeight w:val="154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r>
                  <w:rPr>
                    <w:color w:val="000000"/>
                    <w:szCs w:val="24"/>
                  </w:rPr>
                  <w:t>arba burnos higienistas</w:t>
                </w:r>
              </w:p>
            </w:tc>
            <w:tc>
              <w:tcPr>
                <w:tcW w:w="4536" w:type="dxa"/>
              </w:tcPr>
              <w:p>
                <w:pPr>
                  <w:spacing w:line="480" w:lineRule="auto"/>
                  <w:rPr>
                    <w:color w:val="000000"/>
                    <w:szCs w:val="24"/>
                  </w:rPr>
                </w:pPr>
                <w:r>
                  <w:rPr>
                    <w:color w:val="000000"/>
                    <w:szCs w:val="24"/>
                  </w:rPr>
                  <w:t xml:space="preserve">3.6. Atlikti ankstyvo dantų ėduonies profilaktiką. </w:t>
                </w:r>
              </w:p>
              <w:p>
                <w:pPr>
                  <w:rPr>
                    <w:sz w:val="10"/>
                    <w:szCs w:val="10"/>
                  </w:rPr>
                </w:pPr>
              </w:p>
              <w:p>
                <w:pPr>
                  <w:rPr>
                    <w:color w:val="000000"/>
                    <w:szCs w:val="24"/>
                  </w:rPr>
                </w:pPr>
                <w:r>
                  <w:rPr>
                    <w:color w:val="000000"/>
                    <w:szCs w:val="24"/>
                  </w:rPr>
                  <w:t xml:space="preserve">3.7. Įvertinti burnos higienos būklę ir išdygus pirmajam dančiui  tėvus pamokyti burnos higienos pagrindų, sveikos mitybos pagrindų.</w:t>
                </w:r>
              </w:p>
            </w:tc>
            <w:tc>
              <w:tcPr>
                <w:tcW w:w="1701" w:type="dxa"/>
                <w:vMerge/>
              </w:tcPr>
              <w:p>
                <w:pPr>
                  <w:jc w:val="center"/>
                  <w:rPr>
                    <w:color w:val="000000"/>
                    <w:szCs w:val="24"/>
                  </w:rPr>
                </w:pPr>
              </w:p>
            </w:tc>
            <w:tc>
              <w:tcPr>
                <w:tcW w:w="1559" w:type="dxa"/>
                <w:vMerge/>
              </w:tcPr>
              <w:p>
                <w:pPr>
                  <w:rPr>
                    <w:b/>
                    <w:color w:val="000000"/>
                    <w:szCs w:val="24"/>
                  </w:rPr>
                </w:pPr>
              </w:p>
            </w:tc>
            <w:tc>
              <w:tcPr>
                <w:tcW w:w="1701" w:type="dxa"/>
                <w:vMerge/>
                <w:tcBorders>
                  <w:tl2br w:val="nil"/>
                  <w:tr2bl w:val="nil"/>
                </w:tcBorders>
              </w:tcPr>
              <w:p>
                <w:pPr>
                  <w:spacing w:line="480" w:lineRule="auto"/>
                  <w:rPr>
                    <w:color w:val="000000"/>
                    <w:szCs w:val="24"/>
                  </w:rPr>
                </w:pPr>
              </w:p>
            </w:tc>
          </w:tr>
          <w:tr>
            <w:trPr>
              <w:trHeight w:val="2595"/>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Slaugytojas</w:t>
                </w:r>
              </w:p>
              <w:p>
                <w:pPr>
                  <w:jc w:val="center"/>
                  <w:rPr>
                    <w:color w:val="000000"/>
                    <w:szCs w:val="24"/>
                  </w:rPr>
                </w:pPr>
              </w:p>
            </w:tc>
            <w:tc>
              <w:tcPr>
                <w:tcW w:w="4536" w:type="dxa"/>
                <w:tcBorders>
                  <w:bottom w:val="single" w:sz="4" w:space="0" w:color="auto"/>
                </w:tcBorders>
              </w:tcPr>
              <w:p>
                <w:pPr>
                  <w:rPr>
                    <w:color w:val="000000"/>
                    <w:szCs w:val="24"/>
                  </w:rPr>
                </w:pPr>
                <w:r>
                  <w:rPr>
                    <w:color w:val="000000"/>
                    <w:szCs w:val="24"/>
                  </w:rPr>
                  <w:t>3.8. Kiekvieno apsilankymo iki 2 m. amžiaus metu pasverti vaiką, pamatuoti galvos apimtį, ūgį, šiuos duomenis įrašyti į augimo diagramą, o nuo 2 metų – pasverti, pamatuoti ūgį ir įrašyti į atitinkamą svorio priklausomybės nuo ūgio kitimo diagramą</w:t>
                </w:r>
                <w:r>
                  <w:rPr>
                    <w:color w:val="000000"/>
                    <w:szCs w:val="24"/>
                    <w:lang w:val="pl-PL"/>
                  </w:rPr>
                  <w:t>.</w:t>
                </w:r>
              </w:p>
              <w:p>
                <w:pPr>
                  <w:rPr>
                    <w:color w:val="000000"/>
                    <w:szCs w:val="24"/>
                  </w:rPr>
                </w:pPr>
                <w:r>
                  <w:rPr>
                    <w:color w:val="000000"/>
                    <w:szCs w:val="24"/>
                  </w:rPr>
                  <w:t>3.9. Informuoti tėvus ir vaikus apie racionalią mitybą, traumų, nudegimų ir smurto, žalingų sveikatai įpročių profilaktiką.</w:t>
                </w:r>
              </w:p>
            </w:tc>
            <w:tc>
              <w:tcPr>
                <w:tcW w:w="1701" w:type="dxa"/>
                <w:vMerge/>
                <w:tcBorders>
                  <w:bottom w:val="single" w:sz="4" w:space="0" w:color="auto"/>
                </w:tcBorders>
              </w:tcPr>
              <w:p>
                <w:pPr>
                  <w:jc w:val="center"/>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3036"/>
            </w:trPr>
            <w:tc>
              <w:tcPr>
                <w:tcW w:w="568" w:type="dxa"/>
                <w:vMerge w:val="restart"/>
              </w:tcPr>
              <w:p>
                <w:pPr>
                  <w:jc w:val="center"/>
                  <w:rPr>
                    <w:color w:val="000000"/>
                    <w:szCs w:val="24"/>
                  </w:rPr>
                </w:pPr>
                <w:r>
                  <w:rPr>
                    <w:color w:val="000000"/>
                    <w:szCs w:val="24"/>
                  </w:rPr>
                  <w:t>4.</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276" w:type="dxa"/>
                <w:vMerge w:val="restart"/>
              </w:tcPr>
              <w:p>
                <w:pPr>
                  <w:rPr>
                    <w:color w:val="000000"/>
                    <w:szCs w:val="24"/>
                  </w:rPr>
                </w:pPr>
                <w:r>
                  <w:rPr>
                    <w:color w:val="000000"/>
                    <w:szCs w:val="24"/>
                  </w:rPr>
                  <w:t>Viduriniojo amžiaus vaikas</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tc>
            <w:tc>
              <w:tcPr>
                <w:tcW w:w="2268" w:type="dxa"/>
              </w:tcPr>
              <w:p>
                <w:pPr>
                  <w:tabs>
                    <w:tab w:val="left" w:pos="-250"/>
                  </w:tabs>
                  <w:rPr>
                    <w:color w:val="000000"/>
                    <w:szCs w:val="24"/>
                  </w:rPr>
                </w:pPr>
                <w:r>
                  <w:rPr>
                    <w:color w:val="000000"/>
                    <w:szCs w:val="24"/>
                  </w:rPr>
                  <w:t>Gydytojas</w:t>
                </w:r>
              </w:p>
            </w:tc>
            <w:tc>
              <w:tcPr>
                <w:tcW w:w="4536" w:type="dxa"/>
              </w:tcPr>
              <w:p>
                <w:pPr>
                  <w:tabs>
                    <w:tab w:val="left" w:pos="85"/>
                  </w:tabs>
                  <w:rPr>
                    <w:color w:val="000000"/>
                    <w:szCs w:val="24"/>
                  </w:rPr>
                </w:pPr>
                <w:r>
                  <w:rPr>
                    <w:color w:val="000000"/>
                    <w:szCs w:val="24"/>
                  </w:rPr>
                  <w:t xml:space="preserve">4.1. Kiekvieno apsilankymo metu įvertinti vaiko sveikatos būklę, fizinę būklę, įvertinti augimą, nubrėžiant  asmeninę ūgio ir svorio bei svorio priklausomybės nuo ūgio kitimo kreives pagal lytį; įvertinti: </w:t>
                </w:r>
              </w:p>
              <w:p>
                <w:pPr>
                  <w:tabs>
                    <w:tab w:val="left" w:pos="85"/>
                  </w:tabs>
                  <w:rPr>
                    <w:color w:val="000000"/>
                    <w:szCs w:val="24"/>
                  </w:rPr>
                </w:pPr>
                <w:r>
                  <w:rPr>
                    <w:color w:val="000000"/>
                    <w:szCs w:val="24"/>
                  </w:rPr>
                  <w:t xml:space="preserve">4.1.1. </w:t>
                </w:r>
                <w:r>
                  <w:rPr>
                    <w:color w:val="000000"/>
                    <w:szCs w:val="24"/>
                    <w:lang w:val="pl-PL"/>
                  </w:rPr>
                  <w:t xml:space="preserve">kūno masės indeksą (toliau – KMI); </w:t>
                </w:r>
              </w:p>
              <w:p>
                <w:pPr>
                  <w:tabs>
                    <w:tab w:val="left" w:pos="85"/>
                  </w:tabs>
                  <w:rPr>
                    <w:color w:val="000000"/>
                    <w:szCs w:val="24"/>
                  </w:rPr>
                </w:pPr>
                <w:r>
                  <w:rPr>
                    <w:color w:val="000000"/>
                    <w:szCs w:val="24"/>
                  </w:rPr>
                  <w:t>4.1.2. klausą;</w:t>
                </w:r>
              </w:p>
              <w:p>
                <w:pPr>
                  <w:tabs>
                    <w:tab w:val="left" w:pos="85"/>
                  </w:tabs>
                  <w:rPr>
                    <w:color w:val="000000"/>
                    <w:szCs w:val="24"/>
                  </w:rPr>
                </w:pPr>
                <w:r>
                  <w:rPr>
                    <w:color w:val="000000"/>
                    <w:szCs w:val="24"/>
                  </w:rPr>
                  <w:t>4.1.3. regėjimą;</w:t>
                </w:r>
              </w:p>
              <w:p>
                <w:pPr>
                  <w:tabs>
                    <w:tab w:val="left" w:pos="85"/>
                  </w:tabs>
                  <w:rPr>
                    <w:color w:val="000000"/>
                    <w:szCs w:val="24"/>
                  </w:rPr>
                </w:pPr>
                <w:r>
                  <w:rPr>
                    <w:color w:val="000000"/>
                    <w:szCs w:val="24"/>
                  </w:rPr>
                  <w:t>4.1.4. atramos judamąjį aparatą;</w:t>
                </w:r>
              </w:p>
              <w:p>
                <w:pPr>
                  <w:tabs>
                    <w:tab w:val="left" w:pos="600"/>
                  </w:tabs>
                  <w:rPr>
                    <w:color w:val="000000"/>
                    <w:szCs w:val="24"/>
                  </w:rPr>
                </w:pPr>
                <w:r>
                  <w:rPr>
                    <w:color w:val="000000"/>
                    <w:szCs w:val="24"/>
                  </w:rPr>
                  <w:t>4.1.5. psichikos būklę;</w:t>
                </w:r>
              </w:p>
              <w:p>
                <w:pPr>
                  <w:tabs>
                    <w:tab w:val="left" w:pos="85"/>
                  </w:tabs>
                  <w:rPr>
                    <w:color w:val="000000"/>
                    <w:szCs w:val="24"/>
                  </w:rPr>
                </w:pPr>
                <w:r>
                  <w:rPr>
                    <w:color w:val="000000"/>
                    <w:szCs w:val="24"/>
                  </w:rPr>
                  <w:t>4.1.6. mitybos ir higienos įgūdžius;</w:t>
                </w:r>
              </w:p>
              <w:p>
                <w:pPr>
                  <w:tabs>
                    <w:tab w:val="left" w:pos="85"/>
                  </w:tabs>
                  <w:rPr>
                    <w:color w:val="000000"/>
                    <w:szCs w:val="24"/>
                  </w:rPr>
                </w:pPr>
                <w:r>
                  <w:rPr>
                    <w:color w:val="000000"/>
                    <w:szCs w:val="24"/>
                  </w:rPr>
                  <w:t xml:space="preserve">4.1.7. AKS. </w:t>
                </w:r>
              </w:p>
              <w:p>
                <w:pPr>
                  <w:tabs>
                    <w:tab w:val="left" w:pos="85"/>
                  </w:tabs>
                  <w:rPr>
                    <w:color w:val="000000"/>
                    <w:szCs w:val="24"/>
                  </w:rPr>
                </w:pPr>
              </w:p>
            </w:tc>
            <w:tc>
              <w:tcPr>
                <w:tcW w:w="1701" w:type="dxa"/>
                <w:vMerge w:val="restart"/>
              </w:tcPr>
              <w:p>
                <w:pPr>
                  <w:tabs>
                    <w:tab w:val="left" w:pos="1503"/>
                  </w:tabs>
                  <w:rPr>
                    <w:color w:val="000000"/>
                    <w:szCs w:val="24"/>
                  </w:rPr>
                </w:pPr>
                <w:r>
                  <w:rPr>
                    <w:color w:val="000000"/>
                    <w:szCs w:val="24"/>
                  </w:rPr>
                  <w:t xml:space="preserve">6–7 metų amžiaus </w:t>
                </w:r>
              </w:p>
              <w:p>
                <w:pPr>
                  <w:tabs>
                    <w:tab w:val="left" w:pos="600"/>
                  </w:tabs>
                  <w:rPr>
                    <w:color w:val="000000"/>
                    <w:szCs w:val="24"/>
                  </w:rPr>
                </w:pPr>
                <w:r>
                  <w:rPr>
                    <w:color w:val="000000"/>
                    <w:szCs w:val="24"/>
                  </w:rPr>
                  <w:t>1 kartą</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ind w:firstLine="60"/>
                  <w:rPr>
                    <w:color w:val="000000"/>
                    <w:szCs w:val="24"/>
                  </w:rPr>
                </w:pPr>
              </w:p>
              <w:p>
                <w:pPr>
                  <w:widowControl w:val="0"/>
                  <w:rPr>
                    <w:color w:val="000000"/>
                    <w:szCs w:val="24"/>
                  </w:rPr>
                </w:pPr>
                <w:r>
                  <w:rPr>
                    <w:color w:val="000000"/>
                    <w:szCs w:val="24"/>
                  </w:rPr>
                  <w:t xml:space="preserve">Vaikų ligų gydytojas </w:t>
                </w:r>
              </w:p>
              <w:p>
                <w:pPr>
                  <w:tabs>
                    <w:tab w:val="left" w:pos="1503"/>
                  </w:tabs>
                  <w:rPr>
                    <w:color w:val="000000"/>
                    <w:szCs w:val="24"/>
                  </w:rPr>
                </w:pPr>
              </w:p>
              <w:p>
                <w:pPr>
                  <w:tabs>
                    <w:tab w:val="left" w:pos="1503"/>
                  </w:tabs>
                  <w:rPr>
                    <w:color w:val="000000"/>
                    <w:szCs w:val="24"/>
                  </w:rPr>
                </w:pPr>
              </w:p>
              <w:p>
                <w:pPr>
                  <w:tabs>
                    <w:tab w:val="left" w:pos="1503"/>
                  </w:tabs>
                  <w:rPr>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32"/>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6–7 metų amžiaus </w:t>
                </w:r>
              </w:p>
              <w:p>
                <w:pPr>
                  <w:rPr>
                    <w:color w:val="000000"/>
                    <w:szCs w:val="24"/>
                  </w:rPr>
                </w:pPr>
                <w:r>
                  <w:rPr>
                    <w:color w:val="000000"/>
                    <w:szCs w:val="24"/>
                  </w:rPr>
                  <w:t>1 kartą</w:t>
                </w:r>
              </w:p>
            </w:tc>
            <w:tc>
              <w:tcPr>
                <w:tcW w:w="2268" w:type="dxa"/>
              </w:tcPr>
              <w:p>
                <w:pPr>
                  <w:rPr>
                    <w:color w:val="000000"/>
                    <w:szCs w:val="24"/>
                  </w:rPr>
                </w:pPr>
                <w:r>
                  <w:rPr>
                    <w:color w:val="000000"/>
                    <w:szCs w:val="24"/>
                  </w:rPr>
                  <w:t xml:space="preserve">Gydytojas </w:t>
                </w:r>
              </w:p>
              <w:p>
                <w:pPr>
                  <w:tabs>
                    <w:tab w:val="left" w:pos="-250"/>
                  </w:tabs>
                  <w:rPr>
                    <w:color w:val="000000"/>
                    <w:szCs w:val="24"/>
                  </w:rPr>
                </w:pPr>
              </w:p>
            </w:tc>
            <w:tc>
              <w:tcPr>
                <w:tcW w:w="4536" w:type="dxa"/>
              </w:tcPr>
              <w:p>
                <w:pPr>
                  <w:rPr>
                    <w:color w:val="000000"/>
                    <w:szCs w:val="24"/>
                  </w:rPr>
                </w:pPr>
                <w:r>
                  <w:rPr>
                    <w:color w:val="000000"/>
                    <w:szCs w:val="24"/>
                  </w:rPr>
                  <w:t>4.2. Atlikti ir įvertinti:</w:t>
                </w:r>
              </w:p>
              <w:p>
                <w:pPr>
                  <w:tabs>
                    <w:tab w:val="left" w:pos="85"/>
                  </w:tabs>
                  <w:rPr>
                    <w:color w:val="000000"/>
                    <w:szCs w:val="24"/>
                  </w:rPr>
                </w:pPr>
                <w:r>
                  <w:rPr>
                    <w:color w:val="000000"/>
                    <w:szCs w:val="24"/>
                  </w:rPr>
                  <w:t xml:space="preserve">4.2.1. bendrą kraujo tyrimą; </w:t>
                </w:r>
              </w:p>
              <w:p>
                <w:pPr>
                  <w:tabs>
                    <w:tab w:val="left" w:pos="85"/>
                  </w:tabs>
                  <w:rPr>
                    <w:color w:val="000000"/>
                    <w:szCs w:val="24"/>
                  </w:rPr>
                </w:pPr>
                <w:r>
                  <w:rPr>
                    <w:color w:val="000000"/>
                    <w:szCs w:val="24"/>
                  </w:rPr>
                  <w:t>4.2.2. šlapimo tyrimą;</w:t>
                </w:r>
              </w:p>
              <w:p>
                <w:pPr>
                  <w:tabs>
                    <w:tab w:val="left" w:pos="85"/>
                  </w:tabs>
                  <w:rPr>
                    <w:color w:val="000000"/>
                    <w:szCs w:val="24"/>
                  </w:rPr>
                </w:pPr>
                <w:r>
                  <w:rPr>
                    <w:color w:val="000000"/>
                    <w:szCs w:val="24"/>
                  </w:rPr>
                  <w:t>4.2.3. tyrimą dėl helmintozių;</w:t>
                </w:r>
              </w:p>
              <w:p>
                <w:pPr>
                  <w:tabs>
                    <w:tab w:val="left" w:pos="85"/>
                  </w:tabs>
                  <w:rPr>
                    <w:color w:val="000000"/>
                    <w:szCs w:val="24"/>
                  </w:rPr>
                </w:pPr>
                <w:r>
                  <w:rPr>
                    <w:color w:val="000000"/>
                    <w:szCs w:val="24"/>
                  </w:rPr>
                  <w:t>4.2.4. elektrokardiogramą;</w:t>
                </w:r>
              </w:p>
              <w:p>
                <w:pPr>
                  <w:tabs>
                    <w:tab w:val="left" w:pos="85"/>
                  </w:tabs>
                  <w:rPr>
                    <w:color w:val="000000"/>
                    <w:szCs w:val="24"/>
                  </w:rPr>
                </w:pPr>
                <w:r>
                  <w:rPr>
                    <w:color w:val="000000"/>
                    <w:szCs w:val="24"/>
                  </w:rPr>
                  <w:t>4.2.5. tuberkulino mėginį (rizikos grupės vaikams – kasmet).</w:t>
                </w:r>
              </w:p>
            </w:tc>
            <w:tc>
              <w:tcPr>
                <w:tcW w:w="1701" w:type="dxa"/>
                <w:vMerge/>
              </w:tcPr>
              <w:p>
                <w:pPr>
                  <w:tabs>
                    <w:tab w:val="left" w:pos="1503"/>
                  </w:tabs>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393"/>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tabs>
                    <w:tab w:val="left" w:pos="600"/>
                  </w:tabs>
                  <w:rPr>
                    <w:color w:val="000000"/>
                    <w:szCs w:val="24"/>
                  </w:rPr>
                </w:pPr>
                <w:r>
                  <w:rPr>
                    <w:color w:val="000000"/>
                    <w:szCs w:val="24"/>
                  </w:rPr>
                  <w:t>1 kartą per metus</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rPr>
                    <w:color w:val="000000"/>
                    <w:szCs w:val="24"/>
                  </w:rPr>
                </w:pPr>
              </w:p>
            </w:tc>
            <w:tc>
              <w:tcPr>
                <w:tcW w:w="2268" w:type="dxa"/>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p>
              <w:p>
                <w:pPr>
                  <w:rPr>
                    <w:color w:val="000000"/>
                    <w:szCs w:val="24"/>
                  </w:rPr>
                </w:pPr>
              </w:p>
              <w:p>
                <w:pPr>
                  <w:rPr>
                    <w:color w:val="000000"/>
                    <w:szCs w:val="24"/>
                  </w:rPr>
                </w:pPr>
              </w:p>
              <w:p>
                <w:pPr>
                  <w:widowControl w:val="0"/>
                  <w:rPr>
                    <w:color w:val="000000"/>
                    <w:szCs w:val="24"/>
                  </w:rPr>
                </w:pPr>
              </w:p>
            </w:tc>
            <w:tc>
              <w:tcPr>
                <w:tcW w:w="4536" w:type="dxa"/>
              </w:tcPr>
              <w:p>
                <w:pPr>
                  <w:spacing w:line="480" w:lineRule="auto"/>
                  <w:rPr>
                    <w:color w:val="000000"/>
                    <w:szCs w:val="24"/>
                  </w:rPr>
                </w:pPr>
                <w:r>
                  <w:rPr>
                    <w:color w:val="000000"/>
                    <w:szCs w:val="24"/>
                  </w:rPr>
                  <w:t xml:space="preserve">4.3. Įvertinti 5–7 metų vaiko nuolatinių dantų dygimą. </w:t>
                </w:r>
              </w:p>
              <w:p>
                <w:pPr>
                  <w:rPr>
                    <w:sz w:val="10"/>
                    <w:szCs w:val="10"/>
                  </w:rPr>
                </w:pPr>
              </w:p>
              <w:p>
                <w:pPr>
                  <w:tabs>
                    <w:tab w:val="left" w:pos="600"/>
                  </w:tabs>
                  <w:rPr>
                    <w:color w:val="000000"/>
                    <w:szCs w:val="24"/>
                  </w:rPr>
                </w:pPr>
                <w:r>
                  <w:rPr>
                    <w:color w:val="000000"/>
                    <w:szCs w:val="24"/>
                  </w:rPr>
                  <w:t xml:space="preserve">4.4. Atlikti dantų ėduonies diagnostiką, krūminių dantų silantavimą – priklausomai nuo dantų dygimo laiko, esant reikalui, pagydyti  ar skirti  gydymo laiką, siųsti gydyti. </w:t>
                </w:r>
              </w:p>
              <w:p>
                <w:pPr>
                  <w:tabs>
                    <w:tab w:val="left" w:pos="600"/>
                  </w:tabs>
                  <w:rPr>
                    <w:color w:val="000000"/>
                    <w:szCs w:val="24"/>
                  </w:rPr>
                </w:pPr>
                <w:r>
                  <w:rPr>
                    <w:color w:val="000000"/>
                    <w:szCs w:val="24"/>
                  </w:rPr>
                  <w:t xml:space="preserve">4.5. Įvertinti nuolatinių dantų sąkandį, nustatyti, ar nėra sąkandžio anomalijų, esant reikalui, pagydyti ar skirti gydymo laiką / siųsti konsultacijos / gydyti. </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tabs>
                    <w:tab w:val="left" w:pos="600"/>
                  </w:tabs>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r>
                  <w:rPr>
                    <w:color w:val="000000"/>
                    <w:szCs w:val="24"/>
                  </w:rPr>
                  <w:t xml:space="preserve">arba burnos higienistas </w:t>
                </w:r>
              </w:p>
            </w:tc>
            <w:tc>
              <w:tcPr>
                <w:tcW w:w="4536" w:type="dxa"/>
                <w:tcBorders>
                  <w:bottom w:val="single" w:sz="4" w:space="0" w:color="auto"/>
                </w:tcBorders>
              </w:tcPr>
              <w:p>
                <w:pPr>
                  <w:spacing w:line="480" w:lineRule="auto"/>
                  <w:rPr>
                    <w:color w:val="000000"/>
                    <w:szCs w:val="24"/>
                  </w:rPr>
                </w:pPr>
                <w:r>
                  <w:rPr>
                    <w:color w:val="000000"/>
                    <w:szCs w:val="24"/>
                  </w:rPr>
                  <w:t xml:space="preserve">4.6. Atlikti dantų ėduonies profilaktiką. </w:t>
                </w:r>
              </w:p>
              <w:p>
                <w:pPr>
                  <w:rPr>
                    <w:sz w:val="10"/>
                    <w:szCs w:val="10"/>
                  </w:rPr>
                </w:pPr>
              </w:p>
              <w:p>
                <w:pPr>
                  <w:spacing w:line="480" w:lineRule="auto"/>
                  <w:rPr>
                    <w:color w:val="000000"/>
                    <w:szCs w:val="24"/>
                  </w:rPr>
                </w:pPr>
                <w:r>
                  <w:rPr>
                    <w:color w:val="000000"/>
                    <w:szCs w:val="24"/>
                  </w:rPr>
                  <w:t>4.7. Įvertinti burnos higienos būklę ir pamokyti burnos higienos pagrindų (dantų valymo šepetėliu ir tarpdančių siūlu).</w:t>
                </w:r>
              </w:p>
              <w:p>
                <w:pPr>
                  <w:rPr>
                    <w:sz w:val="10"/>
                    <w:szCs w:val="10"/>
                  </w:rPr>
                </w:pPr>
              </w:p>
              <w:p>
                <w:pPr>
                  <w:spacing w:line="480" w:lineRule="auto"/>
                  <w:rPr>
                    <w:color w:val="000000"/>
                    <w:szCs w:val="24"/>
                  </w:rPr>
                </w:pPr>
                <w:r>
                  <w:rPr>
                    <w:color w:val="000000"/>
                    <w:szCs w:val="24"/>
                  </w:rPr>
                  <w:t>4.8. Patikrinti burnos sveikatą prieš einant į mokyklą.</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tabs>
                    <w:tab w:val="left" w:pos="600"/>
                  </w:tabs>
                  <w:rPr>
                    <w:b/>
                    <w:color w:val="000000"/>
                    <w:szCs w:val="24"/>
                  </w:rPr>
                </w:pPr>
              </w:p>
            </w:tc>
            <w:tc>
              <w:tcPr>
                <w:tcW w:w="2268" w:type="dxa"/>
                <w:tcBorders>
                  <w:bottom w:val="single" w:sz="4" w:space="0" w:color="auto"/>
                </w:tcBorders>
              </w:tcPr>
              <w:p>
                <w:pPr>
                  <w:widowControl w:val="0"/>
                  <w:rPr>
                    <w:color w:val="000000"/>
                    <w:szCs w:val="24"/>
                  </w:rPr>
                </w:pPr>
                <w:r>
                  <w:rPr>
                    <w:color w:val="000000"/>
                    <w:szCs w:val="24"/>
                  </w:rPr>
                  <w:t>Slaugytojas</w:t>
                </w:r>
              </w:p>
              <w:p>
                <w:pPr>
                  <w:widowControl w:val="0"/>
                  <w:rPr>
                    <w:color w:val="000000"/>
                    <w:szCs w:val="24"/>
                  </w:rPr>
                </w:pPr>
              </w:p>
              <w:p>
                <w:pPr>
                  <w:widowControl w:val="0"/>
                  <w:rPr>
                    <w:color w:val="000000"/>
                    <w:szCs w:val="24"/>
                  </w:rPr>
                </w:pPr>
              </w:p>
              <w:p>
                <w:pPr>
                  <w:widowControl w:val="0"/>
                  <w:rPr>
                    <w:color w:val="000000"/>
                    <w:szCs w:val="24"/>
                  </w:rPr>
                </w:pPr>
              </w:p>
              <w:p>
                <w:pPr>
                  <w:tabs>
                    <w:tab w:val="left" w:pos="600"/>
                  </w:tabs>
                  <w:rPr>
                    <w:color w:val="000000"/>
                    <w:szCs w:val="24"/>
                  </w:rPr>
                </w:pPr>
              </w:p>
            </w:tc>
            <w:tc>
              <w:tcPr>
                <w:tcW w:w="4536" w:type="dxa"/>
                <w:tcBorders>
                  <w:bottom w:val="single" w:sz="4" w:space="0" w:color="auto"/>
                </w:tcBorders>
              </w:tcPr>
              <w:p>
                <w:pPr>
                  <w:tabs>
                    <w:tab w:val="left" w:pos="600"/>
                  </w:tabs>
                  <w:rPr>
                    <w:color w:val="000000"/>
                    <w:szCs w:val="24"/>
                    <w:lang w:val="pl-PL"/>
                  </w:rPr>
                </w:pPr>
                <w:r>
                  <w:rPr>
                    <w:color w:val="000000"/>
                    <w:szCs w:val="24"/>
                  </w:rPr>
                  <w:t xml:space="preserve">4.9. Kiekvieno apsilankymo metu pamatuoti AKS, ūgį, svorį ir šiuos duomenis įrašyti į atitinkamas ūgio ir svorio bei  svorio priklausomybės nuo ūgio kitimo diagramas, apskaičiuoti </w:t>
                </w:r>
                <w:r>
                  <w:rPr>
                    <w:color w:val="000000"/>
                    <w:szCs w:val="24"/>
                    <w:lang w:val="pl-PL"/>
                  </w:rPr>
                  <w:t>KMI.</w:t>
                </w:r>
              </w:p>
              <w:p>
                <w:pPr>
                  <w:tabs>
                    <w:tab w:val="left" w:pos="600"/>
                  </w:tabs>
                  <w:rPr>
                    <w:color w:val="000000"/>
                    <w:szCs w:val="24"/>
                  </w:rPr>
                </w:pPr>
                <w:r>
                  <w:rPr>
                    <w:color w:val="000000"/>
                    <w:szCs w:val="24"/>
                    <w:lang w:val="pl-PL"/>
                  </w:rPr>
                  <w:t xml:space="preserve">4.10. </w:t>
                </w:r>
                <w:r>
                  <w:rPr>
                    <w:color w:val="000000"/>
                    <w:szCs w:val="24"/>
                  </w:rPr>
                  <w:t xml:space="preserve">Informuoti tėvus ir vaikus apie fizinį aktyvumą, racionalią mitybą, traumų, nudegimų, paskendimo, smurto, ligų ir žalingų sveikatai įpročių profilaktiką, sveiko gyvenimo būdo ir lytinio švietimo principus. </w:t>
                </w:r>
              </w:p>
              <w:p>
                <w:pPr>
                  <w:tabs>
                    <w:tab w:val="left" w:pos="600"/>
                  </w:tabs>
                  <w:rPr>
                    <w:color w:val="000000"/>
                    <w:szCs w:val="24"/>
                  </w:rPr>
                </w:pPr>
                <w:r>
                  <w:rPr>
                    <w:color w:val="000000"/>
                    <w:szCs w:val="24"/>
                  </w:rPr>
                  <w:t xml:space="preserve">4.11. Pagal amžiaus ir lyties ypatumus padėti vaikui ir tėvams formuoti higienos, racionalios mitybos, sveiko gyvenimo būdo, imunoprofilaktikos nuostatas. </w:t>
                </w:r>
              </w:p>
            </w:tc>
            <w:tc>
              <w:tcPr>
                <w:tcW w:w="1701" w:type="dxa"/>
                <w:vMerge/>
                <w:tcBorders>
                  <w:bottom w:val="single" w:sz="4" w:space="0" w:color="auto"/>
                </w:tcBorders>
              </w:tcPr>
              <w:p>
                <w:pPr>
                  <w:tabs>
                    <w:tab w:val="left" w:pos="600"/>
                  </w:tabs>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20"/>
            </w:trPr>
            <w:tc>
              <w:tcPr>
                <w:tcW w:w="568" w:type="dxa"/>
                <w:vMerge w:val="restart"/>
                <w:tcBorders>
                  <w:bottom w:val="single" w:sz="4" w:space="0" w:color="auto"/>
                </w:tcBorders>
              </w:tcPr>
              <w:p>
                <w:pPr>
                  <w:tabs>
                    <w:tab w:val="center" w:pos="4819"/>
                    <w:tab w:val="right" w:pos="9638"/>
                  </w:tabs>
                  <w:jc w:val="center"/>
                  <w:rPr>
                    <w:color w:val="000000"/>
                    <w:szCs w:val="24"/>
                  </w:rPr>
                </w:pPr>
                <w:r>
                  <w:rPr>
                    <w:color w:val="000000"/>
                    <w:szCs w:val="24"/>
                  </w:rPr>
                  <w:t>5.</w:t>
                </w: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tc>
            <w:tc>
              <w:tcPr>
                <w:tcW w:w="1276" w:type="dxa"/>
                <w:vMerge w:val="restart"/>
                <w:tcBorders>
                  <w:bottom w:val="single" w:sz="4" w:space="0" w:color="auto"/>
                </w:tcBorders>
              </w:tcPr>
              <w:p>
                <w:pPr>
                  <w:rPr>
                    <w:szCs w:val="24"/>
                    <w:lang w:eastAsia="lt-LT"/>
                  </w:rPr>
                </w:pPr>
                <w:r>
                  <w:rPr>
                    <w:szCs w:val="24"/>
                    <w:lang w:eastAsia="lt-LT"/>
                  </w:rPr>
                  <w:t>Paauglys, pilnametis mokinys</w:t>
                </w: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5.1. Kiekvieno apsilankymo metu įvertinti paciento sveikatos būklę, fizinę būklę, lytinį brendimą, augimą, nubrėžiant  asmenines ūgio ir svorio bei  svorio priklausomybės nuo ūgio kitimo kreives pagal lytį; įvertinti KMI, AKS, mitybos įpročius, fizinį aktyvumą, atramos judamąjį aparatą, psichikos būklę, regėjimo aštrumą, klausos aštrumą, įsitraukimą į rizikingą sveikatai elgseną (pvz., patyčios, smurtas), lytinio aktyvumo bei lytinės elgsenos saugumą bei, atsižvelgiant į amžiaus ypatumus, informuoti pacientą, jo tėvus ar kitus atstovus pagal įstatymą apie sveikos gyvensenos ugdymą, rekomenduoti profilaktines priemones, mokyti sveikos gyvensenos principų, pagal paciento poreikius teikti sveikatos informavimo ir konsultavimo paslaugas toliau išvardytais klausimais: </w:t>
                </w:r>
              </w:p>
              <w:p>
                <w:pPr>
                  <w:rPr>
                    <w:color w:val="000000"/>
                    <w:szCs w:val="24"/>
                  </w:rPr>
                </w:pPr>
                <w:r>
                  <w:rPr>
                    <w:color w:val="000000"/>
                    <w:szCs w:val="24"/>
                  </w:rPr>
                  <w:t>5.1.1. asmens higienos;</w:t>
                </w:r>
              </w:p>
              <w:p>
                <w:pPr>
                  <w:rPr>
                    <w:color w:val="000000"/>
                    <w:szCs w:val="24"/>
                  </w:rPr>
                </w:pPr>
                <w:r>
                  <w:rPr>
                    <w:color w:val="000000"/>
                    <w:szCs w:val="24"/>
                  </w:rPr>
                  <w:t>5.1.2. racionalios mitybos;</w:t>
                </w:r>
              </w:p>
              <w:p>
                <w:pPr>
                  <w:rPr>
                    <w:color w:val="000000"/>
                    <w:szCs w:val="24"/>
                  </w:rPr>
                </w:pPr>
                <w:r>
                  <w:rPr>
                    <w:color w:val="000000"/>
                    <w:szCs w:val="24"/>
                  </w:rPr>
                  <w:t xml:space="preserve">5.1.3. miego ir budrumo režimo; </w:t>
                </w:r>
              </w:p>
              <w:p>
                <w:pPr>
                  <w:rPr>
                    <w:color w:val="000000"/>
                    <w:szCs w:val="24"/>
                  </w:rPr>
                </w:pPr>
                <w:r>
                  <w:rPr>
                    <w:color w:val="000000"/>
                    <w:szCs w:val="24"/>
                  </w:rPr>
                  <w:t>5.1.4. burnos sveikatos;</w:t>
                </w:r>
              </w:p>
              <w:p>
                <w:pPr>
                  <w:rPr>
                    <w:color w:val="000000"/>
                    <w:szCs w:val="24"/>
                  </w:rPr>
                </w:pPr>
                <w:r>
                  <w:rPr>
                    <w:color w:val="000000"/>
                    <w:szCs w:val="24"/>
                  </w:rPr>
                  <w:t>5.1.5. fizinio aktyvumo (rekomenduotina ne mažiau kaip 1 val. kasdien) lauke, ir sveiko gyvenimo būdo;</w:t>
                </w:r>
              </w:p>
              <w:p>
                <w:pPr>
                  <w:rPr>
                    <w:color w:val="000000"/>
                    <w:szCs w:val="24"/>
                  </w:rPr>
                </w:pPr>
                <w:r>
                  <w:rPr>
                    <w:color w:val="000000"/>
                    <w:szCs w:val="24"/>
                  </w:rPr>
                  <w:t>5.1.6. regėjimo sutrikimų, sukeliamų darbo su videoterminalais, profilaktikos, taisyklingos laikysenos sėdint prie kompiuterio, darbo ir poilsio režimo;</w:t>
                </w:r>
              </w:p>
              <w:p>
                <w:pPr>
                  <w:rPr>
                    <w:color w:val="000000"/>
                    <w:szCs w:val="24"/>
                  </w:rPr>
                </w:pPr>
                <w:r>
                  <w:rPr>
                    <w:color w:val="000000"/>
                    <w:szCs w:val="24"/>
                  </w:rPr>
                  <w:t>5.1.7. traumų, prievartos, uždusimo, paskendimo, apsinuodijimų, nudegimų ir kitų nelaimingų atsitikimų, saugaus elgesio kelyje ir kitoje aplinkoje profilaktiką, imunoprofilaktiką;</w:t>
                </w:r>
              </w:p>
              <w:p>
                <w:pPr>
                  <w:rPr>
                    <w:color w:val="000000"/>
                    <w:szCs w:val="24"/>
                  </w:rPr>
                </w:pPr>
                <w:r>
                  <w:rPr>
                    <w:color w:val="000000"/>
                    <w:szCs w:val="24"/>
                  </w:rPr>
                  <w:t xml:space="preserve">5.1.8. žalingų sveikatai įpročių (alkoholio, nikotino ir narkotinių medžiagų vartojimo); </w:t>
                </w:r>
              </w:p>
              <w:p>
                <w:pPr>
                  <w:rPr>
                    <w:color w:val="000000"/>
                    <w:szCs w:val="24"/>
                  </w:rPr>
                </w:pPr>
                <w:r>
                  <w:rPr>
                    <w:color w:val="000000"/>
                    <w:szCs w:val="24"/>
                  </w:rPr>
                  <w:t>5.1.9. atsparumo rizikingai sveikatai elgsenai;</w:t>
                </w:r>
              </w:p>
              <w:p>
                <w:pPr>
                  <w:rPr>
                    <w:color w:val="000000"/>
                    <w:szCs w:val="24"/>
                  </w:rPr>
                </w:pPr>
                <w:r>
                  <w:rPr>
                    <w:color w:val="000000"/>
                    <w:szCs w:val="24"/>
                  </w:rPr>
                  <w:t>5.1.10. lytinės elgsenos saugumo;</w:t>
                </w:r>
              </w:p>
              <w:p>
                <w:pPr>
                  <w:rPr>
                    <w:color w:val="000000"/>
                    <w:szCs w:val="24"/>
                  </w:rPr>
                </w:pPr>
                <w:r>
                  <w:rPr>
                    <w:color w:val="000000"/>
                    <w:szCs w:val="24"/>
                  </w:rPr>
                  <w:t xml:space="preserve">5.1.11. sveikatos priežiūros pagalbos neįgalaus vaiko šeimai. </w:t>
                </w:r>
              </w:p>
            </w:tc>
            <w:tc>
              <w:tcPr>
                <w:tcW w:w="1701"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701" w:type="dxa"/>
                <w:vMerge w:val="restart"/>
                <w:tcBorders>
                  <w:bottom w:val="single" w:sz="4" w:space="0" w:color="auto"/>
                </w:tcBorders>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 xml:space="preserve">1 kartą per 2 metus </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5.2. Atlikti ir įvertinti:</w:t>
                </w:r>
              </w:p>
              <w:p>
                <w:pPr>
                  <w:rPr>
                    <w:color w:val="000000"/>
                    <w:szCs w:val="24"/>
                  </w:rPr>
                </w:pPr>
                <w:r>
                  <w:rPr>
                    <w:color w:val="000000"/>
                    <w:szCs w:val="24"/>
                  </w:rPr>
                  <w:t>5.2.1. bendrą kraujo tyrimą, jei yra šie rizikos veiksniai: neracionali mityba (ypač – vegetarams), gausios menstruacijos, pacientas sportuoja, gyvena blogomis socialinėmis sąlygomis, augimo spurto metu ir jei paauglys netenka kūno masės;</w:t>
                </w:r>
              </w:p>
              <w:p>
                <w:pPr>
                  <w:rPr>
                    <w:color w:val="000000"/>
                    <w:szCs w:val="24"/>
                  </w:rPr>
                </w:pPr>
                <w:r>
                  <w:rPr>
                    <w:color w:val="000000"/>
                    <w:szCs w:val="24"/>
                  </w:rPr>
                  <w:t>5.2.2. kapiliarinės glikemijos tyrimą, jei yra šie klinikiniai simptomai: poliurija, polidipsija, svorio kritimas, nuovargis; nuo 10 metų arba prasidėjus lytiniam brendimui, kai KMI viršija 85 procentilę ir yra rizikos veiksnių, tokių kaip cukrinis diabetas ir (ar) širdies kraujagyslių ligos šeimoje,  atsparumo insulinui požymių (juodoji akantozė, dislipidemija, hipertenzija, policistinių kiaušidžių sindromas);</w:t>
                </w:r>
              </w:p>
              <w:p>
                <w:pPr>
                  <w:rPr>
                    <w:color w:val="000000"/>
                    <w:szCs w:val="24"/>
                  </w:rPr>
                </w:pPr>
                <w:r>
                  <w:rPr>
                    <w:color w:val="000000"/>
                    <w:szCs w:val="24"/>
                  </w:rPr>
                  <w:t>visiems, kurių KMI viršija 95 procentilę pagal amžių ir lytį;</w:t>
                </w:r>
              </w:p>
              <w:p>
                <w:pPr>
                  <w:rPr>
                    <w:color w:val="000000"/>
                    <w:szCs w:val="24"/>
                  </w:rPr>
                </w:pPr>
                <w:r>
                  <w:rPr>
                    <w:color w:val="000000"/>
                    <w:szCs w:val="24"/>
                  </w:rPr>
                  <w:t>5.2.3. bendrą šlapimo tyrimą.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 gydytojas odontologas specialistas arba burnos higienistas</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5.3. Atlikti dantų ėduonies diagnostiką, krūminių dantų silantavimą – priklausomai nuo dantų dygimo laiko, jei reikia, pagydyti ar skirti gydymo laiką / siųsti gydyti. </w:t>
                </w:r>
              </w:p>
              <w:p>
                <w:pPr>
                  <w:rPr>
                    <w:color w:val="000000"/>
                    <w:szCs w:val="24"/>
                  </w:rPr>
                </w:pPr>
                <w:r>
                  <w:rPr>
                    <w:color w:val="000000"/>
                    <w:szCs w:val="24"/>
                  </w:rPr>
                  <w:t xml:space="preserve">5.4. Įvertinti nuolatinių dantų sąkandį, nustatyti, ar nėra sąkandžio anomalijų, jei reikia, pagydyti ar siųsti konsultacijos / gydyti.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gydytojas odontologas specialistas</w:t>
                </w:r>
              </w:p>
              <w:p>
                <w:pPr>
                  <w:rPr>
                    <w:color w:val="000000"/>
                    <w:szCs w:val="24"/>
                  </w:rPr>
                </w:pPr>
                <w:r>
                  <w:rPr>
                    <w:color w:val="000000"/>
                    <w:szCs w:val="24"/>
                  </w:rPr>
                  <w:t xml:space="preserve">arba burnos higienistas </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5.5. Atlikti dantų ėduonies profilaktiką.  </w:t>
                </w:r>
              </w:p>
              <w:p>
                <w:pPr>
                  <w:rPr>
                    <w:color w:val="000000"/>
                    <w:szCs w:val="24"/>
                  </w:rPr>
                </w:pPr>
                <w:r>
                  <w:rPr>
                    <w:color w:val="000000"/>
                    <w:szCs w:val="24"/>
                  </w:rPr>
                  <w:t>5.6. Įvertinti burnos higienos būklę ir pamokyti burnos higienos ir racionalios mitybos pagrindų, informuoti apie deimantų ant dantų, auskarų liežuvyje žalą.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Slaugytojas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5.7. Kiekvieno apsilankymo metu pamatuoti paciento AKS, ūgį bei svorį ir šiuos duomenis įrašyti į asmeninę svorio priklausomybės nuo ūgio kitimo diagramą pagal lytį, apskaičiuoti KMI.</w:t>
                </w:r>
              </w:p>
              <w:p>
                <w:pPr>
                  <w:rPr>
                    <w:color w:val="000000"/>
                    <w:szCs w:val="24"/>
                  </w:rPr>
                </w:pPr>
                <w:r>
                  <w:rPr>
                    <w:color w:val="000000"/>
                    <w:szCs w:val="24"/>
                  </w:rPr>
                  <w:t>5.8. Pagal amžiaus ir lyties ypatumus padėti pacientui susiformuoti racionalios mitybos, fizinio aktyvumo, sveiko gyvenimo būdo nuostatas.</w:t>
                </w:r>
              </w:p>
              <w:p>
                <w:pPr>
                  <w:rPr>
                    <w:color w:val="000000"/>
                    <w:szCs w:val="24"/>
                  </w:rPr>
                </w:pPr>
                <w:r>
                  <w:rPr>
                    <w:color w:val="000000"/>
                    <w:szCs w:val="24"/>
                  </w:rPr>
                  <w:t>5.9. Informuoti apie sveiką gyvenimo būdą,  ligų ir žalingų sveikatai įpročių profilaktiką, imunoprofilaktiką, lytinės elgsenos saugumą.“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bl>
        <w:p>
          <w:pPr>
            <w:tabs>
              <w:tab w:val="left" w:pos="600"/>
            </w:tabs>
            <w:jc w:val="both"/>
            <w:rPr>
              <w:color w:val="000000"/>
              <w:szCs w:val="24"/>
            </w:rPr>
          </w:pPr>
        </w:p>
        <w:p>
          <w:pPr>
            <w:snapToGrid w:val="0"/>
            <w:ind w:left="851"/>
            <w:jc w:val="center"/>
          </w:pPr>
          <w:r>
            <w:rPr>
              <w:color w:val="000000"/>
              <w:szCs w:val="24"/>
            </w:rPr>
            <w:t>______________</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f3a0a0015a11ebb74de75171d26d52">
            <w:r w:rsidRPr="00532B9F">
              <w:rPr>
                <w:rFonts w:ascii="Times New Roman" w:eastAsia="MS Mincho" w:hAnsi="Times New Roman"/>
                <w:sz w:val="20"/>
                <w:i/>
                <w:iCs/>
                <w:color w:val="0000FF" w:themeColor="hyperlink"/>
                <w:u w:val="single"/>
              </w:rPr>
              <w:t>V-2130</w:t>
            </w:r>
          </w:fldSimple>
          <w:r>
            <w:rPr>
              <w:rFonts w:ascii="Times New Roman" w:eastAsia="MS Mincho" w:hAnsi="Times New Roman"/>
              <w:sz w:val="20"/>
              <w:i/>
              <w:iCs/>
            </w:rPr>
            <w:t>,
2020-09-28,
paskelbta TAR 2020-09-28, i. k. 2020-20108            </w:t>
          </w:r>
        </w:p>
        <w:p/>
      </w:sdtContent>
    </w:sdt>
    <w:sdt>
      <w:sdtPr>
        <w:alias w:val="2 pr."/>
        <w:tag w:val="part_81d66e55cada440c9eedd9c542a40891"/>
        <w:lock w:val="sdtLocked"/>
        <w:richText/>
      </w:sdtPr>
      <w:sdtContent>
        <w:p>
          <w:pPr>
            <w:ind w:left="11907"/>
            <w:sectPr>
              <w:headerReference w:type="even" r:id="rId92"/>
              <w:headerReference w:type="default" r:id="rId93"/>
              <w:headerReference w:type="first" r:id="rId94"/>
              <w:pgSz w:w="16838" w:h="11906" w:orient="landscape" w:code="9"/>
              <w:pgMar w:top="539" w:right="1440" w:bottom="284" w:left="1134" w:header="284" w:footer="284" w:gutter="0"/>
              <w:pgNumType w:start="1"/>
              <w:cols w:space="708"/>
              <w:titlePg/>
              <w:docGrid w:linePitch="360"/>
            </w:sectPr>
          </w:pPr>
        </w:p>
        <w:p>
          <w:pPr>
            <w:shd w:val="clear" w:color="auto" w:fill="FFFFFF"/>
            <w:tabs>
              <w:tab w:val="left" w:pos="5812"/>
            </w:tabs>
            <w:ind w:left="9639"/>
            <w:rPr>
              <w:bCs/>
              <w:szCs w:val="24"/>
            </w:rPr>
          </w:pPr>
          <w:r>
            <w:rPr>
              <w:szCs w:val="24"/>
            </w:rPr>
            <w:t xml:space="preserve">Vaikų </w:t>
          </w:r>
          <w:r>
            <w:rPr>
              <w:bCs/>
              <w:szCs w:val="24"/>
            </w:rPr>
            <w:t xml:space="preserve">ir pilnamečių mokinių, ugdomų </w:t>
          </w:r>
        </w:p>
        <w:p>
          <w:pPr>
            <w:shd w:val="clear" w:color="auto" w:fill="FFFFFF"/>
            <w:tabs>
              <w:tab w:val="left" w:pos="5812"/>
            </w:tabs>
            <w:ind w:left="9639"/>
            <w:rPr>
              <w:szCs w:val="24"/>
            </w:rPr>
          </w:pPr>
          <w:r>
            <w:rPr>
              <w:bCs/>
              <w:szCs w:val="24"/>
            </w:rPr>
            <w:t>pagal bendrojo ugdymo programas,</w:t>
          </w:r>
          <w:r>
            <w:rPr>
              <w:szCs w:val="24"/>
            </w:rPr>
            <w:t xml:space="preserve"> </w:t>
          </w:r>
        </w:p>
        <w:p>
          <w:pPr>
            <w:ind w:left="9639" w:right="395"/>
            <w:rPr>
              <w:color w:val="000000"/>
              <w:szCs w:val="24"/>
            </w:rPr>
          </w:pPr>
          <w:r>
            <w:rPr>
              <w:szCs w:val="24"/>
            </w:rPr>
            <w:t>tikrinimo tvarkos aprašo</w:t>
          </w:r>
          <w:r>
            <w:rPr>
              <w:color w:val="000000"/>
              <w:szCs w:val="24"/>
            </w:rPr>
            <w:t xml:space="preserve">  </w:t>
          </w:r>
        </w:p>
        <w:p>
          <w:pPr>
            <w:ind w:left="9639"/>
            <w:rPr>
              <w:color w:val="000000"/>
              <w:szCs w:val="24"/>
            </w:rPr>
          </w:pPr>
          <w:sdt>
            <w:sdtPr>
              <w:alias w:val="Numeris"/>
              <w:tag w:val="nr_81d66e55cada440c9eedd9c542a40891"/>
              <w:lock w:val="sdtLocked"/>
              <w:richText/>
            </w:sdtPr>
            <w:sdtContent>
              <w:r>
                <w:rPr>
                  <w:color w:val="000000"/>
                  <w:szCs w:val="24"/>
                </w:rPr>
                <w:t>2</w:t>
              </w:r>
            </w:sdtContent>
          </w:sdt>
          <w:r>
            <w:rPr>
              <w:color w:val="000000"/>
              <w:szCs w:val="24"/>
            </w:rPr>
            <w:t xml:space="preserve"> priedas</w:t>
          </w: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br/>
          </w:r>
        </w:p>
        <w:sdt>
          <w:sdtPr>
            <w:alias w:val="Pavadinimas"/>
            <w:tag w:val="title_81d66e55cada440c9eedd9c542a40891"/>
            <w:lock w:val="sdtLocked"/>
            <w:richText/>
          </w:sdtPr>
          <w:sdtContent>
            <w:p>
              <w:pPr>
                <w:jc w:val="center"/>
                <w:rPr>
                  <w:color w:val="000000"/>
                  <w:szCs w:val="24"/>
                </w:rPr>
              </w:pPr>
              <w:r>
                <w:rPr>
                  <w:b/>
                  <w:color w:val="000000"/>
                  <w:szCs w:val="24"/>
                </w:rPr>
                <w:t xml:space="preserve">VAIKO PSICHOMOTORINĖS RAIDOS TIKRINIMO LAPAS (KŪDIKIS) </w:t>
              </w:r>
            </w:p>
          </w:sdtContent>
        </w:sdt>
        <w:p>
          <w:pPr>
            <w:ind w:right="395"/>
            <w:jc w:val="right"/>
            <w:rPr>
              <w:b/>
              <w:color w:val="000000"/>
              <w:szCs w:val="24"/>
            </w:rPr>
          </w:pPr>
          <w:r>
            <w:rPr>
              <w:color w:val="000000"/>
              <w:szCs w:val="24"/>
            </w:rPr>
            <w:t>1 lentelė</w:t>
          </w: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247"/>
            <w:gridCol w:w="1871"/>
            <w:gridCol w:w="4253"/>
            <w:gridCol w:w="1672"/>
            <w:gridCol w:w="850"/>
            <w:gridCol w:w="851"/>
            <w:gridCol w:w="1134"/>
            <w:gridCol w:w="769"/>
            <w:gridCol w:w="1844"/>
          </w:tblGrid>
          <w:tr>
            <w:trPr>
              <w:trHeight w:hRule="exact" w:val="567"/>
            </w:trPr>
            <w:tc>
              <w:tcPr>
                <w:tcW w:w="568" w:type="dxa"/>
                <w:vMerge w:val="restart"/>
              </w:tcPr>
              <w:p>
                <w:pPr>
                  <w:jc w:val="center"/>
                  <w:rPr>
                    <w:b/>
                    <w:color w:val="000000"/>
                    <w:szCs w:val="24"/>
                  </w:rPr>
                </w:pPr>
                <w:r>
                  <w:rPr>
                    <w:b/>
                    <w:color w:val="000000"/>
                    <w:szCs w:val="24"/>
                  </w:rPr>
                  <w:t>Nr.</w:t>
                </w:r>
              </w:p>
            </w:tc>
            <w:tc>
              <w:tcPr>
                <w:tcW w:w="1247" w:type="dxa"/>
                <w:vMerge w:val="restart"/>
              </w:tcPr>
              <w:p>
                <w:pPr>
                  <w:jc w:val="center"/>
                  <w:rPr>
                    <w:b/>
                    <w:color w:val="000000"/>
                    <w:szCs w:val="24"/>
                  </w:rPr>
                </w:pPr>
                <w:r>
                  <w:rPr>
                    <w:b/>
                    <w:color w:val="000000"/>
                    <w:szCs w:val="24"/>
                  </w:rPr>
                  <w:t>Kūdikio</w:t>
                </w:r>
              </w:p>
              <w:p>
                <w:pPr>
                  <w:jc w:val="center"/>
                  <w:rPr>
                    <w:b/>
                    <w:color w:val="000000"/>
                    <w:szCs w:val="24"/>
                  </w:rPr>
                </w:pPr>
                <w:r>
                  <w:rPr>
                    <w:b/>
                    <w:color w:val="000000"/>
                    <w:szCs w:val="24"/>
                  </w:rPr>
                  <w:t>amžius</w:t>
                </w:r>
              </w:p>
            </w:tc>
            <w:tc>
              <w:tcPr>
                <w:tcW w:w="7796" w:type="dxa"/>
                <w:gridSpan w:val="3"/>
                <w:vMerge w:val="restart"/>
              </w:tcPr>
              <w:p>
                <w:pPr>
                  <w:jc w:val="center"/>
                  <w:rPr>
                    <w:b/>
                    <w:color w:val="000000"/>
                    <w:szCs w:val="24"/>
                  </w:rPr>
                </w:pPr>
                <w:r>
                  <w:rPr>
                    <w:b/>
                    <w:color w:val="000000"/>
                    <w:szCs w:val="24"/>
                  </w:rPr>
                  <w:t xml:space="preserve">Įgūdžio aprašymas </w:t>
                </w:r>
              </w:p>
            </w:tc>
            <w:tc>
              <w:tcPr>
                <w:tcW w:w="1701" w:type="dxa"/>
                <w:gridSpan w:val="2"/>
              </w:tcPr>
              <w:p>
                <w:pPr>
                  <w:jc w:val="center"/>
                  <w:rPr>
                    <w:b/>
                    <w:color w:val="000000"/>
                    <w:szCs w:val="24"/>
                  </w:rPr>
                </w:pPr>
                <w:r>
                  <w:rPr>
                    <w:b/>
                    <w:color w:val="000000"/>
                    <w:szCs w:val="24"/>
                  </w:rPr>
                  <w:t>Įgūdžio vertinimas</w:t>
                </w:r>
              </w:p>
            </w:tc>
            <w:tc>
              <w:tcPr>
                <w:tcW w:w="1134" w:type="dxa"/>
                <w:vMerge w:val="restart"/>
              </w:tcPr>
              <w:p>
                <w:pPr>
                  <w:jc w:val="center"/>
                  <w:rPr>
                    <w:b/>
                    <w:color w:val="000000"/>
                    <w:szCs w:val="24"/>
                  </w:rPr>
                </w:pPr>
                <w:r>
                  <w:rPr>
                    <w:b/>
                    <w:color w:val="000000"/>
                    <w:szCs w:val="24"/>
                  </w:rPr>
                  <w:t>Išvada</w:t>
                </w:r>
              </w:p>
            </w:tc>
            <w:tc>
              <w:tcPr>
                <w:tcW w:w="769" w:type="dxa"/>
                <w:vMerge w:val="restart"/>
              </w:tcPr>
              <w:p>
                <w:pPr>
                  <w:jc w:val="center"/>
                  <w:rPr>
                    <w:b/>
                    <w:color w:val="000000"/>
                    <w:szCs w:val="24"/>
                  </w:rPr>
                </w:pPr>
                <w:r>
                  <w:rPr>
                    <w:b/>
                    <w:color w:val="000000"/>
                    <w:szCs w:val="24"/>
                  </w:rPr>
                  <w:t>Data</w:t>
                </w:r>
              </w:p>
            </w:tc>
            <w:tc>
              <w:tcPr>
                <w:tcW w:w="1844"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247" w:type="dxa"/>
                <w:vMerge/>
              </w:tcPr>
              <w:p>
                <w:pPr>
                  <w:jc w:val="center"/>
                  <w:rPr>
                    <w:b/>
                    <w:color w:val="000000"/>
                    <w:szCs w:val="24"/>
                  </w:rPr>
                </w:pPr>
              </w:p>
            </w:tc>
            <w:tc>
              <w:tcPr>
                <w:tcW w:w="7796" w:type="dxa"/>
                <w:gridSpan w:val="3"/>
                <w:vMerge/>
              </w:tcPr>
              <w:p>
                <w:pPr>
                  <w:jc w:val="center"/>
                  <w:rPr>
                    <w:b/>
                    <w:color w:val="000000"/>
                    <w:szCs w:val="24"/>
                  </w:rPr>
                </w:pPr>
              </w:p>
            </w:tc>
            <w:tc>
              <w:tcPr>
                <w:tcW w:w="850" w:type="dxa"/>
              </w:tcPr>
              <w:p>
                <w:pPr>
                  <w:jc w:val="center"/>
                  <w:rPr>
                    <w:b/>
                    <w:color w:val="000000"/>
                    <w:szCs w:val="24"/>
                  </w:rPr>
                </w:pPr>
                <w:r>
                  <w:rPr>
                    <w:b/>
                    <w:color w:val="000000"/>
                    <w:szCs w:val="24"/>
                  </w:rPr>
                  <w:t>Taip</w:t>
                </w:r>
              </w:p>
              <w:p>
                <w:pPr>
                  <w:jc w:val="center"/>
                  <w:rPr>
                    <w:b/>
                    <w:color w:val="000000"/>
                    <w:sz w:val="18"/>
                    <w:szCs w:val="18"/>
                  </w:rPr>
                </w:pPr>
                <w:r>
                  <w:rPr>
                    <w:b/>
                    <w:color w:val="000000"/>
                    <w:sz w:val="28"/>
                    <w:szCs w:val="28"/>
                  </w:rPr>
                  <w:t>√</w:t>
                </w:r>
              </w:p>
            </w:tc>
            <w:tc>
              <w:tcPr>
                <w:tcW w:w="851" w:type="dxa"/>
              </w:tcPr>
              <w:p>
                <w:pPr>
                  <w:jc w:val="center"/>
                  <w:rPr>
                    <w:b/>
                    <w:color w:val="000000"/>
                    <w:szCs w:val="24"/>
                  </w:rPr>
                </w:pPr>
                <w:r>
                  <w:rPr>
                    <w:b/>
                    <w:color w:val="000000"/>
                    <w:szCs w:val="24"/>
                  </w:rPr>
                  <w:t>Ne</w:t>
                </w:r>
              </w:p>
              <w:p>
                <w:pPr>
                  <w:jc w:val="center"/>
                  <w:rPr>
                    <w:b/>
                    <w:color w:val="000000"/>
                    <w:sz w:val="18"/>
                    <w:szCs w:val="18"/>
                  </w:rPr>
                </w:pPr>
                <w:r>
                  <w:rPr>
                    <w:b/>
                    <w:color w:val="000000"/>
                    <w:sz w:val="28"/>
                    <w:szCs w:val="28"/>
                  </w:rPr>
                  <w:t>√</w:t>
                </w:r>
              </w:p>
            </w:tc>
            <w:tc>
              <w:tcPr>
                <w:tcW w:w="1134" w:type="dxa"/>
                <w:vMerge/>
              </w:tcPr>
              <w:p>
                <w:pPr>
                  <w:jc w:val="center"/>
                  <w:rPr>
                    <w:b/>
                    <w:color w:val="000000"/>
                    <w:szCs w:val="24"/>
                  </w:rPr>
                </w:pPr>
              </w:p>
            </w:tc>
            <w:tc>
              <w:tcPr>
                <w:tcW w:w="769" w:type="dxa"/>
                <w:vMerge/>
              </w:tcPr>
              <w:p>
                <w:pPr>
                  <w:jc w:val="center"/>
                  <w:rPr>
                    <w:b/>
                    <w:color w:val="000000"/>
                    <w:szCs w:val="24"/>
                  </w:rPr>
                </w:pPr>
              </w:p>
            </w:tc>
            <w:tc>
              <w:tcPr>
                <w:tcW w:w="1844" w:type="dxa"/>
                <w:vMerge/>
              </w:tcPr>
              <w:p>
                <w:pPr>
                  <w:jc w:val="center"/>
                  <w:rPr>
                    <w:b/>
                    <w:color w:val="000000"/>
                    <w:szCs w:val="24"/>
                  </w:rPr>
                </w:pPr>
              </w:p>
            </w:tc>
          </w:tr>
          <w:tr>
            <w:trPr>
              <w:trHeight w:val="996"/>
            </w:trPr>
            <w:tc>
              <w:tcPr>
                <w:tcW w:w="568" w:type="dxa"/>
                <w:vMerge w:val="restart"/>
              </w:tcPr>
              <w:p>
                <w:pPr>
                  <w:rPr>
                    <w:color w:val="000000"/>
                    <w:szCs w:val="24"/>
                  </w:rPr>
                </w:pPr>
                <w:r>
                  <w:rPr>
                    <w:color w:val="000000"/>
                    <w:szCs w:val="24"/>
                  </w:rPr>
                  <w:t>1.</w:t>
                </w:r>
              </w:p>
            </w:tc>
            <w:tc>
              <w:tcPr>
                <w:tcW w:w="1247" w:type="dxa"/>
                <w:vMerge w:val="restart"/>
              </w:tcPr>
              <w:p>
                <w:pPr>
                  <w:rPr>
                    <w:color w:val="000000"/>
                    <w:szCs w:val="24"/>
                  </w:rPr>
                </w:pPr>
                <w:r>
                  <w:rPr>
                    <w:color w:val="000000"/>
                    <w:szCs w:val="24"/>
                  </w:rPr>
                  <w:t>3 mėn.</w:t>
                </w:r>
              </w:p>
              <w:p>
                <w:pPr>
                  <w:rPr>
                    <w:color w:val="000000"/>
                    <w:szCs w:val="24"/>
                    <w:lang w:eastAsia="lt-LT"/>
                  </w:rPr>
                </w:pPr>
              </w:p>
              <w:p>
                <w:pPr>
                  <w:rPr>
                    <w:color w:val="000000"/>
                    <w:szCs w:val="24"/>
                  </w:rPr>
                </w:pPr>
              </w:p>
            </w:tc>
            <w:tc>
              <w:tcPr>
                <w:tcW w:w="1871" w:type="dxa"/>
              </w:tcPr>
              <w:p>
                <w:pPr>
                  <w:rPr>
                    <w:color w:val="000000"/>
                    <w:szCs w:val="24"/>
                  </w:rPr>
                </w:pPr>
                <w:r>
                  <w:rPr>
                    <w:color w:val="000000"/>
                    <w:szCs w:val="24"/>
                  </w:rPr>
                  <w:t>1.1. Laiko galvą gulėdamas ant pilvo.</w:t>
                </w:r>
              </w:p>
            </w:tc>
            <w:tc>
              <w:tcPr>
                <w:tcW w:w="4253" w:type="dxa"/>
              </w:tcPr>
              <w:p>
                <w:pPr>
                  <w:rPr>
                    <w:color w:val="000000"/>
                    <w:szCs w:val="24"/>
                  </w:rPr>
                </w:pPr>
                <w:r>
                  <w:rPr>
                    <w:color w:val="000000"/>
                    <w:szCs w:val="24"/>
                  </w:rPr>
                  <w:t>Gulėdamas ant pilvo gerai laiko galvą, ją sukinėja į visas puses.</w:t>
                </w:r>
              </w:p>
            </w:tc>
            <w:tc>
              <w:tcPr>
                <w:tcW w:w="1672" w:type="dxa"/>
              </w:tcPr>
              <w:p>
                <w:pPr>
                  <w:rPr>
                    <w:b/>
                    <w:color w:val="000000"/>
                    <w:szCs w:val="24"/>
                  </w:rPr>
                </w:pPr>
                <w:r>
                  <w:rPr>
                    <w:b/>
                    <w:color w:val="000000"/>
                    <w:szCs w:val="24"/>
                    <w:lang w:eastAsia="lt-LT"/>
                  </w:rPr>
                  <w:drawing>
                    <wp:inline distT="0" distB="0" distL="0" distR="0">
                      <wp:extent cx="946298" cy="733647"/>
                      <wp:effectExtent l="0" t="0" r="6350" b="9525"/>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 ant pilvuko 1.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942975" cy="731071"/>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color w:val="000000"/>
                    <w:szCs w:val="24"/>
                    <w:lang w:eastAsia="lt-LT"/>
                  </w:rPr>
                </w:pPr>
              </w:p>
            </w:tc>
            <w:tc>
              <w:tcPr>
                <w:tcW w:w="1844" w:type="dxa"/>
                <w:vMerge w:val="restart"/>
              </w:tcPr>
              <w:p>
                <w:pPr>
                  <w:rPr>
                    <w:color w:val="000000"/>
                    <w:szCs w:val="24"/>
                    <w:lang w:eastAsia="lt-LT"/>
                  </w:rPr>
                </w:pPr>
              </w:p>
            </w:tc>
          </w:tr>
          <w:tr>
            <w:trPr>
              <w:trHeight w:val="958"/>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1.2. Gulėdamas ant nugaros suveda rankas į vidurio liniją.</w:t>
                </w:r>
              </w:p>
            </w:tc>
            <w:tc>
              <w:tcPr>
                <w:tcW w:w="4253" w:type="dxa"/>
              </w:tcPr>
              <w:p>
                <w:pPr>
                  <w:rPr>
                    <w:color w:val="000000"/>
                    <w:szCs w:val="24"/>
                  </w:rPr>
                </w:pPr>
                <w:r>
                  <w:rPr>
                    <w:color w:val="000000"/>
                    <w:szCs w:val="24"/>
                  </w:rPr>
                  <w:t>Gulėdamas ant nugaros rankas suveda ant krūtinės, gali viena ranka</w:t>
                </w:r>
                <w:r>
                  <w:rPr>
                    <w:color w:val="000000"/>
                    <w:szCs w:val="24"/>
                    <w:lang w:eastAsia="lt-LT"/>
                  </w:rPr>
                  <w:t xml:space="preserve"> </w:t>
                </w:r>
                <w:r>
                  <w:rPr>
                    <w:color w:val="000000"/>
                    <w:szCs w:val="24"/>
                  </w:rPr>
                  <w:t xml:space="preserve">suimti kitą. </w:t>
                </w:r>
              </w:p>
            </w:tc>
            <w:tc>
              <w:tcPr>
                <w:tcW w:w="1672" w:type="dxa"/>
              </w:tcPr>
              <w:p>
                <w:pPr>
                  <w:rPr>
                    <w:b/>
                    <w:color w:val="000000"/>
                    <w:szCs w:val="24"/>
                  </w:rPr>
                </w:pPr>
                <w:r>
                  <w:rPr>
                    <w:b/>
                    <w:color w:val="000000"/>
                    <w:szCs w:val="24"/>
                    <w:lang w:eastAsia="lt-LT"/>
                  </w:rPr>
                  <w:drawing>
                    <wp:inline distT="0" distB="0" distL="0" distR="0">
                      <wp:extent cx="933450" cy="762000"/>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42975" cy="769776"/>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tcPr>
              <w:p>
                <w:pPr>
                  <w:rPr>
                    <w:color w:val="000000"/>
                    <w:szCs w:val="24"/>
                    <w:lang w:eastAsia="lt-LT"/>
                  </w:rPr>
                </w:pPr>
              </w:p>
            </w:tc>
            <w:tc>
              <w:tcPr>
                <w:tcW w:w="769" w:type="dxa"/>
                <w:vMerge/>
              </w:tcPr>
              <w:p>
                <w:pPr>
                  <w:rPr>
                    <w:color w:val="000000"/>
                    <w:szCs w:val="24"/>
                    <w:lang w:eastAsia="lt-LT"/>
                  </w:rPr>
                </w:pPr>
              </w:p>
            </w:tc>
            <w:tc>
              <w:tcPr>
                <w:tcW w:w="1844" w:type="dxa"/>
                <w:vMerge/>
              </w:tcPr>
              <w:p>
                <w:pPr>
                  <w:rPr>
                    <w:color w:val="000000"/>
                    <w:szCs w:val="24"/>
                    <w:lang w:eastAsia="lt-LT"/>
                  </w:rPr>
                </w:pPr>
              </w:p>
            </w:tc>
          </w:tr>
          <w:tr>
            <w:trPr>
              <w:trHeight w:val="677"/>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1.3. Šypsosi kalbinamas.</w:t>
                </w:r>
              </w:p>
            </w:tc>
            <w:tc>
              <w:tcPr>
                <w:tcW w:w="4253" w:type="dxa"/>
              </w:tcPr>
              <w:p>
                <w:pPr>
                  <w:rPr>
                    <w:color w:val="000000"/>
                    <w:szCs w:val="24"/>
                  </w:rPr>
                </w:pPr>
                <w:r>
                  <w:rPr>
                    <w:color w:val="000000"/>
                    <w:szCs w:val="24"/>
                  </w:rPr>
                  <w:t xml:space="preserve">Kai šypsodamasis suaugusysis kalbina vaiką, vaikas atsako šypsena. </w:t>
                </w:r>
              </w:p>
            </w:tc>
            <w:tc>
              <w:tcPr>
                <w:tcW w:w="1672" w:type="dxa"/>
              </w:tcPr>
              <w:p>
                <w:pPr>
                  <w:rPr>
                    <w:b/>
                    <w:color w:val="000000"/>
                    <w:szCs w:val="24"/>
                  </w:rPr>
                </w:pPr>
                <w:r>
                  <w:rPr>
                    <w:b/>
                    <w:color w:val="000000"/>
                    <w:szCs w:val="24"/>
                    <w:lang w:eastAsia="lt-LT"/>
                  </w:rPr>
                  <w:drawing>
                    <wp:inline distT="0" distB="0" distL="0" distR="0">
                      <wp:extent cx="581025" cy="596285"/>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81254" cy="596520"/>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hRule="exact" w:val="1280"/>
            </w:trPr>
            <w:tc>
              <w:tcPr>
                <w:tcW w:w="568" w:type="dxa"/>
                <w:vMerge w:val="restart"/>
              </w:tcPr>
              <w:p>
                <w:pPr>
                  <w:rPr>
                    <w:color w:val="000000"/>
                    <w:szCs w:val="24"/>
                  </w:rPr>
                </w:pPr>
                <w:r>
                  <w:rPr>
                    <w:color w:val="000000"/>
                    <w:szCs w:val="24"/>
                  </w:rPr>
                  <w:t>2.</w:t>
                </w:r>
              </w:p>
            </w:tc>
            <w:tc>
              <w:tcPr>
                <w:tcW w:w="1247" w:type="dxa"/>
                <w:vMerge w:val="restart"/>
              </w:tcPr>
              <w:p>
                <w:pPr>
                  <w:rPr>
                    <w:color w:val="000000"/>
                    <w:szCs w:val="24"/>
                  </w:rPr>
                </w:pPr>
                <w:r>
                  <w:rPr>
                    <w:color w:val="000000"/>
                    <w:szCs w:val="24"/>
                  </w:rPr>
                  <w:t>6 mėn.</w:t>
                </w:r>
              </w:p>
            </w:tc>
            <w:tc>
              <w:tcPr>
                <w:tcW w:w="1871" w:type="dxa"/>
              </w:tcPr>
              <w:p>
                <w:pPr>
                  <w:ind w:left="34" w:hanging="34"/>
                  <w:rPr>
                    <w:color w:val="000000"/>
                    <w:szCs w:val="24"/>
                  </w:rPr>
                </w:pPr>
                <w:r>
                  <w:rPr>
                    <w:color w:val="000000"/>
                    <w:szCs w:val="24"/>
                  </w:rPr>
                  <w:t>2.1. Verčiasi nuo nugaros ant pilvo.</w:t>
                </w:r>
              </w:p>
            </w:tc>
            <w:tc>
              <w:tcPr>
                <w:tcW w:w="4253" w:type="dxa"/>
              </w:tcPr>
              <w:p>
                <w:pPr>
                  <w:rPr>
                    <w:b/>
                    <w:color w:val="000000"/>
                    <w:szCs w:val="24"/>
                  </w:rPr>
                </w:pPr>
                <w:r>
                  <w:rPr>
                    <w:color w:val="000000"/>
                    <w:szCs w:val="24"/>
                    <w:lang w:eastAsia="lt-LT"/>
                  </w:rPr>
                  <w:t xml:space="preserve">Vaikas, gulėdamas ant nugaros, visiškai arba dalinai apsiverčia  ant pilvo.</w:t>
                </w:r>
              </w:p>
            </w:tc>
            <w:tc>
              <w:tcPr>
                <w:tcW w:w="1672" w:type="dxa"/>
              </w:tcPr>
              <w:p>
                <w:pPr>
                  <w:rPr>
                    <w:b/>
                    <w:color w:val="000000"/>
                    <w:szCs w:val="24"/>
                  </w:rPr>
                </w:pPr>
                <w:r>
                  <w:rPr>
                    <w:b/>
                    <w:color w:val="000000"/>
                    <w:szCs w:val="24"/>
                    <w:lang w:eastAsia="lt-LT"/>
                  </w:rPr>
                  <w:drawing>
                    <wp:inline distT="0" distB="0" distL="0" distR="0">
                      <wp:extent cx="923925" cy="904875"/>
                      <wp:effectExtent l="0" t="0" r="0" b="9525"/>
                      <wp:docPr id="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čias.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921385" cy="902388"/>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hRule="exact" w:val="1418"/>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 xml:space="preserve">2.2. Tikslingai paima paduotą žaislą. </w:t>
                </w:r>
              </w:p>
            </w:tc>
            <w:tc>
              <w:tcPr>
                <w:tcW w:w="4253" w:type="dxa"/>
              </w:tcPr>
              <w:p>
                <w:pPr>
                  <w:rPr>
                    <w:color w:val="000000"/>
                    <w:szCs w:val="24"/>
                  </w:rPr>
                </w:pPr>
                <w:r>
                  <w:rPr>
                    <w:color w:val="000000"/>
                    <w:szCs w:val="24"/>
                  </w:rPr>
                  <w:t>Vaikas, gulėdamas ant nugaros arba sėdėdamas mamai ant kelių, paima duodamą kaladėlę.</w:t>
                </w:r>
              </w:p>
            </w:tc>
            <w:tc>
              <w:tcPr>
                <w:tcW w:w="1672" w:type="dxa"/>
              </w:tcPr>
              <w:p>
                <w:pPr>
                  <w:rPr>
                    <w:b/>
                    <w:color w:val="000000"/>
                    <w:szCs w:val="24"/>
                  </w:rPr>
                </w:pPr>
                <w:r>
                  <w:rPr>
                    <w:b/>
                    <w:color w:val="000000"/>
                    <w:szCs w:val="24"/>
                    <w:lang w:eastAsia="lt-LT"/>
                  </w:rPr>
                  <w:drawing>
                    <wp:inline distT="0" distB="0" distL="0" distR="0">
                      <wp:extent cx="945470" cy="818707"/>
                      <wp:effectExtent l="0" t="0" r="7620" b="63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ka.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942975" cy="816547"/>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70"/>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2.3. Vaikas lokalizuoja garso šaltinį.</w:t>
                </w:r>
              </w:p>
            </w:tc>
            <w:tc>
              <w:tcPr>
                <w:tcW w:w="4253" w:type="dxa"/>
              </w:tcPr>
              <w:p>
                <w:pPr>
                  <w:rPr>
                    <w:color w:val="000000"/>
                    <w:szCs w:val="24"/>
                  </w:rPr>
                </w:pPr>
                <w:r>
                  <w:rPr>
                    <w:color w:val="000000"/>
                    <w:szCs w:val="24"/>
                  </w:rPr>
                  <w:t xml:space="preserve">Vaikui sėdint mamai ant kelių iš nugaros pusės 10–15 cm atstumu nuo ausies pabarškinama barškučiu ar paskambinama varpeliu. Vaikas pasuka galvą ir akis garso  link. </w:t>
                </w:r>
              </w:p>
            </w:tc>
            <w:tc>
              <w:tcPr>
                <w:tcW w:w="1672" w:type="dxa"/>
              </w:tcPr>
              <w:p>
                <w:pPr>
                  <w:rPr>
                    <w:b/>
                    <w:color w:val="000000"/>
                    <w:szCs w:val="24"/>
                  </w:rPr>
                </w:pPr>
                <w:r>
                  <w:rPr>
                    <w:b/>
                    <w:color w:val="000000"/>
                    <w:szCs w:val="24"/>
                    <w:lang w:eastAsia="lt-LT"/>
                  </w:rPr>
                  <w:drawing>
                    <wp:inline distT="0" distB="0" distL="0" distR="0">
                      <wp:extent cx="942975" cy="809625"/>
                      <wp:effectExtent l="0" t="0" r="9525" b="9525"/>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ir klauso.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942975" cy="809625"/>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1124"/>
            </w:trPr>
            <w:tc>
              <w:tcPr>
                <w:tcW w:w="568" w:type="dxa"/>
                <w:vMerge w:val="restart"/>
              </w:tcPr>
              <w:p>
                <w:pPr>
                  <w:rPr>
                    <w:color w:val="000000"/>
                    <w:szCs w:val="24"/>
                  </w:rPr>
                </w:pPr>
                <w:r>
                  <w:rPr>
                    <w:color w:val="000000"/>
                    <w:szCs w:val="24"/>
                  </w:rPr>
                  <w:t>3.</w:t>
                </w:r>
              </w:p>
            </w:tc>
            <w:tc>
              <w:tcPr>
                <w:tcW w:w="1247" w:type="dxa"/>
              </w:tcPr>
              <w:p>
                <w:pPr>
                  <w:rPr>
                    <w:color w:val="000000"/>
                    <w:szCs w:val="24"/>
                  </w:rPr>
                </w:pPr>
                <w:r>
                  <w:rPr>
                    <w:color w:val="000000"/>
                    <w:szCs w:val="24"/>
                  </w:rPr>
                  <w:t>9 mėn.</w:t>
                </w:r>
              </w:p>
            </w:tc>
            <w:tc>
              <w:tcPr>
                <w:tcW w:w="1871" w:type="dxa"/>
              </w:tcPr>
              <w:p>
                <w:pPr>
                  <w:ind w:left="34"/>
                  <w:rPr>
                    <w:color w:val="000000"/>
                    <w:szCs w:val="24"/>
                  </w:rPr>
                </w:pPr>
                <w:r>
                  <w:rPr>
                    <w:color w:val="000000"/>
                    <w:szCs w:val="24"/>
                  </w:rPr>
                  <w:t>3.1. Sėdi savarankiškai.</w:t>
                </w:r>
              </w:p>
            </w:tc>
            <w:tc>
              <w:tcPr>
                <w:tcW w:w="4253" w:type="dxa"/>
              </w:tcPr>
              <w:p>
                <w:pPr>
                  <w:rPr>
                    <w:color w:val="000000"/>
                    <w:szCs w:val="24"/>
                  </w:rPr>
                </w:pPr>
                <w:r>
                  <w:rPr>
                    <w:color w:val="000000"/>
                    <w:szCs w:val="24"/>
                  </w:rPr>
                  <w:t>Vaikas ilgai ir laisvai sėdi tiesia nugara ant kieto pagrindo.</w:t>
                </w:r>
              </w:p>
              <w:p>
                <w:pPr>
                  <w:rPr>
                    <w:b/>
                    <w:color w:val="000000"/>
                    <w:szCs w:val="24"/>
                  </w:rPr>
                </w:pPr>
              </w:p>
            </w:tc>
            <w:tc>
              <w:tcPr>
                <w:tcW w:w="1672" w:type="dxa"/>
              </w:tcPr>
              <w:p>
                <w:pPr>
                  <w:jc w:val="center"/>
                  <w:rPr>
                    <w:color w:val="000000"/>
                    <w:szCs w:val="24"/>
                  </w:rPr>
                </w:pPr>
                <w:r>
                  <w:rPr>
                    <w:color w:val="000000"/>
                    <w:szCs w:val="24"/>
                    <w:lang w:eastAsia="lt-LT"/>
                  </w:rPr>
                  <w:drawing>
                    <wp:inline distT="0" distB="0" distL="0" distR="0">
                      <wp:extent cx="939842" cy="657225"/>
                      <wp:effectExtent l="0" t="0" r="0" b="0"/>
                      <wp:docPr id="3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atsisukęs.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942975" cy="659416"/>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val="1134"/>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3.2. Stovėdamas tvirtai remiasi kojomis.</w:t>
                </w:r>
              </w:p>
            </w:tc>
            <w:tc>
              <w:tcPr>
                <w:tcW w:w="4253" w:type="dxa"/>
              </w:tcPr>
              <w:p>
                <w:pPr>
                  <w:rPr>
                    <w:b/>
                    <w:color w:val="000000"/>
                    <w:szCs w:val="24"/>
                  </w:rPr>
                </w:pPr>
                <w:r>
                  <w:rPr>
                    <w:color w:val="000000"/>
                    <w:szCs w:val="24"/>
                  </w:rPr>
                  <w:t xml:space="preserve">Vaikas tvirtai remiasi abiem kojomis, stovėdamas ant kieto pagrindo. Gali svorį perkelti nuo vienos kojos ant kitos. </w:t>
                </w:r>
              </w:p>
            </w:tc>
            <w:tc>
              <w:tcPr>
                <w:tcW w:w="1672" w:type="dxa"/>
              </w:tcPr>
              <w:p>
                <w:pPr>
                  <w:rPr>
                    <w:color w:val="000000"/>
                    <w:szCs w:val="24"/>
                  </w:rPr>
                </w:pPr>
                <w:r>
                  <w:rPr>
                    <w:color w:val="000000"/>
                    <w:szCs w:val="24"/>
                    <w:lang w:eastAsia="lt-LT"/>
                  </w:rPr>
                  <w:drawing>
                    <wp:inline distT="0" distB="0" distL="0" distR="0">
                      <wp:extent cx="942975" cy="714375"/>
                      <wp:effectExtent l="0" t="0" r="9525" b="9525"/>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vi prilaikomas.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942975" cy="714375"/>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tcPr>
              <w:p>
                <w:pPr>
                  <w:rPr>
                    <w:b/>
                    <w:color w:val="000000"/>
                    <w:szCs w:val="24"/>
                    <w:lang w:eastAsia="lt-LT"/>
                  </w:rPr>
                </w:pPr>
              </w:p>
            </w:tc>
            <w:tc>
              <w:tcPr>
                <w:tcW w:w="769" w:type="dxa"/>
                <w:vMerge/>
              </w:tcPr>
              <w:p>
                <w:pPr>
                  <w:rPr>
                    <w:b/>
                    <w:color w:val="000000"/>
                    <w:szCs w:val="24"/>
                    <w:lang w:eastAsia="lt-LT"/>
                  </w:rPr>
                </w:pPr>
              </w:p>
            </w:tc>
            <w:tc>
              <w:tcPr>
                <w:tcW w:w="1844" w:type="dxa"/>
                <w:vMerge/>
              </w:tcPr>
              <w:p>
                <w:pPr>
                  <w:rPr>
                    <w:b/>
                    <w:color w:val="000000"/>
                    <w:szCs w:val="24"/>
                    <w:lang w:eastAsia="lt-LT"/>
                  </w:rPr>
                </w:pPr>
              </w:p>
            </w:tc>
          </w:tr>
          <w:tr>
            <w:trPr>
              <w:trHeight w:val="689"/>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3.3. Ima žaislus abiem rankomis.</w:t>
                </w:r>
              </w:p>
            </w:tc>
            <w:tc>
              <w:tcPr>
                <w:tcW w:w="4253" w:type="dxa"/>
              </w:tcPr>
              <w:p>
                <w:pPr>
                  <w:rPr>
                    <w:color w:val="000000"/>
                    <w:szCs w:val="24"/>
                  </w:rPr>
                </w:pPr>
                <w:r>
                  <w:rPr>
                    <w:color w:val="000000"/>
                    <w:szCs w:val="24"/>
                  </w:rPr>
                  <w:t xml:space="preserve">Vaikas abiem rankomis paima po daiktą (pvz., kaladėlę, barškutį) ir laiko. </w:t>
                </w:r>
              </w:p>
            </w:tc>
            <w:tc>
              <w:tcPr>
                <w:tcW w:w="1672" w:type="dxa"/>
              </w:tcPr>
              <w:p>
                <w:pPr>
                  <w:jc w:val="center"/>
                  <w:rPr>
                    <w:color w:val="000000"/>
                    <w:szCs w:val="24"/>
                  </w:rPr>
                </w:pPr>
                <w:r>
                  <w:rPr>
                    <w:color w:val="000000"/>
                    <w:szCs w:val="24"/>
                    <w:lang w:eastAsia="lt-LT"/>
                  </w:rPr>
                  <w:drawing>
                    <wp:inline distT="0" distB="0" distL="0" distR="0">
                      <wp:extent cx="600075" cy="715241"/>
                      <wp:effectExtent l="0" t="0" r="0" b="889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aidžia.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00145" cy="715324"/>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80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3.4. Siekia daikto už akiračio ribų.</w:t>
                </w:r>
              </w:p>
            </w:tc>
            <w:tc>
              <w:tcPr>
                <w:tcW w:w="4253" w:type="dxa"/>
              </w:tcPr>
              <w:p>
                <w:pPr>
                  <w:rPr>
                    <w:color w:val="000000"/>
                    <w:szCs w:val="24"/>
                  </w:rPr>
                </w:pPr>
                <w:r>
                  <w:rPr>
                    <w:color w:val="000000"/>
                    <w:szCs w:val="24"/>
                  </w:rPr>
                  <w:t>Vaikas stengiasi paimti daiktą, kurį gali pasiekti tik pakeitęs kūno padėtį.</w:t>
                </w:r>
              </w:p>
            </w:tc>
            <w:tc>
              <w:tcPr>
                <w:tcW w:w="1672" w:type="dxa"/>
              </w:tcPr>
              <w:p>
                <w:pPr>
                  <w:jc w:val="center"/>
                  <w:rPr>
                    <w:color w:val="000000"/>
                    <w:szCs w:val="24"/>
                  </w:rPr>
                </w:pPr>
                <w:r>
                  <w:rPr>
                    <w:color w:val="000000"/>
                    <w:szCs w:val="24"/>
                    <w:lang w:eastAsia="lt-LT"/>
                  </w:rPr>
                  <w:drawing>
                    <wp:inline distT="0" distB="0" distL="0" distR="0">
                      <wp:extent cx="695325" cy="600075"/>
                      <wp:effectExtent l="0" t="0" r="9525" b="9525"/>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96729" cy="601287"/>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57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3.5. Čiauška skiemenimis.</w:t>
                </w:r>
              </w:p>
            </w:tc>
            <w:tc>
              <w:tcPr>
                <w:tcW w:w="4253" w:type="dxa"/>
              </w:tcPr>
              <w:p>
                <w:pPr>
                  <w:rPr>
                    <w:color w:val="000000"/>
                    <w:szCs w:val="24"/>
                  </w:rPr>
                </w:pPr>
                <w:r>
                  <w:rPr>
                    <w:color w:val="000000"/>
                    <w:szCs w:val="24"/>
                  </w:rPr>
                  <w:t>Vaikas sako sudvigubintus skiemenis (pvz., da-da, ba-ba ir pan.).</w:t>
                </w:r>
              </w:p>
              <w:p>
                <w:pPr>
                  <w:rPr>
                    <w:color w:val="000000"/>
                    <w:szCs w:val="24"/>
                  </w:rPr>
                </w:pPr>
                <w:r>
                  <w:rPr>
                    <w:color w:val="000000"/>
                    <w:szCs w:val="24"/>
                  </w:rPr>
                  <w:t>Galima vertinti teigiamai pagal tėvų arba kitų vaiko atstovų pagal įstatymą duomenis.</w:t>
                </w:r>
              </w:p>
            </w:tc>
            <w:tc>
              <w:tcPr>
                <w:tcW w:w="1672" w:type="dxa"/>
              </w:tcPr>
              <w:p>
                <w:pPr>
                  <w:jc w:val="center"/>
                  <w:rPr>
                    <w:color w:val="000000"/>
                    <w:szCs w:val="24"/>
                  </w:rPr>
                </w:pPr>
                <w:r>
                  <w:rPr>
                    <w:color w:val="000000"/>
                    <w:szCs w:val="24"/>
                    <w:lang w:eastAsia="lt-LT"/>
                  </w:rPr>
                  <w:drawing>
                    <wp:inline distT="0" distB="0" distL="0" distR="0">
                      <wp:extent cx="819150" cy="400050"/>
                      <wp:effectExtent l="0" t="0" r="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827509" cy="404132"/>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bl>
        <w:p>
          <w:pPr>
            <w:jc w:val="right"/>
            <w:rPr>
              <w:color w:val="000000"/>
              <w:sz w:val="28"/>
              <w:szCs w:val="28"/>
            </w:rPr>
          </w:pPr>
        </w:p>
        <w:p>
          <w:pPr>
            <w:snapToGrid w:val="0"/>
            <w:ind w:left="851"/>
            <w:jc w:val="center"/>
            <w:rPr>
              <w:color w:val="000000"/>
              <w:szCs w:val="24"/>
            </w:rPr>
          </w:pPr>
          <w:r>
            <w:rPr>
              <w:color w:val="000000"/>
              <w:szCs w:val="24"/>
            </w:rPr>
            <w:t>______________</w:t>
          </w:r>
        </w:p>
        <w:p>
          <w:pPr>
            <w:jc w:val="center"/>
            <w:rPr>
              <w:color w:val="000000"/>
              <w:sz w:val="28"/>
              <w:szCs w:val="28"/>
            </w:rPr>
          </w:pPr>
        </w:p>
        <w:p>
          <w:pPr>
            <w:jc w:val="center"/>
            <w:rPr>
              <w:color w:val="000000"/>
              <w:sz w:val="28"/>
              <w:szCs w:val="28"/>
            </w:rPr>
          </w:pPr>
          <w:r>
            <w:rPr>
              <w:color w:val="000000"/>
              <w:sz w:val="28"/>
              <w:szCs w:val="28"/>
            </w:rPr>
            <w:br w:type="page"/>
          </w:r>
        </w:p>
        <w:p>
          <w:pPr>
            <w:ind w:left="5184" w:right="395" w:firstLine="1440"/>
            <w:jc w:val="right"/>
            <w:rPr>
              <w:color w:val="000000"/>
              <w:szCs w:val="24"/>
            </w:rPr>
          </w:pP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r>
        </w:p>
        <w:p>
          <w:pPr>
            <w:ind w:right="395"/>
            <w:jc w:val="right"/>
            <w:rPr>
              <w:b/>
              <w:color w:val="000000"/>
              <w:szCs w:val="24"/>
            </w:rPr>
          </w:pPr>
        </w:p>
        <w:p>
          <w:pPr>
            <w:jc w:val="center"/>
            <w:rPr>
              <w:color w:val="000000"/>
              <w:szCs w:val="24"/>
            </w:rPr>
          </w:pPr>
          <w:r>
            <w:rPr>
              <w:b/>
              <w:color w:val="000000"/>
              <w:szCs w:val="24"/>
            </w:rPr>
            <w:t xml:space="preserve">VAIKO PSICHOMOTORINĖS RAIDOS TIKRINIMO LAPAS (ANKSTYVOJO AMŽIAUS VAIKAS) </w:t>
          </w:r>
        </w:p>
        <w:p>
          <w:pPr>
            <w:ind w:firstLine="8220"/>
            <w:jc w:val="center"/>
            <w:rPr>
              <w:color w:val="000000"/>
              <w:szCs w:val="24"/>
            </w:rPr>
          </w:pPr>
          <w:r>
            <w:rPr>
              <w:color w:val="000000"/>
              <w:szCs w:val="24"/>
            </w:rPr>
            <w:t>2 lentelė</w:t>
          </w:r>
        </w:p>
        <w:p>
          <w:pPr>
            <w:jc w:val="center"/>
            <w:rPr>
              <w:color w:val="000000"/>
              <w:szCs w:val="24"/>
            </w:rPr>
          </w:pP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134"/>
            <w:gridCol w:w="1814"/>
            <w:gridCol w:w="4423"/>
            <w:gridCol w:w="1559"/>
            <w:gridCol w:w="822"/>
            <w:gridCol w:w="850"/>
            <w:gridCol w:w="1276"/>
            <w:gridCol w:w="992"/>
            <w:gridCol w:w="1621"/>
          </w:tblGrid>
          <w:tr>
            <w:trPr>
              <w:trHeight w:hRule="exact" w:val="567"/>
            </w:trPr>
            <w:tc>
              <w:tcPr>
                <w:tcW w:w="568" w:type="dxa"/>
                <w:vMerge w:val="restart"/>
              </w:tcPr>
              <w:p>
                <w:pPr>
                  <w:jc w:val="center"/>
                  <w:rPr>
                    <w:b/>
                    <w:color w:val="000000"/>
                    <w:szCs w:val="24"/>
                  </w:rPr>
                </w:pPr>
                <w:r>
                  <w:rPr>
                    <w:b/>
                    <w:color w:val="000000"/>
                    <w:szCs w:val="24"/>
                  </w:rPr>
                  <w:t>Nr.</w:t>
                </w:r>
              </w:p>
            </w:tc>
            <w:tc>
              <w:tcPr>
                <w:tcW w:w="1134" w:type="dxa"/>
                <w:vMerge w:val="restart"/>
              </w:tcPr>
              <w:p>
                <w:pPr>
                  <w:jc w:val="center"/>
                  <w:rPr>
                    <w:b/>
                    <w:color w:val="000000"/>
                    <w:szCs w:val="24"/>
                  </w:rPr>
                </w:pPr>
                <w:r>
                  <w:rPr>
                    <w:b/>
                    <w:color w:val="000000"/>
                    <w:szCs w:val="24"/>
                  </w:rPr>
                  <w:t>Vaiko amžius</w:t>
                </w:r>
              </w:p>
            </w:tc>
            <w:tc>
              <w:tcPr>
                <w:tcW w:w="7796" w:type="dxa"/>
                <w:gridSpan w:val="3"/>
                <w:vMerge w:val="restart"/>
              </w:tcPr>
              <w:p>
                <w:pPr>
                  <w:jc w:val="center"/>
                  <w:rPr>
                    <w:b/>
                    <w:color w:val="000000"/>
                    <w:szCs w:val="24"/>
                  </w:rPr>
                </w:pPr>
                <w:r>
                  <w:rPr>
                    <w:b/>
                    <w:color w:val="000000"/>
                    <w:szCs w:val="24"/>
                  </w:rPr>
                  <w:t>Įgūdžio aprašymas</w:t>
                </w:r>
              </w:p>
            </w:tc>
            <w:tc>
              <w:tcPr>
                <w:tcW w:w="1672" w:type="dxa"/>
                <w:gridSpan w:val="2"/>
              </w:tcPr>
              <w:p>
                <w:pPr>
                  <w:jc w:val="center"/>
                  <w:rPr>
                    <w:b/>
                    <w:color w:val="000000"/>
                    <w:szCs w:val="24"/>
                  </w:rPr>
                </w:pPr>
                <w:r>
                  <w:rPr>
                    <w:b/>
                    <w:color w:val="000000"/>
                    <w:szCs w:val="24"/>
                  </w:rPr>
                  <w:t xml:space="preserve">Įgūdžio vertinimas </w:t>
                </w:r>
              </w:p>
              <w:p>
                <w:pPr>
                  <w:jc w:val="center"/>
                  <w:rPr>
                    <w:b/>
                    <w:color w:val="000000"/>
                    <w:szCs w:val="24"/>
                  </w:rPr>
                </w:pPr>
              </w:p>
            </w:tc>
            <w:tc>
              <w:tcPr>
                <w:tcW w:w="1276" w:type="dxa"/>
              </w:tcPr>
              <w:p>
                <w:pPr>
                  <w:jc w:val="center"/>
                  <w:rPr>
                    <w:b/>
                    <w:color w:val="000000"/>
                    <w:szCs w:val="24"/>
                  </w:rPr>
                </w:pPr>
                <w:r>
                  <w:rPr>
                    <w:b/>
                    <w:color w:val="000000"/>
                    <w:szCs w:val="24"/>
                  </w:rPr>
                  <w:t>Išvada</w:t>
                </w:r>
              </w:p>
            </w:tc>
            <w:tc>
              <w:tcPr>
                <w:tcW w:w="992" w:type="dxa"/>
              </w:tcPr>
              <w:p>
                <w:pPr>
                  <w:jc w:val="center"/>
                  <w:rPr>
                    <w:b/>
                    <w:color w:val="000000"/>
                    <w:szCs w:val="24"/>
                  </w:rPr>
                </w:pPr>
                <w:r>
                  <w:rPr>
                    <w:b/>
                    <w:color w:val="000000"/>
                    <w:szCs w:val="24"/>
                  </w:rPr>
                  <w:t>Data</w:t>
                </w:r>
              </w:p>
            </w:tc>
            <w:tc>
              <w:tcPr>
                <w:tcW w:w="1621"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134" w:type="dxa"/>
                <w:vMerge/>
              </w:tcPr>
              <w:p>
                <w:pPr>
                  <w:jc w:val="center"/>
                  <w:rPr>
                    <w:b/>
                    <w:color w:val="000000"/>
                    <w:szCs w:val="24"/>
                  </w:rPr>
                </w:pPr>
              </w:p>
            </w:tc>
            <w:tc>
              <w:tcPr>
                <w:tcW w:w="7796" w:type="dxa"/>
                <w:gridSpan w:val="3"/>
                <w:vMerge/>
              </w:tcPr>
              <w:p>
                <w:pPr>
                  <w:jc w:val="center"/>
                  <w:rPr>
                    <w:b/>
                    <w:color w:val="000000"/>
                    <w:szCs w:val="24"/>
                  </w:rPr>
                </w:pPr>
              </w:p>
            </w:tc>
            <w:tc>
              <w:tcPr>
                <w:tcW w:w="822" w:type="dxa"/>
              </w:tcPr>
              <w:p>
                <w:pPr>
                  <w:jc w:val="center"/>
                  <w:rPr>
                    <w:b/>
                    <w:color w:val="000000"/>
                    <w:szCs w:val="24"/>
                  </w:rPr>
                </w:pPr>
                <w:r>
                  <w:rPr>
                    <w:b/>
                    <w:color w:val="000000"/>
                    <w:szCs w:val="24"/>
                  </w:rPr>
                  <w:t>Taip</w:t>
                </w:r>
              </w:p>
              <w:p>
                <w:pPr>
                  <w:jc w:val="center"/>
                  <w:rPr>
                    <w:b/>
                    <w:color w:val="000000"/>
                    <w:szCs w:val="24"/>
                  </w:rPr>
                </w:pPr>
                <w:r>
                  <w:rPr>
                    <w:b/>
                    <w:color w:val="000000"/>
                    <w:szCs w:val="24"/>
                  </w:rPr>
                  <w:t>√</w:t>
                </w:r>
              </w:p>
            </w:tc>
            <w:tc>
              <w:tcPr>
                <w:tcW w:w="850" w:type="dxa"/>
              </w:tcPr>
              <w:p>
                <w:pPr>
                  <w:jc w:val="center"/>
                  <w:rPr>
                    <w:b/>
                    <w:color w:val="000000"/>
                    <w:szCs w:val="24"/>
                  </w:rPr>
                </w:pPr>
                <w:r>
                  <w:rPr>
                    <w:b/>
                    <w:color w:val="000000"/>
                    <w:szCs w:val="24"/>
                  </w:rPr>
                  <w:t>Ne</w:t>
                </w:r>
              </w:p>
              <w:p>
                <w:pPr>
                  <w:jc w:val="center"/>
                  <w:rPr>
                    <w:b/>
                    <w:color w:val="000000"/>
                    <w:szCs w:val="24"/>
                  </w:rPr>
                </w:pPr>
                <w:r>
                  <w:rPr>
                    <w:b/>
                    <w:color w:val="000000"/>
                    <w:szCs w:val="24"/>
                  </w:rPr>
                  <w:t>√</w:t>
                </w:r>
              </w:p>
            </w:tc>
            <w:tc>
              <w:tcPr>
                <w:tcW w:w="1276" w:type="dxa"/>
              </w:tcPr>
              <w:p>
                <w:pPr>
                  <w:jc w:val="center"/>
                  <w:rPr>
                    <w:b/>
                    <w:color w:val="000000"/>
                    <w:szCs w:val="24"/>
                  </w:rPr>
                </w:pPr>
              </w:p>
            </w:tc>
            <w:tc>
              <w:tcPr>
                <w:tcW w:w="992" w:type="dxa"/>
              </w:tcPr>
              <w:p>
                <w:pPr>
                  <w:jc w:val="center"/>
                  <w:rPr>
                    <w:b/>
                    <w:color w:val="000000"/>
                    <w:szCs w:val="24"/>
                  </w:rPr>
                </w:pPr>
              </w:p>
            </w:tc>
            <w:tc>
              <w:tcPr>
                <w:tcW w:w="1621" w:type="dxa"/>
                <w:vMerge/>
              </w:tcPr>
              <w:p>
                <w:pPr>
                  <w:jc w:val="center"/>
                  <w:rPr>
                    <w:b/>
                    <w:color w:val="000000"/>
                    <w:szCs w:val="24"/>
                  </w:rPr>
                </w:pPr>
              </w:p>
            </w:tc>
          </w:tr>
          <w:tr>
            <w:trPr>
              <w:trHeight w:val="677"/>
            </w:trPr>
            <w:tc>
              <w:tcPr>
                <w:tcW w:w="568" w:type="dxa"/>
                <w:vMerge w:val="restart"/>
              </w:tcPr>
              <w:p>
                <w:pPr>
                  <w:rPr>
                    <w:color w:val="000000"/>
                    <w:szCs w:val="24"/>
                  </w:rPr>
                </w:pPr>
                <w:r>
                  <w:rPr>
                    <w:color w:val="000000"/>
                    <w:szCs w:val="24"/>
                  </w:rPr>
                  <w:t>1.</w:t>
                </w:r>
              </w:p>
            </w:tc>
            <w:tc>
              <w:tcPr>
                <w:tcW w:w="1134" w:type="dxa"/>
                <w:vMerge w:val="restart"/>
              </w:tcPr>
              <w:p>
                <w:pPr>
                  <w:rPr>
                    <w:color w:val="000000"/>
                    <w:szCs w:val="24"/>
                  </w:rPr>
                </w:pPr>
                <w:r>
                  <w:rPr>
                    <w:color w:val="000000"/>
                    <w:szCs w:val="24"/>
                  </w:rPr>
                  <w:t>12 mėn.</w:t>
                </w:r>
              </w:p>
              <w:p>
                <w:pPr>
                  <w:rPr>
                    <w:color w:val="000000"/>
                    <w:szCs w:val="24"/>
                  </w:rPr>
                </w:pPr>
                <w:r>
                  <w:rPr>
                    <w:color w:val="000000"/>
                    <w:szCs w:val="24"/>
                  </w:rPr>
                  <w:t>(1 m.)</w:t>
                </w:r>
              </w:p>
              <w:p>
                <w:pPr>
                  <w:rPr>
                    <w:color w:val="000000"/>
                    <w:szCs w:val="24"/>
                  </w:rPr>
                </w:pPr>
              </w:p>
            </w:tc>
            <w:tc>
              <w:tcPr>
                <w:tcW w:w="1814" w:type="dxa"/>
              </w:tcPr>
              <w:p>
                <w:pPr>
                  <w:rPr>
                    <w:color w:val="000000"/>
                    <w:szCs w:val="24"/>
                  </w:rPr>
                </w:pPr>
                <w:r>
                  <w:rPr>
                    <w:color w:val="000000"/>
                    <w:szCs w:val="24"/>
                  </w:rPr>
                  <w:t>1.1. Ropoja.</w:t>
                </w:r>
              </w:p>
            </w:tc>
            <w:tc>
              <w:tcPr>
                <w:tcW w:w="4423" w:type="dxa"/>
              </w:tcPr>
              <w:p>
                <w:pPr>
                  <w:rPr>
                    <w:color w:val="000000"/>
                    <w:szCs w:val="24"/>
                  </w:rPr>
                </w:pPr>
                <w:r>
                  <w:rPr>
                    <w:color w:val="000000"/>
                    <w:szCs w:val="24"/>
                  </w:rPr>
                  <w:t>Vaikas juda kryžminės koordinacijos būdu.</w:t>
                </w:r>
              </w:p>
            </w:tc>
            <w:tc>
              <w:tcPr>
                <w:tcW w:w="1559" w:type="dxa"/>
              </w:tcPr>
              <w:p>
                <w:pPr>
                  <w:jc w:val="center"/>
                  <w:rPr>
                    <w:color w:val="000000"/>
                    <w:szCs w:val="24"/>
                  </w:rPr>
                </w:pPr>
                <w:r>
                  <w:rPr>
                    <w:color w:val="000000"/>
                    <w:szCs w:val="24"/>
                    <w:lang w:eastAsia="lt-LT"/>
                  </w:rPr>
                  <w:drawing>
                    <wp:inline distT="0" distB="0" distL="0" distR="0">
                      <wp:extent cx="638175" cy="485775"/>
                      <wp:effectExtent l="1905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srcRect/>
                              <a:stretch>
                                <a:fillRect/>
                              </a:stretch>
                            </pic:blipFill>
                            <pic:spPr bwMode="auto">
                              <a:xfrm>
                                <a:off x="0" y="0"/>
                                <a:ext cx="638175" cy="48577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lang w:eastAsia="lt-LT"/>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992" w:type="dxa"/>
                <w:vMerge w:val="restart"/>
              </w:tcPr>
              <w:p>
                <w:pPr>
                  <w:rPr>
                    <w:color w:val="000000"/>
                    <w:szCs w:val="24"/>
                    <w:lang w:eastAsia="lt-LT"/>
                  </w:rPr>
                </w:pPr>
              </w:p>
            </w:tc>
            <w:tc>
              <w:tcPr>
                <w:tcW w:w="1621" w:type="dxa"/>
                <w:vMerge w:val="restart"/>
              </w:tcPr>
              <w:p>
                <w:pPr>
                  <w:rPr>
                    <w:color w:val="000000"/>
                    <w:szCs w:val="24"/>
                    <w:lang w:eastAsia="lt-LT"/>
                  </w:rPr>
                </w:pPr>
              </w:p>
            </w:tc>
          </w:tr>
          <w:tr>
            <w:trPr>
              <w:trHeight w:val="90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1.2. Eina pristatomu žingsniu.</w:t>
                </w:r>
              </w:p>
            </w:tc>
            <w:tc>
              <w:tcPr>
                <w:tcW w:w="4423" w:type="dxa"/>
              </w:tcPr>
              <w:p>
                <w:pPr>
                  <w:rPr>
                    <w:color w:val="000000"/>
                    <w:szCs w:val="24"/>
                  </w:rPr>
                </w:pPr>
                <w:r>
                  <w:rPr>
                    <w:color w:val="000000"/>
                    <w:szCs w:val="24"/>
                  </w:rPr>
                  <w:t>Vaikas eina laikydamasis už baldų.</w:t>
                </w:r>
              </w:p>
            </w:tc>
            <w:tc>
              <w:tcPr>
                <w:tcW w:w="1559" w:type="dxa"/>
              </w:tcPr>
              <w:p>
                <w:pPr>
                  <w:rPr>
                    <w:b/>
                    <w:color w:val="000000"/>
                    <w:szCs w:val="24"/>
                  </w:rPr>
                </w:pPr>
                <w:r>
                  <w:rPr>
                    <w:color w:val="000000"/>
                    <w:szCs w:val="24"/>
                    <w:lang w:eastAsia="lt-LT"/>
                  </w:rPr>
                  <w:drawing>
                    <wp:inline distT="0" distB="0" distL="0" distR="0">
                      <wp:extent cx="809625" cy="533400"/>
                      <wp:effectExtent l="19050" t="0" r="9525"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srcRect/>
                              <a:stretch>
                                <a:fillRect/>
                              </a:stretch>
                            </pic:blipFill>
                            <pic:spPr bwMode="auto">
                              <a:xfrm>
                                <a:off x="0" y="0"/>
                                <a:ext cx="809625" cy="5334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88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1.3. Atlieka veiksmus su dviem daiktais. </w:t>
                </w:r>
              </w:p>
            </w:tc>
            <w:tc>
              <w:tcPr>
                <w:tcW w:w="4423" w:type="dxa"/>
              </w:tcPr>
              <w:p>
                <w:pPr>
                  <w:rPr>
                    <w:color w:val="000000"/>
                    <w:szCs w:val="24"/>
                  </w:rPr>
                </w:pPr>
                <w:r>
                  <w:rPr>
                    <w:color w:val="000000"/>
                    <w:szCs w:val="24"/>
                  </w:rPr>
                  <w:t>Vaikas įdeda žaislą į dėžutę arba padaužo du žaislus vienas į kitą.</w:t>
                </w:r>
              </w:p>
            </w:tc>
            <w:tc>
              <w:tcPr>
                <w:tcW w:w="1559" w:type="dxa"/>
              </w:tcPr>
              <w:p>
                <w:pPr>
                  <w:rPr>
                    <w:b/>
                    <w:color w:val="000000"/>
                    <w:szCs w:val="24"/>
                    <w:lang w:val="en-US" w:eastAsia="zh-CN"/>
                  </w:rPr>
                </w:pPr>
                <w:r>
                  <w:rPr>
                    <w:color w:val="000000"/>
                    <w:szCs w:val="24"/>
                    <w:lang w:eastAsia="lt-LT"/>
                  </w:rPr>
                  <w:drawing>
                    <wp:inline distT="0" distB="0" distL="0" distR="0">
                      <wp:extent cx="552450" cy="523875"/>
                      <wp:effectExtent l="19050" t="0" r="0" b="0"/>
                      <wp:docPr id="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8"/>
                              <a:srcRect/>
                              <a:stretch>
                                <a:fillRect/>
                              </a:stretch>
                            </pic:blipFill>
                            <pic:spPr bwMode="auto">
                              <a:xfrm>
                                <a:off x="0" y="0"/>
                                <a:ext cx="552450" cy="523875"/>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1.4. Mėgdžioja veiksmus, garsus.</w:t>
                </w:r>
              </w:p>
            </w:tc>
            <w:tc>
              <w:tcPr>
                <w:tcW w:w="4423" w:type="dxa"/>
              </w:tcPr>
              <w:p>
                <w:pPr>
                  <w:rPr>
                    <w:color w:val="000000"/>
                    <w:szCs w:val="24"/>
                  </w:rPr>
                </w:pPr>
                <w:r>
                  <w:rPr>
                    <w:color w:val="000000"/>
                    <w:szCs w:val="24"/>
                  </w:rPr>
                  <w:t>Vaikas pakartoja suaugusiojo atliekamus veiksmus arba sakomus skiemenis.</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4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1.5. Reaguoja į savo vardą. </w:t>
                </w:r>
              </w:p>
            </w:tc>
            <w:tc>
              <w:tcPr>
                <w:tcW w:w="4423" w:type="dxa"/>
              </w:tcPr>
              <w:p>
                <w:pPr>
                  <w:rPr>
                    <w:color w:val="000000"/>
                    <w:szCs w:val="24"/>
                  </w:rPr>
                </w:pPr>
                <w:r>
                  <w:rPr>
                    <w:color w:val="000000"/>
                    <w:szCs w:val="24"/>
                  </w:rPr>
                  <w:t>Pašauktas vardu vaikas suklūsta, atsisuka.</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10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1.6. Sako </w:t>
                </w:r>
              </w:p>
              <w:p>
                <w:pPr>
                  <w:ind w:firstLine="60"/>
                  <w:rPr>
                    <w:color w:val="000000"/>
                    <w:szCs w:val="24"/>
                  </w:rPr>
                </w:pPr>
                <w:r>
                  <w:rPr>
                    <w:color w:val="000000"/>
                    <w:szCs w:val="24"/>
                  </w:rPr>
                  <w:t>„mama“, „tete“.</w:t>
                </w:r>
              </w:p>
            </w:tc>
            <w:tc>
              <w:tcPr>
                <w:tcW w:w="4423" w:type="dxa"/>
              </w:tcPr>
              <w:p>
                <w:pPr>
                  <w:rPr>
                    <w:color w:val="000000"/>
                    <w:szCs w:val="24"/>
                  </w:rPr>
                </w:pPr>
                <w:r>
                  <w:rPr>
                    <w:color w:val="000000"/>
                    <w:szCs w:val="24"/>
                  </w:rPr>
                  <w:t>Vaikas sako „mama“, „tete“, kreipdamasis į mamą, tėtį.</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lang w:val="en-US" w:eastAsia="zh-CN"/>
                  </w:rPr>
                </w:pPr>
                <w:r>
                  <w:rPr>
                    <w:color w:val="000000"/>
                    <w:szCs w:val="24"/>
                    <w:lang w:eastAsia="lt-LT"/>
                  </w:rPr>
                  <w:drawing>
                    <wp:inline distT="0" distB="0" distL="0" distR="0">
                      <wp:extent cx="942975" cy="495300"/>
                      <wp:effectExtent l="19050" t="0" r="9525" b="0"/>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a:srcRect/>
                              <a:stretch>
                                <a:fillRect/>
                              </a:stretch>
                            </pic:blipFill>
                            <pic:spPr bwMode="auto">
                              <a:xfrm>
                                <a:off x="0" y="0"/>
                                <a:ext cx="942975" cy="4953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1.7. Ima maistą rankomis ir valgo.</w:t>
                </w:r>
              </w:p>
            </w:tc>
            <w:tc>
              <w:tcPr>
                <w:tcW w:w="4423" w:type="dxa"/>
              </w:tcPr>
              <w:p>
                <w:pPr>
                  <w:rPr>
                    <w:color w:val="000000"/>
                    <w:szCs w:val="24"/>
                  </w:rPr>
                </w:pPr>
                <w:r>
                  <w:rPr>
                    <w:color w:val="000000"/>
                    <w:szCs w:val="24"/>
                  </w:rPr>
                  <w:t>Vaikas gali paimti rankomis maistą (pvz., sausainį), įsidėti į burną ir valgyti.</w:t>
                </w:r>
              </w:p>
            </w:tc>
            <w:tc>
              <w:tcPr>
                <w:tcW w:w="1559" w:type="dxa"/>
              </w:tcPr>
              <w:p>
                <w:pPr>
                  <w:rPr>
                    <w:b/>
                    <w:color w:val="000000"/>
                    <w:szCs w:val="24"/>
                  </w:rPr>
                </w:pPr>
              </w:p>
            </w:tc>
            <w:tc>
              <w:tcPr>
                <w:tcW w:w="822" w:type="dxa"/>
              </w:tcPr>
              <w:p>
                <w:pPr>
                  <w:rPr>
                    <w:b/>
                    <w:color w:val="000000"/>
                    <w:szCs w:val="24"/>
                  </w:rPr>
                </w:pPr>
              </w:p>
            </w:tc>
            <w:tc>
              <w:tcPr>
                <w:tcW w:w="850" w:type="dxa"/>
              </w:tcPr>
              <w:p>
                <w:pPr>
                  <w:rPr>
                    <w:b/>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677"/>
            </w:trPr>
            <w:tc>
              <w:tcPr>
                <w:tcW w:w="568" w:type="dxa"/>
                <w:vMerge w:val="restart"/>
              </w:tcPr>
              <w:p>
                <w:pPr>
                  <w:rPr>
                    <w:color w:val="000000"/>
                    <w:szCs w:val="24"/>
                  </w:rPr>
                </w:pPr>
                <w:r>
                  <w:rPr>
                    <w:color w:val="000000"/>
                    <w:szCs w:val="24"/>
                  </w:rPr>
                  <w:t>2.</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18 mėn.</w:t>
                </w:r>
              </w:p>
              <w:p>
                <w:pPr>
                  <w:rPr>
                    <w:color w:val="000000"/>
                    <w:szCs w:val="24"/>
                  </w:rPr>
                </w:pPr>
                <w:r>
                  <w:rPr>
                    <w:color w:val="000000"/>
                    <w:szCs w:val="24"/>
                  </w:rPr>
                  <w:t>(1,5 m.)</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814" w:type="dxa"/>
              </w:tcPr>
              <w:p>
                <w:pPr>
                  <w:rPr>
                    <w:color w:val="000000"/>
                    <w:szCs w:val="24"/>
                  </w:rPr>
                </w:pPr>
                <w:r>
                  <w:rPr>
                    <w:color w:val="000000"/>
                    <w:szCs w:val="24"/>
                  </w:rPr>
                  <w:t>2.1. Vaikšto savarankiškai.</w:t>
                </w:r>
              </w:p>
            </w:tc>
            <w:tc>
              <w:tcPr>
                <w:tcW w:w="4423" w:type="dxa"/>
              </w:tcPr>
              <w:p>
                <w:pPr>
                  <w:rPr>
                    <w:color w:val="000000"/>
                    <w:szCs w:val="24"/>
                  </w:rPr>
                </w:pPr>
                <w:r>
                  <w:rPr>
                    <w:color w:val="000000"/>
                    <w:szCs w:val="24"/>
                  </w:rPr>
                  <w:t>Vaikas pereina per kambarį.</w:t>
                </w:r>
              </w:p>
              <w:p>
                <w:pPr>
                  <w:rPr>
                    <w:color w:val="000000"/>
                    <w:szCs w:val="24"/>
                  </w:rPr>
                </w:pPr>
              </w:p>
            </w:tc>
            <w:tc>
              <w:tcPr>
                <w:tcW w:w="1559" w:type="dxa"/>
              </w:tcPr>
              <w:p>
                <w:pPr>
                  <w:jc w:val="center"/>
                  <w:rPr>
                    <w:color w:val="000000"/>
                    <w:szCs w:val="24"/>
                  </w:rPr>
                </w:pPr>
                <w:r>
                  <w:rPr>
                    <w:color w:val="000000"/>
                    <w:szCs w:val="24"/>
                    <w:lang w:eastAsia="lt-LT"/>
                  </w:rPr>
                  <w:drawing>
                    <wp:inline distT="0" distB="0" distL="0" distR="0">
                      <wp:extent cx="581025" cy="466725"/>
                      <wp:effectExtent l="19050" t="0" r="9525" b="0"/>
                      <wp:docPr id="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0"/>
                              <a:srcRect/>
                              <a:stretch>
                                <a:fillRect/>
                              </a:stretch>
                            </pic:blipFill>
                            <pic:spPr bwMode="auto">
                              <a:xfrm>
                                <a:off x="0" y="0"/>
                                <a:ext cx="5810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ind w:firstLine="60"/>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p>
                <w:pPr>
                  <w:rPr>
                    <w:color w:val="000000"/>
                    <w:szCs w:val="24"/>
                    <w:lang w:eastAsia="lt-LT"/>
                  </w:rPr>
                </w:pPr>
              </w:p>
              <w:p>
                <w:pPr>
                  <w:rPr>
                    <w:color w:val="000000"/>
                    <w:szCs w:val="24"/>
                    <w:lang w:eastAsia="lt-LT"/>
                  </w:rPr>
                </w:pPr>
              </w:p>
              <w:p>
                <w:pPr>
                  <w:rPr>
                    <w:color w:val="000000"/>
                    <w:szCs w:val="24"/>
                    <w:lang w:eastAsia="lt-LT"/>
                  </w:rPr>
                </w:pPr>
              </w:p>
              <w:p>
                <w:pPr>
                  <w:rPr>
                    <w:b/>
                    <w:color w:val="000000"/>
                    <w:szCs w:val="24"/>
                  </w:rPr>
                </w:pPr>
              </w:p>
            </w:tc>
            <w:tc>
              <w:tcPr>
                <w:tcW w:w="992"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c>
              <w:tcPr>
                <w:tcW w:w="1621"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2.2. Žaidžia funkcinius žaidimus.</w:t>
                </w:r>
              </w:p>
            </w:tc>
            <w:tc>
              <w:tcPr>
                <w:tcW w:w="4423" w:type="dxa"/>
              </w:tcPr>
              <w:p>
                <w:pPr>
                  <w:rPr>
                    <w:color w:val="000000"/>
                    <w:szCs w:val="24"/>
                  </w:rPr>
                </w:pPr>
                <w:r>
                  <w:rPr>
                    <w:color w:val="000000"/>
                    <w:szCs w:val="24"/>
                  </w:rPr>
                  <w:t>Vaikas žaisdamas naudoja žaislus pagal paskirtį: važiuoja su mašinėle, piešia pieštuku, šukuoja šukomis, varto knygutę.</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1"/>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2.3. Vykdo žodinį nurodymą „duok“.</w:t>
                </w:r>
              </w:p>
            </w:tc>
            <w:tc>
              <w:tcPr>
                <w:tcW w:w="4423" w:type="dxa"/>
              </w:tcPr>
              <w:p>
                <w:pPr>
                  <w:rPr>
                    <w:color w:val="000000"/>
                    <w:szCs w:val="24"/>
                  </w:rPr>
                </w:pPr>
                <w:r>
                  <w:rPr>
                    <w:color w:val="000000"/>
                    <w:szCs w:val="24"/>
                  </w:rPr>
                  <w:t xml:space="preserve">Paprašytas  paduoda artimam asmeniui daiktą. </w:t>
                </w:r>
              </w:p>
            </w:tc>
            <w:tc>
              <w:tcPr>
                <w:tcW w:w="1559" w:type="dxa"/>
              </w:tcPr>
              <w:p>
                <w:pPr>
                  <w:jc w:val="center"/>
                  <w:rPr>
                    <w:color w:val="000000"/>
                    <w:szCs w:val="24"/>
                  </w:rPr>
                </w:pPr>
                <w:r>
                  <w:rPr>
                    <w:color w:val="000000"/>
                    <w:szCs w:val="24"/>
                    <w:lang w:eastAsia="lt-LT"/>
                  </w:rPr>
                  <w:drawing>
                    <wp:inline distT="0" distB="0" distL="0" distR="0">
                      <wp:extent cx="390525" cy="466725"/>
                      <wp:effectExtent l="19050" t="0" r="9525" b="0"/>
                      <wp:docPr id="5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2"/>
                              <a:srcRect/>
                              <a:stretch>
                                <a:fillRect/>
                              </a:stretch>
                            </pic:blipFill>
                            <pic:spPr bwMode="auto">
                              <a:xfrm>
                                <a:off x="0" y="0"/>
                                <a:ext cx="390525" cy="466725"/>
                              </a:xfrm>
                              <a:prstGeom prst="rect">
                                <a:avLst/>
                              </a:prstGeom>
                              <a:noFill/>
                              <a:ln w="9525">
                                <a:noFill/>
                                <a:miter lim="800000"/>
                                <a:headEnd/>
                                <a:tailEnd/>
                              </a:ln>
                            </pic:spPr>
                          </pic:pic>
                        </a:graphicData>
                      </a:graphic>
                    </wp:inline>
                  </w:drawing>
                </w:r>
              </w:p>
            </w:tc>
            <w:tc>
              <w:tcPr>
                <w:tcW w:w="822" w:type="dxa"/>
              </w:tcPr>
              <w:p>
                <w:pPr>
                  <w:rPr>
                    <w:b/>
                    <w:color w:val="000000"/>
                    <w:szCs w:val="24"/>
                    <w:lang w:eastAsia="lt-LT"/>
                  </w:rPr>
                </w:pPr>
              </w:p>
            </w:tc>
            <w:tc>
              <w:tcPr>
                <w:tcW w:w="850" w:type="dxa"/>
              </w:tcPr>
              <w:p>
                <w:pPr>
                  <w:rPr>
                    <w:b/>
                    <w:color w:val="000000"/>
                    <w:szCs w:val="24"/>
                    <w:lang w:eastAsia="lt-LT"/>
                  </w:rPr>
                </w:pPr>
              </w:p>
            </w:tc>
            <w:tc>
              <w:tcPr>
                <w:tcW w:w="1276" w:type="dxa"/>
                <w:vMerge/>
              </w:tcPr>
              <w:p>
                <w:pPr>
                  <w:rPr>
                    <w:b/>
                    <w:color w:val="000000"/>
                    <w:szCs w:val="24"/>
                    <w:lang w:eastAsia="lt-LT"/>
                  </w:rPr>
                </w:pPr>
              </w:p>
            </w:tc>
            <w:tc>
              <w:tcPr>
                <w:tcW w:w="992" w:type="dxa"/>
                <w:vMerge/>
              </w:tcPr>
              <w:p>
                <w:pPr>
                  <w:rPr>
                    <w:b/>
                    <w:color w:val="000000"/>
                    <w:szCs w:val="24"/>
                    <w:lang w:eastAsia="lt-LT"/>
                  </w:rPr>
                </w:pPr>
              </w:p>
            </w:tc>
            <w:tc>
              <w:tcPr>
                <w:tcW w:w="1621" w:type="dxa"/>
                <w:vMerge/>
              </w:tcPr>
              <w:p>
                <w:pPr>
                  <w:rPr>
                    <w:b/>
                    <w:color w:val="000000"/>
                    <w:szCs w:val="24"/>
                    <w:lang w:eastAsia="lt-LT"/>
                  </w:rPr>
                </w:pPr>
              </w:p>
            </w:tc>
          </w:tr>
          <w:tr>
            <w:trPr>
              <w:trHeight w:val="689"/>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2.4. Rodo rodomuoju pirštu, kas jį sudomino.</w:t>
                </w:r>
              </w:p>
            </w:tc>
            <w:tc>
              <w:tcPr>
                <w:tcW w:w="4423" w:type="dxa"/>
              </w:tcPr>
              <w:p>
                <w:pPr>
                  <w:rPr>
                    <w:color w:val="000000"/>
                    <w:szCs w:val="24"/>
                  </w:rPr>
                </w:pPr>
                <w:r>
                  <w:rPr>
                    <w:color w:val="000000"/>
                    <w:szCs w:val="24"/>
                  </w:rPr>
                  <w:t>Pats vaikas prašo daikto, rodydamas pirštu.</w:t>
                </w:r>
              </w:p>
            </w:tc>
            <w:tc>
              <w:tcPr>
                <w:tcW w:w="1559" w:type="dxa"/>
              </w:tcPr>
              <w:p>
                <w:pPr>
                  <w:jc w:val="center"/>
                  <w:rPr>
                    <w:color w:val="000000"/>
                    <w:szCs w:val="24"/>
                  </w:rPr>
                </w:pPr>
                <w:r>
                  <w:rPr>
                    <w:color w:val="000000"/>
                    <w:szCs w:val="24"/>
                    <w:lang w:eastAsia="lt-LT"/>
                  </w:rPr>
                  <w:drawing>
                    <wp:inline distT="0" distB="0" distL="0" distR="0">
                      <wp:extent cx="619125" cy="466725"/>
                      <wp:effectExtent l="19050" t="0" r="9525" b="0"/>
                      <wp:docPr id="5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3"/>
                              <a:srcRect/>
                              <a:stretch>
                                <a:fillRect/>
                              </a:stretch>
                            </pic:blipFill>
                            <pic:spPr bwMode="auto">
                              <a:xfrm>
                                <a:off x="0" y="0"/>
                                <a:ext cx="6191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2.5. Sako 3 prasmingus žodžius.</w:t>
                </w:r>
              </w:p>
            </w:tc>
            <w:tc>
              <w:tcPr>
                <w:tcW w:w="4423" w:type="dxa"/>
              </w:tcPr>
              <w:p>
                <w:pPr>
                  <w:rPr>
                    <w:color w:val="000000"/>
                    <w:szCs w:val="24"/>
                  </w:rPr>
                </w:pPr>
                <w:r>
                  <w:rPr>
                    <w:color w:val="000000"/>
                    <w:szCs w:val="24"/>
                  </w:rPr>
                  <w:t xml:space="preserve">Vaikas sako 3 prasmingus žodžius daiktams ar veiksmams  įvardyti. </w:t>
                </w:r>
              </w:p>
              <w:p>
                <w:pPr>
                  <w:rPr>
                    <w:color w:val="000000"/>
                    <w:szCs w:val="24"/>
                  </w:rPr>
                </w:pPr>
                <w:r>
                  <w:rPr>
                    <w:color w:val="000000"/>
                    <w:szCs w:val="24"/>
                  </w:rPr>
                  <w:t>Galima vertinti teigiamai pagal tėvų arba kitų vaiko atstovų pagal įstatymą duomenis.</w:t>
                </w:r>
              </w:p>
            </w:tc>
            <w:tc>
              <w:tcPr>
                <w:tcW w:w="1559" w:type="dxa"/>
              </w:tcPr>
              <w:p>
                <w:pPr>
                  <w:jc w:val="center"/>
                  <w:rPr>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val="restart"/>
              </w:tcPr>
              <w:p>
                <w:pPr>
                  <w:rPr>
                    <w:color w:val="000000"/>
                    <w:szCs w:val="24"/>
                  </w:rPr>
                </w:pPr>
                <w:r>
                  <w:rPr>
                    <w:color w:val="000000"/>
                    <w:szCs w:val="24"/>
                  </w:rPr>
                  <w:t>3.</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24 mėn.</w:t>
                </w:r>
              </w:p>
              <w:p>
                <w:pPr>
                  <w:rPr>
                    <w:color w:val="000000"/>
                    <w:szCs w:val="24"/>
                  </w:rPr>
                </w:pPr>
                <w:r>
                  <w:rPr>
                    <w:color w:val="000000"/>
                    <w:szCs w:val="24"/>
                  </w:rPr>
                  <w:t>(2 m.)</w:t>
                </w:r>
              </w:p>
            </w:tc>
            <w:tc>
              <w:tcPr>
                <w:tcW w:w="1814" w:type="dxa"/>
              </w:tcPr>
              <w:p>
                <w:pPr>
                  <w:rPr>
                    <w:color w:val="000000"/>
                    <w:szCs w:val="24"/>
                  </w:rPr>
                </w:pPr>
                <w:r>
                  <w:rPr>
                    <w:color w:val="000000"/>
                    <w:szCs w:val="24"/>
                  </w:rPr>
                  <w:t>3.1. Žaidimas kaladėlėmis: pastato bokštą.</w:t>
                </w:r>
              </w:p>
            </w:tc>
            <w:tc>
              <w:tcPr>
                <w:tcW w:w="4423" w:type="dxa"/>
              </w:tcPr>
              <w:p>
                <w:pPr>
                  <w:rPr>
                    <w:color w:val="000000"/>
                    <w:szCs w:val="24"/>
                  </w:rPr>
                </w:pPr>
                <w:r>
                  <w:rPr>
                    <w:color w:val="000000"/>
                    <w:szCs w:val="24"/>
                  </w:rPr>
                  <w:t xml:space="preserve">Vaikas sudeda  2 kaladėles vieną ant kitos.</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371475" cy="466725"/>
                      <wp:effectExtent l="19050" t="0" r="9525" b="0"/>
                      <wp:docPr id="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
                              <a:srcRect/>
                              <a:stretch>
                                <a:fillRect/>
                              </a:stretch>
                            </pic:blipFill>
                            <pic:spPr bwMode="auto">
                              <a:xfrm>
                                <a:off x="0" y="0"/>
                                <a:ext cx="3714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3.2. Piešimas: piešia keverzonę. </w:t>
                </w:r>
              </w:p>
            </w:tc>
            <w:tc>
              <w:tcPr>
                <w:tcW w:w="4423" w:type="dxa"/>
              </w:tcPr>
              <w:p>
                <w:pPr>
                  <w:rPr>
                    <w:color w:val="000000"/>
                    <w:szCs w:val="24"/>
                  </w:rPr>
                </w:pPr>
                <w:r>
                  <w:rPr>
                    <w:color w:val="000000"/>
                    <w:szCs w:val="24"/>
                  </w:rPr>
                  <w:t xml:space="preserve">Vaikas braižo popieriuje netaisyklingas linijas.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457200" cy="466725"/>
                      <wp:effectExtent l="1905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a:srcRect/>
                              <a:stretch>
                                <a:fillRect/>
                              </a:stretch>
                            </pic:blipFill>
                            <pic:spPr bwMode="auto">
                              <a:xfrm>
                                <a:off x="0" y="0"/>
                                <a:ext cx="45720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650"/>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3.3. Rodo kūno dalis.  </w:t>
                </w:r>
              </w:p>
            </w:tc>
            <w:tc>
              <w:tcPr>
                <w:tcW w:w="4423" w:type="dxa"/>
              </w:tcPr>
              <w:p>
                <w:pPr>
                  <w:rPr>
                    <w:color w:val="000000"/>
                    <w:szCs w:val="24"/>
                  </w:rPr>
                </w:pPr>
                <w:r>
                  <w:rPr>
                    <w:color w:val="000000"/>
                    <w:szCs w:val="24"/>
                  </w:rPr>
                  <w:t>Vaikas parodo bent vieną kūno dalį ją įvardijus.</w:t>
                </w:r>
              </w:p>
            </w:tc>
            <w:tc>
              <w:tcPr>
                <w:tcW w:w="1559" w:type="dxa"/>
              </w:tcPr>
              <w:p>
                <w:pPr>
                  <w:jc w:val="center"/>
                  <w:rPr>
                    <w:color w:val="000000"/>
                    <w:szCs w:val="24"/>
                  </w:rPr>
                </w:pPr>
                <w:r>
                  <w:rPr>
                    <w:color w:val="000000"/>
                    <w:szCs w:val="24"/>
                    <w:lang w:eastAsia="lt-LT"/>
                  </w:rPr>
                  <w:drawing>
                    <wp:inline distT="0" distB="0" distL="0" distR="0">
                      <wp:extent cx="409575" cy="466725"/>
                      <wp:effectExtent l="19050" t="0" r="9525" b="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6"/>
                              <a:srcRect/>
                              <a:stretch>
                                <a:fillRect/>
                              </a:stretch>
                            </pic:blipFill>
                            <pic:spPr bwMode="auto">
                              <a:xfrm>
                                <a:off x="0" y="0"/>
                                <a:ext cx="4095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3.4. Rodo paveikslėlius.</w:t>
                </w:r>
              </w:p>
            </w:tc>
            <w:tc>
              <w:tcPr>
                <w:tcW w:w="4423" w:type="dxa"/>
              </w:tcPr>
              <w:p>
                <w:pPr>
                  <w:rPr>
                    <w:color w:val="000000"/>
                    <w:szCs w:val="24"/>
                  </w:rPr>
                </w:pPr>
                <w:r>
                  <w:rPr>
                    <w:color w:val="000000"/>
                    <w:szCs w:val="24"/>
                  </w:rPr>
                  <w:t>Vaikas parodo bent vieną paveikslėlį knygoje jį įvardijus.</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7"/>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3.5. Taria dviejų žodžių frazes.</w:t>
                </w:r>
              </w:p>
            </w:tc>
            <w:tc>
              <w:tcPr>
                <w:tcW w:w="4423" w:type="dxa"/>
              </w:tcPr>
              <w:p>
                <w:pPr>
                  <w:rPr>
                    <w:color w:val="000000"/>
                    <w:szCs w:val="24"/>
                  </w:rPr>
                </w:pPr>
                <w:r>
                  <w:rPr>
                    <w:color w:val="000000"/>
                    <w:szCs w:val="24"/>
                  </w:rPr>
                  <w:t xml:space="preserve">Vaikas sako frazes, pvz., „mama duok“, „mama, niam“  ir pan.</w:t>
                </w:r>
              </w:p>
              <w:p>
                <w:pPr>
                  <w:rPr>
                    <w:color w:val="000000"/>
                    <w:szCs w:val="24"/>
                  </w:rPr>
                </w:pPr>
                <w:r>
                  <w:rPr>
                    <w:color w:val="000000"/>
                    <w:szCs w:val="24"/>
                  </w:rPr>
                  <w:t>Galima vertinti teigiamai pagal tėvų arba kitų vaiko atstovų pagal įstatymą duomenis.</w:t>
                </w:r>
              </w:p>
            </w:tc>
            <w:tc>
              <w:tcPr>
                <w:tcW w:w="1559" w:type="dxa"/>
              </w:tcPr>
              <w:p>
                <w:pPr>
                  <w:jc w:val="cente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3.6. Savarankiškai valgo.</w:t>
                </w:r>
              </w:p>
            </w:tc>
            <w:tc>
              <w:tcPr>
                <w:tcW w:w="4423" w:type="dxa"/>
              </w:tcPr>
              <w:p>
                <w:pPr>
                  <w:rPr>
                    <w:color w:val="000000"/>
                    <w:szCs w:val="24"/>
                  </w:rPr>
                </w:pPr>
                <w:r>
                  <w:rPr>
                    <w:color w:val="000000"/>
                    <w:szCs w:val="24"/>
                  </w:rPr>
                  <w:t>Vaikas gali suvalgyti kelis šaukštus maisto savarankiškai.</w:t>
                </w:r>
              </w:p>
              <w:p>
                <w:pPr>
                  <w:rPr>
                    <w:color w:val="000000"/>
                    <w:szCs w:val="24"/>
                  </w:rPr>
                </w:pPr>
                <w:r>
                  <w:rPr>
                    <w:color w:val="000000"/>
                    <w:szCs w:val="24"/>
                  </w:rPr>
                  <w:t xml:space="preserve">Galima vertinti teigiamai pagal tėvų arba kitų vaiko atstovų pagal įstatymą duomenis. </w:t>
                </w:r>
              </w:p>
            </w:tc>
            <w:tc>
              <w:tcPr>
                <w:tcW w:w="1559" w:type="dxa"/>
              </w:tcPr>
              <w:p>
                <w:pPr>
                  <w:jc w:val="center"/>
                  <w:rPr>
                    <w:b/>
                    <w:color w:val="000000"/>
                    <w:szCs w:val="24"/>
                  </w:rPr>
                </w:pPr>
                <w:r>
                  <w:rPr>
                    <w:b/>
                    <w:color w:val="000000"/>
                    <w:szCs w:val="24"/>
                    <w:lang w:eastAsia="lt-LT"/>
                  </w:rPr>
                  <w:drawing>
                    <wp:inline distT="0" distB="0" distL="0" distR="0">
                      <wp:extent cx="466725" cy="466725"/>
                      <wp:effectExtent l="19050" t="0" r="9525" b="0"/>
                      <wp:docPr id="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8"/>
                              <a:srcRect/>
                              <a:stretch>
                                <a:fillRect/>
                              </a:stretch>
                            </pic:blipFill>
                            <pic:spPr bwMode="auto">
                              <a:xfrm>
                                <a:off x="0" y="0"/>
                                <a:ext cx="4667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3.7. Atneša daiktus norėdamas juos parodyti. </w:t>
                </w:r>
              </w:p>
            </w:tc>
            <w:tc>
              <w:tcPr>
                <w:tcW w:w="4423" w:type="dxa"/>
              </w:tcPr>
              <w:p>
                <w:pPr>
                  <w:rPr>
                    <w:color w:val="000000"/>
                    <w:szCs w:val="24"/>
                  </w:rPr>
                </w:pPr>
                <w:r>
                  <w:rPr>
                    <w:color w:val="000000"/>
                    <w:szCs w:val="24"/>
                  </w:rPr>
                  <w:t>Vaikas savarankiškai atneša parodyti daiktus tėvams. Galima vertinti teigiamai pagal tėvų arba kitų vaiko atstovų pagal įstatymą duomenis.</w:t>
                </w:r>
              </w:p>
            </w:tc>
            <w:tc>
              <w:tcPr>
                <w:tcW w:w="1559" w:type="dxa"/>
              </w:tcPr>
              <w:p>
                <w:pPr>
                  <w:tabs>
                    <w:tab w:val="left" w:pos="585"/>
                    <w:tab w:val="center" w:pos="1006"/>
                  </w:tabs>
                  <w:jc w:val="center"/>
                  <w:rPr>
                    <w:b/>
                    <w:color w:val="000000"/>
                    <w:szCs w:val="24"/>
                  </w:rPr>
                </w:pPr>
                <w:r>
                  <w:rPr>
                    <w:b/>
                    <w:color w:val="000000"/>
                    <w:szCs w:val="24"/>
                    <w:lang w:eastAsia="lt-LT"/>
                  </w:rPr>
                  <w:drawing>
                    <wp:inline distT="0" distB="0" distL="0" distR="0">
                      <wp:extent cx="400050" cy="476250"/>
                      <wp:effectExtent l="1905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9"/>
                              <a:srcRect/>
                              <a:stretch>
                                <a:fillRect/>
                              </a:stretch>
                            </pic:blipFill>
                            <pic:spPr bwMode="auto">
                              <a:xfrm>
                                <a:off x="0" y="0"/>
                                <a:ext cx="400050" cy="4762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val="restart"/>
              </w:tcPr>
              <w:p>
                <w:pPr>
                  <w:rPr>
                    <w:color w:val="000000"/>
                    <w:szCs w:val="24"/>
                  </w:rPr>
                </w:pPr>
                <w:r>
                  <w:rPr>
                    <w:color w:val="000000"/>
                    <w:szCs w:val="24"/>
                  </w:rPr>
                  <w:t>4.</w:t>
                </w:r>
              </w:p>
            </w:tc>
            <w:tc>
              <w:tcPr>
                <w:tcW w:w="1134" w:type="dxa"/>
                <w:vMerge w:val="restart"/>
              </w:tcPr>
              <w:p>
                <w:pPr>
                  <w:rPr>
                    <w:color w:val="000000"/>
                    <w:szCs w:val="24"/>
                  </w:rPr>
                </w:pPr>
                <w:r>
                  <w:rPr>
                    <w:color w:val="000000"/>
                    <w:szCs w:val="24"/>
                  </w:rPr>
                  <w:t>36 mėn.</w:t>
                </w:r>
              </w:p>
              <w:p>
                <w:pPr>
                  <w:rPr>
                    <w:color w:val="000000"/>
                    <w:szCs w:val="24"/>
                  </w:rPr>
                </w:pPr>
                <w:r>
                  <w:rPr>
                    <w:color w:val="000000"/>
                    <w:szCs w:val="24"/>
                  </w:rPr>
                  <w:t>(3 m.)</w:t>
                </w:r>
              </w:p>
            </w:tc>
            <w:tc>
              <w:tcPr>
                <w:tcW w:w="1814" w:type="dxa"/>
              </w:tcPr>
              <w:p>
                <w:pPr>
                  <w:rPr>
                    <w:color w:val="000000"/>
                    <w:szCs w:val="24"/>
                  </w:rPr>
                </w:pPr>
                <w:r>
                  <w:rPr>
                    <w:color w:val="000000"/>
                    <w:szCs w:val="24"/>
                  </w:rPr>
                  <w:t>4.1. Žaidžia konstravimo žaidimus.</w:t>
                </w:r>
              </w:p>
            </w:tc>
            <w:tc>
              <w:tcPr>
                <w:tcW w:w="4423" w:type="dxa"/>
              </w:tcPr>
              <w:p>
                <w:pPr>
                  <w:rPr>
                    <w:color w:val="000000"/>
                    <w:szCs w:val="24"/>
                  </w:rPr>
                </w:pPr>
                <w:r>
                  <w:rPr>
                    <w:color w:val="000000"/>
                    <w:szCs w:val="24"/>
                  </w:rPr>
                  <w:t>Vaikas žaidžia su konstruktoriais, pvz., kaladėlėmis, lego ir kt., statydamas statinius ir pan.</w:t>
                </w:r>
              </w:p>
            </w:tc>
            <w:tc>
              <w:tcPr>
                <w:tcW w:w="1559" w:type="dxa"/>
              </w:tcPr>
              <w:p>
                <w:pPr>
                  <w:jc w:val="center"/>
                  <w:rPr>
                    <w:b/>
                    <w:color w:val="000000"/>
                    <w:szCs w:val="24"/>
                  </w:rPr>
                </w:pPr>
                <w:r>
                  <w:rPr>
                    <w:b/>
                    <w:color w:val="000000"/>
                    <w:szCs w:val="24"/>
                    <w:lang w:eastAsia="lt-LT"/>
                  </w:rPr>
                  <w:drawing>
                    <wp:inline distT="0" distB="0" distL="0" distR="0">
                      <wp:extent cx="495300" cy="66675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0"/>
                              <a:srcRect/>
                              <a:stretch>
                                <a:fillRect/>
                              </a:stretch>
                            </pic:blipFill>
                            <pic:spPr bwMode="auto">
                              <a:xfrm>
                                <a:off x="0" y="0"/>
                                <a:ext cx="495300"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4.2. Sudeda dėlionę. </w:t>
                </w:r>
              </w:p>
            </w:tc>
            <w:tc>
              <w:tcPr>
                <w:tcW w:w="4423" w:type="dxa"/>
              </w:tcPr>
              <w:p>
                <w:pPr>
                  <w:rPr>
                    <w:color w:val="000000"/>
                    <w:szCs w:val="24"/>
                  </w:rPr>
                </w:pPr>
                <w:r>
                  <w:rPr>
                    <w:color w:val="000000"/>
                    <w:szCs w:val="24"/>
                  </w:rPr>
                  <w:t xml:space="preserve">Vaikas sudeda 3 formų dėlionę ( ∆ O </w:t>
                </w:r>
                <w:r>
                  <w:rPr>
                    <w:b/>
                    <w:color w:val="000000"/>
                    <w:szCs w:val="24"/>
                  </w:rPr>
                  <w:t>□</w:t>
                </w:r>
                <w:r>
                  <w:rPr>
                    <w:color w:val="000000"/>
                    <w:szCs w:val="24"/>
                  </w:rPr>
                  <w:t xml:space="preserve"> ) nesuklysdamas.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523875" cy="619125"/>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1"/>
                              <a:srcRect/>
                              <a:stretch>
                                <a:fillRect/>
                              </a:stretch>
                            </pic:blipFill>
                            <pic:spPr bwMode="auto">
                              <a:xfrm>
                                <a:off x="0" y="0"/>
                                <a:ext cx="523875" cy="6191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4.3. Piešia apskritimą.</w:t>
                </w:r>
              </w:p>
            </w:tc>
            <w:tc>
              <w:tcPr>
                <w:tcW w:w="4423" w:type="dxa"/>
              </w:tcPr>
              <w:p>
                <w:pPr>
                  <w:rPr>
                    <w:color w:val="000000"/>
                    <w:szCs w:val="24"/>
                  </w:rPr>
                </w:pPr>
                <w:r>
                  <w:rPr>
                    <w:color w:val="000000"/>
                    <w:szCs w:val="24"/>
                  </w:rPr>
                  <w:t>Vaikas nupiešia popieriuje apskritimą savarankiškai arba pagal pavyzdį.</w:t>
                </w:r>
              </w:p>
            </w:tc>
            <w:tc>
              <w:tcPr>
                <w:tcW w:w="1559" w:type="dxa"/>
              </w:tcPr>
              <w:p>
                <w:pPr>
                  <w:jc w:val="center"/>
                  <w:rPr>
                    <w:b/>
                    <w:color w:val="000000"/>
                    <w:szCs w:val="24"/>
                  </w:rPr>
                </w:pPr>
                <w:r>
                  <w:rPr>
                    <w:b/>
                    <w:color w:val="000000"/>
                    <w:szCs w:val="24"/>
                    <w:lang w:eastAsia="lt-LT"/>
                  </w:rPr>
                  <w:drawing>
                    <wp:inline distT="0" distB="0" distL="0" distR="0">
                      <wp:extent cx="466725" cy="542925"/>
                      <wp:effectExtent l="19050" t="0" r="9525" b="0"/>
                      <wp:docPr id="6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2"/>
                              <a:srcRect/>
                              <a:stretch>
                                <a:fillRect/>
                              </a:stretch>
                            </pic:blipFill>
                            <pic:spPr bwMode="auto">
                              <a:xfrm>
                                <a:off x="0" y="0"/>
                                <a:ext cx="466725" cy="5429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4.4. Skiria spalvas.</w:t>
                </w:r>
              </w:p>
            </w:tc>
            <w:tc>
              <w:tcPr>
                <w:tcW w:w="4423" w:type="dxa"/>
              </w:tcPr>
              <w:p>
                <w:pPr>
                  <w:rPr>
                    <w:color w:val="000000"/>
                    <w:szCs w:val="24"/>
                  </w:rPr>
                </w:pPr>
                <w:r>
                  <w:rPr>
                    <w:color w:val="000000"/>
                    <w:szCs w:val="24"/>
                  </w:rPr>
                  <w:t>Vaikas parodo bent 1 spalvą iš 3, prašant parodyti pieštukus, žaislus ar paveikslėlius.</w:t>
                </w:r>
              </w:p>
            </w:tc>
            <w:tc>
              <w:tcPr>
                <w:tcW w:w="1559" w:type="dxa"/>
              </w:tcPr>
              <w:p>
                <w:pPr>
                  <w:jc w:val="center"/>
                  <w:rPr>
                    <w:b/>
                    <w:color w:val="000000"/>
                    <w:szCs w:val="24"/>
                  </w:rPr>
                </w:pPr>
                <w:r>
                  <w:rPr>
                    <w:b/>
                    <w:color w:val="000000"/>
                    <w:szCs w:val="24"/>
                    <w:lang w:eastAsia="lt-LT"/>
                  </w:rPr>
                  <w:drawing>
                    <wp:inline distT="0" distB="0" distL="0" distR="0">
                      <wp:extent cx="361950" cy="466725"/>
                      <wp:effectExtent l="19050" t="0" r="0" b="0"/>
                      <wp:docPr id="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3"/>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4.5. Supranta kalbos sąvokas.</w:t>
                </w:r>
              </w:p>
            </w:tc>
            <w:tc>
              <w:tcPr>
                <w:tcW w:w="4423" w:type="dxa"/>
              </w:tcPr>
              <w:p>
                <w:pPr>
                  <w:rPr>
                    <w:color w:val="000000"/>
                    <w:szCs w:val="24"/>
                  </w:rPr>
                </w:pPr>
                <w:r>
                  <w:rPr>
                    <w:color w:val="000000"/>
                    <w:szCs w:val="24"/>
                  </w:rPr>
                  <w:t xml:space="preserve">Vaikas supranta bent vieną sąvoką iš 5: „toks pats“,“ didelis“, „mažas“, „vienas“, „daug“,  prašant parodyti žaislus ar paveikslėlius.</w:t>
                </w:r>
              </w:p>
            </w:tc>
            <w:tc>
              <w:tcPr>
                <w:tcW w:w="1559" w:type="dxa"/>
              </w:tcPr>
              <w:p>
                <w:pPr>
                  <w:jc w:val="center"/>
                  <w:rPr>
                    <w:b/>
                    <w:color w:val="000000"/>
                    <w:szCs w:val="24"/>
                  </w:rPr>
                </w:pPr>
                <w:r>
                  <w:rPr>
                    <w:b/>
                    <w:color w:val="000000"/>
                    <w:szCs w:val="24"/>
                    <w:lang w:eastAsia="lt-LT"/>
                  </w:rPr>
                  <w:drawing>
                    <wp:inline distT="0" distB="0" distL="0" distR="0">
                      <wp:extent cx="523875" cy="666750"/>
                      <wp:effectExtent l="19050" t="0" r="9525" b="0"/>
                      <wp:docPr id="6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4"/>
                              <a:srcRect/>
                              <a:stretch>
                                <a:fillRect/>
                              </a:stretch>
                            </pic:blipFill>
                            <pic:spPr bwMode="auto">
                              <a:xfrm>
                                <a:off x="0" y="0"/>
                                <a:ext cx="523875"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4.6. Jungia žodžius į 3 žodžių frazes, sakinius.</w:t>
                </w:r>
              </w:p>
            </w:tc>
            <w:tc>
              <w:tcPr>
                <w:tcW w:w="4423" w:type="dxa"/>
              </w:tcPr>
              <w:p>
                <w:pPr>
                  <w:rPr>
                    <w:color w:val="000000"/>
                    <w:szCs w:val="24"/>
                  </w:rPr>
                </w:pPr>
                <w:r>
                  <w:rPr>
                    <w:color w:val="000000"/>
                    <w:szCs w:val="24"/>
                  </w:rPr>
                  <w:t xml:space="preserve">Vaikas sako trijų žodžių frazes, sakinius. </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12"/>
            </w:trPr>
            <w:tc>
              <w:tcPr>
                <w:tcW w:w="568" w:type="dxa"/>
                <w:vMerge w:val="restart"/>
              </w:tcPr>
              <w:p>
                <w:pPr>
                  <w:rPr>
                    <w:color w:val="000000"/>
                    <w:szCs w:val="24"/>
                  </w:rPr>
                </w:pPr>
                <w:r>
                  <w:rPr>
                    <w:color w:val="000000"/>
                    <w:szCs w:val="24"/>
                  </w:rPr>
                  <w:t>5.</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48 mėn.</w:t>
                </w:r>
              </w:p>
              <w:p>
                <w:pPr>
                  <w:rPr>
                    <w:color w:val="000000"/>
                    <w:szCs w:val="24"/>
                  </w:rPr>
                </w:pPr>
                <w:r>
                  <w:rPr>
                    <w:color w:val="000000"/>
                    <w:szCs w:val="24"/>
                  </w:rPr>
                  <w:t xml:space="preserve">(4 m.) </w:t>
                </w:r>
              </w:p>
            </w:tc>
            <w:tc>
              <w:tcPr>
                <w:tcW w:w="1814" w:type="dxa"/>
              </w:tcPr>
              <w:p>
                <w:pPr>
                  <w:rPr>
                    <w:color w:val="000000"/>
                    <w:szCs w:val="24"/>
                  </w:rPr>
                </w:pPr>
                <w:r>
                  <w:rPr>
                    <w:color w:val="000000"/>
                    <w:szCs w:val="24"/>
                  </w:rPr>
                  <w:t>5.1. Žaidžia vaidmeninius žaidimus.</w:t>
                </w:r>
              </w:p>
            </w:tc>
            <w:tc>
              <w:tcPr>
                <w:tcW w:w="4423" w:type="dxa"/>
              </w:tcPr>
              <w:p>
                <w:pPr>
                  <w:rPr>
                    <w:color w:val="000000"/>
                    <w:szCs w:val="24"/>
                  </w:rPr>
                </w:pPr>
                <w:r>
                  <w:rPr>
                    <w:color w:val="000000"/>
                    <w:szCs w:val="24"/>
                  </w:rPr>
                  <w:t>Vaikas, žaisdamas su kitais asmenimis, gali vaidinti įvairius vaidmenis (žmonių, gyvūnų ir pan.).</w:t>
                </w:r>
              </w:p>
            </w:tc>
            <w:tc>
              <w:tcPr>
                <w:tcW w:w="1559" w:type="dxa"/>
              </w:tcPr>
              <w:p>
                <w:pPr>
                  <w:rPr>
                    <w:b/>
                    <w:color w:val="000000"/>
                    <w:szCs w:val="24"/>
                  </w:rPr>
                </w:pPr>
                <w:r>
                  <w:rPr>
                    <w:b/>
                    <w:color w:val="000000"/>
                    <w:szCs w:val="24"/>
                  </w:rPr>
                  <w:t>-</w:t>
                </w:r>
              </w:p>
            </w:tc>
            <w:tc>
              <w:tcPr>
                <w:tcW w:w="822" w:type="dxa"/>
              </w:tcPr>
              <w:p>
                <w:pPr>
                  <w:rPr>
                    <w:b/>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5.2. Nupiešia atpažįstamą objektą.</w:t>
                </w:r>
              </w:p>
            </w:tc>
            <w:tc>
              <w:tcPr>
                <w:tcW w:w="4423" w:type="dxa"/>
              </w:tcPr>
              <w:p>
                <w:pPr>
                  <w:rPr>
                    <w:color w:val="000000"/>
                    <w:szCs w:val="24"/>
                  </w:rPr>
                </w:pPr>
                <w:r>
                  <w:rPr>
                    <w:color w:val="000000"/>
                    <w:szCs w:val="24"/>
                  </w:rPr>
                  <w:t>Vaikas nupiešia atpažįstamą objektą, pvz., mašiną, žmogų iš 2–3 dalių ir pan.</w:t>
                </w:r>
              </w:p>
            </w:tc>
            <w:tc>
              <w:tcPr>
                <w:tcW w:w="1559" w:type="dxa"/>
              </w:tcPr>
              <w:p>
                <w:pPr>
                  <w:rPr>
                    <w:b/>
                    <w:color w:val="000000"/>
                    <w:szCs w:val="24"/>
                  </w:rPr>
                </w:pPr>
                <w:r>
                  <w:rPr>
                    <w:b/>
                    <w:color w:val="000000"/>
                    <w:szCs w:val="24"/>
                    <w:lang w:eastAsia="lt-LT"/>
                  </w:rPr>
                  <w:drawing>
                    <wp:inline distT="0" distB="0" distL="0" distR="0">
                      <wp:extent cx="590550" cy="59055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5"/>
                              <a:srcRect/>
                              <a:stretch>
                                <a:fillRect/>
                              </a:stretch>
                            </pic:blipFill>
                            <pic:spPr bwMode="auto">
                              <a:xfrm>
                                <a:off x="0" y="0"/>
                                <a:ext cx="590550" cy="590550"/>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5.3. Piešia  pliusą </w:t>
                </w:r>
              </w:p>
              <w:p>
                <w:pPr>
                  <w:rPr>
                    <w:color w:val="000000"/>
                    <w:szCs w:val="24"/>
                  </w:rPr>
                </w:pPr>
                <w:r>
                  <w:rPr>
                    <w:color w:val="000000"/>
                    <w:szCs w:val="24"/>
                  </w:rPr>
                  <w:t>(+).</w:t>
                </w:r>
              </w:p>
            </w:tc>
            <w:tc>
              <w:tcPr>
                <w:tcW w:w="4423" w:type="dxa"/>
              </w:tcPr>
              <w:p>
                <w:pPr>
                  <w:rPr>
                    <w:color w:val="000000"/>
                    <w:szCs w:val="24"/>
                  </w:rPr>
                </w:pPr>
                <w:r>
                  <w:rPr>
                    <w:color w:val="000000"/>
                    <w:szCs w:val="24"/>
                  </w:rPr>
                  <w:t>Vaikas nupiešia pliusą (+) savarankiškai arba pamėgdžiodamas pagal pavyzdį.</w:t>
                </w:r>
              </w:p>
            </w:tc>
            <w:tc>
              <w:tcPr>
                <w:tcW w:w="1559" w:type="dxa"/>
              </w:tcPr>
              <w:p>
                <w:pPr>
                  <w:rPr>
                    <w:b/>
                    <w:color w:val="000000"/>
                    <w:szCs w:val="24"/>
                  </w:rPr>
                </w:pPr>
                <w:r>
                  <w:rPr>
                    <w:b/>
                    <w:color w:val="000000"/>
                    <w:szCs w:val="24"/>
                    <w:lang w:eastAsia="lt-LT"/>
                  </w:rPr>
                  <w:drawing>
                    <wp:inline distT="0" distB="0" distL="0" distR="0">
                      <wp:extent cx="571500" cy="63817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6"/>
                              <a:srcRect/>
                              <a:stretch>
                                <a:fillRect/>
                              </a:stretch>
                            </pic:blipFill>
                            <pic:spPr bwMode="auto">
                              <a:xfrm>
                                <a:off x="0" y="0"/>
                                <a:ext cx="571500" cy="638175"/>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1026"/>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5.4. Supranta prielinksnius. </w:t>
                </w:r>
              </w:p>
            </w:tc>
            <w:tc>
              <w:tcPr>
                <w:tcW w:w="4423" w:type="dxa"/>
              </w:tcPr>
              <w:p>
                <w:pPr>
                  <w:jc w:val="both"/>
                  <w:rPr>
                    <w:color w:val="000000"/>
                    <w:szCs w:val="24"/>
                  </w:rPr>
                </w:pPr>
                <w:r>
                  <w:rPr>
                    <w:color w:val="000000"/>
                    <w:szCs w:val="24"/>
                  </w:rPr>
                  <w:t xml:space="preserve">Vaikas įvykdo bent 3 iš 4 prašymų su  prielinksniais: „padėk </w:t>
                </w:r>
                <w:r>
                  <w:rPr>
                    <w:b/>
                    <w:color w:val="000000"/>
                    <w:szCs w:val="24"/>
                  </w:rPr>
                  <w:t>ant</w:t>
                </w:r>
                <w:r>
                  <w:rPr>
                    <w:color w:val="000000"/>
                    <w:szCs w:val="24"/>
                  </w:rPr>
                  <w:t xml:space="preserve"> kėdės“,  „padėk </w:t>
                </w:r>
                <w:r>
                  <w:rPr>
                    <w:b/>
                    <w:color w:val="000000"/>
                    <w:szCs w:val="24"/>
                  </w:rPr>
                  <w:t>po</w:t>
                </w:r>
                <w:r>
                  <w:rPr>
                    <w:color w:val="000000"/>
                    <w:szCs w:val="24"/>
                  </w:rPr>
                  <w:t xml:space="preserve"> stalu,“„ įdėk </w:t>
                </w:r>
                <w:r>
                  <w:rPr>
                    <w:b/>
                    <w:color w:val="000000"/>
                    <w:szCs w:val="24"/>
                  </w:rPr>
                  <w:t>į</w:t>
                </w:r>
                <w:r>
                  <w:rPr>
                    <w:color w:val="000000"/>
                    <w:szCs w:val="24"/>
                  </w:rPr>
                  <w:t xml:space="preserve"> dėžutę,“  „padėk </w:t>
                </w:r>
                <w:r>
                  <w:rPr>
                    <w:b/>
                    <w:color w:val="000000"/>
                    <w:szCs w:val="24"/>
                  </w:rPr>
                  <w:t>už</w:t>
                </w:r>
                <w:r>
                  <w:rPr>
                    <w:color w:val="000000"/>
                    <w:szCs w:val="24"/>
                  </w:rPr>
                  <w:t xml:space="preserve"> nugaros.“ </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5.5. Papasakoja trumpą pasakojimą. </w:t>
                </w:r>
              </w:p>
            </w:tc>
            <w:tc>
              <w:tcPr>
                <w:tcW w:w="4423" w:type="dxa"/>
              </w:tcPr>
              <w:p>
                <w:pPr>
                  <w:rPr>
                    <w:color w:val="000000"/>
                    <w:szCs w:val="24"/>
                  </w:rPr>
                </w:pPr>
                <w:r>
                  <w:rPr>
                    <w:color w:val="000000"/>
                    <w:szCs w:val="24"/>
                  </w:rPr>
                  <w:t xml:space="preserve">Vaikas paklaustas gali  keliais sakiniais papasakoti apie įvykius,  Įvykusius, pvz., namuose,  ugdymo įstaigoje.</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bl>
        <w:p>
          <w:pPr>
            <w:tabs>
              <w:tab w:val="center" w:pos="4153"/>
              <w:tab w:val="right" w:pos="8306"/>
            </w:tabs>
            <w:rPr>
              <w:szCs w:val="24"/>
            </w:rPr>
          </w:pPr>
        </w:p>
        <w:p>
          <w:pPr>
            <w:suppressAutoHyphens/>
            <w:jc w:val="both"/>
            <w:textAlignment w:val="cente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4 pr."/>
        <w:tag w:val="part_d6b63fe04f61463b9aa1016c669c7a2e"/>
        <w:lock w:val="sdtLocked"/>
        <w:richText/>
      </w:sdtPr>
      <w:sdtContent>
        <w:p>
          <w:pPr>
            <w:tabs>
              <w:tab w:val="left" w:pos="1304"/>
              <w:tab w:val="left" w:pos="1457"/>
              <w:tab w:val="left" w:pos="1604"/>
              <w:tab w:val="left" w:pos="1757"/>
            </w:tabs>
            <w:ind w:left="5102"/>
            <w:sectPr>
              <w:pgSz w:w="16840" w:h="11907" w:orient="landscape" w:code="9"/>
              <w:pgMar w:top="1701" w:right="1134" w:bottom="1134" w:left="1134" w:header="567" w:footer="567" w:gutter="0"/>
              <w:pgNumType w:start="1"/>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d6b63fe04f61463b9aa1016c669c7a2e"/>
              <w:lock w:val="sdtLocked"/>
              <w:richText/>
            </w:sdtPr>
            <w:sdtContent>
              <w:r>
                <w:rPr>
                  <w:color w:val="000000"/>
                </w:rPr>
                <w:t>4</w:t>
              </w:r>
            </w:sdtContent>
          </w:sdt>
          <w:r>
            <w:rPr>
              <w:color w:val="000000"/>
            </w:rPr>
            <w:t xml:space="preserve"> priedas</w:t>
          </w:r>
        </w:p>
        <w:p>
          <w:pPr>
            <w:tabs>
              <w:tab w:val="left" w:pos="1304"/>
              <w:tab w:val="left" w:pos="1457"/>
              <w:tab w:val="left" w:pos="1604"/>
              <w:tab w:val="left" w:pos="1757"/>
            </w:tabs>
            <w:ind w:left="5102"/>
            <w:rPr>
              <w:color w:val="000000"/>
            </w:rPr>
          </w:pPr>
        </w:p>
        <w:p>
          <w:pPr>
            <w:jc w:val="center"/>
            <w:rPr>
              <w:b/>
              <w:caps/>
              <w:color w:val="000000"/>
            </w:rPr>
          </w:pPr>
          <w:sdt>
            <w:sdtPr>
              <w:alias w:val="Pavadinimas"/>
              <w:tag w:val="title_d6b63fe04f61463b9aa1016c669c7a2e"/>
              <w:lock w:val="sdtLocked"/>
              <w:richText/>
            </w:sdtPr>
            <w:sdtContent>
              <w:r>
                <w:rPr>
                  <w:b/>
                  <w:caps/>
                  <w:color w:val="000000"/>
                </w:rPr>
                <w:t>ŽEMĖS ŪKIO STOJANČIŲJŲ Į PROFESINIO MOKYMO MOKYKLAS IR ĮDARBINAMŲ NEPILNAMEČIŲ SVEIKATOS TIKRINIMO TVARKA</w:t>
              </w:r>
            </w:sdtContent>
          </w:sdt>
        </w:p>
        <w:p>
          <w:pPr>
            <w:ind w:left="709"/>
            <w:jc w:val="both"/>
            <w:rPr>
              <w:color w:val="000000"/>
            </w:rPr>
          </w:pPr>
        </w:p>
        <w:sdt>
          <w:sdtPr>
            <w:alias w:val="skyrius"/>
            <w:tag w:val="part_f669a6248c6b49bbb23cae769f1c0d52"/>
            <w:lock w:val="sdtLocked"/>
            <w:richText/>
          </w:sdtPr>
          <w:sdtContent>
            <w:p>
              <w:pPr>
                <w:jc w:val="center"/>
                <w:rPr>
                  <w:b/>
                  <w:caps/>
                  <w:color w:val="000000"/>
                </w:rPr>
              </w:pPr>
              <w:sdt>
                <w:sdtPr>
                  <w:alias w:val="Numeris"/>
                  <w:tag w:val="nr_f669a6248c6b49bbb23cae769f1c0d52"/>
                  <w:lock w:val="sdtLocked"/>
                  <w:richText/>
                </w:sdtPr>
                <w:sdtContent>
                  <w:r>
                    <w:rPr>
                      <w:b/>
                      <w:caps/>
                      <w:color w:val="000000"/>
                    </w:rPr>
                    <w:t>I</w:t>
                  </w:r>
                </w:sdtContent>
              </w:sdt>
              <w:r>
                <w:rPr>
                  <w:b/>
                  <w:caps/>
                  <w:color w:val="000000"/>
                </w:rPr>
                <w:t xml:space="preserve">. </w:t>
              </w:r>
              <w:sdt>
                <w:sdtPr>
                  <w:alias w:val="Pavadinimas"/>
                  <w:tag w:val="title_f669a6248c6b49bbb23cae769f1c0d52"/>
                  <w:lock w:val="sdtLocked"/>
                  <w:richText/>
                </w:sdtPr>
                <w:sdtContent>
                  <w:r>
                    <w:rPr>
                      <w:b/>
                      <w:caps/>
                      <w:color w:val="000000"/>
                    </w:rPr>
                    <w:t>BENDROSIOS NUOSTATOS</w:t>
                  </w:r>
                </w:sdtContent>
              </w:sdt>
            </w:p>
            <w:p>
              <w:pPr>
                <w:widowControl w:val="0"/>
                <w:ind w:firstLine="720"/>
                <w:jc w:val="both"/>
                <w:rPr>
                  <w:color w:val="000000"/>
                </w:rPr>
              </w:pPr>
            </w:p>
            <w:p>
              <w:pPr>
                <w:widowControl w:val="0"/>
                <w:ind w:firstLine="720"/>
                <w:jc w:val="both"/>
                <w:rPr>
                  <w:color w:val="000000"/>
                </w:rPr>
              </w:pPr>
              <w:r>
                <w:rPr>
                  <w:color w:val="000000"/>
                </w:rPr>
                <w:t xml:space="preserve">Tikslas – nustatyti, ar dėl sveikatos būklės tikrinamas asmuo gali, užbaigęs profesinio mokymo programą, dirbti pagal pasirinktą specialybę vadovaujantis Lietuvos Respublikos Vyriausybės 1996 04 11 nutarimu Nr. 1055 „Dėl asmenims iki 18 metų draudžiamų dirbti darbų, kenksmingų ir pavojingų veiksnių sąrašo ir asmenų nuo13 iki 14 metų, nuo 14 iki 16 metų ir nuo 16 iki 18 metų darbo sąlygų ir įdarbinimo tvarkos“ (Žin., 1996, Nr. </w:t>
              </w:r>
              <w:hyperlink r:id="rId37" w:tgtFrame="_blank" w:history="1">
                <w:r>
                  <w:rPr>
                    <w:color w:val="0000FF" w:themeColor="hyperlink"/>
                    <w:u w:val="single"/>
                  </w:rPr>
                  <w:t>87-2065</w:t>
                </w:r>
              </w:hyperlink>
              <w:r>
                <w:rPr>
                  <w:color w:val="000000"/>
                </w:rPr>
                <w:t>).</w:t>
              </w:r>
            </w:p>
            <w:sdt>
              <w:sdtPr>
                <w:alias w:val="4 pr. 1 p."/>
                <w:tag w:val="part_7c2ca106749740aaa7575453bf3ef7f3"/>
                <w:lock w:val="sdtLocked"/>
                <w:richText/>
              </w:sdtPr>
              <w:sdtContent>
                <w:p>
                  <w:pPr>
                    <w:widowControl w:val="0"/>
                    <w:ind w:firstLine="720"/>
                    <w:jc w:val="both"/>
                    <w:rPr>
                      <w:color w:val="000000"/>
                    </w:rPr>
                  </w:pPr>
                  <w:sdt>
                    <w:sdtPr>
                      <w:alias w:val="Numeris"/>
                      <w:tag w:val="nr_7c2ca106749740aaa7575453bf3ef7f3"/>
                      <w:lock w:val="sdtLocked"/>
                      <w:richText/>
                    </w:sdtPr>
                    <w:sdtContent>
                      <w:r>
                        <w:rPr>
                          <w:color w:val="000000"/>
                        </w:rPr>
                        <w:t>1</w:t>
                      </w:r>
                    </w:sdtContent>
                  </w:sdt>
                  <w:r>
                    <w:rPr>
                      <w:color w:val="000000"/>
                    </w:rPr>
                    <w:t>. Asmenys, stojantys mokytis į profesinio mokymo mokyklas, ir norintys įsidarbinti nepilnamečiai privalo tikrintis sveikatą.</w:t>
                  </w:r>
                </w:p>
              </w:sdtContent>
            </w:sdt>
            <w:sdt>
              <w:sdtPr>
                <w:alias w:val="4 pr. 2 p."/>
                <w:tag w:val="part_051cc59db9584371a81d92d5bec8a0f1"/>
                <w:lock w:val="sdtLocked"/>
                <w:richText/>
              </w:sdtPr>
              <w:sdtContent>
                <w:p>
                  <w:pPr>
                    <w:widowControl w:val="0"/>
                    <w:ind w:firstLine="720"/>
                    <w:jc w:val="both"/>
                    <w:rPr>
                      <w:color w:val="000000"/>
                    </w:rPr>
                  </w:pPr>
                  <w:sdt>
                    <w:sdtPr>
                      <w:alias w:val="Numeris"/>
                      <w:tag w:val="nr_051cc59db9584371a81d92d5bec8a0f1"/>
                      <w:lock w:val="sdtLocked"/>
                      <w:richText/>
                    </w:sdtPr>
                    <w:sdtContent>
                      <w:r>
                        <w:rPr>
                          <w:color w:val="000000"/>
                        </w:rPr>
                        <w:t>2</w:t>
                      </w:r>
                    </w:sdtContent>
                  </w:sdt>
                  <w:r>
                    <w:rPr>
                      <w:color w:val="000000"/>
                    </w:rPr>
                    <w:t>. Sveikatą tikrina pirminės sveikatos priežiūros įstaigos bendrosios praktikos gydytojas (BPG) arba apylinkės pediatras (terapeutas).</w:t>
                  </w:r>
                </w:p>
              </w:sdtContent>
            </w:sdt>
            <w:sdt>
              <w:sdtPr>
                <w:alias w:val="4 pr. 3 p."/>
                <w:tag w:val="part_bbac0dc37e864a278e6be80190739854"/>
                <w:lock w:val="sdtLocked"/>
                <w:richText/>
              </w:sdtPr>
              <w:sdtContent>
                <w:p>
                  <w:pPr>
                    <w:widowControl w:val="0"/>
                    <w:ind w:firstLine="720"/>
                    <w:jc w:val="both"/>
                    <w:rPr>
                      <w:color w:val="000000"/>
                    </w:rPr>
                  </w:pPr>
                  <w:sdt>
                    <w:sdtPr>
                      <w:alias w:val="Numeris"/>
                      <w:tag w:val="nr_bbac0dc37e864a278e6be80190739854"/>
                      <w:lock w:val="sdtLocked"/>
                      <w:richText/>
                    </w:sdtPr>
                    <w:sdtContent>
                      <w:r>
                        <w:rPr>
                          <w:color w:val="000000"/>
                        </w:rPr>
                        <w:t>3</w:t>
                      </w:r>
                    </w:sdtContent>
                  </w:sdt>
                  <w:r>
                    <w:rPr>
                      <w:color w:val="000000"/>
                    </w:rPr>
                    <w:t xml:space="preserve">. Sveikatą tikrinantis gydytojas turi būti susipažinęs su Lietuvos Respublikos Vyriausybės 1996 04 11 nutarimu Nr. 1055 patvirtintu „Asmenims iki 18 metų draudžiamų dirbti darbų, kenksmingų ir pavojingų veiksnių sąrašu“ (Žin., 1996, Nr. </w:t>
                  </w:r>
                  <w:hyperlink r:id="rId38" w:tgtFrame="_blank" w:history="1">
                    <w:r>
                      <w:rPr>
                        <w:color w:val="0000FF" w:themeColor="hyperlink"/>
                        <w:u w:val="single"/>
                      </w:rPr>
                      <w:t>87-2065</w:t>
                    </w:r>
                  </w:hyperlink>
                  <w:r>
                    <w:rPr>
                      <w:color w:val="000000"/>
                    </w:rPr>
                    <w:t>).</w:t>
                  </w:r>
                </w:p>
              </w:sdtContent>
            </w:sdt>
            <w:sdt>
              <w:sdtPr>
                <w:alias w:val="4 pr. 4 p."/>
                <w:tag w:val="part_c27abe0491474230b8ea515134151bb4"/>
                <w:lock w:val="sdtLocked"/>
                <w:richText/>
              </w:sdtPr>
              <w:sdtContent>
                <w:p>
                  <w:pPr>
                    <w:widowControl w:val="0"/>
                    <w:ind w:firstLine="720"/>
                    <w:jc w:val="both"/>
                    <w:rPr>
                      <w:color w:val="000000"/>
                    </w:rPr>
                  </w:pPr>
                  <w:sdt>
                    <w:sdtPr>
                      <w:alias w:val="Numeris"/>
                      <w:tag w:val="nr_c27abe0491474230b8ea515134151bb4"/>
                      <w:lock w:val="sdtLocked"/>
                      <w:richText/>
                    </w:sdtPr>
                    <w:sdtContent>
                      <w:r>
                        <w:rPr>
                          <w:color w:val="000000"/>
                        </w:rPr>
                        <w:t>4</w:t>
                      </w:r>
                    </w:sdtContent>
                  </w:sdt>
                  <w:r>
                    <w:rPr>
                      <w:color w:val="000000"/>
                    </w:rPr>
                    <w:t>. BPG ar apylinkės pediatras (terapeutas), tikrindamas sveikatą, turi teisę esant medicininių parodymų siųsti pas kitus specialistus, skirti papildomus tyrimus.</w:t>
                  </w:r>
                </w:p>
              </w:sdtContent>
            </w:sdt>
            <w:sdt>
              <w:sdtPr>
                <w:alias w:val="4 pr. 5 p."/>
                <w:tag w:val="part_a7d576eb905349c58711c8fe0bef8e79"/>
                <w:lock w:val="sdtLocked"/>
                <w:richText/>
              </w:sdtPr>
              <w:sdtContent>
                <w:p>
                  <w:pPr>
                    <w:widowControl w:val="0"/>
                    <w:ind w:firstLine="720"/>
                    <w:jc w:val="both"/>
                    <w:rPr>
                      <w:color w:val="000000"/>
                    </w:rPr>
                  </w:pPr>
                  <w:sdt>
                    <w:sdtPr>
                      <w:alias w:val="Numeris"/>
                      <w:tag w:val="nr_a7d576eb905349c58711c8fe0bef8e79"/>
                      <w:lock w:val="sdtLocked"/>
                      <w:richText/>
                    </w:sdtPr>
                    <w:sdtContent>
                      <w:r>
                        <w:rPr>
                          <w:color w:val="000000"/>
                        </w:rPr>
                        <w:t>5</w:t>
                      </w:r>
                    </w:sdtContent>
                  </w:sdt>
                  <w:r>
                    <w:rPr>
                      <w:color w:val="000000"/>
                    </w:rPr>
                    <w:t>. Sveikatos tikrinimo duomenys įrašomi asmens sveikatos istorijoje (F 025/a), išvada apie tinkamumą mokytis ar dirbti pagal pasirinktą specialybę – į „Stojančio į mokymo įstaigą ir įdarbinamo nepilnamečio medicininę pažymą“ (F086/a).</w:t>
                  </w:r>
                </w:p>
                <w:p>
                  <w:pPr>
                    <w:ind w:left="709"/>
                    <w:jc w:val="both"/>
                    <w:rPr>
                      <w:color w:val="000000"/>
                    </w:rPr>
                  </w:pPr>
                </w:p>
              </w:sdtContent>
            </w:sdt>
          </w:sdtContent>
        </w:sdt>
        <w:sdt>
          <w:sdtPr>
            <w:alias w:val="skyrius"/>
            <w:tag w:val="part_17d9d113e7e04c6ebcb3b637fc8f5990"/>
            <w:lock w:val="sdtLocked"/>
            <w:richText/>
          </w:sdtPr>
          <w:sdtContent>
            <w:p>
              <w:pPr>
                <w:jc w:val="center"/>
                <w:rPr>
                  <w:b/>
                  <w:caps/>
                  <w:color w:val="000000"/>
                </w:rPr>
              </w:pPr>
              <w:sdt>
                <w:sdtPr>
                  <w:alias w:val="Numeris"/>
                  <w:tag w:val="nr_17d9d113e7e04c6ebcb3b637fc8f5990"/>
                  <w:lock w:val="sdtLocked"/>
                  <w:richText/>
                </w:sdtPr>
                <w:sdtContent>
                  <w:r>
                    <w:rPr>
                      <w:b/>
                      <w:caps/>
                      <w:color w:val="000000"/>
                    </w:rPr>
                    <w:t>II</w:t>
                  </w:r>
                </w:sdtContent>
              </w:sdt>
              <w:r>
                <w:rPr>
                  <w:b/>
                  <w:caps/>
                  <w:color w:val="000000"/>
                </w:rPr>
                <w:t xml:space="preserve">. </w:t>
              </w:r>
              <w:sdt>
                <w:sdtPr>
                  <w:alias w:val="Pavadinimas"/>
                  <w:tag w:val="title_17d9d113e7e04c6ebcb3b637fc8f5990"/>
                  <w:lock w:val="sdtLocked"/>
                  <w:richText/>
                </w:sdtPr>
                <w:sdtContent>
                  <w:r>
                    <w:rPr>
                      <w:b/>
                      <w:caps/>
                      <w:color w:val="000000"/>
                    </w:rPr>
                    <w:t>LIGOS, KURIOMIS SERGANT DRAUDŽIAMA STOTI Į PROFESINIO MOKYMO MOKYKLAS</w:t>
                  </w:r>
                </w:sdtContent>
              </w:sdt>
            </w:p>
            <w:p>
              <w:pPr>
                <w:ind w:left="709"/>
                <w:jc w:val="both"/>
                <w:rPr>
                  <w:color w:val="000000"/>
                </w:rPr>
              </w:pPr>
            </w:p>
            <w:sdt>
              <w:sdtPr>
                <w:alias w:val="4 pr. 6 p."/>
                <w:tag w:val="part_aab8a4e4a63b47ea8884821e41f32a7f"/>
                <w:lock w:val="sdtLocked"/>
                <w:richText/>
              </w:sdtPr>
              <w:sdtContent>
                <w:p>
                  <w:pPr>
                    <w:widowControl w:val="0"/>
                    <w:ind w:firstLine="720"/>
                    <w:jc w:val="both"/>
                    <w:rPr>
                      <w:color w:val="000000"/>
                    </w:rPr>
                  </w:pPr>
                  <w:sdt>
                    <w:sdtPr>
                      <w:alias w:val="Numeris"/>
                      <w:tag w:val="nr_aab8a4e4a63b47ea8884821e41f32a7f"/>
                      <w:lock w:val="sdtLocked"/>
                      <w:richText/>
                    </w:sdtPr>
                    <w:sdtContent>
                      <w:r>
                        <w:rPr>
                          <w:color w:val="000000"/>
                        </w:rPr>
                        <w:t>6</w:t>
                      </w:r>
                    </w:sdtContent>
                  </w:sdt>
                  <w:r>
                    <w:rPr>
                      <w:color w:val="000000"/>
                    </w:rPr>
                    <w:t>. Bet kokios lokalizacijos tuberkuliozė, kuria sergant išskiriamos mikobakterijos.</w:t>
                  </w:r>
                </w:p>
              </w:sdtContent>
            </w:sdt>
            <w:sdt>
              <w:sdtPr>
                <w:alias w:val="4 pr. 7 p."/>
                <w:tag w:val="part_57131c12ebe44d109dc0ceb4fb1f3f66"/>
                <w:lock w:val="sdtLocked"/>
                <w:richText/>
              </w:sdtPr>
              <w:sdtContent>
                <w:p>
                  <w:pPr>
                    <w:widowControl w:val="0"/>
                    <w:ind w:firstLine="720"/>
                    <w:jc w:val="both"/>
                    <w:rPr>
                      <w:color w:val="000000"/>
                    </w:rPr>
                  </w:pPr>
                  <w:sdt>
                    <w:sdtPr>
                      <w:alias w:val="Numeris"/>
                      <w:tag w:val="nr_57131c12ebe44d109dc0ceb4fb1f3f66"/>
                      <w:lock w:val="sdtLocked"/>
                      <w:richText/>
                    </w:sdtPr>
                    <w:sdtContent>
                      <w:r>
                        <w:rPr>
                          <w:color w:val="000000"/>
                        </w:rPr>
                        <w:t>7</w:t>
                      </w:r>
                    </w:sdtContent>
                  </w:sdt>
                  <w:r>
                    <w:rPr>
                      <w:color w:val="000000"/>
                    </w:rPr>
                    <w:t>. Ūmios užkrečiamosios ligos (sprendžiama ligoniui pasveikus).</w:t>
                  </w:r>
                </w:p>
                <w:p>
                  <w:pPr>
                    <w:ind w:left="709"/>
                    <w:jc w:val="both"/>
                    <w:rPr>
                      <w:color w:val="000000"/>
                    </w:rPr>
                  </w:pPr>
                </w:p>
              </w:sdtContent>
            </w:sdt>
          </w:sdtContent>
        </w:sdt>
        <w:sdt>
          <w:sdtPr>
            <w:alias w:val="skyrius"/>
            <w:tag w:val="part_23e104471d594d8bb5d70883230efa8c"/>
            <w:lock w:val="sdtLocked"/>
            <w:richText/>
          </w:sdtPr>
          <w:sdtContent>
            <w:p>
              <w:pPr>
                <w:jc w:val="center"/>
                <w:rPr>
                  <w:b/>
                  <w:caps/>
                  <w:color w:val="000000"/>
                </w:rPr>
              </w:pPr>
              <w:sdt>
                <w:sdtPr>
                  <w:alias w:val="Numeris"/>
                  <w:tag w:val="nr_23e104471d594d8bb5d70883230efa8c"/>
                  <w:lock w:val="sdtLocked"/>
                  <w:richText/>
                </w:sdtPr>
                <w:sdtContent>
                  <w:r>
                    <w:rPr>
                      <w:b/>
                      <w:caps/>
                      <w:color w:val="000000"/>
                    </w:rPr>
                    <w:t>III</w:t>
                  </w:r>
                </w:sdtContent>
              </w:sdt>
              <w:r>
                <w:rPr>
                  <w:b/>
                  <w:caps/>
                  <w:color w:val="000000"/>
                </w:rPr>
                <w:t xml:space="preserve">. </w:t>
              </w:r>
              <w:sdt>
                <w:sdtPr>
                  <w:alias w:val="Pavadinimas"/>
                  <w:tag w:val="title_23e104471d594d8bb5d70883230efa8c"/>
                  <w:lock w:val="sdtLocked"/>
                  <w:richText/>
                </w:sdtPr>
                <w:sdtContent>
                  <w:r>
                    <w:rPr>
                      <w:b/>
                      <w:caps/>
                      <w:color w:val="000000"/>
                    </w:rPr>
                    <w:t>PAPILDOMI LIGŲ IR BŪKLIŲ PRIEŠPARODYMAI STOJANT Į PROFESINIO MOKYMO MOKYKLAS</w:t>
                  </w:r>
                </w:sdtContent>
              </w:sdt>
            </w:p>
            <w:p>
              <w:pPr>
                <w:widowControl w:val="0"/>
                <w:tabs>
                  <w:tab w:val="left" w:pos="454"/>
                  <w:tab w:val="left" w:pos="2268"/>
                  <w:tab w:val="left" w:pos="5726"/>
                  <w:tab w:val="left" w:pos="6066"/>
                </w:tabs>
                <w:ind w:left="1069"/>
                <w:rPr>
                  <w:color w:val="000000"/>
                </w:rPr>
              </w:pPr>
            </w:p>
            <w:tbl>
              <w:tblPr>
                <w:tblW w:w="9810" w:type="dxa"/>
                <w:tblLook w:val="01E0" w:firstRow="1" w:lastRow="1" w:firstColumn="1" w:lastColumn="1" w:noHBand="0" w:noVBand="0"/>
              </w:tblPr>
              <w:tblGrid>
                <w:gridCol w:w="1209"/>
                <w:gridCol w:w="2442"/>
                <w:gridCol w:w="2003"/>
                <w:gridCol w:w="1892"/>
                <w:gridCol w:w="2264"/>
              </w:tblGrid>
              <w:tr>
                <w:trPr>
                  <w:tblHeader/>
                </w:trPr>
                <w:tc>
                  <w:tcPr>
                    <w:tcW w:w="1209" w:type="dxa"/>
                    <w:tcBorders>
                      <w:top w:val="single" w:sz="4" w:space="0" w:color="auto"/>
                      <w:left w:val="single" w:sz="4" w:space="0" w:color="auto"/>
                      <w:bottom w:val="single" w:sz="4" w:space="0" w:color="auto"/>
                    </w:tcBorders>
                    <w:shd w:val="clear" w:color="auto" w:fill="auto"/>
                  </w:tcPr>
                  <w:p>
                    <w:pPr>
                      <w:widowControl w:val="0"/>
                      <w:ind w:left="360"/>
                      <w:jc w:val="center"/>
                      <w:rPr>
                        <w:sz w:val="14"/>
                      </w:rPr>
                    </w:pPr>
                    <w:r>
                      <w:rPr>
                        <w:sz w:val="14"/>
                      </w:rPr>
                      <w:t>Eil. Nr.</w:t>
                    </w:r>
                  </w:p>
                </w:tc>
                <w:tc>
                  <w:tcPr>
                    <w:tcW w:w="2442" w:type="dxa"/>
                    <w:tcBorders>
                      <w:top w:val="single" w:sz="4" w:space="0" w:color="auto"/>
                      <w:bottom w:val="single" w:sz="4" w:space="0" w:color="auto"/>
                    </w:tcBorders>
                    <w:shd w:val="clear" w:color="auto" w:fill="auto"/>
                  </w:tcPr>
                  <w:p>
                    <w:pPr>
                      <w:widowControl w:val="0"/>
                      <w:ind w:left="360"/>
                      <w:jc w:val="center"/>
                      <w:rPr>
                        <w:sz w:val="14"/>
                      </w:rPr>
                    </w:pPr>
                    <w:r>
                      <w:rPr>
                        <w:sz w:val="14"/>
                      </w:rPr>
                      <w:t>Mokymo programa</w:t>
                    </w:r>
                  </w:p>
                </w:tc>
                <w:tc>
                  <w:tcPr>
                    <w:tcW w:w="2003" w:type="dxa"/>
                    <w:tcBorders>
                      <w:top w:val="single" w:sz="4" w:space="0" w:color="auto"/>
                      <w:bottom w:val="single" w:sz="4" w:space="0" w:color="auto"/>
                    </w:tcBorders>
                    <w:shd w:val="clear" w:color="auto" w:fill="auto"/>
                  </w:tcPr>
                  <w:p>
                    <w:pPr>
                      <w:widowControl w:val="0"/>
                      <w:ind w:left="360"/>
                      <w:jc w:val="center"/>
                      <w:rPr>
                        <w:sz w:val="14"/>
                      </w:rPr>
                    </w:pPr>
                    <w:r>
                      <w:rPr>
                        <w:sz w:val="14"/>
                      </w:rPr>
                      <w:t>Kenksmingi veiksniai</w:t>
                    </w:r>
                  </w:p>
                </w:tc>
                <w:tc>
                  <w:tcPr>
                    <w:tcW w:w="4156" w:type="dxa"/>
                    <w:gridSpan w:val="2"/>
                    <w:tcBorders>
                      <w:top w:val="single" w:sz="4" w:space="0" w:color="auto"/>
                      <w:bottom w:val="single" w:sz="4" w:space="0" w:color="auto"/>
                      <w:right w:val="single" w:sz="4" w:space="0" w:color="auto"/>
                    </w:tcBorders>
                    <w:shd w:val="clear" w:color="auto" w:fill="auto"/>
                  </w:tcPr>
                  <w:p>
                    <w:pPr>
                      <w:widowControl w:val="0"/>
                      <w:ind w:left="360"/>
                      <w:jc w:val="center"/>
                      <w:rPr>
                        <w:sz w:val="14"/>
                      </w:rPr>
                    </w:pPr>
                    <w:r>
                      <w:rPr>
                        <w:sz w:val="14"/>
                      </w:rPr>
                      <w:t>Papildomi medicininiai priešparodymai</w:t>
                    </w:r>
                  </w:p>
                </w:tc>
              </w:tr>
              <w:tr>
                <w:tc>
                  <w:tcPr>
                    <w:tcW w:w="1209" w:type="dxa"/>
                    <w:tcBorders>
                      <w:top w:val="single" w:sz="4" w:space="0" w:color="auto"/>
                    </w:tcBorders>
                    <w:shd w:val="clear" w:color="auto" w:fill="auto"/>
                  </w:tcPr>
                  <w:p>
                    <w:pPr>
                      <w:widowControl w:val="0"/>
                      <w:ind w:left="360"/>
                      <w:rPr>
                        <w:sz w:val="14"/>
                      </w:rPr>
                    </w:pPr>
                    <w:r>
                      <w:rPr>
                        <w:sz w:val="14"/>
                      </w:rPr>
                      <w:t>1.</w:t>
                    </w:r>
                  </w:p>
                </w:tc>
                <w:tc>
                  <w:tcPr>
                    <w:tcW w:w="2442" w:type="dxa"/>
                    <w:tcBorders>
                      <w:top w:val="single" w:sz="4" w:space="0" w:color="auto"/>
                    </w:tcBorders>
                    <w:shd w:val="clear" w:color="auto" w:fill="auto"/>
                  </w:tcPr>
                  <w:p>
                    <w:pPr>
                      <w:widowControl w:val="0"/>
                      <w:ind w:left="360"/>
                      <w:rPr>
                        <w:sz w:val="14"/>
                      </w:rPr>
                    </w:pPr>
                    <w:r>
                      <w:rPr>
                        <w:sz w:val="14"/>
                      </w:rPr>
                      <w:t>Meno dirbinių gamintojų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plaštakos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Dažnai paūmėjančios rankų odos ligos dirbant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Mokymosi kodas </w:t>
                    </w:r>
                  </w:p>
                </w:tc>
                <w:tc>
                  <w:tcPr>
                    <w:tcW w:w="2003" w:type="dxa"/>
                    <w:shd w:val="clear" w:color="auto" w:fill="auto"/>
                  </w:tcPr>
                  <w:p>
                    <w:pPr>
                      <w:widowControl w:val="0"/>
                      <w:ind w:left="360"/>
                      <w:rPr>
                        <w:sz w:val="14"/>
                      </w:rPr>
                    </w:pPr>
                    <w:r>
                      <w:rPr>
                        <w:sz w:val="14"/>
                      </w:rPr>
                      <w:t xml:space="preserve">ir pirštų, pečių juostos raumenims, darbo poza,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dirginančiomis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31812</w:t>
                    </w:r>
                  </w:p>
                </w:tc>
                <w:tc>
                  <w:tcPr>
                    <w:tcW w:w="2003" w:type="dxa"/>
                    <w:shd w:val="clear" w:color="auto" w:fill="auto"/>
                  </w:tcPr>
                  <w:p>
                    <w:pPr>
                      <w:widowControl w:val="0"/>
                      <w:ind w:left="360"/>
                      <w:rPr>
                        <w:sz w:val="14"/>
                      </w:rPr>
                    </w:pPr>
                    <w:r>
                      <w:rPr>
                        <w:sz w:val="14"/>
                      </w:rPr>
                      <w:t>pasilenkimai, įtampa,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sutrikimai (nykščio deformacija ar trijų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dirbamosios rankos pirštų nebuvimas),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Spalvų jutimo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8,0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Regėjimas su korekcija 0,7 viena ir 0,4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(graveriui – 0,8 viena ir 0,7 – kita akimi. Vertinti be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korekcijos, nes dirba su apsauginiais akiniais)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6.</w:t>
                    </w:r>
                  </w:p>
                </w:tc>
                <w:tc>
                  <w:tcPr>
                    <w:tcW w:w="2264" w:type="dxa"/>
                    <w:tcBorders>
                      <w:bottom w:val="single" w:sz="4" w:space="0" w:color="auto"/>
                    </w:tcBorders>
                    <w:shd w:val="clear" w:color="auto" w:fill="auto"/>
                  </w:tcPr>
                  <w:p>
                    <w:pPr>
                      <w:widowControl w:val="0"/>
                      <w:ind w:left="360"/>
                      <w:rPr>
                        <w:sz w:val="14"/>
                      </w:rPr>
                    </w:pPr>
                    <w:r>
                      <w:rPr>
                        <w:sz w:val="14"/>
                      </w:rPr>
                      <w:t>Alergija cheminėms medžiagoms</w:t>
                    </w:r>
                  </w:p>
                </w:tc>
              </w:tr>
              <w:tr>
                <w:tc>
                  <w:tcPr>
                    <w:tcW w:w="1209" w:type="dxa"/>
                    <w:tcBorders>
                      <w:top w:val="single" w:sz="4" w:space="0" w:color="auto"/>
                    </w:tcBorders>
                    <w:shd w:val="clear" w:color="auto" w:fill="auto"/>
                  </w:tcPr>
                  <w:p>
                    <w:pPr>
                      <w:widowControl w:val="0"/>
                      <w:ind w:left="360"/>
                      <w:rPr>
                        <w:sz w:val="14"/>
                      </w:rPr>
                    </w:pPr>
                    <w:r>
                      <w:rPr>
                        <w:sz w:val="14"/>
                      </w:rPr>
                      <w:t>2.</w:t>
                    </w:r>
                  </w:p>
                </w:tc>
                <w:tc>
                  <w:tcPr>
                    <w:tcW w:w="2442" w:type="dxa"/>
                    <w:tcBorders>
                      <w:top w:val="single" w:sz="4" w:space="0" w:color="auto"/>
                    </w:tcBorders>
                    <w:shd w:val="clear" w:color="auto" w:fill="auto"/>
                  </w:tcPr>
                  <w:p>
                    <w:pPr>
                      <w:widowControl w:val="0"/>
                      <w:ind w:left="360"/>
                      <w:rPr>
                        <w:sz w:val="14"/>
                      </w:rPr>
                    </w:pPr>
                    <w:r>
                      <w:rPr>
                        <w:sz w:val="14"/>
                      </w:rPr>
                      <w:t xml:space="preserve">2.1. Fotografų ir interjero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darbo poza (stovint), </w:t>
                    </w:r>
                  </w:p>
                </w:tc>
                <w:tc>
                  <w:tcPr>
                    <w:tcW w:w="1892" w:type="dxa"/>
                    <w:tcBorders>
                      <w:top w:val="single" w:sz="4" w:space="0" w:color="auto"/>
                    </w:tcBorders>
                    <w:shd w:val="clear" w:color="auto" w:fill="auto"/>
                  </w:tcPr>
                  <w:p>
                    <w:pPr>
                      <w:widowControl w:val="0"/>
                      <w:ind w:left="360"/>
                      <w:rPr>
                        <w:sz w:val="14"/>
                      </w:rPr>
                    </w:pPr>
                    <w:r>
                      <w:rPr>
                        <w:sz w:val="14"/>
                      </w:rPr>
                      <w:t>Dažnai paūmėjančios rankų odos ligos ar alergija dirbant su</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apipavidalintojų</w:t>
                    </w:r>
                  </w:p>
                </w:tc>
                <w:tc>
                  <w:tcPr>
                    <w:tcW w:w="2003" w:type="dxa"/>
                    <w:shd w:val="clear" w:color="auto" w:fill="auto"/>
                  </w:tcPr>
                  <w:p>
                    <w:pPr>
                      <w:widowControl w:val="0"/>
                      <w:ind w:left="360"/>
                      <w:rPr>
                        <w:sz w:val="14"/>
                      </w:rPr>
                    </w:pPr>
                    <w:r>
                      <w:rPr>
                        <w:sz w:val="14"/>
                      </w:rPr>
                      <w:t>regos analizatorius</w:t>
                    </w:r>
                  </w:p>
                </w:tc>
                <w:tc>
                  <w:tcPr>
                    <w:tcW w:w="1892" w:type="dxa"/>
                    <w:shd w:val="clear" w:color="auto" w:fill="auto"/>
                  </w:tcPr>
                  <w:p>
                    <w:pPr>
                      <w:widowControl w:val="0"/>
                      <w:ind w:left="360"/>
                      <w:rPr>
                        <w:sz w:val="14"/>
                      </w:rPr>
                    </w:pPr>
                    <w:r>
                      <w:rPr>
                        <w:sz w:val="14"/>
                      </w:rPr>
                      <w:t>cheminėmis medžiagomis</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2.2. Baleto artistų</w:t>
                    </w:r>
                  </w:p>
                </w:tc>
                <w:tc>
                  <w:tcPr>
                    <w:tcW w:w="2003" w:type="dxa"/>
                    <w:shd w:val="clear" w:color="auto" w:fill="auto"/>
                  </w:tcPr>
                  <w:p>
                    <w:pPr>
                      <w:widowControl w:val="0"/>
                      <w:ind w:left="360"/>
                      <w:rPr>
                        <w:sz w:val="14"/>
                      </w:rPr>
                    </w:pPr>
                    <w:r>
                      <w:rPr>
                        <w:sz w:val="14"/>
                      </w:rPr>
                      <w:t xml:space="preserve">Stereotipiniai darbo judesiai, darbo poza, </w:t>
                    </w:r>
                  </w:p>
                </w:tc>
                <w:tc>
                  <w:tcPr>
                    <w:tcW w:w="1892" w:type="dxa"/>
                    <w:shd w:val="clear" w:color="auto" w:fill="auto"/>
                  </w:tcPr>
                  <w:p>
                    <w:pPr>
                      <w:widowControl w:val="0"/>
                      <w:ind w:left="360"/>
                      <w:rPr>
                        <w:sz w:val="14"/>
                      </w:rPr>
                    </w:pPr>
                    <w:r>
                      <w:rPr>
                        <w:sz w:val="14"/>
                      </w:rPr>
                      <w:t xml:space="preserve">1. </w:t>
                    </w:r>
                  </w:p>
                </w:tc>
                <w:tc>
                  <w:tcPr>
                    <w:tcW w:w="2264" w:type="dxa"/>
                    <w:shd w:val="clear" w:color="auto" w:fill="auto"/>
                  </w:tcPr>
                  <w:p>
                    <w:pPr>
                      <w:widowControl w:val="0"/>
                      <w:ind w:left="360"/>
                      <w:rPr>
                        <w:sz w:val="14"/>
                      </w:rPr>
                    </w:pPr>
                    <w:r>
                      <w:rPr>
                        <w:sz w:val="14"/>
                      </w:rPr>
                      <w:t>Plokščiapėdystė, kitos skeleto-raumenų sistemos ligos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r>
                      <w:rPr>
                        <w:sz w:val="14"/>
                      </w:rPr>
                      <w:t>pasilenkimai, įtampa, monotonija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defektai, trukdantys judėjimui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2. </w:t>
                    </w:r>
                  </w:p>
                </w:tc>
                <w:tc>
                  <w:tcPr>
                    <w:tcW w:w="2264" w:type="dxa"/>
                    <w:shd w:val="clear" w:color="auto" w:fill="auto"/>
                  </w:tcPr>
                  <w:p>
                    <w:pPr>
                      <w:widowControl w:val="0"/>
                      <w:ind w:left="360"/>
                      <w:rPr>
                        <w:sz w:val="14"/>
                      </w:rPr>
                    </w:pPr>
                    <w:r>
                      <w:rPr>
                        <w:sz w:val="14"/>
                      </w:rPr>
                      <w:t>Kojų venų išsiplėtimas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3. </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4. </w:t>
                    </w:r>
                  </w:p>
                </w:tc>
                <w:tc>
                  <w:tcPr>
                    <w:tcW w:w="2264" w:type="dxa"/>
                    <w:shd w:val="clear" w:color="auto" w:fill="auto"/>
                  </w:tcPr>
                  <w:p>
                    <w:pPr>
                      <w:widowControl w:val="0"/>
                      <w:ind w:left="360"/>
                      <w:rPr>
                        <w:sz w:val="14"/>
                      </w:rPr>
                    </w:pPr>
                    <w:r>
                      <w:rPr>
                        <w:sz w:val="14"/>
                      </w:rPr>
                      <w:t>Širdies ydos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5. </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6. </w:t>
                    </w:r>
                  </w:p>
                </w:tc>
                <w:tc>
                  <w:tcPr>
                    <w:tcW w:w="2264" w:type="dxa"/>
                    <w:shd w:val="clear" w:color="auto" w:fill="auto"/>
                  </w:tcPr>
                  <w:p>
                    <w:pPr>
                      <w:widowControl w:val="0"/>
                      <w:ind w:left="360"/>
                      <w:rPr>
                        <w:sz w:val="14"/>
                      </w:rPr>
                    </w:pPr>
                    <w:r>
                      <w:rPr>
                        <w:sz w:val="14"/>
                      </w:rPr>
                      <w:t>CNS susirgimų ar traumų padariniai su judesių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sutrikimais, trukdančiais 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 xml:space="preserve">7. </w:t>
                    </w:r>
                  </w:p>
                </w:tc>
                <w:tc>
                  <w:tcPr>
                    <w:tcW w:w="2264" w:type="dxa"/>
                    <w:tcBorders>
                      <w:bottom w:val="single" w:sz="4" w:space="0" w:color="auto"/>
                    </w:tcBorders>
                    <w:shd w:val="clear" w:color="auto" w:fill="auto"/>
                  </w:tcPr>
                  <w:p>
                    <w:pPr>
                      <w:widowControl w:val="0"/>
                      <w:ind w:left="360"/>
                      <w:rPr>
                        <w:sz w:val="14"/>
                      </w:rPr>
                    </w:pPr>
                    <w:r>
                      <w:rPr>
                        <w:sz w:val="14"/>
                      </w:rPr>
                      <w:t>Vestibulinės funkcijos sutrikimai</w:t>
                    </w:r>
                  </w:p>
                </w:tc>
              </w:tr>
              <w:tr>
                <w:tc>
                  <w:tcPr>
                    <w:tcW w:w="1209" w:type="dxa"/>
                    <w:tcBorders>
                      <w:top w:val="single" w:sz="4" w:space="0" w:color="auto"/>
                    </w:tcBorders>
                    <w:shd w:val="clear" w:color="auto" w:fill="auto"/>
                  </w:tcPr>
                  <w:p>
                    <w:pPr>
                      <w:widowControl w:val="0"/>
                      <w:ind w:left="360"/>
                      <w:rPr>
                        <w:sz w:val="14"/>
                      </w:rPr>
                    </w:pPr>
                    <w:r>
                      <w:rPr>
                        <w:sz w:val="14"/>
                      </w:rPr>
                      <w:t>3.</w:t>
                    </w:r>
                  </w:p>
                </w:tc>
                <w:tc>
                  <w:tcPr>
                    <w:tcW w:w="2442" w:type="dxa"/>
                    <w:tcBorders>
                      <w:top w:val="single" w:sz="4" w:space="0" w:color="auto"/>
                    </w:tcBorders>
                    <w:shd w:val="clear" w:color="auto" w:fill="auto"/>
                  </w:tcPr>
                  <w:p>
                    <w:pPr>
                      <w:widowControl w:val="0"/>
                      <w:ind w:left="360"/>
                      <w:rPr>
                        <w:sz w:val="14"/>
                      </w:rPr>
                    </w:pPr>
                    <w:r>
                      <w:rPr>
                        <w:sz w:val="14"/>
                      </w:rPr>
                      <w:t>Sekretorės</w:t>
                    </w:r>
                  </w:p>
                </w:tc>
                <w:tc>
                  <w:tcPr>
                    <w:tcW w:w="2003" w:type="dxa"/>
                    <w:tcBorders>
                      <w:top w:val="single" w:sz="4" w:space="0" w:color="auto"/>
                    </w:tcBorders>
                    <w:shd w:val="clear" w:color="auto" w:fill="auto"/>
                  </w:tcPr>
                  <w:p>
                    <w:pPr>
                      <w:widowControl w:val="0"/>
                      <w:ind w:left="360"/>
                      <w:rPr>
                        <w:sz w:val="14"/>
                      </w:rPr>
                    </w:pPr>
                    <w:r>
                      <w:rPr>
                        <w:sz w:val="14"/>
                      </w:rPr>
                      <w:t xml:space="preserve">Įtampa, dėmesys, informacinių signalų ir pranešimų </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0,2 – kita</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33404</w:t>
                    </w:r>
                  </w:p>
                </w:tc>
                <w:tc>
                  <w:tcPr>
                    <w:tcW w:w="2003" w:type="dxa"/>
                    <w:tcBorders>
                      <w:bottom w:val="single" w:sz="4" w:space="0" w:color="auto"/>
                    </w:tcBorders>
                    <w:shd w:val="clear" w:color="auto" w:fill="auto"/>
                  </w:tcPr>
                  <w:p>
                    <w:pPr>
                      <w:widowControl w:val="0"/>
                      <w:ind w:left="360"/>
                      <w:rPr>
                        <w:sz w:val="14"/>
                      </w:rPr>
                    </w:pPr>
                    <w:r>
                      <w:rPr>
                        <w:sz w:val="14"/>
                      </w:rPr>
                      <w:t>priėmimas, regos ir klausos analizatoriai</w:t>
                    </w:r>
                  </w:p>
                </w:tc>
                <w:tc>
                  <w:tcPr>
                    <w:tcW w:w="1892" w:type="dxa"/>
                    <w:tcBorders>
                      <w:bottom w:val="single" w:sz="4" w:space="0" w:color="auto"/>
                    </w:tcBorders>
                    <w:shd w:val="clear" w:color="auto" w:fill="auto"/>
                  </w:tcPr>
                  <w:p>
                    <w:pPr>
                      <w:widowControl w:val="0"/>
                      <w:ind w:left="360"/>
                      <w:rPr>
                        <w:sz w:val="14"/>
                      </w:rPr>
                    </w:pPr>
                    <w:r>
                      <w:rPr>
                        <w:sz w:val="14"/>
                      </w:rPr>
                      <w:t>akimi</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4.</w:t>
                    </w:r>
                  </w:p>
                </w:tc>
                <w:tc>
                  <w:tcPr>
                    <w:tcW w:w="2442" w:type="dxa"/>
                    <w:tcBorders>
                      <w:top w:val="single" w:sz="4" w:space="0" w:color="auto"/>
                    </w:tcBorders>
                    <w:shd w:val="clear" w:color="auto" w:fill="auto"/>
                  </w:tcPr>
                  <w:p>
                    <w:pPr>
                      <w:widowControl w:val="0"/>
                      <w:ind w:left="360"/>
                      <w:rPr>
                        <w:sz w:val="14"/>
                      </w:rPr>
                    </w:pPr>
                    <w:r>
                      <w:rPr>
                        <w:sz w:val="14"/>
                      </w:rPr>
                      <w:t xml:space="preserve">Apskaitininkės – </w:t>
                    </w:r>
                  </w:p>
                </w:tc>
                <w:tc>
                  <w:tcPr>
                    <w:tcW w:w="2003" w:type="dxa"/>
                    <w:tcBorders>
                      <w:top w:val="single" w:sz="4" w:space="0" w:color="auto"/>
                    </w:tcBorders>
                    <w:shd w:val="clear" w:color="auto" w:fill="auto"/>
                  </w:tcPr>
                  <w:p>
                    <w:pPr>
                      <w:widowControl w:val="0"/>
                      <w:ind w:left="360"/>
                      <w:rPr>
                        <w:sz w:val="14"/>
                      </w:rPr>
                    </w:pPr>
                    <w:r>
                      <w:rPr>
                        <w:sz w:val="14"/>
                      </w:rPr>
                      <w:t>Dėmesys, regos analizatorius, dėmesio koncentra-</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0,3 – kita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kasininkės</w:t>
                    </w:r>
                  </w:p>
                </w:tc>
                <w:tc>
                  <w:tcPr>
                    <w:tcW w:w="2003" w:type="dxa"/>
                    <w:shd w:val="clear" w:color="auto" w:fill="auto"/>
                  </w:tcPr>
                  <w:p>
                    <w:pPr>
                      <w:widowControl w:val="0"/>
                      <w:ind w:left="360"/>
                      <w:rPr>
                        <w:sz w:val="14"/>
                      </w:rPr>
                    </w:pPr>
                    <w:r>
                      <w:rPr>
                        <w:sz w:val="14"/>
                      </w:rPr>
                      <w:t>vimo trukmė į stebimus objektus</w:t>
                    </w:r>
                  </w:p>
                </w:tc>
                <w:tc>
                  <w:tcPr>
                    <w:tcW w:w="1892" w:type="dxa"/>
                    <w:shd w:val="clear" w:color="auto" w:fill="auto"/>
                  </w:tcPr>
                  <w:p>
                    <w:pPr>
                      <w:widowControl w:val="0"/>
                      <w:ind w:left="360"/>
                      <w:rPr>
                        <w:sz w:val="14"/>
                      </w:rPr>
                    </w:pPr>
                    <w:r>
                      <w:rPr>
                        <w:sz w:val="14"/>
                      </w:rPr>
                      <w:t>akimi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33432</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5.</w:t>
                    </w:r>
                  </w:p>
                </w:tc>
                <w:tc>
                  <w:tcPr>
                    <w:tcW w:w="2442" w:type="dxa"/>
                    <w:tcBorders>
                      <w:top w:val="single" w:sz="4" w:space="0" w:color="auto"/>
                    </w:tcBorders>
                    <w:shd w:val="clear" w:color="auto" w:fill="auto"/>
                  </w:tcPr>
                  <w:p>
                    <w:pPr>
                      <w:widowControl w:val="0"/>
                      <w:ind w:left="360"/>
                      <w:rPr>
                        <w:sz w:val="14"/>
                      </w:rPr>
                    </w:pPr>
                    <w:r>
                      <w:rPr>
                        <w:sz w:val="14"/>
                      </w:rPr>
                      <w:t>Verslo organizatorių</w:t>
                    </w:r>
                  </w:p>
                </w:tc>
                <w:tc>
                  <w:tcPr>
                    <w:tcW w:w="2003" w:type="dxa"/>
                    <w:tcBorders>
                      <w:top w:val="single" w:sz="4" w:space="0" w:color="auto"/>
                    </w:tcBorders>
                    <w:shd w:val="clear" w:color="auto" w:fill="auto"/>
                  </w:tcPr>
                  <w:p>
                    <w:pPr>
                      <w:widowControl w:val="0"/>
                      <w:ind w:left="360"/>
                      <w:rPr>
                        <w:sz w:val="14"/>
                      </w:rPr>
                    </w:pPr>
                    <w:r>
                      <w:rPr>
                        <w:sz w:val="14"/>
                      </w:rPr>
                      <w:t>Darbo įtampa, dėmesys, informacinių signalų ir</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33439</w:t>
                    </w:r>
                  </w:p>
                </w:tc>
                <w:tc>
                  <w:tcPr>
                    <w:tcW w:w="2003" w:type="dxa"/>
                    <w:tcBorders>
                      <w:bottom w:val="single" w:sz="4" w:space="0" w:color="auto"/>
                    </w:tcBorders>
                    <w:shd w:val="clear" w:color="auto" w:fill="auto"/>
                  </w:tcPr>
                  <w:p>
                    <w:pPr>
                      <w:widowControl w:val="0"/>
                      <w:ind w:left="360"/>
                      <w:rPr>
                        <w:sz w:val="14"/>
                      </w:rPr>
                    </w:pPr>
                    <w:r>
                      <w:rPr>
                        <w:sz w:val="14"/>
                      </w:rPr>
                      <w:t>pranešimų priėmimas, regos ir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6.</w:t>
                    </w:r>
                  </w:p>
                </w:tc>
                <w:tc>
                  <w:tcPr>
                    <w:tcW w:w="2442" w:type="dxa"/>
                    <w:tcBorders>
                      <w:top w:val="single" w:sz="4" w:space="0" w:color="auto"/>
                    </w:tcBorders>
                    <w:shd w:val="clear" w:color="auto" w:fill="auto"/>
                  </w:tcPr>
                  <w:p>
                    <w:pPr>
                      <w:widowControl w:val="0"/>
                      <w:ind w:left="360"/>
                      <w:rPr>
                        <w:sz w:val="14"/>
                      </w:rPr>
                    </w:pPr>
                    <w:r>
                      <w:rPr>
                        <w:sz w:val="14"/>
                      </w:rPr>
                      <w:t>Socialinių slaugytojų</w:t>
                    </w:r>
                  </w:p>
                </w:tc>
                <w:tc>
                  <w:tcPr>
                    <w:tcW w:w="2003" w:type="dxa"/>
                    <w:tcBorders>
                      <w:top w:val="single" w:sz="4" w:space="0" w:color="auto"/>
                    </w:tcBorders>
                    <w:shd w:val="clear" w:color="auto" w:fill="auto"/>
                  </w:tcPr>
                  <w:p>
                    <w:pPr>
                      <w:widowControl w:val="0"/>
                      <w:ind w:left="360"/>
                      <w:rPr>
                        <w:sz w:val="14"/>
                      </w:rPr>
                    </w:pPr>
                    <w:r>
                      <w:rPr>
                        <w:sz w:val="14"/>
                      </w:rPr>
                      <w:t xml:space="preserve">Judėjimo atstumas, krovinio pernešimas,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35012</w:t>
                    </w:r>
                  </w:p>
                </w:tc>
                <w:tc>
                  <w:tcPr>
                    <w:tcW w:w="2003" w:type="dxa"/>
                    <w:shd w:val="clear" w:color="auto" w:fill="auto"/>
                  </w:tcPr>
                  <w:p>
                    <w:pPr>
                      <w:widowControl w:val="0"/>
                      <w:ind w:left="360"/>
                      <w:rPr>
                        <w:sz w:val="14"/>
                      </w:rPr>
                    </w:pPr>
                    <w:r>
                      <w:rPr>
                        <w:sz w:val="14"/>
                      </w:rPr>
                      <w:t>įtampa, dėmesys, informacinių signalų ir pranešimų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priėmimas,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bei intelekto pakitimų,</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trukdančių profesinei veiklai</w:t>
                    </w:r>
                  </w:p>
                </w:tc>
              </w:tr>
              <w:tr>
                <w:tc>
                  <w:tcPr>
                    <w:tcW w:w="1209" w:type="dxa"/>
                    <w:tcBorders>
                      <w:top w:val="single" w:sz="4" w:space="0" w:color="auto"/>
                    </w:tcBorders>
                    <w:shd w:val="clear" w:color="auto" w:fill="auto"/>
                  </w:tcPr>
                  <w:p>
                    <w:pPr>
                      <w:widowControl w:val="0"/>
                      <w:ind w:left="360"/>
                      <w:rPr>
                        <w:sz w:val="14"/>
                      </w:rPr>
                    </w:pPr>
                    <w:r>
                      <w:rPr>
                        <w:sz w:val="14"/>
                      </w:rPr>
                      <w:t>7.</w:t>
                    </w:r>
                  </w:p>
                </w:tc>
                <w:tc>
                  <w:tcPr>
                    <w:tcW w:w="2442" w:type="dxa"/>
                    <w:tcBorders>
                      <w:top w:val="single" w:sz="4" w:space="0" w:color="auto"/>
                    </w:tcBorders>
                    <w:shd w:val="clear" w:color="auto" w:fill="auto"/>
                  </w:tcPr>
                  <w:p>
                    <w:pPr>
                      <w:widowControl w:val="0"/>
                      <w:ind w:left="360"/>
                      <w:rPr>
                        <w:sz w:val="14"/>
                      </w:rPr>
                    </w:pPr>
                    <w:r>
                      <w:rPr>
                        <w:sz w:val="14"/>
                      </w:rPr>
                      <w:t>Ortopedų – protezuotojų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Plaštakos funkcijos ryškūs sutrikimai, trukdantys profesinei</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35099</w:t>
                    </w:r>
                  </w:p>
                </w:tc>
                <w:tc>
                  <w:tcPr>
                    <w:tcW w:w="2003" w:type="dxa"/>
                    <w:shd w:val="clear" w:color="auto" w:fill="auto"/>
                  </w:tcPr>
                  <w:p>
                    <w:pPr>
                      <w:widowControl w:val="0"/>
                      <w:ind w:left="360"/>
                      <w:rPr>
                        <w:sz w:val="14"/>
                      </w:rPr>
                    </w:pPr>
                    <w:r>
                      <w:rPr>
                        <w:sz w:val="14"/>
                      </w:rPr>
                      <w:t xml:space="preserve">pirštų, pečių juostos raumenims, darbo poza,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liemens palenkimai, 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8.</w:t>
                    </w:r>
                  </w:p>
                </w:tc>
                <w:tc>
                  <w:tcPr>
                    <w:tcW w:w="2442" w:type="dxa"/>
                    <w:tcBorders>
                      <w:top w:val="single" w:sz="4" w:space="0" w:color="auto"/>
                    </w:tcBorders>
                    <w:shd w:val="clear" w:color="auto" w:fill="auto"/>
                  </w:tcPr>
                  <w:p>
                    <w:pPr>
                      <w:widowControl w:val="0"/>
                      <w:ind w:left="360"/>
                      <w:rPr>
                        <w:sz w:val="14"/>
                      </w:rPr>
                    </w:pPr>
                    <w:r>
                      <w:rPr>
                        <w:sz w:val="14"/>
                      </w:rPr>
                      <w:t>Maisto pramonės ir mais-</w:t>
                    </w:r>
                  </w:p>
                </w:tc>
                <w:tc>
                  <w:tcPr>
                    <w:tcW w:w="2003" w:type="dxa"/>
                    <w:tcBorders>
                      <w:top w:val="single" w:sz="4" w:space="0" w:color="auto"/>
                    </w:tcBorders>
                    <w:shd w:val="clear" w:color="auto" w:fill="auto"/>
                  </w:tcPr>
                  <w:p>
                    <w:pPr>
                      <w:widowControl w:val="0"/>
                      <w:ind w:left="360"/>
                      <w:rPr>
                        <w:sz w:val="14"/>
                      </w:rPr>
                    </w:pPr>
                    <w:r>
                      <w:rPr>
                        <w:sz w:val="14"/>
                      </w:rPr>
                      <w:t xml:space="preserve">Judėjimo atstumas, stereotipiniai darbo judesiai,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Grybelinės, pūlingos plaštakų odos ligos su dažnais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to ruošimo specialisto</w:t>
                    </w:r>
                  </w:p>
                </w:tc>
                <w:tc>
                  <w:tcPr>
                    <w:tcW w:w="2003" w:type="dxa"/>
                    <w:shd w:val="clear" w:color="auto" w:fill="auto"/>
                  </w:tcPr>
                  <w:p>
                    <w:pPr>
                      <w:widowControl w:val="0"/>
                      <w:ind w:left="360"/>
                      <w:rPr>
                        <w:sz w:val="14"/>
                      </w:rPr>
                    </w:pPr>
                    <w:r>
                      <w:rPr>
                        <w:sz w:val="14"/>
                      </w:rPr>
                      <w:t xml:space="preserve">dalyvaujant rankų pirštų ir plaštakos raumenims,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35212</w:t>
                    </w:r>
                  </w:p>
                </w:tc>
                <w:tc>
                  <w:tcPr>
                    <w:tcW w:w="2003" w:type="dxa"/>
                    <w:shd w:val="clear" w:color="auto" w:fill="auto"/>
                  </w:tcPr>
                  <w:p>
                    <w:pPr>
                      <w:widowControl w:val="0"/>
                      <w:ind w:left="360"/>
                      <w:rPr>
                        <w:sz w:val="14"/>
                      </w:rPr>
                    </w:pPr>
                    <w:r>
                      <w:rPr>
                        <w:sz w:val="14"/>
                      </w:rPr>
                      <w:t>dėmesys,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mėsininkui – darbo poza, pasilenkimai,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virėjui – aukšta temperatūra</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9.</w:t>
                    </w:r>
                  </w:p>
                </w:tc>
                <w:tc>
                  <w:tcPr>
                    <w:tcW w:w="2442" w:type="dxa"/>
                    <w:tcBorders>
                      <w:top w:val="single" w:sz="4" w:space="0" w:color="auto"/>
                    </w:tcBorders>
                    <w:shd w:val="clear" w:color="auto" w:fill="auto"/>
                  </w:tcPr>
                  <w:p>
                    <w:pPr>
                      <w:widowControl w:val="0"/>
                      <w:ind w:left="360"/>
                      <w:rPr>
                        <w:sz w:val="14"/>
                      </w:rPr>
                    </w:pPr>
                    <w:r>
                      <w:rPr>
                        <w:sz w:val="14"/>
                      </w:rPr>
                      <w:t>Statybininkų, pastatų res-</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Skeleto -raumenų sistemos defektai,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tauratorių, elektromontuo-</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tojų, mūro montuotojų ir </w:t>
                    </w:r>
                  </w:p>
                </w:tc>
                <w:tc>
                  <w:tcPr>
                    <w:tcW w:w="2003" w:type="dxa"/>
                    <w:shd w:val="clear" w:color="auto" w:fill="auto"/>
                  </w:tcPr>
                  <w:p>
                    <w:pPr>
                      <w:widowControl w:val="0"/>
                      <w:ind w:left="360"/>
                      <w:rPr>
                        <w:sz w:val="14"/>
                      </w:rPr>
                    </w:pPr>
                    <w:r>
                      <w:rPr>
                        <w:sz w:val="14"/>
                      </w:rPr>
                      <w:t xml:space="preserve">dalyvaujant rankų,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Rankų 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betonuotojų, santechnikų</w:t>
                    </w:r>
                  </w:p>
                </w:tc>
                <w:tc>
                  <w:tcPr>
                    <w:tcW w:w="2003" w:type="dxa"/>
                    <w:shd w:val="clear" w:color="auto" w:fill="auto"/>
                  </w:tcPr>
                  <w:p>
                    <w:pPr>
                      <w:widowControl w:val="0"/>
                      <w:ind w:left="360"/>
                      <w:rPr>
                        <w:sz w:val="14"/>
                      </w:rPr>
                    </w:pPr>
                    <w:r>
                      <w:rPr>
                        <w:sz w:val="14"/>
                      </w:rPr>
                      <w:t xml:space="preserve">statinis krūvis, darbo poza, liemens palenkimai,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35216</w:t>
                    </w:r>
                  </w:p>
                </w:tc>
                <w:tc>
                  <w:tcPr>
                    <w:tcW w:w="2003" w:type="dxa"/>
                    <w:shd w:val="clear" w:color="auto" w:fill="auto"/>
                  </w:tcPr>
                  <w:p>
                    <w:pPr>
                      <w:widowControl w:val="0"/>
                      <w:ind w:left="360"/>
                      <w:rPr>
                        <w:sz w:val="14"/>
                      </w:rPr>
                    </w:pPr>
                    <w:r>
                      <w:rPr>
                        <w:sz w:val="14"/>
                      </w:rPr>
                      <w:t xml:space="preserve">judėjimo atstumas, įtampa, dėmesys, regos ir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Epilepsija ir kiti sąmonės netekimai dirbant aukštyje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trukdančių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Miopija didesnė kaip 8,0 D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Regėjimas su korekcija silpnesnis kaip 0,6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0,3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8.</w:t>
                    </w:r>
                  </w:p>
                </w:tc>
                <w:tc>
                  <w:tcPr>
                    <w:tcW w:w="2264" w:type="dxa"/>
                    <w:shd w:val="clear" w:color="auto" w:fill="auto"/>
                  </w:tcPr>
                  <w:p>
                    <w:pPr>
                      <w:widowControl w:val="0"/>
                      <w:ind w:left="360"/>
                      <w:rPr>
                        <w:sz w:val="14"/>
                      </w:rPr>
                    </w:pPr>
                    <w:r>
                      <w:rPr>
                        <w:sz w:val="14"/>
                      </w:rPr>
                      <w:t xml:space="preserve">Širdies ir kraujagyslių sistemos ligos su ryškiu </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kraujotakos nepakankamumu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9.</w:t>
                    </w:r>
                  </w:p>
                </w:tc>
                <w:tc>
                  <w:tcPr>
                    <w:tcW w:w="2264" w:type="dxa"/>
                    <w:shd w:val="clear" w:color="auto" w:fill="auto"/>
                  </w:tcPr>
                  <w:p>
                    <w:pPr>
                      <w:widowControl w:val="0"/>
                      <w:ind w:left="360"/>
                      <w:rPr>
                        <w:sz w:val="14"/>
                      </w:rPr>
                    </w:pPr>
                    <w:r>
                      <w:rPr>
                        <w:sz w:val="14"/>
                      </w:rPr>
                      <w:t>Vestibulinės funkcijos ryškus sutrikimas (dirbant</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aukštyje)</w:t>
                    </w:r>
                  </w:p>
                </w:tc>
              </w:tr>
              <w:tr>
                <w:tc>
                  <w:tcPr>
                    <w:tcW w:w="1209" w:type="dxa"/>
                    <w:tcBorders>
                      <w:top w:val="single" w:sz="4" w:space="0" w:color="auto"/>
                    </w:tcBorders>
                    <w:shd w:val="clear" w:color="auto" w:fill="auto"/>
                  </w:tcPr>
                  <w:p>
                    <w:pPr>
                      <w:widowControl w:val="0"/>
                      <w:ind w:left="360"/>
                      <w:rPr>
                        <w:sz w:val="14"/>
                      </w:rPr>
                    </w:pPr>
                    <w:r>
                      <w:rPr>
                        <w:sz w:val="14"/>
                      </w:rPr>
                      <w:t>10.</w:t>
                    </w:r>
                  </w:p>
                </w:tc>
                <w:tc>
                  <w:tcPr>
                    <w:tcW w:w="2442" w:type="dxa"/>
                    <w:tcBorders>
                      <w:top w:val="single" w:sz="4" w:space="0" w:color="auto"/>
                    </w:tcBorders>
                    <w:shd w:val="clear" w:color="auto" w:fill="auto"/>
                  </w:tcPr>
                  <w:p>
                    <w:pPr>
                      <w:widowControl w:val="0"/>
                      <w:ind w:left="360"/>
                      <w:rPr>
                        <w:sz w:val="14"/>
                      </w:rPr>
                    </w:pPr>
                    <w:r>
                      <w:rPr>
                        <w:sz w:val="14"/>
                      </w:rPr>
                      <w:t xml:space="preserve">Elektromechanikų,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elektros įrenginių, radijo </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ir televizijos aparatūros </w:t>
                    </w:r>
                  </w:p>
                </w:tc>
                <w:tc>
                  <w:tcPr>
                    <w:tcW w:w="2003" w:type="dxa"/>
                    <w:shd w:val="clear" w:color="auto" w:fill="auto"/>
                  </w:tcPr>
                  <w:p>
                    <w:pPr>
                      <w:widowControl w:val="0"/>
                      <w:ind w:left="360"/>
                      <w:rPr>
                        <w:sz w:val="14"/>
                      </w:rPr>
                    </w:pPr>
                    <w:r>
                      <w:rPr>
                        <w:sz w:val="14"/>
                      </w:rPr>
                      <w:t xml:space="preserve">darbo poza, pasilenkimai, darbo įtampa, dėmesys,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taisytojų</w:t>
                    </w:r>
                  </w:p>
                </w:tc>
                <w:tc>
                  <w:tcPr>
                    <w:tcW w:w="2003" w:type="dxa"/>
                    <w:shd w:val="clear" w:color="auto" w:fill="auto"/>
                  </w:tcPr>
                  <w:p>
                    <w:pPr>
                      <w:widowControl w:val="0"/>
                      <w:ind w:left="360"/>
                      <w:rPr>
                        <w:sz w:val="14"/>
                      </w:rPr>
                    </w:pPr>
                    <w:r>
                      <w:rPr>
                        <w:sz w:val="14"/>
                      </w:rPr>
                      <w:t xml:space="preserve">regos ir klausos analizatoriai,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35222</w:t>
                    </w:r>
                  </w:p>
                </w:tc>
                <w:tc>
                  <w:tcPr>
                    <w:tcW w:w="2003" w:type="dxa"/>
                    <w:shd w:val="clear" w:color="auto" w:fill="auto"/>
                  </w:tcPr>
                  <w:p>
                    <w:pPr>
                      <w:widowControl w:val="0"/>
                      <w:ind w:left="360"/>
                      <w:rPr>
                        <w:sz w:val="14"/>
                      </w:rPr>
                    </w:pPr>
                    <w:r>
                      <w:rPr>
                        <w:sz w:val="14"/>
                      </w:rPr>
                      <w:t>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ryškus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11.</w:t>
                    </w:r>
                  </w:p>
                </w:tc>
                <w:tc>
                  <w:tcPr>
                    <w:tcW w:w="2442" w:type="dxa"/>
                    <w:tcBorders>
                      <w:top w:val="single" w:sz="4" w:space="0" w:color="auto"/>
                    </w:tcBorders>
                    <w:shd w:val="clear" w:color="auto" w:fill="auto"/>
                  </w:tcPr>
                  <w:p>
                    <w:pPr>
                      <w:widowControl w:val="0"/>
                      <w:ind w:left="360"/>
                      <w:rPr>
                        <w:sz w:val="14"/>
                      </w:rPr>
                    </w:pPr>
                    <w:r>
                      <w:rPr>
                        <w:sz w:val="14"/>
                      </w:rPr>
                      <w:t xml:space="preserve">Kalvių, metalo apdirbimo </w:t>
                    </w:r>
                  </w:p>
                </w:tc>
                <w:tc>
                  <w:tcPr>
                    <w:tcW w:w="2003" w:type="dxa"/>
                    <w:tcBorders>
                      <w:top w:val="single" w:sz="4" w:space="0" w:color="auto"/>
                    </w:tcBorders>
                    <w:shd w:val="clear" w:color="auto" w:fill="auto"/>
                  </w:tcPr>
                  <w:p>
                    <w:pPr>
                      <w:widowControl w:val="0"/>
                      <w:ind w:left="360"/>
                      <w:rPr>
                        <w:sz w:val="14"/>
                      </w:rPr>
                    </w:pPr>
                    <w:r>
                      <w:rPr>
                        <w:sz w:val="14"/>
                      </w:rPr>
                      <w:t xml:space="preserve">Aukšta temperatūra, apšvita,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be korekcijos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staklininkų, suvirintojų, </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 (suvirintojas dirba su apsauginiais akiniais)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šaltkalvių</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35232</w:t>
                    </w:r>
                  </w:p>
                </w:tc>
                <w:tc>
                  <w:tcPr>
                    <w:tcW w:w="2003" w:type="dxa"/>
                    <w:shd w:val="clear" w:color="auto" w:fill="auto"/>
                  </w:tcPr>
                  <w:p>
                    <w:pPr>
                      <w:widowControl w:val="0"/>
                      <w:ind w:left="360"/>
                      <w:rPr>
                        <w:sz w:val="14"/>
                      </w:rPr>
                    </w:pPr>
                    <w:r>
                      <w:rPr>
                        <w:sz w:val="14"/>
                      </w:rPr>
                      <w:t xml:space="preserve">darbo poza, liemens palenkimai, jonizuojančioji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spinduliuotė, aerozoliai, metalų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kvėpavimo funkcijos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sutrikimu</w:t>
                    </w:r>
                  </w:p>
                </w:tc>
              </w:tr>
              <w:tr>
                <w:tc>
                  <w:tcPr>
                    <w:tcW w:w="1209" w:type="dxa"/>
                    <w:tcBorders>
                      <w:top w:val="single" w:sz="4" w:space="0" w:color="auto"/>
                    </w:tcBorders>
                    <w:shd w:val="clear" w:color="auto" w:fill="auto"/>
                  </w:tcPr>
                  <w:p>
                    <w:pPr>
                      <w:widowControl w:val="0"/>
                      <w:ind w:left="360"/>
                      <w:rPr>
                        <w:sz w:val="14"/>
                      </w:rPr>
                    </w:pPr>
                    <w:r>
                      <w:rPr>
                        <w:sz w:val="14"/>
                      </w:rPr>
                      <w:t>12.</w:t>
                    </w:r>
                  </w:p>
                </w:tc>
                <w:tc>
                  <w:tcPr>
                    <w:tcW w:w="2442" w:type="dxa"/>
                    <w:tcBorders>
                      <w:top w:val="single" w:sz="4" w:space="0" w:color="auto"/>
                    </w:tcBorders>
                    <w:shd w:val="clear" w:color="auto" w:fill="auto"/>
                  </w:tcPr>
                  <w:p>
                    <w:pPr>
                      <w:widowControl w:val="0"/>
                      <w:ind w:left="360"/>
                      <w:rPr>
                        <w:sz w:val="14"/>
                      </w:rPr>
                    </w:pPr>
                    <w:r>
                      <w:rPr>
                        <w:sz w:val="14"/>
                      </w:rPr>
                      <w:t>Automechanikų automo-</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apšvieta,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kaip 6,0</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bilių kėbulų remontininkų, </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lengvosios pramonės </w:t>
                    </w:r>
                  </w:p>
                </w:tc>
                <w:tc>
                  <w:tcPr>
                    <w:tcW w:w="2003" w:type="dxa"/>
                    <w:shd w:val="clear" w:color="auto" w:fill="auto"/>
                  </w:tcPr>
                  <w:p>
                    <w:pPr>
                      <w:widowControl w:val="0"/>
                      <w:ind w:left="360"/>
                      <w:rPr>
                        <w:sz w:val="14"/>
                      </w:rPr>
                    </w:pPr>
                    <w:r>
                      <w:rPr>
                        <w:sz w:val="14"/>
                      </w:rPr>
                      <w:t>darbo poza, liemens palenkimas,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mašinų mechanikų, </w:t>
                    </w:r>
                  </w:p>
                </w:tc>
                <w:tc>
                  <w:tcPr>
                    <w:tcW w:w="2003" w:type="dxa"/>
                    <w:shd w:val="clear" w:color="auto" w:fill="auto"/>
                  </w:tcPr>
                  <w:p>
                    <w:pPr>
                      <w:widowControl w:val="0"/>
                      <w:ind w:left="360"/>
                      <w:rPr>
                        <w:sz w:val="14"/>
                      </w:rPr>
                    </w:pPr>
                    <w:r>
                      <w:rPr>
                        <w:sz w:val="14"/>
                      </w:rPr>
                      <w:t>dėmesys, regos ir klausos analizatoriai, informacinių</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žemės ūkio technikos </w:t>
                    </w:r>
                  </w:p>
                </w:tc>
                <w:tc>
                  <w:tcPr>
                    <w:tcW w:w="2003" w:type="dxa"/>
                    <w:shd w:val="clear" w:color="auto" w:fill="auto"/>
                  </w:tcPr>
                  <w:p>
                    <w:pPr>
                      <w:widowControl w:val="0"/>
                      <w:ind w:left="360"/>
                      <w:rPr>
                        <w:sz w:val="14"/>
                      </w:rPr>
                    </w:pPr>
                    <w:r>
                      <w:rPr>
                        <w:sz w:val="14"/>
                      </w:rPr>
                      <w:t>signalų 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ryšių įrenginių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35242</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Lėktuvų mechaniko</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Vadovautis aviacijos darbuotojų tikrinimo tvarka</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13.</w:t>
                    </w:r>
                  </w:p>
                </w:tc>
                <w:tc>
                  <w:tcPr>
                    <w:tcW w:w="2442" w:type="dxa"/>
                    <w:tcBorders>
                      <w:top w:val="single" w:sz="4" w:space="0" w:color="auto"/>
                    </w:tcBorders>
                    <w:shd w:val="clear" w:color="auto" w:fill="auto"/>
                  </w:tcPr>
                  <w:p>
                    <w:pPr>
                      <w:widowControl w:val="0"/>
                      <w:ind w:left="360"/>
                      <w:rPr>
                        <w:sz w:val="14"/>
                      </w:rPr>
                    </w:pPr>
                    <w:r>
                      <w:rPr>
                        <w:sz w:val="14"/>
                      </w:rPr>
                      <w:t>13.1. Baldžių, stalių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krovinio kėlimas, pernešimas,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darbo poza, liemens palenkimai,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medienos dulkės, lakios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aerozoliai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13.2. Miško ruošos ir </w:t>
                    </w:r>
                  </w:p>
                </w:tc>
                <w:tc>
                  <w:tcPr>
                    <w:tcW w:w="2003" w:type="dxa"/>
                    <w:shd w:val="clear" w:color="auto" w:fill="auto"/>
                  </w:tcPr>
                  <w:p>
                    <w:pPr>
                      <w:widowControl w:val="0"/>
                      <w:ind w:left="360"/>
                      <w:rPr>
                        <w:sz w:val="14"/>
                      </w:rPr>
                    </w:pPr>
                    <w:r>
                      <w:rPr>
                        <w:sz w:val="14"/>
                      </w:rPr>
                      <w:t xml:space="preserve">Vibracija, oro temperatūra, stereotipiniai darbo </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Cukrinis (nekompensuotas) diabetas –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medienos apdirbėjų</w:t>
                    </w:r>
                  </w:p>
                </w:tc>
                <w:tc>
                  <w:tcPr>
                    <w:tcW w:w="2003" w:type="dxa"/>
                    <w:shd w:val="clear" w:color="auto" w:fill="auto"/>
                  </w:tcPr>
                  <w:p>
                    <w:pPr>
                      <w:widowControl w:val="0"/>
                      <w:ind w:left="360"/>
                      <w:rPr>
                        <w:sz w:val="14"/>
                      </w:rPr>
                    </w:pPr>
                    <w:r>
                      <w:rPr>
                        <w:sz w:val="14"/>
                      </w:rPr>
                      <w:t xml:space="preserve">judesiai, dalyvaujant rankų plaštakos ir pirštų,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pečių juostos raumenims, darbo įtampa, dėmesys, </w:t>
                    </w: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ir klausos analizatoriai, medienos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(miško ruošos 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13.3. Pynėjų iš vytelių</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r>
                      <w:rPr>
                        <w:sz w:val="14"/>
                      </w:rPr>
                      <w:t>Plaštakos funkcijos ryškūs sutrikimai, trukdantys profesinei</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plaštakos ir pirštų, pečių juostos raumenims, darbo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35262</w:t>
                    </w:r>
                  </w:p>
                </w:tc>
                <w:tc>
                  <w:tcPr>
                    <w:tcW w:w="2003" w:type="dxa"/>
                    <w:tcBorders>
                      <w:bottom w:val="single" w:sz="4" w:space="0" w:color="auto"/>
                    </w:tcBorders>
                    <w:shd w:val="clear" w:color="auto" w:fill="auto"/>
                  </w:tcPr>
                  <w:p>
                    <w:pPr>
                      <w:widowControl w:val="0"/>
                      <w:ind w:left="360"/>
                      <w:rPr>
                        <w:sz w:val="14"/>
                      </w:rPr>
                    </w:pPr>
                    <w:r>
                      <w:rPr>
                        <w:sz w:val="14"/>
                      </w:rPr>
                      <w:t>įtampa, dėmesys, regos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14.</w:t>
                    </w:r>
                  </w:p>
                </w:tc>
                <w:tc>
                  <w:tcPr>
                    <w:tcW w:w="2442" w:type="dxa"/>
                    <w:tcBorders>
                      <w:top w:val="single" w:sz="4" w:space="0" w:color="auto"/>
                    </w:tcBorders>
                    <w:shd w:val="clear" w:color="auto" w:fill="auto"/>
                  </w:tcPr>
                  <w:p>
                    <w:pPr>
                      <w:widowControl w:val="0"/>
                      <w:ind w:left="360"/>
                      <w:rPr>
                        <w:sz w:val="14"/>
                      </w:rPr>
                    </w:pPr>
                    <w:r>
                      <w:rPr>
                        <w:sz w:val="14"/>
                      </w:rPr>
                      <w:t>Ventiliacijos, oro kondicionavimo</w:t>
                    </w:r>
                  </w:p>
                </w:tc>
                <w:tc>
                  <w:tcPr>
                    <w:tcW w:w="2003" w:type="dxa"/>
                    <w:tcBorders>
                      <w:top w:val="single" w:sz="4" w:space="0" w:color="auto"/>
                    </w:tcBorders>
                    <w:shd w:val="clear" w:color="auto" w:fill="auto"/>
                  </w:tcPr>
                  <w:p>
                    <w:pPr>
                      <w:widowControl w:val="0"/>
                      <w:ind w:left="360"/>
                      <w:rPr>
                        <w:sz w:val="14"/>
                      </w:rPr>
                    </w:pPr>
                    <w:r>
                      <w:rPr>
                        <w:sz w:val="14"/>
                      </w:rPr>
                      <w:t xml:space="preserve">Judrus darbas, krovinio kėlimas, pernešimas,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sistemų </w:t>
                    </w:r>
                  </w:p>
                </w:tc>
                <w:tc>
                  <w:tcPr>
                    <w:tcW w:w="2003" w:type="dxa"/>
                    <w:shd w:val="clear" w:color="auto" w:fill="auto"/>
                  </w:tcPr>
                  <w:p>
                    <w:pPr>
                      <w:widowControl w:val="0"/>
                      <w:ind w:left="360"/>
                      <w:rPr>
                        <w:sz w:val="14"/>
                      </w:rPr>
                    </w:pPr>
                    <w:r>
                      <w:rPr>
                        <w:sz w:val="14"/>
                      </w:rPr>
                      <w:t>darbo poza, liemens palenkimai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gamintojų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35264</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15.</w:t>
                    </w:r>
                  </w:p>
                </w:tc>
                <w:tc>
                  <w:tcPr>
                    <w:tcW w:w="2442" w:type="dxa"/>
                    <w:tcBorders>
                      <w:top w:val="single" w:sz="4" w:space="0" w:color="auto"/>
                    </w:tcBorders>
                    <w:shd w:val="clear" w:color="auto" w:fill="auto"/>
                  </w:tcPr>
                  <w:p>
                    <w:pPr>
                      <w:widowControl w:val="0"/>
                      <w:ind w:left="360"/>
                      <w:rPr>
                        <w:sz w:val="14"/>
                      </w:rPr>
                    </w:pPr>
                    <w:r>
                      <w:rPr>
                        <w:sz w:val="14"/>
                      </w:rPr>
                      <w:t xml:space="preserve">Avalynės gamintojų,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Odos lėtinės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avalynininkų</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analizatoriai, monotonija, cheminės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Regos korekcija mažesnė kaip 05/02</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(dažai, klijai)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16.</w:t>
                    </w:r>
                  </w:p>
                </w:tc>
                <w:tc>
                  <w:tcPr>
                    <w:tcW w:w="2442" w:type="dxa"/>
                    <w:tcBorders>
                      <w:top w:val="single" w:sz="4" w:space="0" w:color="auto"/>
                    </w:tcBorders>
                    <w:shd w:val="clear" w:color="auto" w:fill="auto"/>
                  </w:tcPr>
                  <w:p>
                    <w:pPr>
                      <w:widowControl w:val="0"/>
                      <w:ind w:left="360"/>
                      <w:rPr>
                        <w:sz w:val="14"/>
                      </w:rPr>
                    </w:pPr>
                    <w:r>
                      <w:rPr>
                        <w:sz w:val="14"/>
                      </w:rPr>
                      <w:t xml:space="preserve">Audėjų, audinių gamybos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 ver-</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didesnė kaip 6,0D. Regos korekcija iki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pėjų, verpinių gamybos </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w:t>
                    </w:r>
                  </w:p>
                </w:tc>
                <w:tc>
                  <w:tcPr>
                    <w:tcW w:w="2003" w:type="dxa"/>
                    <w:shd w:val="clear" w:color="auto" w:fill="auto"/>
                  </w:tcPr>
                  <w:p>
                    <w:pPr>
                      <w:widowControl w:val="0"/>
                      <w:ind w:left="360"/>
                      <w:rPr>
                        <w:sz w:val="14"/>
                      </w:rPr>
                    </w:pPr>
                    <w:r>
                      <w:rPr>
                        <w:sz w:val="14"/>
                      </w:rPr>
                      <w:t>analizatoriai, monotonija, dulkės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 judesių sutrikimais, trukdančiais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Epilepsija, dirbant su judančiais mechanizmais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Alergija dulkėms, vilnai, sintetinėms ir kt. medžiagoms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7.</w:t>
                    </w:r>
                  </w:p>
                </w:tc>
                <w:tc>
                  <w:tcPr>
                    <w:tcW w:w="2264" w:type="dxa"/>
                    <w:tcBorders>
                      <w:bottom w:val="single" w:sz="4" w:space="0" w:color="auto"/>
                    </w:tcBorders>
                    <w:shd w:val="clear" w:color="auto" w:fill="auto"/>
                  </w:tcPr>
                  <w:p>
                    <w:pPr>
                      <w:widowControl w:val="0"/>
                      <w:ind w:left="360"/>
                      <w:rPr>
                        <w:sz w:val="14"/>
                      </w:rPr>
                    </w:pPr>
                    <w:r>
                      <w:rPr>
                        <w:sz w:val="14"/>
                      </w:rPr>
                      <w:t xml:space="preserve">Klausos susilpnėjimas (šnabždesiu iki </w:t>
                    </w:r>
                    <w:smartTag w:uri="urn:schemas-microsoft-com:office:smarttags" w:element="metricconverter">
                      <w:smartTagPr>
                        <w:attr w:name="ProductID" w:val="3 m"/>
                      </w:smartTagPr>
                      <w:r>
                        <w:rPr>
                          <w:sz w:val="14"/>
                        </w:rPr>
                        <w:t>3 m</w:t>
                      </w:r>
                    </w:smartTag>
                    <w:r>
                      <w:rPr>
                        <w:sz w:val="14"/>
                      </w:rPr>
                      <w:t>) – audėjui</w:t>
                    </w:r>
                  </w:p>
                </w:tc>
              </w:tr>
              <w:tr>
                <w:tc>
                  <w:tcPr>
                    <w:tcW w:w="1209" w:type="dxa"/>
                    <w:tcBorders>
                      <w:top w:val="single" w:sz="4" w:space="0" w:color="auto"/>
                    </w:tcBorders>
                    <w:shd w:val="clear" w:color="auto" w:fill="auto"/>
                  </w:tcPr>
                  <w:p>
                    <w:pPr>
                      <w:widowControl w:val="0"/>
                      <w:ind w:left="360"/>
                      <w:rPr>
                        <w:sz w:val="14"/>
                      </w:rPr>
                    </w:pPr>
                    <w:r>
                      <w:rPr>
                        <w:sz w:val="14"/>
                      </w:rPr>
                      <w:t>17.</w:t>
                    </w:r>
                  </w:p>
                </w:tc>
                <w:tc>
                  <w:tcPr>
                    <w:tcW w:w="2442" w:type="dxa"/>
                    <w:tcBorders>
                      <w:top w:val="single" w:sz="4" w:space="0" w:color="auto"/>
                    </w:tcBorders>
                    <w:shd w:val="clear" w:color="auto" w:fill="auto"/>
                  </w:tcPr>
                  <w:p>
                    <w:pPr>
                      <w:widowControl w:val="0"/>
                      <w:ind w:left="360"/>
                      <w:rPr>
                        <w:sz w:val="14"/>
                      </w:rPr>
                    </w:pPr>
                    <w:r>
                      <w:rPr>
                        <w:sz w:val="14"/>
                      </w:rPr>
                      <w:t>Mezgėjų, mezgimo maši-</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nų operatorių, siuvėjų, su-</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kirpėjų – konstruktorių</w:t>
                    </w:r>
                  </w:p>
                </w:tc>
                <w:tc>
                  <w:tcPr>
                    <w:tcW w:w="2003" w:type="dxa"/>
                    <w:shd w:val="clear" w:color="auto" w:fill="auto"/>
                  </w:tcPr>
                  <w:p>
                    <w:pPr>
                      <w:widowControl w:val="0"/>
                      <w:ind w:left="360"/>
                      <w:rPr>
                        <w:sz w:val="14"/>
                      </w:rPr>
                    </w:pPr>
                    <w:r>
                      <w:rPr>
                        <w:sz w:val="14"/>
                      </w:rPr>
                      <w:t xml:space="preserve">darbo poza,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35276</w:t>
                    </w:r>
                  </w:p>
                </w:tc>
                <w:tc>
                  <w:tcPr>
                    <w:tcW w:w="2003" w:type="dxa"/>
                    <w:shd w:val="clear" w:color="auto" w:fill="auto"/>
                  </w:tcPr>
                  <w:p>
                    <w:pPr>
                      <w:widowControl w:val="0"/>
                      <w:ind w:left="360"/>
                      <w:rPr>
                        <w:sz w:val="14"/>
                      </w:rPr>
                    </w:pPr>
                    <w:r>
                      <w:rPr>
                        <w:sz w:val="14"/>
                      </w:rPr>
                      <w:t>dėmesys, regos analizatorius, monotonija, besi-</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vilnai, dulkėms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kartojančios operacijos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 D. Regos korekcija mažesnė</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kaip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mezgimo mašinų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operatoriams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 -</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mezgimo mašinų operatoriams</w:t>
                    </w:r>
                  </w:p>
                </w:tc>
              </w:tr>
              <w:tr>
                <w:tc>
                  <w:tcPr>
                    <w:tcW w:w="1209" w:type="dxa"/>
                    <w:tcBorders>
                      <w:top w:val="single" w:sz="4" w:space="0" w:color="auto"/>
                    </w:tcBorders>
                    <w:shd w:val="clear" w:color="auto" w:fill="auto"/>
                  </w:tcPr>
                  <w:p>
                    <w:pPr>
                      <w:widowControl w:val="0"/>
                      <w:ind w:left="360"/>
                      <w:rPr>
                        <w:sz w:val="14"/>
                      </w:rPr>
                    </w:pPr>
                    <w:r>
                      <w:rPr>
                        <w:sz w:val="14"/>
                      </w:rPr>
                      <w:t>18.</w:t>
                    </w:r>
                  </w:p>
                </w:tc>
                <w:tc>
                  <w:tcPr>
                    <w:tcW w:w="2442" w:type="dxa"/>
                    <w:tcBorders>
                      <w:top w:val="single" w:sz="4" w:space="0" w:color="auto"/>
                    </w:tcBorders>
                    <w:shd w:val="clear" w:color="auto" w:fill="auto"/>
                  </w:tcPr>
                  <w:p>
                    <w:pPr>
                      <w:widowControl w:val="0"/>
                      <w:ind w:left="360"/>
                      <w:rPr>
                        <w:sz w:val="14"/>
                      </w:rPr>
                    </w:pPr>
                    <w:r>
                      <w:rPr>
                        <w:sz w:val="14"/>
                      </w:rPr>
                      <w:t xml:space="preserve">Plokščiosios ir ofsetinės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spaudos spaudėjų, tekstų </w:t>
                    </w:r>
                  </w:p>
                </w:tc>
                <w:tc>
                  <w:tcPr>
                    <w:tcW w:w="2003" w:type="dxa"/>
                    <w:shd w:val="clear" w:color="auto" w:fill="auto"/>
                  </w:tcPr>
                  <w:p>
                    <w:pPr>
                      <w:widowControl w:val="0"/>
                      <w:ind w:left="360"/>
                      <w:rPr>
                        <w:sz w:val="14"/>
                      </w:rPr>
                    </w:pPr>
                    <w:r>
                      <w:rPr>
                        <w:sz w:val="14"/>
                      </w:rPr>
                      <w:t xml:space="preserve">plaštakos ir pirštų raumenims, statinis krūvis,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rinkėjų, archyvarų, </w:t>
                    </w:r>
                  </w:p>
                </w:tc>
                <w:tc>
                  <w:tcPr>
                    <w:tcW w:w="2003" w:type="dxa"/>
                    <w:shd w:val="clear" w:color="auto" w:fill="auto"/>
                  </w:tcPr>
                  <w:p>
                    <w:pPr>
                      <w:widowControl w:val="0"/>
                      <w:ind w:left="360"/>
                      <w:rPr>
                        <w:sz w:val="14"/>
                      </w:rPr>
                    </w:pPr>
                    <w:r>
                      <w:rPr>
                        <w:sz w:val="14"/>
                      </w:rPr>
                      <w:t xml:space="preserve">poza, liemens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knygrišių</w:t>
                    </w:r>
                  </w:p>
                </w:tc>
                <w:tc>
                  <w:tcPr>
                    <w:tcW w:w="2003" w:type="dxa"/>
                    <w:shd w:val="clear" w:color="auto" w:fill="auto"/>
                  </w:tcPr>
                  <w:p>
                    <w:pPr>
                      <w:widowControl w:val="0"/>
                      <w:ind w:left="360"/>
                      <w:rPr>
                        <w:sz w:val="14"/>
                      </w:rPr>
                    </w:pPr>
                    <w:r>
                      <w:rPr>
                        <w:sz w:val="14"/>
                      </w:rPr>
                      <w:t>dėmesys, regos analizatorius, monotonija, besikartojančios operacijos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35278</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Regos korekcija mažesnė kaip 07/04 – tekstų rinkėjui</w:t>
                    </w:r>
                  </w:p>
                </w:tc>
              </w:tr>
              <w:tr>
                <w:tc>
                  <w:tcPr>
                    <w:tcW w:w="1209" w:type="dxa"/>
                    <w:tcBorders>
                      <w:top w:val="single" w:sz="4" w:space="0" w:color="auto"/>
                    </w:tcBorders>
                    <w:shd w:val="clear" w:color="auto" w:fill="auto"/>
                  </w:tcPr>
                  <w:p>
                    <w:pPr>
                      <w:widowControl w:val="0"/>
                      <w:ind w:left="360"/>
                      <w:rPr>
                        <w:sz w:val="14"/>
                      </w:rPr>
                    </w:pPr>
                    <w:r>
                      <w:rPr>
                        <w:sz w:val="14"/>
                      </w:rPr>
                      <w:t>19.</w:t>
                    </w:r>
                  </w:p>
                </w:tc>
                <w:tc>
                  <w:tcPr>
                    <w:tcW w:w="2442" w:type="dxa"/>
                    <w:tcBorders>
                      <w:top w:val="single" w:sz="4" w:space="0" w:color="auto"/>
                    </w:tcBorders>
                    <w:shd w:val="clear" w:color="auto" w:fill="auto"/>
                  </w:tcPr>
                  <w:p>
                    <w:pPr>
                      <w:widowControl w:val="0"/>
                      <w:ind w:left="360"/>
                      <w:rPr>
                        <w:sz w:val="14"/>
                      </w:rPr>
                    </w:pPr>
                    <w:r>
                      <w:rPr>
                        <w:sz w:val="14"/>
                      </w:rPr>
                      <w:t xml:space="preserve">Cheminio pluošto, naftos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oro temperatūra,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perdirbimo, chemijos ir </w:t>
                    </w:r>
                  </w:p>
                </w:tc>
                <w:tc>
                  <w:tcPr>
                    <w:tcW w:w="2003" w:type="dxa"/>
                    <w:shd w:val="clear" w:color="auto" w:fill="auto"/>
                  </w:tcPr>
                  <w:p>
                    <w:pPr>
                      <w:widowControl w:val="0"/>
                      <w:ind w:left="360"/>
                      <w:rPr>
                        <w:sz w:val="14"/>
                      </w:rPr>
                    </w:pPr>
                    <w:r>
                      <w:rPr>
                        <w:sz w:val="14"/>
                      </w:rPr>
                      <w:t>poza, judėjimo atstumas,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naftos produktų gamybos </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 kontaktuojant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cheminėmis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mažesnė</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kaip 06/03</w:t>
                    </w:r>
                  </w:p>
                </w:tc>
              </w:tr>
              <w:tr>
                <w:tc>
                  <w:tcPr>
                    <w:tcW w:w="1209" w:type="dxa"/>
                    <w:tcBorders>
                      <w:top w:val="single" w:sz="4" w:space="0" w:color="auto"/>
                    </w:tcBorders>
                    <w:shd w:val="clear" w:color="auto" w:fill="auto"/>
                  </w:tcPr>
                  <w:p>
                    <w:pPr>
                      <w:widowControl w:val="0"/>
                      <w:ind w:left="360"/>
                      <w:rPr>
                        <w:sz w:val="14"/>
                      </w:rPr>
                    </w:pPr>
                    <w:r>
                      <w:rPr>
                        <w:sz w:val="14"/>
                      </w:rPr>
                      <w:t>20.</w:t>
                    </w:r>
                  </w:p>
                </w:tc>
                <w:tc>
                  <w:tcPr>
                    <w:tcW w:w="2442" w:type="dxa"/>
                    <w:tcBorders>
                      <w:top w:val="single" w:sz="4" w:space="0" w:color="auto"/>
                    </w:tcBorders>
                    <w:shd w:val="clear" w:color="auto" w:fill="auto"/>
                  </w:tcPr>
                  <w:p>
                    <w:pPr>
                      <w:widowControl w:val="0"/>
                      <w:ind w:left="360"/>
                      <w:rPr>
                        <w:sz w:val="14"/>
                      </w:rPr>
                    </w:pPr>
                    <w:r>
                      <w:rPr>
                        <w:sz w:val="14"/>
                      </w:rPr>
                      <w:t>Žemės matininkų</w:t>
                    </w:r>
                  </w:p>
                </w:tc>
                <w:tc>
                  <w:tcPr>
                    <w:tcW w:w="2003" w:type="dxa"/>
                    <w:tcBorders>
                      <w:top w:val="single" w:sz="4" w:space="0" w:color="auto"/>
                    </w:tcBorders>
                    <w:shd w:val="clear" w:color="auto" w:fill="auto"/>
                  </w:tcPr>
                  <w:p>
                    <w:pPr>
                      <w:widowControl w:val="0"/>
                      <w:ind w:left="360"/>
                      <w:rPr>
                        <w:sz w:val="14"/>
                      </w:rPr>
                    </w:pPr>
                    <w:r>
                      <w:rPr>
                        <w:sz w:val="14"/>
                      </w:rPr>
                      <w:t>Oro temperatūra, judėjimo atstumas, dėmesys,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35402</w:t>
                    </w:r>
                  </w:p>
                </w:tc>
                <w:tc>
                  <w:tcPr>
                    <w:tcW w:w="2003" w:type="dxa"/>
                    <w:shd w:val="clear" w:color="auto" w:fill="auto"/>
                  </w:tcPr>
                  <w:p>
                    <w:pPr>
                      <w:widowControl w:val="0"/>
                      <w:ind w:left="360"/>
                      <w:rPr>
                        <w:sz w:val="14"/>
                      </w:rPr>
                    </w:pPr>
                    <w:r>
                      <w:rPr>
                        <w:sz w:val="14"/>
                      </w:rPr>
                      <w:t>informacinių pranešimų skaičius,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monotonija</w:t>
                    </w:r>
                  </w:p>
                </w:tc>
                <w:tc>
                  <w:tcPr>
                    <w:tcW w:w="1892" w:type="dxa"/>
                    <w:tcBorders>
                      <w:bottom w:val="single" w:sz="4" w:space="0" w:color="auto"/>
                    </w:tcBorders>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21.</w:t>
                    </w:r>
                  </w:p>
                </w:tc>
                <w:tc>
                  <w:tcPr>
                    <w:tcW w:w="2442" w:type="dxa"/>
                    <w:tcBorders>
                      <w:top w:val="single" w:sz="4" w:space="0" w:color="auto"/>
                    </w:tcBorders>
                    <w:shd w:val="clear" w:color="auto" w:fill="auto"/>
                  </w:tcPr>
                  <w:p>
                    <w:pPr>
                      <w:widowControl w:val="0"/>
                      <w:ind w:left="360"/>
                      <w:rPr>
                        <w:sz w:val="14"/>
                      </w:rPr>
                    </w:pPr>
                    <w:r>
                      <w:rPr>
                        <w:sz w:val="14"/>
                      </w:rPr>
                      <w:t>Braižytojų ir kompiuterinės</w:t>
                    </w:r>
                  </w:p>
                </w:tc>
                <w:tc>
                  <w:tcPr>
                    <w:tcW w:w="2003" w:type="dxa"/>
                    <w:tcBorders>
                      <w:top w:val="single" w:sz="4" w:space="0" w:color="auto"/>
                    </w:tcBorders>
                    <w:shd w:val="clear" w:color="auto" w:fill="auto"/>
                  </w:tcPr>
                  <w:p>
                    <w:pPr>
                      <w:widowControl w:val="0"/>
                      <w:ind w:left="360"/>
                      <w:rPr>
                        <w:sz w:val="14"/>
                      </w:rPr>
                    </w:pPr>
                    <w:r>
                      <w:rPr>
                        <w:sz w:val="14"/>
                      </w:rPr>
                      <w:t>Stereotipiniai darbo judesiai, dalyvaujant rankų,</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shd w:val="clear" w:color="auto" w:fill="auto"/>
                  </w:tcPr>
                  <w:p>
                    <w:pPr>
                      <w:widowControl w:val="0"/>
                      <w:ind w:left="360"/>
                      <w:rPr>
                        <w:sz w:val="14"/>
                      </w:rPr>
                    </w:pPr>
                    <w:r>
                      <w:rPr>
                        <w:sz w:val="14"/>
                      </w:rPr>
                      <w:t>Miopija didesnė kaip 6,0D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įrangos operatorių</w:t>
                    </w:r>
                  </w:p>
                </w:tc>
                <w:tc>
                  <w:tcPr>
                    <w:tcW w:w="2003" w:type="dxa"/>
                    <w:shd w:val="clear" w:color="auto" w:fill="auto"/>
                  </w:tcPr>
                  <w:p>
                    <w:pPr>
                      <w:widowControl w:val="0"/>
                      <w:ind w:left="360"/>
                      <w:rPr>
                        <w:sz w:val="14"/>
                      </w:rPr>
                    </w:pPr>
                    <w:r>
                      <w:rPr>
                        <w:sz w:val="14"/>
                      </w:rPr>
                      <w:t xml:space="preserve">plaštakų, pirštų raumenims, poza, dėmesys,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Regos korekcija mažesnė kaip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35406</w:t>
                    </w:r>
                  </w:p>
                </w:tc>
                <w:tc>
                  <w:tcPr>
                    <w:tcW w:w="2003" w:type="dxa"/>
                    <w:shd w:val="clear" w:color="auto" w:fill="auto"/>
                  </w:tcPr>
                  <w:p>
                    <w:pPr>
                      <w:widowControl w:val="0"/>
                      <w:ind w:left="360"/>
                      <w:rPr>
                        <w:sz w:val="14"/>
                      </w:rPr>
                    </w:pPr>
                    <w:r>
                      <w:rPr>
                        <w:sz w:val="14"/>
                      </w:rPr>
                      <w:t>regos analizatorius, monotonija</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Binokulinio matymo sutrikimas</w:t>
                    </w:r>
                  </w:p>
                </w:tc>
              </w:tr>
              <w:tr>
                <w:tc>
                  <w:tcPr>
                    <w:tcW w:w="1209" w:type="dxa"/>
                    <w:tcBorders>
                      <w:top w:val="single" w:sz="4" w:space="0" w:color="auto"/>
                    </w:tcBorders>
                    <w:shd w:val="clear" w:color="auto" w:fill="auto"/>
                  </w:tcPr>
                  <w:p>
                    <w:pPr>
                      <w:widowControl w:val="0"/>
                      <w:ind w:left="360"/>
                      <w:rPr>
                        <w:sz w:val="14"/>
                      </w:rPr>
                    </w:pPr>
                    <w:r>
                      <w:rPr>
                        <w:sz w:val="14"/>
                      </w:rPr>
                      <w:t>22.</w:t>
                    </w:r>
                  </w:p>
                </w:tc>
                <w:tc>
                  <w:tcPr>
                    <w:tcW w:w="2442" w:type="dxa"/>
                    <w:tcBorders>
                      <w:top w:val="single" w:sz="4" w:space="0" w:color="auto"/>
                    </w:tcBorders>
                    <w:shd w:val="clear" w:color="auto" w:fill="auto"/>
                  </w:tcPr>
                  <w:p>
                    <w:pPr>
                      <w:widowControl w:val="0"/>
                      <w:ind w:left="360"/>
                      <w:rPr>
                        <w:sz w:val="14"/>
                      </w:rPr>
                    </w:pPr>
                    <w:r>
                      <w:rPr>
                        <w:sz w:val="14"/>
                      </w:rPr>
                      <w:t>Kelių statytojų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35416</w:t>
                    </w:r>
                  </w:p>
                </w:tc>
                <w:tc>
                  <w:tcPr>
                    <w:tcW w:w="2003" w:type="dxa"/>
                    <w:shd w:val="clear" w:color="auto" w:fill="auto"/>
                  </w:tcPr>
                  <w:p>
                    <w:pPr>
                      <w:widowControl w:val="0"/>
                      <w:ind w:left="360"/>
                      <w:rPr>
                        <w:sz w:val="14"/>
                      </w:rPr>
                    </w:pPr>
                    <w:r>
                      <w:rPr>
                        <w:sz w:val="14"/>
                      </w:rPr>
                      <w:t xml:space="preserve">stereotipiniai darbo judesiai, statinis krūvis, darbo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Cukrinis diabetas (nekompensuotas)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poza, pasilenkimai, judėjimo atstumas, regos,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Lėtinės dažnai paūmėjančios sąnarių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dulkės, cheminės medžiagos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dažnai paūmėjančios inkstų ligos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5.</w:t>
                    </w:r>
                  </w:p>
                </w:tc>
                <w:tc>
                  <w:tcPr>
                    <w:tcW w:w="2264" w:type="dxa"/>
                    <w:tcBorders>
                      <w:bottom w:val="single" w:sz="4" w:space="0" w:color="auto"/>
                    </w:tcBorders>
                    <w:shd w:val="clear" w:color="auto" w:fill="auto"/>
                  </w:tcPr>
                  <w:p>
                    <w:pPr>
                      <w:widowControl w:val="0"/>
                      <w:ind w:left="360"/>
                      <w:rPr>
                        <w:sz w:val="14"/>
                      </w:rPr>
                    </w:pPr>
                    <w:r>
                      <w:rPr>
                        <w:sz w:val="14"/>
                      </w:rPr>
                      <w:t>Širdies kraujagyslių ligos su ryškiu kraujotakos sutrikimu</w:t>
                    </w:r>
                  </w:p>
                </w:tc>
              </w:tr>
              <w:tr>
                <w:tc>
                  <w:tcPr>
                    <w:tcW w:w="1209" w:type="dxa"/>
                    <w:tcBorders>
                      <w:top w:val="single" w:sz="4" w:space="0" w:color="auto"/>
                    </w:tcBorders>
                    <w:shd w:val="clear" w:color="auto" w:fill="auto"/>
                  </w:tcPr>
                  <w:p>
                    <w:pPr>
                      <w:widowControl w:val="0"/>
                      <w:ind w:left="360"/>
                      <w:rPr>
                        <w:sz w:val="14"/>
                      </w:rPr>
                    </w:pPr>
                    <w:r>
                      <w:rPr>
                        <w:sz w:val="14"/>
                      </w:rPr>
                      <w:t>23.</w:t>
                    </w:r>
                  </w:p>
                </w:tc>
                <w:tc>
                  <w:tcPr>
                    <w:tcW w:w="2442" w:type="dxa"/>
                    <w:tcBorders>
                      <w:top w:val="single" w:sz="4" w:space="0" w:color="auto"/>
                    </w:tcBorders>
                    <w:shd w:val="clear" w:color="auto" w:fill="auto"/>
                  </w:tcPr>
                  <w:p>
                    <w:pPr>
                      <w:widowControl w:val="0"/>
                      <w:ind w:left="360"/>
                      <w:rPr>
                        <w:sz w:val="14"/>
                      </w:rPr>
                    </w:pPr>
                    <w:r>
                      <w:rPr>
                        <w:sz w:val="14"/>
                      </w:rPr>
                      <w:t>Ūkininkų</w:t>
                    </w:r>
                  </w:p>
                </w:tc>
                <w:tc>
                  <w:tcPr>
                    <w:tcW w:w="2003" w:type="dxa"/>
                    <w:tcBorders>
                      <w:top w:val="single" w:sz="4" w:space="0" w:color="auto"/>
                    </w:tcBorders>
                    <w:shd w:val="clear" w:color="auto" w:fill="auto"/>
                  </w:tcPr>
                  <w:p>
                    <w:pPr>
                      <w:widowControl w:val="0"/>
                      <w:ind w:left="360"/>
                      <w:rPr>
                        <w:sz w:val="14"/>
                      </w:rPr>
                    </w:pPr>
                    <w:r>
                      <w:rPr>
                        <w:sz w:val="14"/>
                      </w:rPr>
                      <w:t>Judėjimo atstumas, oro temperatūra, darbo poza,</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36201</w:t>
                    </w:r>
                  </w:p>
                </w:tc>
                <w:tc>
                  <w:tcPr>
                    <w:tcW w:w="2003" w:type="dxa"/>
                    <w:tcBorders>
                      <w:bottom w:val="single" w:sz="4" w:space="0" w:color="auto"/>
                    </w:tcBorders>
                    <w:shd w:val="clear" w:color="auto" w:fill="auto"/>
                  </w:tcPr>
                  <w:p>
                    <w:pPr>
                      <w:widowControl w:val="0"/>
                      <w:ind w:left="360"/>
                      <w:rPr>
                        <w:sz w:val="14"/>
                      </w:rPr>
                    </w:pPr>
                    <w:r>
                      <w:rPr>
                        <w:sz w:val="14"/>
                      </w:rPr>
                      <w:t>judrus darbas, regos, klausos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24.</w:t>
                    </w:r>
                  </w:p>
                </w:tc>
                <w:tc>
                  <w:tcPr>
                    <w:tcW w:w="2442" w:type="dxa"/>
                    <w:tcBorders>
                      <w:top w:val="single" w:sz="4" w:space="0" w:color="auto"/>
                    </w:tcBorders>
                    <w:shd w:val="clear" w:color="auto" w:fill="auto"/>
                  </w:tcPr>
                  <w:p>
                    <w:pPr>
                      <w:widowControl w:val="0"/>
                      <w:ind w:left="360"/>
                      <w:rPr>
                        <w:sz w:val="14"/>
                      </w:rPr>
                    </w:pPr>
                    <w:r>
                      <w:rPr>
                        <w:sz w:val="14"/>
                      </w:rPr>
                      <w:t>Arklininkų</w:t>
                    </w:r>
                  </w:p>
                </w:tc>
                <w:tc>
                  <w:tcPr>
                    <w:tcW w:w="2003" w:type="dxa"/>
                    <w:tcBorders>
                      <w:top w:val="single" w:sz="4" w:space="0" w:color="auto"/>
                    </w:tcBorders>
                    <w:shd w:val="clear" w:color="auto" w:fill="auto"/>
                  </w:tcPr>
                  <w:p>
                    <w:pPr>
                      <w:widowControl w:val="0"/>
                      <w:ind w:left="360"/>
                      <w:rPr>
                        <w:sz w:val="14"/>
                      </w:rPr>
                    </w:pP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36203</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Alergija arklio šeriams</w:t>
                    </w:r>
                  </w:p>
                </w:tc>
              </w:tr>
              <w:tr>
                <w:tc>
                  <w:tcPr>
                    <w:tcW w:w="1209" w:type="dxa"/>
                    <w:tcBorders>
                      <w:top w:val="single" w:sz="4" w:space="0" w:color="auto"/>
                    </w:tcBorders>
                    <w:shd w:val="clear" w:color="auto" w:fill="auto"/>
                  </w:tcPr>
                  <w:p>
                    <w:pPr>
                      <w:widowControl w:val="0"/>
                      <w:ind w:left="360"/>
                      <w:rPr>
                        <w:sz w:val="14"/>
                      </w:rPr>
                    </w:pPr>
                    <w:r>
                      <w:rPr>
                        <w:sz w:val="14"/>
                      </w:rPr>
                      <w:t>25.</w:t>
                    </w:r>
                  </w:p>
                </w:tc>
                <w:tc>
                  <w:tcPr>
                    <w:tcW w:w="2442" w:type="dxa"/>
                    <w:tcBorders>
                      <w:top w:val="single" w:sz="4" w:space="0" w:color="auto"/>
                    </w:tcBorders>
                    <w:shd w:val="clear" w:color="auto" w:fill="auto"/>
                  </w:tcPr>
                  <w:p>
                    <w:pPr>
                      <w:widowControl w:val="0"/>
                      <w:ind w:left="360"/>
                      <w:rPr>
                        <w:sz w:val="14"/>
                      </w:rPr>
                    </w:pPr>
                    <w:r>
                      <w:rPr>
                        <w:sz w:val="14"/>
                      </w:rPr>
                      <w:t xml:space="preserve">Sodininkų, želdinių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tvarkytojų</w:t>
                    </w:r>
                  </w:p>
                </w:tc>
                <w:tc>
                  <w:tcPr>
                    <w:tcW w:w="2003" w:type="dxa"/>
                    <w:shd w:val="clear" w:color="auto" w:fill="auto"/>
                  </w:tcPr>
                  <w:p>
                    <w:pPr>
                      <w:widowControl w:val="0"/>
                      <w:ind w:left="360"/>
                      <w:rPr>
                        <w:sz w:val="14"/>
                      </w:rPr>
                    </w:pPr>
                    <w:r>
                      <w:rPr>
                        <w:sz w:val="14"/>
                      </w:rPr>
                      <w:t xml:space="preserve">liemens palenkimai,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36206</w:t>
                    </w:r>
                  </w:p>
                </w:tc>
                <w:tc>
                  <w:tcPr>
                    <w:tcW w:w="2003" w:type="dxa"/>
                    <w:tcBorders>
                      <w:bottom w:val="single" w:sz="4" w:space="0" w:color="auto"/>
                    </w:tcBorders>
                    <w:shd w:val="clear" w:color="auto" w:fill="auto"/>
                  </w:tcPr>
                  <w:p>
                    <w:pPr>
                      <w:widowControl w:val="0"/>
                      <w:ind w:left="360"/>
                      <w:rPr>
                        <w:sz w:val="14"/>
                      </w:rPr>
                    </w:pPr>
                    <w:r>
                      <w:rPr>
                        <w:sz w:val="14"/>
                      </w:rPr>
                      <w:t>krovinio kėlimas, pernešimas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Polinozė</w:t>
                    </w:r>
                  </w:p>
                </w:tc>
              </w:tr>
              <w:tr>
                <w:tc>
                  <w:tcPr>
                    <w:tcW w:w="1209" w:type="dxa"/>
                    <w:tcBorders>
                      <w:top w:val="single" w:sz="4" w:space="0" w:color="auto"/>
                    </w:tcBorders>
                    <w:shd w:val="clear" w:color="auto" w:fill="auto"/>
                  </w:tcPr>
                  <w:p>
                    <w:pPr>
                      <w:widowControl w:val="0"/>
                      <w:ind w:left="360"/>
                      <w:rPr>
                        <w:sz w:val="14"/>
                      </w:rPr>
                    </w:pPr>
                    <w:r>
                      <w:rPr>
                        <w:sz w:val="14"/>
                      </w:rPr>
                      <w:t>26.</w:t>
                    </w:r>
                  </w:p>
                </w:tc>
                <w:tc>
                  <w:tcPr>
                    <w:tcW w:w="2442" w:type="dxa"/>
                    <w:tcBorders>
                      <w:top w:val="single" w:sz="4" w:space="0" w:color="auto"/>
                    </w:tcBorders>
                    <w:shd w:val="clear" w:color="auto" w:fill="auto"/>
                  </w:tcPr>
                  <w:p>
                    <w:pPr>
                      <w:widowControl w:val="0"/>
                      <w:ind w:left="360"/>
                      <w:rPr>
                        <w:sz w:val="14"/>
                      </w:rPr>
                    </w:pPr>
                    <w:r>
                      <w:rPr>
                        <w:sz w:val="14"/>
                      </w:rPr>
                      <w:t>Bitininkų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Alergija bičių nuodams</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36249</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27.</w:t>
                    </w:r>
                  </w:p>
                </w:tc>
                <w:tc>
                  <w:tcPr>
                    <w:tcW w:w="2442" w:type="dxa"/>
                    <w:tcBorders>
                      <w:top w:val="single" w:sz="4" w:space="0" w:color="auto"/>
                    </w:tcBorders>
                    <w:shd w:val="clear" w:color="auto" w:fill="auto"/>
                  </w:tcPr>
                  <w:p>
                    <w:pPr>
                      <w:widowControl w:val="0"/>
                      <w:ind w:left="360"/>
                      <w:rPr>
                        <w:sz w:val="14"/>
                      </w:rPr>
                    </w:pPr>
                    <w:r>
                      <w:rPr>
                        <w:sz w:val="14"/>
                      </w:rPr>
                      <w:t>Miškininkų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36262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28.</w:t>
                    </w:r>
                  </w:p>
                </w:tc>
                <w:tc>
                  <w:tcPr>
                    <w:tcW w:w="2442" w:type="dxa"/>
                    <w:tcBorders>
                      <w:top w:val="single" w:sz="4" w:space="0" w:color="auto"/>
                    </w:tcBorders>
                    <w:shd w:val="clear" w:color="auto" w:fill="auto"/>
                  </w:tcPr>
                  <w:p>
                    <w:pPr>
                      <w:widowControl w:val="0"/>
                      <w:ind w:left="360"/>
                      <w:rPr>
                        <w:sz w:val="14"/>
                      </w:rPr>
                    </w:pPr>
                    <w:r>
                      <w:rPr>
                        <w:sz w:val="14"/>
                      </w:rPr>
                      <w:t>Žuvininkų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36272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29.</w:t>
                    </w:r>
                  </w:p>
                </w:tc>
                <w:tc>
                  <w:tcPr>
                    <w:tcW w:w="2442" w:type="dxa"/>
                    <w:tcBorders>
                      <w:top w:val="single" w:sz="4" w:space="0" w:color="auto"/>
                    </w:tcBorders>
                    <w:shd w:val="clear" w:color="auto" w:fill="auto"/>
                  </w:tcPr>
                  <w:p>
                    <w:pPr>
                      <w:widowControl w:val="0"/>
                      <w:ind w:left="360"/>
                      <w:rPr>
                        <w:sz w:val="14"/>
                      </w:rPr>
                    </w:pPr>
                    <w:r>
                      <w:rPr>
                        <w:sz w:val="14"/>
                      </w:rPr>
                      <w:t xml:space="preserve">Namų ūkio ekonomės, </w:t>
                    </w:r>
                  </w:p>
                </w:tc>
                <w:tc>
                  <w:tcPr>
                    <w:tcW w:w="2003" w:type="dxa"/>
                    <w:tcBorders>
                      <w:top w:val="single" w:sz="4" w:space="0" w:color="auto"/>
                    </w:tcBorders>
                    <w:shd w:val="clear" w:color="auto" w:fill="auto"/>
                  </w:tcPr>
                  <w:p>
                    <w:pPr>
                      <w:widowControl w:val="0"/>
                      <w:ind w:left="360"/>
                      <w:rPr>
                        <w:sz w:val="14"/>
                      </w:rPr>
                    </w:pPr>
                    <w:r>
                      <w:rPr>
                        <w:sz w:val="14"/>
                      </w:rPr>
                      <w:t>Oro temperatūra, judėjimo atstumas, judrus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pagalbininkės, meistro,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komunalinio ūkio meistro</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36606</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regos,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30.</w:t>
                    </w:r>
                  </w:p>
                </w:tc>
                <w:tc>
                  <w:tcPr>
                    <w:tcW w:w="2442" w:type="dxa"/>
                    <w:tcBorders>
                      <w:top w:val="single" w:sz="4" w:space="0" w:color="auto"/>
                    </w:tcBorders>
                    <w:shd w:val="clear" w:color="auto" w:fill="auto"/>
                  </w:tcPr>
                  <w:p>
                    <w:pPr>
                      <w:widowControl w:val="0"/>
                      <w:ind w:left="360"/>
                      <w:rPr>
                        <w:sz w:val="14"/>
                      </w:rPr>
                    </w:pPr>
                    <w:r>
                      <w:rPr>
                        <w:sz w:val="14"/>
                      </w:rPr>
                      <w:t xml:space="preserve">Jūreivių, laivų motoristų,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judrus </w:t>
                    </w:r>
                  </w:p>
                </w:tc>
                <w:tc>
                  <w:tcPr>
                    <w:tcW w:w="1892" w:type="dxa"/>
                    <w:tcBorders>
                      <w:top w:val="single" w:sz="4" w:space="0" w:color="auto"/>
                    </w:tcBorders>
                    <w:shd w:val="clear" w:color="auto" w:fill="auto"/>
                  </w:tcPr>
                  <w:p>
                    <w:pPr>
                      <w:widowControl w:val="0"/>
                      <w:ind w:left="360"/>
                      <w:rPr>
                        <w:sz w:val="14"/>
                      </w:rPr>
                    </w:pPr>
                    <w:r>
                      <w:rPr>
                        <w:sz w:val="14"/>
                      </w:rPr>
                      <w:t>Vadovautis jūrininkų sveikatos tikrinimo tarka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korpusų remontininkų,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suvirintojų, sistemų </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surinkėjų</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Nekeleivinių laivų </w:t>
                    </w:r>
                  </w:p>
                </w:tc>
                <w:tc>
                  <w:tcPr>
                    <w:tcW w:w="2003" w:type="dxa"/>
                    <w:shd w:val="clear" w:color="auto" w:fill="auto"/>
                  </w:tcPr>
                  <w:p>
                    <w:pPr>
                      <w:widowControl w:val="0"/>
                      <w:ind w:left="360"/>
                      <w:rPr>
                        <w:sz w:val="14"/>
                      </w:rPr>
                    </w:pPr>
                    <w:r>
                      <w:rPr>
                        <w:sz w:val="14"/>
                      </w:rPr>
                      <w:t xml:space="preserve">Aplinkos temperatūra, darbo judesiai, dalyvaujant </w:t>
                    </w:r>
                  </w:p>
                </w:tc>
                <w:tc>
                  <w:tcPr>
                    <w:tcW w:w="1892" w:type="dxa"/>
                    <w:shd w:val="clear" w:color="auto" w:fill="auto"/>
                  </w:tcPr>
                  <w:p>
                    <w:pPr>
                      <w:widowControl w:val="0"/>
                      <w:ind w:left="360"/>
                      <w:rPr>
                        <w:sz w:val="14"/>
                      </w:rPr>
                    </w:pPr>
                    <w:r>
                      <w:rPr>
                        <w:sz w:val="14"/>
                      </w:rPr>
                      <w:t>Vadovautis jūrininkų sveikatos tikrinimo tvarka</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jūreivių, virėjų</w:t>
                    </w:r>
                  </w:p>
                </w:tc>
                <w:tc>
                  <w:tcPr>
                    <w:tcW w:w="2003" w:type="dxa"/>
                    <w:shd w:val="clear" w:color="auto" w:fill="auto"/>
                  </w:tcPr>
                  <w:p>
                    <w:pPr>
                      <w:widowControl w:val="0"/>
                      <w:ind w:left="360"/>
                      <w:rPr>
                        <w:sz w:val="14"/>
                      </w:rPr>
                    </w:pPr>
                    <w:r>
                      <w:rPr>
                        <w:sz w:val="14"/>
                      </w:rPr>
                      <w:t>rankos, plaštakos, pirštų raumenims, darbo poza,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37004</w:t>
                    </w:r>
                  </w:p>
                </w:tc>
                <w:tc>
                  <w:tcPr>
                    <w:tcW w:w="2003" w:type="dxa"/>
                    <w:tcBorders>
                      <w:bottom w:val="single" w:sz="4" w:space="0" w:color="auto"/>
                    </w:tcBorders>
                    <w:shd w:val="clear" w:color="auto" w:fill="auto"/>
                  </w:tcPr>
                  <w:p>
                    <w:pPr>
                      <w:widowControl w:val="0"/>
                      <w:ind w:left="360"/>
                      <w:rPr>
                        <w:sz w:val="14"/>
                      </w:rPr>
                    </w:pPr>
                    <w:r>
                      <w:rPr>
                        <w:sz w:val="14"/>
                      </w:rPr>
                      <w:t>judėjimo atstumas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31.</w:t>
                    </w:r>
                  </w:p>
                </w:tc>
                <w:tc>
                  <w:tcPr>
                    <w:tcW w:w="2442" w:type="dxa"/>
                    <w:tcBorders>
                      <w:top w:val="single" w:sz="4" w:space="0" w:color="auto"/>
                    </w:tcBorders>
                    <w:shd w:val="clear" w:color="auto" w:fill="auto"/>
                  </w:tcPr>
                  <w:p>
                    <w:pPr>
                      <w:widowControl w:val="0"/>
                      <w:ind w:left="360"/>
                      <w:rPr>
                        <w:sz w:val="14"/>
                      </w:rPr>
                    </w:pPr>
                    <w:r>
                      <w:rPr>
                        <w:sz w:val="14"/>
                      </w:rPr>
                      <w:t xml:space="preserve">Lokomotyvo mašinistų, </w:t>
                    </w:r>
                  </w:p>
                </w:tc>
                <w:tc>
                  <w:tcPr>
                    <w:tcW w:w="2003" w:type="dxa"/>
                    <w:tcBorders>
                      <w:top w:val="single" w:sz="4" w:space="0" w:color="auto"/>
                    </w:tcBorders>
                    <w:shd w:val="clear" w:color="auto" w:fill="auto"/>
                  </w:tcPr>
                  <w:p>
                    <w:pPr>
                      <w:widowControl w:val="0"/>
                      <w:ind w:left="360"/>
                      <w:rPr>
                        <w:sz w:val="14"/>
                      </w:rPr>
                    </w:pPr>
                    <w:r>
                      <w:rPr>
                        <w:sz w:val="14"/>
                      </w:rPr>
                      <w:t>Oro temperatūra, judrus darbas, informacinių</w:t>
                    </w:r>
                  </w:p>
                </w:tc>
                <w:tc>
                  <w:tcPr>
                    <w:tcW w:w="1892" w:type="dxa"/>
                    <w:tcBorders>
                      <w:top w:val="single" w:sz="4" w:space="0" w:color="auto"/>
                    </w:tcBorders>
                    <w:shd w:val="clear" w:color="auto" w:fill="auto"/>
                  </w:tcPr>
                  <w:p>
                    <w:pPr>
                      <w:widowControl w:val="0"/>
                      <w:ind w:left="360"/>
                      <w:rPr>
                        <w:sz w:val="14"/>
                      </w:rPr>
                    </w:pPr>
                    <w:r>
                      <w:rPr>
                        <w:sz w:val="14"/>
                      </w:rPr>
                      <w:t xml:space="preserve">Vadovautis geležinkelio darbuotojų sveikatos tikrinimo tvarka </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padėjėjų, keleivinių trauki-</w:t>
                    </w:r>
                  </w:p>
                </w:tc>
                <w:tc>
                  <w:tcPr>
                    <w:tcW w:w="2003" w:type="dxa"/>
                    <w:shd w:val="clear" w:color="auto" w:fill="auto"/>
                  </w:tcPr>
                  <w:p>
                    <w:pPr>
                      <w:widowControl w:val="0"/>
                      <w:ind w:left="360"/>
                      <w:rPr>
                        <w:sz w:val="14"/>
                      </w:rPr>
                    </w:pPr>
                    <w:r>
                      <w:rPr>
                        <w:sz w:val="14"/>
                      </w:rPr>
                      <w:t>signalų priėmimas, 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nių vagonų palydovų,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stoties budėtojų, SCB ir</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kontaktinio tinklo elektro-</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montuotojų, riedmenų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vagonų remontininkų,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automotoristų, drezinų,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vMerge w:val="restart"/>
                    <w:shd w:val="clear" w:color="auto" w:fill="auto"/>
                  </w:tcPr>
                  <w:p>
                    <w:pPr>
                      <w:widowControl w:val="0"/>
                      <w:ind w:left="360"/>
                      <w:rPr>
                        <w:sz w:val="14"/>
                      </w:rPr>
                    </w:pPr>
                    <w:r>
                      <w:rPr>
                        <w:sz w:val="14"/>
                      </w:rPr>
                      <w:t>geležinkelio kranų mašinistų ir remontininkų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vMerge/>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37006</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32.</w:t>
                    </w:r>
                  </w:p>
                </w:tc>
                <w:tc>
                  <w:tcPr>
                    <w:tcW w:w="2442" w:type="dxa"/>
                    <w:tcBorders>
                      <w:top w:val="single" w:sz="4" w:space="0" w:color="auto"/>
                    </w:tcBorders>
                    <w:shd w:val="clear" w:color="auto" w:fill="auto"/>
                  </w:tcPr>
                  <w:p>
                    <w:pPr>
                      <w:widowControl w:val="0"/>
                      <w:ind w:left="360"/>
                      <w:rPr>
                        <w:sz w:val="14"/>
                      </w:rPr>
                    </w:pPr>
                    <w:r>
                      <w:rPr>
                        <w:sz w:val="14"/>
                      </w:rPr>
                      <w:t>Pašto operatorių, teletaipo,</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Klausos susilpnėjimas (tiriant šnabždesiu – iki 3m)</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telefakso, kompiuterio </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daugiau kaip 6,0D. Regos korekcija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firstLine="36"/>
                      <w:rPr>
                        <w:sz w:val="14"/>
                      </w:rPr>
                    </w:pPr>
                    <w:r>
                      <w:rPr>
                        <w:sz w:val="14"/>
                      </w:rPr>
                      <w:t xml:space="preserve">regos ir klausos analizatoriai, informacinių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37026</w:t>
                    </w:r>
                  </w:p>
                </w:tc>
                <w:tc>
                  <w:tcPr>
                    <w:tcW w:w="2003" w:type="dxa"/>
                    <w:tcBorders>
                      <w:bottom w:val="single" w:sz="4" w:space="0" w:color="auto"/>
                    </w:tcBorders>
                    <w:shd w:val="clear" w:color="auto" w:fill="auto"/>
                  </w:tcPr>
                  <w:p>
                    <w:pPr>
                      <w:widowControl w:val="0"/>
                      <w:ind w:left="360"/>
                      <w:rPr>
                        <w:sz w:val="14"/>
                      </w:rPr>
                    </w:pPr>
                    <w:r>
                      <w:rPr>
                        <w:sz w:val="14"/>
                      </w:rPr>
                      <w:t>signalų priėmimas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33.</w:t>
                    </w:r>
                  </w:p>
                </w:tc>
                <w:tc>
                  <w:tcPr>
                    <w:tcW w:w="2442" w:type="dxa"/>
                    <w:tcBorders>
                      <w:top w:val="single" w:sz="4" w:space="0" w:color="auto"/>
                    </w:tcBorders>
                    <w:shd w:val="clear" w:color="auto" w:fill="auto"/>
                  </w:tcPr>
                  <w:p>
                    <w:pPr>
                      <w:widowControl w:val="0"/>
                      <w:ind w:left="360"/>
                      <w:rPr>
                        <w:sz w:val="14"/>
                      </w:rPr>
                    </w:pPr>
                    <w:r>
                      <w:rPr>
                        <w:sz w:val="14"/>
                      </w:rPr>
                      <w:t>Kirpėjų, kosmetikų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37812</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regos analizatorius,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Rankų odos lėtinės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priėmimas, klausos analizatorius, monotonija, </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08/07</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cheminės medžiagos</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 yra funkcijos sutrikimų</w:t>
                    </w:r>
                  </w:p>
                </w:tc>
              </w:tr>
              <w:tr>
                <w:tc>
                  <w:tcPr>
                    <w:tcW w:w="1209" w:type="dxa"/>
                    <w:tcBorders>
                      <w:top w:val="single" w:sz="4" w:space="0" w:color="auto"/>
                    </w:tcBorders>
                    <w:shd w:val="clear" w:color="auto" w:fill="auto"/>
                  </w:tcPr>
                  <w:p>
                    <w:pPr>
                      <w:widowControl w:val="0"/>
                      <w:ind w:left="360"/>
                      <w:rPr>
                        <w:sz w:val="14"/>
                      </w:rPr>
                    </w:pPr>
                    <w:r>
                      <w:rPr>
                        <w:sz w:val="14"/>
                      </w:rPr>
                      <w:t>34.</w:t>
                    </w:r>
                  </w:p>
                </w:tc>
                <w:tc>
                  <w:tcPr>
                    <w:tcW w:w="2442" w:type="dxa"/>
                    <w:tcBorders>
                      <w:top w:val="single" w:sz="4" w:space="0" w:color="auto"/>
                    </w:tcBorders>
                    <w:shd w:val="clear" w:color="auto" w:fill="auto"/>
                  </w:tcPr>
                  <w:p>
                    <w:pPr>
                      <w:widowControl w:val="0"/>
                      <w:ind w:left="360"/>
                      <w:rPr>
                        <w:sz w:val="14"/>
                      </w:rPr>
                    </w:pPr>
                    <w:r>
                      <w:rPr>
                        <w:sz w:val="14"/>
                      </w:rPr>
                      <w:t>Padavėjų, barmenų, virėjų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37822</w:t>
                    </w:r>
                  </w:p>
                </w:tc>
                <w:tc>
                  <w:tcPr>
                    <w:tcW w:w="2003" w:type="dxa"/>
                    <w:shd w:val="clear" w:color="auto" w:fill="auto"/>
                  </w:tcPr>
                  <w:p>
                    <w:pPr>
                      <w:widowControl w:val="0"/>
                      <w:ind w:left="360"/>
                      <w:rPr>
                        <w:sz w:val="14"/>
                      </w:rPr>
                    </w:pPr>
                    <w:r>
                      <w:rPr>
                        <w:sz w:val="14"/>
                      </w:rPr>
                      <w:t xml:space="preserve">statinis krūvis, darbo poza,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dėmesys, informacinių signalų priėmimas,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analizatorius, aukšta temperatūra – virėjams</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 Regos korekcija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Ryškūs kalbos defektai (padavėjui, barmenui)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35.</w:t>
                    </w:r>
                  </w:p>
                </w:tc>
                <w:tc>
                  <w:tcPr>
                    <w:tcW w:w="2442" w:type="dxa"/>
                    <w:tcBorders>
                      <w:top w:val="single" w:sz="4" w:space="0" w:color="auto"/>
                    </w:tcBorders>
                    <w:shd w:val="clear" w:color="auto" w:fill="auto"/>
                  </w:tcPr>
                  <w:p>
                    <w:pPr>
                      <w:widowControl w:val="0"/>
                      <w:ind w:left="360"/>
                      <w:rPr>
                        <w:sz w:val="14"/>
                      </w:rPr>
                    </w:pPr>
                    <w:r>
                      <w:rPr>
                        <w:sz w:val="14"/>
                      </w:rPr>
                      <w:t>Pardavėjų ir prekių žinovų</w:t>
                    </w:r>
                  </w:p>
                </w:tc>
                <w:tc>
                  <w:tcPr>
                    <w:tcW w:w="2003" w:type="dxa"/>
                    <w:tcBorders>
                      <w:top w:val="single" w:sz="4" w:space="0" w:color="auto"/>
                    </w:tcBorders>
                    <w:shd w:val="clear" w:color="auto" w:fill="auto"/>
                  </w:tcPr>
                  <w:p>
                    <w:pPr>
                      <w:widowControl w:val="0"/>
                      <w:ind w:left="360"/>
                      <w:rPr>
                        <w:sz w:val="14"/>
                      </w:rPr>
                    </w:pPr>
                    <w:r>
                      <w:rPr>
                        <w:sz w:val="14"/>
                      </w:rPr>
                      <w:t xml:space="preserve">Judrus darbas,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 xml:space="preserve">Klausos susilpnėjimas (tiriant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37862</w:t>
                    </w:r>
                  </w:p>
                </w:tc>
                <w:tc>
                  <w:tcPr>
                    <w:tcW w:w="2003" w:type="dxa"/>
                    <w:shd w:val="clear" w:color="auto" w:fill="auto"/>
                  </w:tcPr>
                  <w:p>
                    <w:pPr>
                      <w:widowControl w:val="0"/>
                      <w:ind w:left="360"/>
                      <w:rPr>
                        <w:sz w:val="14"/>
                      </w:rPr>
                    </w:pPr>
                    <w:r>
                      <w:rPr>
                        <w:sz w:val="14"/>
                      </w:rPr>
                      <w:t xml:space="preserve">plaštakos, pirštų raumenims, darbo poza,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Centrinės nervų sistemos ar traumų padariniai su ženkliu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dėmesys, 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judesių sutrikimu, trukdantys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36.</w:t>
                    </w:r>
                  </w:p>
                </w:tc>
                <w:tc>
                  <w:tcPr>
                    <w:tcW w:w="2442" w:type="dxa"/>
                    <w:tcBorders>
                      <w:top w:val="single" w:sz="4" w:space="0" w:color="auto"/>
                    </w:tcBorders>
                    <w:shd w:val="clear" w:color="auto" w:fill="auto"/>
                  </w:tcPr>
                  <w:p>
                    <w:pPr>
                      <w:widowControl w:val="0"/>
                      <w:ind w:left="360"/>
                      <w:rPr>
                        <w:sz w:val="14"/>
                      </w:rPr>
                    </w:pPr>
                    <w:r>
                      <w:rPr>
                        <w:sz w:val="14"/>
                      </w:rPr>
                      <w:t>Viešbučių ir turizmo kompleksų</w:t>
                    </w:r>
                  </w:p>
                </w:tc>
                <w:tc>
                  <w:tcPr>
                    <w:tcW w:w="2003" w:type="dxa"/>
                    <w:tcBorders>
                      <w:top w:val="single" w:sz="4" w:space="0" w:color="auto"/>
                    </w:tcBorders>
                    <w:shd w:val="clear" w:color="auto" w:fill="auto"/>
                  </w:tcPr>
                  <w:p>
                    <w:pPr>
                      <w:widowControl w:val="0"/>
                      <w:ind w:left="360"/>
                      <w:rPr>
                        <w:sz w:val="14"/>
                      </w:rPr>
                    </w:pPr>
                    <w:r>
                      <w:rPr>
                        <w:sz w:val="14"/>
                      </w:rPr>
                      <w:t xml:space="preserve">Judrus darbas,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darbuotojų</w:t>
                    </w:r>
                  </w:p>
                </w:tc>
                <w:tc>
                  <w:tcPr>
                    <w:tcW w:w="2003" w:type="dxa"/>
                    <w:shd w:val="clear" w:color="auto" w:fill="auto"/>
                  </w:tcPr>
                  <w:p>
                    <w:pPr>
                      <w:widowControl w:val="0"/>
                      <w:ind w:left="360"/>
                      <w:rPr>
                        <w:sz w:val="14"/>
                      </w:rPr>
                    </w:pPr>
                    <w:r>
                      <w:rPr>
                        <w:sz w:val="14"/>
                      </w:rPr>
                      <w:t xml:space="preserve">dėmesys, regos, klausos, analizatoriai,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378872</w:t>
                    </w:r>
                  </w:p>
                </w:tc>
                <w:tc>
                  <w:tcPr>
                    <w:tcW w:w="2003" w:type="dxa"/>
                    <w:shd w:val="clear" w:color="auto" w:fill="auto"/>
                  </w:tcPr>
                  <w:p>
                    <w:pPr>
                      <w:widowControl w:val="0"/>
                      <w:ind w:left="360"/>
                      <w:rPr>
                        <w:sz w:val="14"/>
                      </w:rPr>
                    </w:pPr>
                    <w:r>
                      <w:rPr>
                        <w:sz w:val="14"/>
                      </w:rPr>
                      <w:t>judesiai, dalyvaujant rankos, plaštakos, pirštų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raumenims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37.</w:t>
                    </w:r>
                  </w:p>
                </w:tc>
                <w:tc>
                  <w:tcPr>
                    <w:tcW w:w="2442" w:type="dxa"/>
                    <w:tcBorders>
                      <w:top w:val="single" w:sz="4" w:space="0" w:color="auto"/>
                    </w:tcBorders>
                    <w:shd w:val="clear" w:color="auto" w:fill="auto"/>
                  </w:tcPr>
                  <w:p>
                    <w:pPr>
                      <w:widowControl w:val="0"/>
                      <w:ind w:left="360"/>
                      <w:rPr>
                        <w:sz w:val="14"/>
                      </w:rPr>
                    </w:pPr>
                    <w:r>
                      <w:rPr>
                        <w:sz w:val="14"/>
                      </w:rPr>
                      <w:t xml:space="preserve">Drabužių priežiūros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meistrų, floristų</w:t>
                    </w:r>
                  </w:p>
                </w:tc>
                <w:tc>
                  <w:tcPr>
                    <w:tcW w:w="2003" w:type="dxa"/>
                    <w:shd w:val="clear" w:color="auto" w:fill="auto"/>
                  </w:tcPr>
                  <w:p>
                    <w:pPr>
                      <w:widowControl w:val="0"/>
                      <w:ind w:left="360"/>
                      <w:rPr>
                        <w:sz w:val="14"/>
                      </w:rPr>
                    </w:pPr>
                    <w:r>
                      <w:rPr>
                        <w:sz w:val="14"/>
                      </w:rPr>
                      <w:t xml:space="preserve">plaštakos, pirštų raumenims, judrus darbas,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37899</w:t>
                    </w:r>
                  </w:p>
                </w:tc>
                <w:tc>
                  <w:tcPr>
                    <w:tcW w:w="2003" w:type="dxa"/>
                    <w:shd w:val="clear" w:color="auto" w:fill="auto"/>
                  </w:tcPr>
                  <w:p>
                    <w:pPr>
                      <w:widowControl w:val="0"/>
                      <w:ind w:left="360"/>
                      <w:rPr>
                        <w:sz w:val="14"/>
                      </w:rPr>
                    </w:pPr>
                    <w:r>
                      <w:rPr>
                        <w:sz w:val="14"/>
                      </w:rPr>
                      <w:t>darbo poza,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 arba žiedadulkėms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bl>
            <w:p>
              <w:pPr>
                <w:jc w:val="center"/>
                <w:rPr>
                  <w:color w:val="000000"/>
                </w:rPr>
              </w:pPr>
              <w:r>
                <w:rPr>
                  <w:color w:val="000000"/>
                </w:rPr>
                <w:t>______________</w:t>
              </w:r>
            </w:p>
          </w:sdtContent>
        </w:sdt>
      </w:sdtContent>
    </w:sdt>
    <w:sdt>
      <w:sdtPr>
        <w:alias w:val="5 pr."/>
        <w:tag w:val="part_59b26887d2204dea976498ac7b5e5ead"/>
        <w:lock w:val="sdtLocked"/>
        <w:richText/>
      </w:sdtPr>
      <w:sdtContent>
        <w:p>
          <w:pPr>
            <w:keepLines/>
            <w:widowControl w:val="0"/>
            <w:suppressAutoHyphens/>
            <w:ind w:left="5102"/>
            <w:sectPr>
              <w:headerReference w:type="even" r:id="rId39"/>
              <w:headerReference w:type="default" r:id="rId40"/>
              <w:footerReference w:type="even" r:id="rId41"/>
              <w:footerReference w:type="default" r:id="rId42"/>
              <w:headerReference w:type="first" r:id="rId43"/>
              <w:footerReference w:type="first" r:id="rId44"/>
              <w:pgSz w:w="11907" w:h="16840" w:code="9"/>
              <w:pgMar w:top="1134" w:right="1134" w:bottom="1134" w:left="1701" w:header="567" w:footer="284" w:gutter="0"/>
              <w:pgNumType w:start="1"/>
              <w:cols w:space="1296"/>
              <w:titlePg/>
              <w:docGrid w:linePitch="360"/>
            </w:sectPr>
          </w:pPr>
        </w:p>
        <w:p>
          <w:pPr>
            <w:keepLines/>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2011 m. vasario 28 d. </w:t>
          </w:r>
        </w:p>
        <w:p>
          <w:pPr>
            <w:keepLines/>
            <w:widowControl w:val="0"/>
            <w:suppressAutoHyphens/>
            <w:ind w:firstLine="5102"/>
            <w:rPr>
              <w:color w:val="000000"/>
            </w:rPr>
          </w:pPr>
          <w:r>
            <w:rPr>
              <w:color w:val="000000"/>
            </w:rPr>
            <w:t>įsakymo Nr. V-184 redakcija)</w:t>
          </w:r>
        </w:p>
        <w:p>
          <w:pPr>
            <w:keepLines/>
            <w:widowControl w:val="0"/>
            <w:suppressAutoHyphens/>
            <w:ind w:firstLine="5102"/>
            <w:rPr>
              <w:color w:val="000000"/>
            </w:rPr>
          </w:pPr>
          <w:sdt>
            <w:sdtPr>
              <w:alias w:val="Numeris"/>
              <w:tag w:val="nr_59b26887d2204dea976498ac7b5e5ead"/>
              <w:lock w:val="sdtLocked"/>
              <w:richText/>
            </w:sdtPr>
            <w:sdtContent>
              <w:r>
                <w:rPr>
                  <w:color w:val="000000"/>
                </w:rPr>
                <w:t>5</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59b26887d2204dea976498ac7b5e5ead"/>
              <w:lock w:val="sdtLocked"/>
              <w:richText/>
            </w:sdtPr>
            <w:sdtContent>
              <w:r>
                <w:rPr>
                  <w:b/>
                  <w:bCs/>
                  <w:caps/>
                  <w:color w:val="000000"/>
                </w:rPr>
                <w:t>SPORTUOJANČIŲ ASMENŲ SVEIKATOS TIKRINIMO TVARKA</w:t>
              </w:r>
            </w:sdtContent>
          </w:sdt>
        </w:p>
        <w:p>
          <w:pPr>
            <w:widowControl w:val="0"/>
            <w:suppressAutoHyphens/>
            <w:ind w:firstLine="567"/>
            <w:jc w:val="both"/>
            <w:rPr>
              <w:color w:val="000000"/>
            </w:rPr>
          </w:pPr>
        </w:p>
        <w:sdt>
          <w:sdtPr>
            <w:alias w:val="skyrius"/>
            <w:tag w:val="part_334ec0ffc57247ab9dfa1d4d42ed1311"/>
            <w:lock w:val="sdtLocked"/>
            <w:richText/>
          </w:sdtPr>
          <w:sdtContent>
            <w:p>
              <w:pPr>
                <w:keepLines/>
                <w:widowControl w:val="0"/>
                <w:suppressAutoHyphens/>
                <w:jc w:val="center"/>
                <w:rPr>
                  <w:b/>
                  <w:bCs/>
                  <w:caps/>
                  <w:color w:val="000000"/>
                </w:rPr>
              </w:pPr>
              <w:sdt>
                <w:sdtPr>
                  <w:alias w:val="Numeris"/>
                  <w:tag w:val="nr_334ec0ffc57247ab9dfa1d4d42ed1311"/>
                  <w:lock w:val="sdtLocked"/>
                  <w:richText/>
                </w:sdtPr>
                <w:sdtContent>
                  <w:r>
                    <w:rPr>
                      <w:b/>
                      <w:bCs/>
                      <w:caps/>
                      <w:color w:val="000000"/>
                    </w:rPr>
                    <w:t>I</w:t>
                  </w:r>
                </w:sdtContent>
              </w:sdt>
              <w:r>
                <w:rPr>
                  <w:b/>
                  <w:bCs/>
                  <w:caps/>
                  <w:color w:val="000000"/>
                </w:rPr>
                <w:t xml:space="preserve">. </w:t>
              </w:r>
              <w:sdt>
                <w:sdtPr>
                  <w:alias w:val="Pavadinimas"/>
                  <w:tag w:val="title_334ec0ffc57247ab9dfa1d4d42ed1311"/>
                  <w:lock w:val="sdtLocked"/>
                  <w:richText/>
                </w:sdtPr>
                <w:sdtContent>
                  <w:r>
                    <w:rPr>
                      <w:b/>
                      <w:bCs/>
                      <w:caps/>
                      <w:color w:val="000000"/>
                    </w:rPr>
                    <w:t>BENROSIOS NUOSTATOS</w:t>
                  </w:r>
                </w:sdtContent>
              </w:sdt>
            </w:p>
            <w:p>
              <w:pPr>
                <w:widowControl w:val="0"/>
                <w:suppressAutoHyphens/>
                <w:ind w:firstLine="567"/>
                <w:jc w:val="both"/>
                <w:rPr>
                  <w:color w:val="000000"/>
                </w:rPr>
              </w:pPr>
            </w:p>
            <w:sdt>
              <w:sdtPr>
                <w:alias w:val="5 pr. 1.1 p."/>
                <w:tag w:val="part_6a9c3005e75c4ccc81f8f5eacfca76cb"/>
                <w:lock w:val="sdtLocked"/>
                <w:richText/>
              </w:sdtPr>
              <w:sdtContent>
                <w:p>
                  <w:pPr>
                    <w:widowControl w:val="0"/>
                    <w:suppressAutoHyphens/>
                    <w:ind w:firstLine="567"/>
                    <w:jc w:val="both"/>
                    <w:rPr>
                      <w:color w:val="000000"/>
                    </w:rPr>
                  </w:pPr>
                  <w:sdt>
                    <w:sdtPr>
                      <w:alias w:val="Numeris"/>
                      <w:tag w:val="nr_6a9c3005e75c4ccc81f8f5eacfca76cb"/>
                      <w:lock w:val="sdtLocked"/>
                      <w:richText/>
                    </w:sdtPr>
                    <w:sdtContent>
                      <w:r>
                        <w:rPr>
                          <w:color w:val="000000"/>
                        </w:rPr>
                        <w:t>1.1</w:t>
                      </w:r>
                    </w:sdtContent>
                  </w:sdt>
                  <w:r>
                    <w:rPr>
                      <w:color w:val="000000"/>
                    </w:rPr>
                    <w:t>. Asmenys, lankantys bet kokias organizuotas kūno kultūros ir sporto pratybas bei dalyvaujantys varžybose, privalo reguliariai tikrintis sveikatą.</w:t>
                  </w:r>
                </w:p>
              </w:sdtContent>
            </w:sdt>
            <w:sdt>
              <w:sdtPr>
                <w:alias w:val="5 pr. 1.2 p."/>
                <w:tag w:val="part_cb391d7ee2d84a5190a9ba857d3620f0"/>
                <w:lock w:val="sdtLocked"/>
                <w:richText/>
              </w:sdtPr>
              <w:sdtContent>
                <w:p>
                  <w:pPr>
                    <w:widowControl w:val="0"/>
                    <w:suppressAutoHyphens/>
                    <w:ind w:firstLine="567"/>
                    <w:jc w:val="both"/>
                    <w:rPr>
                      <w:strike/>
                      <w:color w:val="000000"/>
                    </w:rPr>
                  </w:pPr>
                  <w:sdt>
                    <w:sdtPr>
                      <w:alias w:val="Numeris"/>
                      <w:tag w:val="nr_cb391d7ee2d84a5190a9ba857d3620f0"/>
                      <w:lock w:val="sdtLocked"/>
                      <w:richText/>
                    </w:sdtPr>
                    <w:sdtContent>
                      <w:r>
                        <w:rPr>
                          <w:color w:val="000000"/>
                        </w:rPr>
                        <w:t>1.2</w:t>
                      </w:r>
                    </w:sdtContent>
                  </w:sdt>
                  <w:r>
                    <w:rPr>
                      <w:color w:val="000000"/>
                    </w:rPr>
                    <w:t>. Profilaktiškai sveikatą tikrina:</w:t>
                  </w:r>
                </w:p>
                <w:sdt>
                  <w:sdtPr>
                    <w:alias w:val="5 pr. 1.2.1 p."/>
                    <w:tag w:val="part_c027bd23fe8b4a2d803c53924c38c16b"/>
                    <w:lock w:val="sdtLocked"/>
                    <w:richText/>
                  </w:sdtPr>
                  <w:sdtContent>
                    <w:p>
                      <w:pPr>
                        <w:widowControl w:val="0"/>
                        <w:suppressAutoHyphens/>
                        <w:ind w:firstLine="567"/>
                        <w:jc w:val="both"/>
                        <w:rPr>
                          <w:color w:val="000000"/>
                        </w:rPr>
                      </w:pPr>
                      <w:sdt>
                        <w:sdtPr>
                          <w:alias w:val="Numeris"/>
                          <w:tag w:val="nr_c027bd23fe8b4a2d803c53924c38c16b"/>
                          <w:lock w:val="sdtLocked"/>
                          <w:richText/>
                        </w:sdtPr>
                        <w:sdtContent>
                          <w:r>
                            <w:rPr>
                              <w:color w:val="000000"/>
                            </w:rPr>
                            <w:t>1.2.1</w:t>
                          </w:r>
                        </w:sdtContent>
                      </w:sdt>
                      <w:r>
                        <w:rPr>
                          <w:color w:val="000000"/>
                        </w:rPr>
                        <w:t>. sportininkų, kurie sistemingai ir nuolat treniruojasi, dalyvauja sporto varžybose, – sporto medicinos centrų sporto medicinos gydytojai, privalomai arba prireikus konsultuodamiesi su šiame priede nurodytų ir kitų profesinių kvalifikacijų gydytojais ir skiria privalomus arba, esant indikacijų, kitus tyrimus;</w:t>
                      </w:r>
                    </w:p>
                  </w:sdtContent>
                </w:sdt>
                <w:sdt>
                  <w:sdtPr>
                    <w:alias w:val="5 pr. 1.2.2 p."/>
                    <w:tag w:val="part_8cd7689ca6c54aec813cb970fd88d804"/>
                    <w:lock w:val="sdtLocked"/>
                    <w:richText/>
                  </w:sdtPr>
                  <w:sdtContent>
                    <w:p>
                      <w:pPr>
                        <w:widowControl w:val="0"/>
                        <w:suppressAutoHyphens/>
                        <w:ind w:firstLine="567"/>
                        <w:jc w:val="both"/>
                        <w:rPr>
                          <w:color w:val="000000"/>
                        </w:rPr>
                      </w:pPr>
                      <w:sdt>
                        <w:sdtPr>
                          <w:alias w:val="Numeris"/>
                          <w:tag w:val="nr_8cd7689ca6c54aec813cb970fd88d804"/>
                          <w:lock w:val="sdtLocked"/>
                          <w:richText/>
                        </w:sdtPr>
                        <w:sdtContent>
                          <w:r>
                            <w:rPr>
                              <w:color w:val="000000"/>
                            </w:rPr>
                            <w:t>1.2.2</w:t>
                          </w:r>
                        </w:sdtContent>
                      </w:sdt>
                      <w:r>
                        <w:rPr>
                          <w:color w:val="000000"/>
                        </w:rPr>
                        <w:t>. sportuotojų, kurie laikosi sveikos gyvensenos principų, ir sporto mokymo įstaigų pradinio rengimo grupių narių – profilaktinius sveikatos tikrinimus atliekantys šeimos medicinos paslaugas teikiantys gydytojai, privalomai arba prireikus konsultuodamiesi su šiame priede nurodytų ir kitų profesinių kvalifikacijų gydytojais ir skiria privalomus arba, esant indikacijų, kitus tyrimus;</w:t>
                      </w:r>
                    </w:p>
                  </w:sdtContent>
                </w:sdt>
                <w:sdt>
                  <w:sdtPr>
                    <w:alias w:val="5 pr. 1.2.3 p."/>
                    <w:tag w:val="part_5ee490924fb34673b0f4bda2bfc66940"/>
                    <w:lock w:val="sdtLocked"/>
                    <w:richText/>
                  </w:sdtPr>
                  <w:sdtContent>
                    <w:p>
                      <w:pPr>
                        <w:widowControl w:val="0"/>
                        <w:suppressAutoHyphens/>
                        <w:ind w:firstLine="567"/>
                        <w:jc w:val="both"/>
                        <w:rPr>
                          <w:color w:val="000000"/>
                        </w:rPr>
                      </w:pPr>
                      <w:sdt>
                        <w:sdtPr>
                          <w:alias w:val="Numeris"/>
                          <w:tag w:val="nr_5ee490924fb34673b0f4bda2bfc66940"/>
                          <w:lock w:val="sdtLocked"/>
                          <w:richText/>
                        </w:sdtPr>
                        <w:sdtContent>
                          <w:r>
                            <w:rPr>
                              <w:color w:val="000000"/>
                            </w:rPr>
                            <w:t>1.2.3</w:t>
                          </w:r>
                        </w:sdtContent>
                      </w:sdt>
                      <w:r>
                        <w:rPr>
                          <w:color w:val="000000"/>
                        </w:rPr>
                        <w:t>. Lietuvos olimpinės ir atskirų sporto šakų rinktinių narių – sporto medicinos centrų gydytojai, privalomai arba prireikus konsultuodamiesi su šiame priede nurodytų ir kitų profesinių kvalifikacijų gydytojais ir skiria privalomus arba, esant indikacijų, kitus tyrimus;</w:t>
                      </w:r>
                    </w:p>
                  </w:sdtContent>
                </w:sdt>
                <w:sdt>
                  <w:sdtPr>
                    <w:alias w:val="5 pr. 1.2.4 p."/>
                    <w:tag w:val="part_801cade7899849fa9fa2a34696325879"/>
                    <w:lock w:val="sdtLocked"/>
                    <w:richText/>
                  </w:sdtPr>
                  <w:sdtContent>
                    <w:p>
                      <w:pPr>
                        <w:widowControl w:val="0"/>
                        <w:suppressAutoHyphens/>
                        <w:ind w:firstLine="567"/>
                        <w:jc w:val="both"/>
                        <w:rPr>
                          <w:color w:val="000000"/>
                        </w:rPr>
                      </w:pPr>
                      <w:sdt>
                        <w:sdtPr>
                          <w:alias w:val="Numeris"/>
                          <w:tag w:val="nr_801cade7899849fa9fa2a34696325879"/>
                          <w:lock w:val="sdtLocked"/>
                          <w:richText/>
                        </w:sdtPr>
                        <w:sdtContent>
                          <w:r>
                            <w:rPr>
                              <w:color w:val="000000"/>
                            </w:rPr>
                            <w:t>1.2.4</w:t>
                          </w:r>
                        </w:sdtContent>
                      </w:sdt>
                      <w:r>
                        <w:rPr>
                          <w:color w:val="000000"/>
                        </w:rPr>
                        <w:t xml:space="preserve">. neįgalieji sportininkai su amputuotomis galūnėmis, stuburo smegenų pažeidimais ar turintys cerebrinį paralyžių, silpnaregiai ar kurtieji tikrinami bendra tvarka. Papildomai jiems, išskyrus kurčiuosius, vadovaujantis Lietuvos Respublikos sveikatos apsaugos ministro 1996 m. lapkričio 22 d. įsakymu Nr. 598 „Dėl sportuojančių asmenų su negalia medicininio ištyrimo“ (Žin., 1996, Nr. </w:t>
                      </w:r>
                      <w:hyperlink r:id="rId86" w:tgtFrame="_blank" w:history="1">
                        <w:r>
                          <w:rPr>
                            <w:color w:val="0000FF" w:themeColor="hyperlink"/>
                            <w:u w:val="single"/>
                          </w:rPr>
                          <w:t>115-2684</w:t>
                        </w:r>
                      </w:hyperlink>
                      <w:r>
                        <w:rPr>
                          <w:color w:val="000000"/>
                        </w:rPr>
                        <w:t>) bei metodinėmis rekomendacijomis, turi būti nustatyta medicininė ir funkcinė klasifikacija. Medicininei ir funkcinei klasifikacijai tinkamai atlikti neįgaliuosius patartina siųsti į sporto medicinos centrus.</w:t>
                      </w:r>
                    </w:p>
                  </w:sdtContent>
                </w:sdt>
              </w:sdtContent>
            </w:sdt>
            <w:sdt>
              <w:sdtPr>
                <w:alias w:val="5 pr. 1.3 p."/>
                <w:tag w:val="part_5295d6c8c88c45b6bf644d70122a1856"/>
                <w:lock w:val="sdtLocked"/>
                <w:richText/>
              </w:sdtPr>
              <w:sdtContent>
                <w:p>
                  <w:pPr>
                    <w:widowControl w:val="0"/>
                    <w:suppressAutoHyphens/>
                    <w:ind w:firstLine="567"/>
                    <w:jc w:val="both"/>
                    <w:rPr>
                      <w:color w:val="000000"/>
                    </w:rPr>
                  </w:pPr>
                  <w:sdt>
                    <w:sdtPr>
                      <w:alias w:val="Numeris"/>
                      <w:tag w:val="nr_5295d6c8c88c45b6bf644d70122a1856"/>
                      <w:lock w:val="sdtLocked"/>
                      <w:richText/>
                    </w:sdtPr>
                    <w:sdtContent>
                      <w:r>
                        <w:rPr>
                          <w:color w:val="000000"/>
                        </w:rPr>
                        <w:t>1.3</w:t>
                      </w:r>
                    </w:sdtContent>
                  </w:sdt>
                  <w:r>
                    <w:rPr>
                      <w:color w:val="000000"/>
                    </w:rPr>
                    <w:t>. Sportininkų ir sportuotojų sveikatą tikrinantys sporto medicinos centrų sporto medicinos gydytojai arba šeimos medicinos paslaugas teikiantys gydytojai:</w:t>
                  </w:r>
                </w:p>
                <w:sdt>
                  <w:sdtPr>
                    <w:alias w:val="5 pr. 1.3.1 p."/>
                    <w:tag w:val="part_01a5f330ce4849c680df9b673a2c898e"/>
                    <w:lock w:val="sdtLocked"/>
                    <w:richText/>
                  </w:sdtPr>
                  <w:sdtContent>
                    <w:p>
                      <w:pPr>
                        <w:widowControl w:val="0"/>
                        <w:suppressAutoHyphens/>
                        <w:ind w:firstLine="567"/>
                        <w:jc w:val="both"/>
                        <w:rPr>
                          <w:color w:val="000000"/>
                        </w:rPr>
                      </w:pPr>
                      <w:sdt>
                        <w:sdtPr>
                          <w:alias w:val="Numeris"/>
                          <w:tag w:val="nr_01a5f330ce4849c680df9b673a2c898e"/>
                          <w:lock w:val="sdtLocked"/>
                          <w:richText/>
                        </w:sdtPr>
                        <w:sdtContent>
                          <w:r>
                            <w:rPr>
                              <w:color w:val="000000"/>
                            </w:rPr>
                            <w:t>1.3.1</w:t>
                          </w:r>
                        </w:sdtContent>
                      </w:sdt>
                      <w:r>
                        <w:rPr>
                          <w:color w:val="000000"/>
                        </w:rPr>
                        <w:t>. įvertina tiriamojo sveikatos bei funkcinę būkles;</w:t>
                      </w:r>
                    </w:p>
                  </w:sdtContent>
                </w:sdt>
                <w:sdt>
                  <w:sdtPr>
                    <w:alias w:val="5 pr. 1.3.2 p."/>
                    <w:tag w:val="part_82cf3d0588014e788542ec17288b1e4d"/>
                    <w:lock w:val="sdtLocked"/>
                    <w:richText/>
                  </w:sdtPr>
                  <w:sdtContent>
                    <w:p>
                      <w:pPr>
                        <w:widowControl w:val="0"/>
                        <w:suppressAutoHyphens/>
                        <w:ind w:firstLine="567"/>
                        <w:jc w:val="both"/>
                        <w:rPr>
                          <w:color w:val="000000"/>
                        </w:rPr>
                      </w:pPr>
                      <w:sdt>
                        <w:sdtPr>
                          <w:alias w:val="Numeris"/>
                          <w:tag w:val="nr_82cf3d0588014e788542ec17288b1e4d"/>
                          <w:lock w:val="sdtLocked"/>
                          <w:richText/>
                        </w:sdtPr>
                        <w:sdtContent>
                          <w:r>
                            <w:rPr>
                              <w:color w:val="000000"/>
                            </w:rPr>
                            <w:t>1.3.2</w:t>
                          </w:r>
                        </w:sdtContent>
                      </w:sdt>
                      <w:r>
                        <w:rPr>
                          <w:color w:val="000000"/>
                        </w:rPr>
                        <w:t>. siunčia, esant indikacijų, pas kitus specialistus konsultuotis ir tirtis;</w:t>
                      </w:r>
                    </w:p>
                  </w:sdtContent>
                </w:sdt>
                <w:sdt>
                  <w:sdtPr>
                    <w:alias w:val="5 pr. 1.3.3 p."/>
                    <w:tag w:val="part_80e829756878485cb6bea1ac13538c98"/>
                    <w:lock w:val="sdtLocked"/>
                    <w:richText/>
                  </w:sdtPr>
                  <w:sdtContent>
                    <w:p>
                      <w:pPr>
                        <w:widowControl w:val="0"/>
                        <w:suppressAutoHyphens/>
                        <w:ind w:firstLine="567"/>
                        <w:jc w:val="both"/>
                        <w:rPr>
                          <w:color w:val="000000"/>
                        </w:rPr>
                      </w:pPr>
                      <w:sdt>
                        <w:sdtPr>
                          <w:alias w:val="Numeris"/>
                          <w:tag w:val="nr_80e829756878485cb6bea1ac13538c98"/>
                          <w:lock w:val="sdtLocked"/>
                          <w:richText/>
                        </w:sdtPr>
                        <w:sdtContent>
                          <w:r>
                            <w:rPr>
                              <w:color w:val="000000"/>
                            </w:rPr>
                            <w:t>1.3.3</w:t>
                          </w:r>
                        </w:sdtContent>
                      </w:sdt>
                      <w:r>
                        <w:rPr>
                          <w:color w:val="000000"/>
                        </w:rPr>
                        <w:t>. daro išvadą apie tiriamojo asmens galimybes lankyti pasirinktos sportinės veiklos pratybas ir dalyvauti varžybose („sveikas“, „gali dalyvauti pasirinktos sporto šakos treniruotėse ir varžybose“), teikia atitinkamas rekomendacijas dėl fizinio krūvio intensyvumo, traumų profilaktikos, nurodo pakartotinės patikros datą;</w:t>
                      </w:r>
                    </w:p>
                  </w:sdtContent>
                </w:sdt>
                <w:sdt>
                  <w:sdtPr>
                    <w:alias w:val="5 pr. 1.3.4 p."/>
                    <w:tag w:val="part_956e7a0a09e94fcda970c7954ab8fcb1"/>
                    <w:lock w:val="sdtLocked"/>
                    <w:richText/>
                  </w:sdtPr>
                  <w:sdtContent>
                    <w:p>
                      <w:pPr>
                        <w:widowControl w:val="0"/>
                        <w:suppressAutoHyphens/>
                        <w:ind w:firstLine="567"/>
                        <w:jc w:val="both"/>
                        <w:rPr>
                          <w:color w:val="000000"/>
                        </w:rPr>
                      </w:pPr>
                      <w:sdt>
                        <w:sdtPr>
                          <w:alias w:val="Numeris"/>
                          <w:tag w:val="nr_956e7a0a09e94fcda970c7954ab8fcb1"/>
                          <w:lock w:val="sdtLocked"/>
                          <w:richText/>
                        </w:sdtPr>
                        <w:sdtContent>
                          <w:r>
                            <w:rPr>
                              <w:color w:val="000000"/>
                            </w:rPr>
                            <w:t>1.3.4</w:t>
                          </w:r>
                        </w:sdtContent>
                      </w:sdt>
                      <w:r>
                        <w:rPr>
                          <w:color w:val="000000"/>
                        </w:rPr>
                        <w:t>. pagal kompetenciją gydo sportininkus ir sportuotojus;</w:t>
                      </w:r>
                    </w:p>
                  </w:sdtContent>
                </w:sdt>
                <w:sdt>
                  <w:sdtPr>
                    <w:alias w:val="5 pr. 1.3.5 p."/>
                    <w:tag w:val="part_11bed6c7bdac4230a847f60ebbd576a5"/>
                    <w:lock w:val="sdtLocked"/>
                    <w:richText/>
                  </w:sdtPr>
                  <w:sdtContent>
                    <w:p>
                      <w:pPr>
                        <w:widowControl w:val="0"/>
                        <w:suppressAutoHyphens/>
                        <w:ind w:firstLine="567"/>
                        <w:jc w:val="both"/>
                        <w:rPr>
                          <w:color w:val="000000"/>
                        </w:rPr>
                      </w:pPr>
                      <w:sdt>
                        <w:sdtPr>
                          <w:alias w:val="Numeris"/>
                          <w:tag w:val="nr_11bed6c7bdac4230a847f60ebbd576a5"/>
                          <w:lock w:val="sdtLocked"/>
                          <w:richText/>
                        </w:sdtPr>
                        <w:sdtContent>
                          <w:r>
                            <w:rPr>
                              <w:color w:val="000000"/>
                            </w:rPr>
                            <w:t>1.3.5</w:t>
                          </w:r>
                        </w:sdtContent>
                      </w:sdt>
                      <w:r>
                        <w:rPr>
                          <w:color w:val="000000"/>
                        </w:rPr>
                        <w:t>. sudėtingais atvejais pirminės sveikatos priežiūros įstaigos profilaktinę sveikatos patikrą atliekantys šeimos medicinos paslaugas teikiantys gydytojai siunčia sportuojančius asmenis į artimiausius sporto medicinos centrus.</w:t>
                      </w:r>
                    </w:p>
                  </w:sdtContent>
                </w:sdt>
              </w:sdtContent>
            </w:sdt>
            <w:sdt>
              <w:sdtPr>
                <w:alias w:val="5 pr. 1.4 p."/>
                <w:tag w:val="part_d5d464c9996a463080aefee8bd2ff0f0"/>
                <w:lock w:val="sdtLocked"/>
                <w:richText/>
              </w:sdtPr>
              <w:sdtContent>
                <w:p>
                  <w:pPr>
                    <w:widowControl w:val="0"/>
                    <w:suppressAutoHyphens/>
                    <w:ind w:firstLine="567"/>
                    <w:jc w:val="both"/>
                    <w:rPr>
                      <w:color w:val="000000"/>
                    </w:rPr>
                  </w:pPr>
                  <w:sdt>
                    <w:sdtPr>
                      <w:alias w:val="Numeris"/>
                      <w:tag w:val="nr_d5d464c9996a463080aefee8bd2ff0f0"/>
                      <w:lock w:val="sdtLocked"/>
                      <w:richText/>
                    </w:sdtPr>
                    <w:sdtContent>
                      <w:r>
                        <w:rPr>
                          <w:color w:val="000000"/>
                        </w:rPr>
                        <w:t>1.4</w:t>
                      </w:r>
                    </w:sdtContent>
                  </w:sdt>
                  <w:r>
                    <w:rPr>
                      <w:color w:val="000000"/>
                    </w:rPr>
                    <w:t xml:space="preserve">. </w:t>
                  </w:r>
                  <w:r>
                    <w:rPr>
                      <w:caps/>
                      <w:color w:val="000000"/>
                    </w:rPr>
                    <w:t>s</w:t>
                  </w:r>
                  <w:r>
                    <w:rPr>
                      <w:color w:val="000000"/>
                    </w:rPr>
                    <w:t>portininkų, kurie sistemingai ir intensyviai treniruojasi, siekia aukštų sporto rezultatų, sveikatą tikrinantys sporto medicinos centrų sporto medicinos gydytojai papildomai:</w:t>
                  </w:r>
                </w:p>
                <w:sdt>
                  <w:sdtPr>
                    <w:alias w:val="5 pr. 1.4.1 p."/>
                    <w:tag w:val="part_85b65c2e24394014a943166da63498d0"/>
                    <w:lock w:val="sdtLocked"/>
                    <w:richText/>
                  </w:sdtPr>
                  <w:sdtContent>
                    <w:p>
                      <w:pPr>
                        <w:widowControl w:val="0"/>
                        <w:suppressAutoHyphens/>
                        <w:ind w:firstLine="567"/>
                        <w:jc w:val="both"/>
                        <w:rPr>
                          <w:color w:val="000000"/>
                        </w:rPr>
                      </w:pPr>
                      <w:sdt>
                        <w:sdtPr>
                          <w:alias w:val="Numeris"/>
                          <w:tag w:val="nr_85b65c2e24394014a943166da63498d0"/>
                          <w:lock w:val="sdtLocked"/>
                          <w:richText/>
                        </w:sdtPr>
                        <w:sdtContent>
                          <w:r>
                            <w:rPr>
                              <w:color w:val="000000"/>
                            </w:rPr>
                            <w:t>1.4.1</w:t>
                          </w:r>
                        </w:sdtContent>
                      </w:sdt>
                      <w:r>
                        <w:rPr>
                          <w:color w:val="000000"/>
                        </w:rPr>
                        <w:t>. nustato fizinį išsivystymą, funkcinių organizmo rezervų rodiklius, organizmo prisitaikymą prie pasirinktos sportinės veiklos bei fizinių krūvių;</w:t>
                      </w:r>
                    </w:p>
                  </w:sdtContent>
                </w:sdt>
                <w:sdt>
                  <w:sdtPr>
                    <w:alias w:val="5 pr. 1.4.2 p."/>
                    <w:tag w:val="part_a4c36ebe457d4193a36874ea109a7eea"/>
                    <w:lock w:val="sdtLocked"/>
                    <w:richText/>
                  </w:sdtPr>
                  <w:sdtContent>
                    <w:p>
                      <w:pPr>
                        <w:widowControl w:val="0"/>
                        <w:suppressAutoHyphens/>
                        <w:ind w:firstLine="567"/>
                        <w:jc w:val="both"/>
                        <w:rPr>
                          <w:color w:val="000000"/>
                        </w:rPr>
                      </w:pPr>
                      <w:sdt>
                        <w:sdtPr>
                          <w:alias w:val="Numeris"/>
                          <w:tag w:val="nr_a4c36ebe457d4193a36874ea109a7eea"/>
                          <w:lock w:val="sdtLocked"/>
                          <w:richText/>
                        </w:sdtPr>
                        <w:sdtContent>
                          <w:r>
                            <w:rPr>
                              <w:color w:val="000000"/>
                            </w:rPr>
                            <w:t>1.4.2</w:t>
                          </w:r>
                        </w:sdtContent>
                      </w:sdt>
                      <w:r>
                        <w:rPr>
                          <w:color w:val="000000"/>
                        </w:rPr>
                        <w:t>. sudaro ir vykdo sportininkų organizmo atsigavimo po treniruočių krūvių skatinimo programas;</w:t>
                      </w:r>
                    </w:p>
                  </w:sdtContent>
                </w:sdt>
                <w:sdt>
                  <w:sdtPr>
                    <w:alias w:val="5 pr. 1.4.3 p."/>
                    <w:tag w:val="part_1420c54d1f0a41c8a51cb68f58834585"/>
                    <w:lock w:val="sdtLocked"/>
                    <w:richText/>
                  </w:sdtPr>
                  <w:sdtContent>
                    <w:p>
                      <w:pPr>
                        <w:widowControl w:val="0"/>
                        <w:suppressAutoHyphens/>
                        <w:ind w:firstLine="567"/>
                        <w:jc w:val="both"/>
                        <w:rPr>
                          <w:color w:val="000000"/>
                        </w:rPr>
                      </w:pPr>
                      <w:sdt>
                        <w:sdtPr>
                          <w:alias w:val="Numeris"/>
                          <w:tag w:val="nr_1420c54d1f0a41c8a51cb68f58834585"/>
                          <w:lock w:val="sdtLocked"/>
                          <w:richText/>
                        </w:sdtPr>
                        <w:sdtContent>
                          <w:r>
                            <w:rPr>
                              <w:color w:val="000000"/>
                            </w:rPr>
                            <w:t>1.4.3</w:t>
                          </w:r>
                        </w:sdtContent>
                      </w:sdt>
                      <w:r>
                        <w:rPr>
                          <w:color w:val="000000"/>
                        </w:rPr>
                        <w:t>. vykdo sportininkų pratybų ir mokomųjų treniruočių stovyklų specializuotą medicininę priežiūrą (vykdo funkcinį testavimą ir vertina sportininkų organizmo prisitaikymą prie krūvių, registruoja, gydo traumas ir ligas, teikia ataskaitą renginio organizatoriams ir sporto medicinos centro direktoriui ir kt.).</w:t>
                      </w:r>
                    </w:p>
                  </w:sdtContent>
                </w:sdt>
              </w:sdtContent>
            </w:sdt>
            <w:sdt>
              <w:sdtPr>
                <w:alias w:val="5 pr. 1.5 p."/>
                <w:tag w:val="part_a57e46f2427f4fcdb9d3176308bbb82f"/>
                <w:lock w:val="sdtLocked"/>
                <w:richText/>
              </w:sdtPr>
              <w:sdtContent>
                <w:p>
                  <w:pPr>
                    <w:widowControl w:val="0"/>
                    <w:suppressAutoHyphens/>
                    <w:ind w:firstLine="567"/>
                    <w:jc w:val="both"/>
                    <w:rPr>
                      <w:color w:val="000000"/>
                    </w:rPr>
                  </w:pPr>
                  <w:sdt>
                    <w:sdtPr>
                      <w:alias w:val="Numeris"/>
                      <w:tag w:val="nr_a57e46f2427f4fcdb9d3176308bbb82f"/>
                      <w:lock w:val="sdtLocked"/>
                      <w:richText/>
                    </w:sdtPr>
                    <w:sdtContent>
                      <w:r>
                        <w:rPr>
                          <w:color w:val="000000"/>
                          <w:spacing w:val="-4"/>
                        </w:rPr>
                        <w:t>1.5</w:t>
                      </w:r>
                    </w:sdtContent>
                  </w:sdt>
                  <w:r>
                    <w:rPr>
                      <w:color w:val="000000"/>
                      <w:spacing w:val="-4"/>
                    </w:rPr>
                    <w:t>. Profilaktinio sveikatos tikrinimo ir tyrimų duomenys įrašomi į sportuojančio asmens sveikatos tikrinimo kortelę (forma Nr. 061/a) ir pažymimi asmens sveikatos istorijoje (forma Nr. 025a) arba vaiko sveikatos raidos istorijoje (forma Nr. 025-112a).</w:t>
                  </w:r>
                </w:p>
              </w:sdtContent>
            </w:sdt>
            <w:sdt>
              <w:sdtPr>
                <w:alias w:val="5 pr. 1.6 p."/>
                <w:tag w:val="part_ad146f783f8345b485e7c1d444653554"/>
                <w:lock w:val="sdtLocked"/>
                <w:richText/>
              </w:sdtPr>
              <w:sdtContent>
                <w:p>
                  <w:pPr>
                    <w:widowControl w:val="0"/>
                    <w:suppressAutoHyphens/>
                    <w:ind w:firstLine="567"/>
                    <w:jc w:val="both"/>
                    <w:rPr>
                      <w:color w:val="000000"/>
                      <w:spacing w:val="-9"/>
                    </w:rPr>
                  </w:pPr>
                  <w:sdt>
                    <w:sdtPr>
                      <w:alias w:val="Numeris"/>
                      <w:tag w:val="nr_ad146f783f8345b485e7c1d444653554"/>
                      <w:lock w:val="sdtLocked"/>
                      <w:richText/>
                    </w:sdtPr>
                    <w:sdtContent>
                      <w:r>
                        <w:rPr>
                          <w:color w:val="000000"/>
                          <w:spacing w:val="-9"/>
                        </w:rPr>
                        <w:t>1.6</w:t>
                      </w:r>
                    </w:sdtContent>
                  </w:sdt>
                  <w:r>
                    <w:rPr>
                      <w:color w:val="000000"/>
                      <w:spacing w:val="-9"/>
                    </w:rPr>
                    <w:t>. Už sportininkų treniravimąsi ir dalyvavimą sporto varžybose be gydytojo leidimo atsako treneriai, varžybų vyriausieji teisėjai.</w:t>
                  </w:r>
                </w:p>
              </w:sdtContent>
            </w:sdt>
            <w:sdt>
              <w:sdtPr>
                <w:alias w:val="5 pr. 1.7 p."/>
                <w:tag w:val="part_41f80241da66462982c0f03493f67182"/>
                <w:lock w:val="sdtLocked"/>
                <w:richText/>
              </w:sdtPr>
              <w:sdtContent>
                <w:p>
                  <w:pPr>
                    <w:widowControl w:val="0"/>
                    <w:suppressAutoHyphens/>
                    <w:ind w:firstLine="567"/>
                    <w:jc w:val="both"/>
                    <w:rPr>
                      <w:color w:val="000000"/>
                    </w:rPr>
                  </w:pPr>
                  <w:sdt>
                    <w:sdtPr>
                      <w:alias w:val="Numeris"/>
                      <w:tag w:val="nr_41f80241da66462982c0f03493f67182"/>
                      <w:lock w:val="sdtLocked"/>
                      <w:richText/>
                    </w:sdtPr>
                    <w:sdtContent>
                      <w:r>
                        <w:rPr>
                          <w:color w:val="000000"/>
                          <w:spacing w:val="-9"/>
                        </w:rPr>
                        <w:t>1.7</w:t>
                      </w:r>
                    </w:sdtContent>
                  </w:sdt>
                  <w:r>
                    <w:rPr>
                      <w:color w:val="000000"/>
                      <w:spacing w:val="-9"/>
                    </w:rPr>
                    <w:t>. Sportuojančių asmenų sveikatos priežiūros paslaugos, teikiamos sporto medicinos centruose, apmokamos iš valstybės biudžeto.</w:t>
                  </w:r>
                </w:p>
              </w:sdtContent>
            </w:sdt>
            <w:sdt>
              <w:sdtPr>
                <w:alias w:val="5 pr. 1.8 p."/>
                <w:tag w:val="part_57c6a1c4b5b840bcaf27cc6a60096781"/>
                <w:lock w:val="sdtLocked"/>
                <w:richText/>
              </w:sdtPr>
              <w:sdtContent>
                <w:p>
                  <w:pPr>
                    <w:widowControl w:val="0"/>
                    <w:suppressAutoHyphens/>
                    <w:ind w:firstLine="567"/>
                    <w:jc w:val="both"/>
                    <w:rPr>
                      <w:color w:val="000000"/>
                    </w:rPr>
                  </w:pPr>
                  <w:sdt>
                    <w:sdtPr>
                      <w:alias w:val="Numeris"/>
                      <w:tag w:val="nr_57c6a1c4b5b840bcaf27cc6a60096781"/>
                      <w:lock w:val="sdtLocked"/>
                      <w:richText/>
                    </w:sdtPr>
                    <w:sdtContent>
                      <w:r>
                        <w:rPr>
                          <w:color w:val="000000"/>
                        </w:rPr>
                        <w:t>1.8</w:t>
                      </w:r>
                    </w:sdtContent>
                  </w:sdt>
                  <w:r>
                    <w:rPr>
                      <w:color w:val="000000"/>
                    </w:rPr>
                    <w:t>. Sportininkų ir sportuotojų sveikatą tikrinantys sporto medicinos centrų sporto medicinos gydytojai arba šeimos medicinos paslaugas teikiantys pirminės sveikatos priežiūros įstaigų gydytojai vadovaujasi sporto šakų klasifikacija pagal dinaminio ir statinio fizinio krūvio (toliau – SDK klasifikacija) poveikį:</w:t>
                  </w:r>
                </w:p>
                <w:p>
                  <w:pPr>
                    <w:widowControl w:val="0"/>
                    <w:suppressAutoHyphens/>
                    <w:ind w:firstLine="567"/>
                    <w:jc w:val="both"/>
                    <w:rPr>
                      <w:color w:val="000000"/>
                    </w:rPr>
                  </w:pPr>
                </w:p>
                <w:tbl>
                  <w:tblPr>
                    <w:tblW w:w="9070" w:type="dxa"/>
                    <w:tblLook w:val="01E0" w:firstRow="1" w:lastRow="1" w:firstColumn="1" w:lastColumn="1" w:noHBand="0" w:noVBand="0"/>
                  </w:tblPr>
                  <w:tblGrid>
                    <w:gridCol w:w="2258"/>
                    <w:gridCol w:w="2186"/>
                    <w:gridCol w:w="2320"/>
                    <w:gridCol w:w="2306"/>
                  </w:tblGrid>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sz w:val="20"/>
                          </w:rPr>
                        </w:pP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A</w:t>
                        </w:r>
                      </w:p>
                      <w:p>
                        <w:pPr>
                          <w:tabs>
                            <w:tab w:val="left" w:pos="1905"/>
                            <w:tab w:val="center" w:pos="4153"/>
                            <w:tab w:val="right" w:pos="8306"/>
                          </w:tabs>
                          <w:jc w:val="center"/>
                          <w:rPr>
                            <w:sz w:val="20"/>
                          </w:rPr>
                        </w:pPr>
                        <w:r>
                          <w:rPr>
                            <w:sz w:val="20"/>
                          </w:rPr>
                          <w:t>Žemas dinaminis krūvis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B</w:t>
                        </w:r>
                      </w:p>
                      <w:p>
                        <w:pPr>
                          <w:tabs>
                            <w:tab w:val="left" w:pos="1905"/>
                            <w:tab w:val="center" w:pos="4153"/>
                            <w:tab w:val="right" w:pos="8306"/>
                          </w:tabs>
                          <w:jc w:val="center"/>
                          <w:rPr>
                            <w:sz w:val="20"/>
                          </w:rPr>
                        </w:pPr>
                        <w:r>
                          <w:rPr>
                            <w:sz w:val="20"/>
                          </w:rPr>
                          <w:t>Vidutinis dinaminis krūvis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C</w:t>
                        </w:r>
                      </w:p>
                      <w:p>
                        <w:pPr>
                          <w:tabs>
                            <w:tab w:val="left" w:pos="1905"/>
                            <w:tab w:val="center" w:pos="4153"/>
                            <w:tab w:val="right" w:pos="8306"/>
                          </w:tabs>
                          <w:jc w:val="center"/>
                          <w:rPr>
                            <w:sz w:val="20"/>
                          </w:rPr>
                        </w:pPr>
                        <w:r>
                          <w:rPr>
                            <w:sz w:val="20"/>
                          </w:rPr>
                          <w:t>Aukštas dinaminis krūvis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 </w:t>
                        </w:r>
                        <w:r>
                          <w:rPr>
                            <w:sz w:val="20"/>
                          </w:rPr>
                          <w:t>Žemas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Biliardas</w:t>
                        </w:r>
                      </w:p>
                      <w:p>
                        <w:pPr>
                          <w:tabs>
                            <w:tab w:val="center" w:pos="4153"/>
                            <w:tab w:val="right" w:pos="8306"/>
                          </w:tabs>
                          <w:jc w:val="center"/>
                          <w:rPr>
                            <w:sz w:val="20"/>
                          </w:rPr>
                        </w:pPr>
                        <w:r>
                          <w:rPr>
                            <w:sz w:val="20"/>
                          </w:rPr>
                          <w:t>Boulingas</w:t>
                        </w:r>
                      </w:p>
                      <w:p>
                        <w:pPr>
                          <w:tabs>
                            <w:tab w:val="center" w:pos="4153"/>
                            <w:tab w:val="right" w:pos="8306"/>
                          </w:tabs>
                          <w:jc w:val="center"/>
                          <w:rPr>
                            <w:sz w:val="20"/>
                          </w:rPr>
                        </w:pPr>
                        <w:r>
                          <w:rPr>
                            <w:sz w:val="20"/>
                          </w:rPr>
                          <w:t>Kriketas</w:t>
                        </w:r>
                      </w:p>
                      <w:p>
                        <w:pPr>
                          <w:tabs>
                            <w:tab w:val="left" w:pos="1905"/>
                            <w:tab w:val="center" w:pos="4153"/>
                            <w:tab w:val="right" w:pos="8306"/>
                          </w:tabs>
                          <w:jc w:val="center"/>
                          <w:rPr>
                            <w:sz w:val="20"/>
                          </w:rPr>
                        </w:pPr>
                        <w:r>
                          <w:rPr>
                            <w:sz w:val="20"/>
                          </w:rPr>
                          <w:t>Golfas</w:t>
                        </w:r>
                      </w:p>
                      <w:p>
                        <w:pPr>
                          <w:tabs>
                            <w:tab w:val="left" w:pos="1905"/>
                            <w:tab w:val="center" w:pos="4153"/>
                            <w:tab w:val="right" w:pos="8306"/>
                          </w:tabs>
                          <w:jc w:val="center"/>
                          <w:rPr>
                            <w:sz w:val="20"/>
                          </w:rPr>
                        </w:pPr>
                        <w:r>
                          <w:rPr>
                            <w:sz w:val="20"/>
                          </w:rPr>
                          <w:t>Šaudymas</w:t>
                        </w:r>
                      </w:p>
                      <w:p>
                        <w:pPr>
                          <w:tabs>
                            <w:tab w:val="left" w:pos="1905"/>
                            <w:tab w:val="center" w:pos="4153"/>
                            <w:tab w:val="right" w:pos="8306"/>
                          </w:tabs>
                          <w:jc w:val="center"/>
                          <w:rPr>
                            <w:sz w:val="20"/>
                          </w:rPr>
                        </w:pPr>
                        <w:r>
                          <w:rPr>
                            <w:sz w:val="20"/>
                          </w:rPr>
                          <w:t>Kerlingas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Fechtavimas</w:t>
                        </w:r>
                      </w:p>
                      <w:p>
                        <w:pPr>
                          <w:tabs>
                            <w:tab w:val="center" w:pos="4153"/>
                            <w:tab w:val="right" w:pos="8306"/>
                          </w:tabs>
                          <w:jc w:val="center"/>
                          <w:rPr>
                            <w:sz w:val="20"/>
                            <w:vertAlign w:val="superscript"/>
                          </w:rPr>
                        </w:pPr>
                        <w:r>
                          <w:rPr>
                            <w:sz w:val="20"/>
                          </w:rPr>
                          <w:t>Beisbolas</w:t>
                        </w:r>
                        <w:r>
                          <w:rPr>
                            <w:sz w:val="20"/>
                            <w:vertAlign w:val="superscript"/>
                          </w:rPr>
                          <w:t>x</w:t>
                        </w:r>
                      </w:p>
                      <w:p>
                        <w:pPr>
                          <w:tabs>
                            <w:tab w:val="center" w:pos="4153"/>
                            <w:tab w:val="right" w:pos="8306"/>
                          </w:tabs>
                          <w:jc w:val="center"/>
                          <w:rPr>
                            <w:sz w:val="20"/>
                          </w:rPr>
                        </w:pPr>
                        <w:r>
                          <w:rPr>
                            <w:sz w:val="20"/>
                          </w:rPr>
                          <w:t>Stalo tenisas</w:t>
                        </w:r>
                      </w:p>
                      <w:p>
                        <w:pPr>
                          <w:tabs>
                            <w:tab w:val="center" w:pos="4153"/>
                            <w:tab w:val="right" w:pos="8306"/>
                          </w:tabs>
                          <w:jc w:val="center"/>
                          <w:rPr>
                            <w:sz w:val="20"/>
                          </w:rPr>
                        </w:pPr>
                        <w:r>
                          <w:rPr>
                            <w:sz w:val="20"/>
                          </w:rPr>
                          <w:t>Tenisas (dvejetas)</w:t>
                        </w:r>
                      </w:p>
                      <w:p>
                        <w:pPr>
                          <w:tabs>
                            <w:tab w:val="left" w:pos="1905"/>
                            <w:tab w:val="center" w:pos="4153"/>
                            <w:tab w:val="right" w:pos="8306"/>
                          </w:tabs>
                          <w:jc w:val="center"/>
                          <w:rPr>
                            <w:sz w:val="20"/>
                          </w:rPr>
                        </w:pPr>
                        <w:r>
                          <w:rPr>
                            <w:sz w:val="20"/>
                          </w:rPr>
                          <w:t>Tinklinis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Badmintonas</w:t>
                        </w:r>
                      </w:p>
                      <w:p>
                        <w:pPr>
                          <w:tabs>
                            <w:tab w:val="center" w:pos="4153"/>
                            <w:tab w:val="right" w:pos="8306"/>
                          </w:tabs>
                          <w:jc w:val="center"/>
                          <w:rPr>
                            <w:sz w:val="20"/>
                          </w:rPr>
                        </w:pPr>
                        <w:r>
                          <w:rPr>
                            <w:sz w:val="20"/>
                          </w:rPr>
                          <w:t>Sportinis ėjimas</w:t>
                        </w:r>
                      </w:p>
                      <w:p>
                        <w:pPr>
                          <w:tabs>
                            <w:tab w:val="center" w:pos="4153"/>
                            <w:tab w:val="right" w:pos="8306"/>
                          </w:tabs>
                          <w:jc w:val="center"/>
                          <w:rPr>
                            <w:sz w:val="20"/>
                          </w:rPr>
                        </w:pPr>
                        <w:r>
                          <w:rPr>
                            <w:sz w:val="20"/>
                          </w:rPr>
                          <w:t>Slidinėjimas (klasikiniu būdu)</w:t>
                        </w:r>
                      </w:p>
                      <w:p>
                        <w:pPr>
                          <w:tabs>
                            <w:tab w:val="center" w:pos="4153"/>
                            <w:tab w:val="right" w:pos="8306"/>
                          </w:tabs>
                          <w:jc w:val="center"/>
                          <w:rPr>
                            <w:sz w:val="20"/>
                          </w:rPr>
                        </w:pPr>
                        <w:r>
                          <w:rPr>
                            <w:sz w:val="20"/>
                          </w:rPr>
                          <w:t>Orientacinis sportas</w:t>
                        </w:r>
                      </w:p>
                      <w:p>
                        <w:pPr>
                          <w:tabs>
                            <w:tab w:val="center" w:pos="4153"/>
                            <w:tab w:val="right" w:pos="8306"/>
                          </w:tabs>
                          <w:jc w:val="center"/>
                          <w:rPr>
                            <w:sz w:val="20"/>
                          </w:rPr>
                        </w:pPr>
                        <w:r>
                          <w:rPr>
                            <w:sz w:val="20"/>
                          </w:rPr>
                          <w:t>Ilgų distancijų bėgimas</w:t>
                        </w:r>
                      </w:p>
                      <w:p>
                        <w:pPr>
                          <w:tabs>
                            <w:tab w:val="left" w:pos="1905"/>
                            <w:tab w:val="center" w:pos="4153"/>
                            <w:tab w:val="right" w:pos="8306"/>
                          </w:tabs>
                          <w:jc w:val="center"/>
                          <w:rPr>
                            <w:sz w:val="20"/>
                          </w:rPr>
                        </w:pPr>
                        <w:r>
                          <w:rPr>
                            <w:sz w:val="20"/>
                          </w:rPr>
                          <w:t>Skvošas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 </w:t>
                        </w:r>
                        <w:r>
                          <w:rPr>
                            <w:sz w:val="20"/>
                          </w:rPr>
                          <w:t>Vidutinis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Šaudymas iš lanko</w:t>
                        </w:r>
                      </w:p>
                      <w:p>
                        <w:pPr>
                          <w:tabs>
                            <w:tab w:val="center" w:pos="4153"/>
                            <w:tab w:val="right" w:pos="8306"/>
                          </w:tabs>
                          <w:jc w:val="center"/>
                          <w:rPr>
                            <w:sz w:val="20"/>
                          </w:rPr>
                        </w:pPr>
                        <w:r>
                          <w:rPr>
                            <w:sz w:val="20"/>
                          </w:rPr>
                          <w:t xml:space="preserve">Buriavimas </w:t>
                        </w:r>
                      </w:p>
                      <w:p>
                        <w:pPr>
                          <w:tabs>
                            <w:tab w:val="center" w:pos="4153"/>
                            <w:tab w:val="right" w:pos="8306"/>
                          </w:tabs>
                          <w:jc w:val="center"/>
                          <w:rPr>
                            <w:sz w:val="20"/>
                          </w:rPr>
                        </w:pPr>
                        <w:r>
                          <w:rPr>
                            <w:sz w:val="20"/>
                          </w:rPr>
                          <w:t>Karatė/dziudo!</w:t>
                        </w:r>
                      </w:p>
                      <w:p>
                        <w:pPr>
                          <w:tabs>
                            <w:tab w:val="center" w:pos="4153"/>
                            <w:tab w:val="right" w:pos="8306"/>
                          </w:tabs>
                          <w:jc w:val="center"/>
                          <w:rPr>
                            <w:sz w:val="20"/>
                          </w:rPr>
                        </w:pPr>
                        <w:r>
                          <w:rPr>
                            <w:sz w:val="20"/>
                          </w:rPr>
                          <w:t>Šuoliai į vandenį!</w:t>
                        </w:r>
                      </w:p>
                      <w:p>
                        <w:pPr>
                          <w:tabs>
                            <w:tab w:val="center" w:pos="4153"/>
                            <w:tab w:val="right" w:pos="8306"/>
                          </w:tabs>
                          <w:jc w:val="center"/>
                          <w:rPr>
                            <w:sz w:val="20"/>
                          </w:rPr>
                        </w:pPr>
                        <w:r>
                          <w:rPr>
                            <w:sz w:val="20"/>
                          </w:rPr>
                          <w:t>Žirgų sportas!</w:t>
                        </w:r>
                      </w:p>
                      <w:p>
                        <w:pPr>
                          <w:tabs>
                            <w:tab w:val="center" w:pos="4153"/>
                            <w:tab w:val="right" w:pos="8306"/>
                          </w:tabs>
                          <w:jc w:val="center"/>
                          <w:rPr>
                            <w:sz w:val="20"/>
                          </w:rPr>
                        </w:pPr>
                        <w:r>
                          <w:rPr>
                            <w:sz w:val="20"/>
                          </w:rPr>
                          <w:t>Automobilių sportas!</w:t>
                        </w:r>
                      </w:p>
                      <w:p>
                        <w:pPr>
                          <w:tabs>
                            <w:tab w:val="left" w:pos="1905"/>
                            <w:tab w:val="center" w:pos="4153"/>
                            <w:tab w:val="right" w:pos="8306"/>
                          </w:tabs>
                          <w:jc w:val="center"/>
                          <w:rPr>
                            <w:sz w:val="20"/>
                          </w:rPr>
                        </w:pPr>
                        <w:r>
                          <w:rPr>
                            <w:sz w:val="20"/>
                          </w:rPr>
                          <w:t>Motosportas!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Lengvoji atletika (šuoliai)</w:t>
                        </w:r>
                      </w:p>
                      <w:p>
                        <w:pPr>
                          <w:tabs>
                            <w:tab w:val="center" w:pos="4153"/>
                            <w:tab w:val="right" w:pos="8306"/>
                          </w:tabs>
                          <w:jc w:val="center"/>
                          <w:rPr>
                            <w:sz w:val="20"/>
                          </w:rPr>
                        </w:pPr>
                        <w:r>
                          <w:rPr>
                            <w:sz w:val="20"/>
                          </w:rPr>
                          <w:t>Lengvoji atletika (sprintas)</w:t>
                        </w:r>
                      </w:p>
                      <w:p>
                        <w:pPr>
                          <w:tabs>
                            <w:tab w:val="center" w:pos="4153"/>
                            <w:tab w:val="right" w:pos="8306"/>
                          </w:tabs>
                          <w:jc w:val="center"/>
                          <w:rPr>
                            <w:sz w:val="20"/>
                            <w:vertAlign w:val="superscript"/>
                          </w:rPr>
                        </w:pPr>
                        <w:r>
                          <w:rPr>
                            <w:sz w:val="20"/>
                          </w:rPr>
                          <w:t>Dailusis čiuožimas</w:t>
                        </w:r>
                        <w:r>
                          <w:rPr>
                            <w:sz w:val="20"/>
                            <w:vertAlign w:val="superscript"/>
                          </w:rPr>
                          <w:t>x</w:t>
                        </w:r>
                      </w:p>
                      <w:p>
                        <w:pPr>
                          <w:tabs>
                            <w:tab w:val="center" w:pos="4153"/>
                            <w:tab w:val="right" w:pos="8306"/>
                          </w:tabs>
                          <w:jc w:val="center"/>
                          <w:rPr>
                            <w:sz w:val="20"/>
                          </w:rPr>
                        </w:pPr>
                        <w:r>
                          <w:rPr>
                            <w:sz w:val="20"/>
                          </w:rPr>
                          <w:t>Šuoliai</w:t>
                        </w:r>
                      </w:p>
                      <w:p>
                        <w:pPr>
                          <w:tabs>
                            <w:tab w:val="center" w:pos="4153"/>
                            <w:tab w:val="right" w:pos="8306"/>
                          </w:tabs>
                          <w:jc w:val="center"/>
                          <w:rPr>
                            <w:sz w:val="20"/>
                          </w:rPr>
                        </w:pPr>
                        <w:r>
                          <w:rPr>
                            <w:sz w:val="20"/>
                          </w:rPr>
                          <w:t>Sprintas</w:t>
                        </w:r>
                      </w:p>
                      <w:p>
                        <w:pPr>
                          <w:tabs>
                            <w:tab w:val="center" w:pos="4153"/>
                            <w:tab w:val="right" w:pos="8306"/>
                          </w:tabs>
                          <w:jc w:val="center"/>
                          <w:rPr>
                            <w:sz w:val="20"/>
                          </w:rPr>
                        </w:pPr>
                        <w:r>
                          <w:rPr>
                            <w:sz w:val="20"/>
                          </w:rPr>
                          <w:t>Regbis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r>
                          <w:rPr>
                            <w:sz w:val="20"/>
                            <w:vertAlign w:val="superscript"/>
                          </w:rPr>
                          <w:t>x</w:t>
                        </w:r>
                        <w:r>
                          <w:rPr>
                            <w:sz w:val="20"/>
                          </w:rPr>
                          <w:t xml:space="preserve"> !</w:t>
                        </w:r>
                      </w:p>
                      <w:p>
                        <w:pPr>
                          <w:tabs>
                            <w:tab w:val="center" w:pos="4153"/>
                            <w:tab w:val="right" w:pos="8306"/>
                          </w:tabs>
                          <w:jc w:val="center"/>
                          <w:rPr>
                            <w:sz w:val="20"/>
                          </w:rPr>
                        </w:pPr>
                        <w:r>
                          <w:rPr>
                            <w:sz w:val="20"/>
                          </w:rPr>
                          <w:t>Sinchroninis plaukimas</w:t>
                        </w:r>
                      </w:p>
                      <w:p>
                        <w:pPr>
                          <w:tabs>
                            <w:tab w:val="left" w:pos="1905"/>
                            <w:tab w:val="center" w:pos="4153"/>
                            <w:tab w:val="right" w:pos="8306"/>
                          </w:tabs>
                          <w:jc w:val="center"/>
                          <w:rPr>
                            <w:sz w:val="20"/>
                          </w:rPr>
                        </w:pPr>
                        <w:r>
                          <w:rPr>
                            <w:sz w:val="20"/>
                          </w:rPr>
                          <w:t>Povandeninis plaukimas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Krepšinis</w:t>
                        </w:r>
                        <w:r>
                          <w:rPr>
                            <w:sz w:val="20"/>
                            <w:vertAlign w:val="superscript"/>
                          </w:rPr>
                          <w:t>x</w:t>
                        </w:r>
                      </w:p>
                      <w:p>
                        <w:pPr>
                          <w:tabs>
                            <w:tab w:val="left" w:pos="1905"/>
                            <w:tab w:val="center" w:pos="4153"/>
                            <w:tab w:val="right" w:pos="8306"/>
                          </w:tabs>
                          <w:jc w:val="center"/>
                          <w:rPr>
                            <w:sz w:val="20"/>
                          </w:rPr>
                        </w:pPr>
                        <w:r>
                          <w:rPr>
                            <w:sz w:val="20"/>
                          </w:rPr>
                          <w:t>Biatlonas</w:t>
                        </w:r>
                      </w:p>
                      <w:p>
                        <w:pPr>
                          <w:tabs>
                            <w:tab w:val="left" w:pos="1905"/>
                            <w:tab w:val="center" w:pos="4153"/>
                            <w:tab w:val="right" w:pos="8306"/>
                          </w:tabs>
                          <w:jc w:val="center"/>
                          <w:rPr>
                            <w:sz w:val="20"/>
                            <w:vertAlign w:val="superscript"/>
                          </w:rPr>
                        </w:pPr>
                        <w:r>
                          <w:rPr>
                            <w:sz w:val="20"/>
                          </w:rPr>
                          <w:t>Ledo ritulys</w:t>
                        </w:r>
                        <w:r>
                          <w:rPr>
                            <w:sz w:val="20"/>
                            <w:vertAlign w:val="superscript"/>
                          </w:rPr>
                          <w:t>x</w:t>
                        </w:r>
                      </w:p>
                      <w:p>
                        <w:pPr>
                          <w:tabs>
                            <w:tab w:val="left" w:pos="1905"/>
                            <w:tab w:val="center" w:pos="4153"/>
                            <w:tab w:val="right" w:pos="8306"/>
                          </w:tabs>
                          <w:jc w:val="center"/>
                          <w:rPr>
                            <w:sz w:val="20"/>
                            <w:vertAlign w:val="superscript"/>
                          </w:rPr>
                        </w:pPr>
                        <w:r>
                          <w:rPr>
                            <w:sz w:val="20"/>
                          </w:rPr>
                          <w:t>Žolės riedulys</w:t>
                        </w:r>
                        <w:r>
                          <w:rPr>
                            <w:sz w:val="20"/>
                            <w:vertAlign w:val="superscript"/>
                          </w:rPr>
                          <w:t>x</w:t>
                        </w:r>
                      </w:p>
                      <w:p>
                        <w:pPr>
                          <w:tabs>
                            <w:tab w:val="left" w:pos="1905"/>
                            <w:tab w:val="center" w:pos="4153"/>
                            <w:tab w:val="right" w:pos="8306"/>
                          </w:tabs>
                          <w:jc w:val="center"/>
                          <w:rPr>
                            <w:sz w:val="20"/>
                            <w:vertAlign w:val="superscript"/>
                          </w:rPr>
                        </w:pPr>
                        <w:r>
                          <w:rPr>
                            <w:sz w:val="20"/>
                          </w:rPr>
                          <w:t>Futbolas</w:t>
                        </w:r>
                        <w:r>
                          <w:rPr>
                            <w:sz w:val="20"/>
                            <w:vertAlign w:val="superscript"/>
                          </w:rPr>
                          <w:t>x</w:t>
                        </w:r>
                      </w:p>
                      <w:p>
                        <w:pPr>
                          <w:tabs>
                            <w:tab w:val="left" w:pos="1905"/>
                            <w:tab w:val="center" w:pos="4153"/>
                            <w:tab w:val="right" w:pos="8306"/>
                          </w:tabs>
                          <w:jc w:val="center"/>
                          <w:rPr>
                            <w:sz w:val="20"/>
                          </w:rPr>
                        </w:pPr>
                        <w:r>
                          <w:rPr>
                            <w:sz w:val="20"/>
                          </w:rPr>
                          <w:t>Slidinėjimas (čiuožėjo žingsniu)</w:t>
                        </w:r>
                      </w:p>
                      <w:p>
                        <w:pPr>
                          <w:tabs>
                            <w:tab w:val="left" w:pos="1905"/>
                            <w:tab w:val="center" w:pos="4153"/>
                            <w:tab w:val="right" w:pos="8306"/>
                          </w:tabs>
                          <w:jc w:val="center"/>
                          <w:rPr>
                            <w:sz w:val="20"/>
                          </w:rPr>
                        </w:pPr>
                        <w:r>
                          <w:rPr>
                            <w:sz w:val="20"/>
                          </w:rPr>
                          <w:t>Lengvoji atletika (vidutinių ir ilgų distancijų bėgimas)</w:t>
                        </w:r>
                      </w:p>
                      <w:p>
                        <w:pPr>
                          <w:tabs>
                            <w:tab w:val="left" w:pos="1905"/>
                            <w:tab w:val="center" w:pos="4153"/>
                            <w:tab w:val="right" w:pos="8306"/>
                          </w:tabs>
                          <w:jc w:val="center"/>
                          <w:rPr>
                            <w:sz w:val="20"/>
                          </w:rPr>
                        </w:pPr>
                        <w:r>
                          <w:rPr>
                            <w:sz w:val="20"/>
                          </w:rPr>
                          <w:t>Šiuolaikinė penkiakovė</w:t>
                        </w:r>
                      </w:p>
                      <w:p>
                        <w:pPr>
                          <w:tabs>
                            <w:tab w:val="left" w:pos="1905"/>
                            <w:tab w:val="center" w:pos="4153"/>
                            <w:tab w:val="right" w:pos="8306"/>
                          </w:tabs>
                          <w:jc w:val="center"/>
                          <w:rPr>
                            <w:sz w:val="20"/>
                          </w:rPr>
                        </w:pPr>
                        <w:r>
                          <w:rPr>
                            <w:sz w:val="20"/>
                          </w:rPr>
                          <w:t>Plaukimas</w:t>
                        </w:r>
                      </w:p>
                      <w:p>
                        <w:pPr>
                          <w:tabs>
                            <w:tab w:val="left" w:pos="1905"/>
                            <w:tab w:val="center" w:pos="4153"/>
                            <w:tab w:val="right" w:pos="8306"/>
                          </w:tabs>
                          <w:jc w:val="center"/>
                          <w:rPr>
                            <w:sz w:val="20"/>
                          </w:rPr>
                        </w:pPr>
                        <w:r>
                          <w:rPr>
                            <w:sz w:val="20"/>
                          </w:rPr>
                          <w:t>Tenisas (vienetai)</w:t>
                        </w:r>
                      </w:p>
                      <w:p>
                        <w:pPr>
                          <w:tabs>
                            <w:tab w:val="left" w:pos="1905"/>
                            <w:tab w:val="center" w:pos="4153"/>
                            <w:tab w:val="right" w:pos="8306"/>
                          </w:tabs>
                          <w:jc w:val="center"/>
                          <w:rPr>
                            <w:sz w:val="20"/>
                          </w:rPr>
                        </w:pPr>
                        <w:r>
                          <w:rPr>
                            <w:sz w:val="20"/>
                          </w:rPr>
                          <w:t>Rankinis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III. </w:t>
                        </w:r>
                        <w:r>
                          <w:rPr>
                            <w:sz w:val="20"/>
                          </w:rPr>
                          <w:t>Aukštas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Bobslėjus!</w:t>
                        </w:r>
                      </w:p>
                      <w:p>
                        <w:pPr>
                          <w:tabs>
                            <w:tab w:val="center" w:pos="4153"/>
                            <w:tab w:val="right" w:pos="8306"/>
                          </w:tabs>
                          <w:jc w:val="center"/>
                          <w:rPr>
                            <w:sz w:val="20"/>
                          </w:rPr>
                        </w:pPr>
                        <w:r>
                          <w:rPr>
                            <w:sz w:val="20"/>
                          </w:rPr>
                          <w:t>Alpinizmas</w:t>
                        </w:r>
                      </w:p>
                      <w:p>
                        <w:pPr>
                          <w:tabs>
                            <w:tab w:val="center" w:pos="4153"/>
                            <w:tab w:val="right" w:pos="8306"/>
                          </w:tabs>
                          <w:jc w:val="center"/>
                          <w:rPr>
                            <w:sz w:val="20"/>
                            <w:vertAlign w:val="superscript"/>
                          </w:rPr>
                        </w:pPr>
                        <w:r>
                          <w:rPr>
                            <w:sz w:val="20"/>
                          </w:rPr>
                          <w:t>Kovų menai</w:t>
                        </w:r>
                        <w:r>
                          <w:rPr>
                            <w:sz w:val="20"/>
                            <w:vertAlign w:val="superscript"/>
                          </w:rPr>
                          <w:t>x</w:t>
                        </w:r>
                      </w:p>
                      <w:p>
                        <w:pPr>
                          <w:tabs>
                            <w:tab w:val="center" w:pos="4153"/>
                            <w:tab w:val="right" w:pos="8306"/>
                          </w:tabs>
                          <w:jc w:val="center"/>
                          <w:rPr>
                            <w:sz w:val="20"/>
                          </w:rPr>
                        </w:pPr>
                        <w:r>
                          <w:rPr>
                            <w:sz w:val="20"/>
                          </w:rPr>
                          <w:t>Sunkumų kilnojimas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p>
                      <w:p>
                        <w:pPr>
                          <w:tabs>
                            <w:tab w:val="left" w:pos="1905"/>
                            <w:tab w:val="center" w:pos="4153"/>
                            <w:tab w:val="right" w:pos="8306"/>
                          </w:tabs>
                          <w:jc w:val="center"/>
                          <w:rPr>
                            <w:sz w:val="20"/>
                          </w:rPr>
                        </w:pPr>
                        <w:r>
                          <w:rPr>
                            <w:sz w:val="20"/>
                          </w:rPr>
                          <w:t>Vandens slidės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Gimnastika</w:t>
                        </w:r>
                        <w:r>
                          <w:rPr>
                            <w:sz w:val="20"/>
                            <w:vertAlign w:val="superscript"/>
                          </w:rPr>
                          <w:t xml:space="preserve">x </w:t>
                        </w:r>
                        <w:r>
                          <w:rPr>
                            <w:sz w:val="20"/>
                          </w:rPr>
                          <w:t xml:space="preserve">! </w:t>
                        </w:r>
                      </w:p>
                      <w:p>
                        <w:pPr>
                          <w:tabs>
                            <w:tab w:val="left" w:pos="1905"/>
                            <w:tab w:val="center" w:pos="4153"/>
                            <w:tab w:val="right" w:pos="8306"/>
                          </w:tabs>
                          <w:jc w:val="center"/>
                          <w:rPr>
                            <w:sz w:val="20"/>
                          </w:rPr>
                        </w:pPr>
                        <w:r>
                          <w:rPr>
                            <w:sz w:val="20"/>
                          </w:rPr>
                          <w:t>Lengvoji atletika (metimai)</w:t>
                        </w:r>
                      </w:p>
                      <w:p>
                        <w:pPr>
                          <w:tabs>
                            <w:tab w:val="left" w:pos="1905"/>
                            <w:tab w:val="center" w:pos="4153"/>
                            <w:tab w:val="right" w:pos="8306"/>
                          </w:tabs>
                          <w:jc w:val="center"/>
                          <w:rPr>
                            <w:sz w:val="20"/>
                          </w:rPr>
                        </w:pPr>
                        <w:r>
                          <w:rPr>
                            <w:sz w:val="20"/>
                          </w:rPr>
                          <w:t>Buriavimas</w:t>
                        </w:r>
                        <w:r>
                          <w:rPr>
                            <w:vertAlign w:val="superscript"/>
                          </w:rPr>
                          <w:t>x</w:t>
                        </w:r>
                        <w:r>
                          <w:rPr>
                            <w:sz w:val="20"/>
                            <w:vertAlign w:val="superscript"/>
                          </w:rPr>
                          <w:t xml:space="preserve"> </w:t>
                        </w:r>
                        <w:r>
                          <w:rPr>
                            <w:sz w:val="20"/>
                          </w:rPr>
                          <w:t>!</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Kultūrizmas</w:t>
                        </w:r>
                        <w:r>
                          <w:rPr>
                            <w:sz w:val="20"/>
                            <w:vertAlign w:val="superscript"/>
                          </w:rPr>
                          <w:t>x</w:t>
                        </w:r>
                        <w:r>
                          <w:rPr>
                            <w:sz w:val="20"/>
                          </w:rPr>
                          <w:t xml:space="preserve"> !</w:t>
                        </w:r>
                      </w:p>
                      <w:p>
                        <w:pPr>
                          <w:tabs>
                            <w:tab w:val="center" w:pos="4153"/>
                            <w:tab w:val="right" w:pos="8306"/>
                          </w:tabs>
                          <w:jc w:val="center"/>
                          <w:rPr>
                            <w:sz w:val="20"/>
                          </w:rPr>
                        </w:pPr>
                        <w:r>
                          <w:rPr>
                            <w:sz w:val="20"/>
                          </w:rPr>
                          <w:t>Kalnų slidinėjimas</w:t>
                        </w:r>
                        <w:r>
                          <w:rPr>
                            <w:sz w:val="20"/>
                            <w:vertAlign w:val="superscript"/>
                          </w:rPr>
                          <w:t>x</w:t>
                        </w:r>
                        <w:r>
                          <w:rPr>
                            <w:sz w:val="20"/>
                          </w:rPr>
                          <w:t xml:space="preserve"> !</w:t>
                        </w:r>
                      </w:p>
                      <w:p>
                        <w:pPr>
                          <w:tabs>
                            <w:tab w:val="center" w:pos="4153"/>
                            <w:tab w:val="right" w:pos="8306"/>
                          </w:tabs>
                          <w:jc w:val="center"/>
                          <w:rPr>
                            <w:sz w:val="20"/>
                            <w:vertAlign w:val="superscript"/>
                          </w:rPr>
                        </w:pPr>
                        <w:r>
                          <w:rPr>
                            <w:sz w:val="20"/>
                          </w:rPr>
                          <w:t>Imtynės</w:t>
                        </w:r>
                        <w:r>
                          <w:rPr>
                            <w:sz w:val="20"/>
                            <w:vertAlign w:val="superscript"/>
                          </w:rPr>
                          <w:t>x</w:t>
                        </w:r>
                      </w:p>
                      <w:p>
                        <w:pPr>
                          <w:tabs>
                            <w:tab w:val="left" w:pos="1905"/>
                            <w:tab w:val="center" w:pos="4153"/>
                            <w:tab w:val="right" w:pos="8306"/>
                          </w:tabs>
                          <w:jc w:val="center"/>
                          <w:rPr>
                            <w:sz w:val="20"/>
                          </w:rPr>
                        </w:pPr>
                        <w:r>
                          <w:rPr>
                            <w:sz w:val="20"/>
                          </w:rPr>
                          <w:t>Snieglentės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Riedlentės</w:t>
                        </w:r>
                        <w:r>
                          <w:rPr>
                            <w:sz w:val="20"/>
                            <w:vertAlign w:val="superscript"/>
                          </w:rPr>
                          <w:t>x</w:t>
                        </w:r>
                        <w:r>
                          <w:rPr>
                            <w:sz w:val="20"/>
                          </w:rPr>
                          <w:t xml:space="preserve"> !</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Boksas</w:t>
                        </w:r>
                        <w:r>
                          <w:rPr>
                            <w:sz w:val="20"/>
                            <w:vertAlign w:val="superscript"/>
                          </w:rPr>
                          <w:t>x</w:t>
                        </w:r>
                      </w:p>
                      <w:p>
                        <w:pPr>
                          <w:tabs>
                            <w:tab w:val="left" w:pos="1905"/>
                            <w:tab w:val="center" w:pos="4153"/>
                            <w:tab w:val="right" w:pos="8306"/>
                          </w:tabs>
                          <w:jc w:val="center"/>
                          <w:rPr>
                            <w:sz w:val="20"/>
                          </w:rPr>
                        </w:pPr>
                        <w:r>
                          <w:rPr>
                            <w:sz w:val="20"/>
                          </w:rPr>
                          <w:t>Baidarių ir kanojų irklavimas</w:t>
                        </w:r>
                      </w:p>
                      <w:p>
                        <w:pPr>
                          <w:tabs>
                            <w:tab w:val="left" w:pos="1905"/>
                            <w:tab w:val="center" w:pos="4153"/>
                            <w:tab w:val="right" w:pos="8306"/>
                          </w:tabs>
                          <w:jc w:val="center"/>
                          <w:rPr>
                            <w:sz w:val="20"/>
                            <w:vertAlign w:val="superscript"/>
                          </w:rPr>
                        </w:pPr>
                        <w:r>
                          <w:rPr>
                            <w:sz w:val="20"/>
                          </w:rPr>
                          <w:t>Dviračių sportas</w:t>
                        </w:r>
                        <w:r>
                          <w:rPr>
                            <w:sz w:val="20"/>
                            <w:vertAlign w:val="superscript"/>
                          </w:rPr>
                          <w:t>x</w:t>
                        </w:r>
                      </w:p>
                      <w:p>
                        <w:pPr>
                          <w:tabs>
                            <w:tab w:val="left" w:pos="1905"/>
                            <w:tab w:val="center" w:pos="4153"/>
                            <w:tab w:val="right" w:pos="8306"/>
                          </w:tabs>
                          <w:jc w:val="center"/>
                          <w:rPr>
                            <w:sz w:val="20"/>
                          </w:rPr>
                        </w:pPr>
                        <w:r>
                          <w:rPr>
                            <w:sz w:val="20"/>
                          </w:rPr>
                          <w:t>Lengvoji atletika (dešimtkovė)</w:t>
                        </w:r>
                      </w:p>
                      <w:p>
                        <w:pPr>
                          <w:tabs>
                            <w:tab w:val="left" w:pos="1905"/>
                            <w:tab w:val="center" w:pos="4153"/>
                            <w:tab w:val="right" w:pos="8306"/>
                          </w:tabs>
                          <w:jc w:val="center"/>
                          <w:rPr>
                            <w:sz w:val="20"/>
                          </w:rPr>
                        </w:pPr>
                        <w:r>
                          <w:rPr>
                            <w:sz w:val="20"/>
                          </w:rPr>
                          <w:t>Irklavimas</w:t>
                        </w:r>
                      </w:p>
                      <w:p>
                        <w:pPr>
                          <w:tabs>
                            <w:tab w:val="center" w:pos="4153"/>
                            <w:tab w:val="right" w:pos="8306"/>
                          </w:tabs>
                          <w:jc w:val="center"/>
                          <w:rPr>
                            <w:sz w:val="20"/>
                          </w:rPr>
                        </w:pPr>
                        <w:r>
                          <w:rPr>
                            <w:sz w:val="20"/>
                          </w:rPr>
                          <w:t>Greitasis čiuožimas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Triatlonas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Dekatlonas</w:t>
                        </w:r>
                        <w:r>
                          <w:rPr>
                            <w:sz w:val="20"/>
                            <w:vertAlign w:val="superscript"/>
                          </w:rPr>
                          <w:t xml:space="preserve"> x </w:t>
                        </w:r>
                        <w:r>
                          <w:rPr>
                            <w:sz w:val="20"/>
                          </w:rPr>
                          <w:t>!</w:t>
                        </w:r>
                      </w:p>
                    </w:tc>
                  </w:tr>
                </w:tbl>
                <w:p>
                  <w:pPr>
                    <w:tabs>
                      <w:tab w:val="left" w:pos="1905"/>
                    </w:tabs>
                    <w:ind w:firstLine="567"/>
                    <w:jc w:val="both"/>
                  </w:pPr>
                </w:p>
                <w:p>
                  <w:pPr>
                    <w:tabs>
                      <w:tab w:val="left" w:pos="1905"/>
                    </w:tabs>
                    <w:ind w:firstLine="634"/>
                    <w:jc w:val="both"/>
                  </w:pPr>
                  <w:r>
                    <w:rPr>
                      <w:vertAlign w:val="superscript"/>
                    </w:rPr>
                    <w:t xml:space="preserve">x </w:t>
                  </w:r>
                  <w:r>
                    <w:t>– didelė su(si)žeidimų rizika; ! – didelė pasikartojančių sinkopių rizika.“</w:t>
                  </w:r>
                </w:p>
                <w:p>
                  <w:pPr>
                    <w:ind w:firstLine="567"/>
                    <w:jc w:val="both"/>
                  </w:pPr>
                </w:p>
              </w:sdtContent>
            </w:sdt>
          </w:sdtContent>
        </w:sdt>
        <w:sdt>
          <w:sdtPr>
            <w:alias w:val="skyrius"/>
            <w:tag w:val="part_445c60dff25a43aa86b618e36ec8bf04"/>
            <w:lock w:val="sdtLocked"/>
            <w:richText/>
          </w:sdtPr>
          <w:sdtContent>
            <w:p>
              <w:pPr>
                <w:jc w:val="center"/>
                <w:rPr>
                  <w:b/>
                  <w:caps/>
                </w:rPr>
              </w:pPr>
              <w:sdt>
                <w:sdtPr>
                  <w:alias w:val="Numeris"/>
                  <w:tag w:val="nr_445c60dff25a43aa86b618e36ec8bf04"/>
                  <w:lock w:val="sdtLocked"/>
                  <w:richText/>
                </w:sdtPr>
                <w:sdtContent>
                  <w:r>
                    <w:rPr>
                      <w:b/>
                    </w:rPr>
                    <w:t>II</w:t>
                  </w:r>
                </w:sdtContent>
              </w:sdt>
              <w:r>
                <w:rPr>
                  <w:b/>
                </w:rPr>
                <w:t xml:space="preserve">. </w:t>
              </w:r>
              <w:sdt>
                <w:sdtPr>
                  <w:alias w:val="Pavadinimas"/>
                  <w:tag w:val="title_445c60dff25a43aa86b618e36ec8bf04"/>
                  <w:lock w:val="sdtLocked"/>
                  <w:richText/>
                </w:sdtPr>
                <w:sdtContent>
                  <w:r>
                    <w:rPr>
                      <w:b/>
                      <w:caps/>
                    </w:rPr>
                    <w:t xml:space="preserve">ligų ir patologinių būsenų SĄRAŠAS, kurioms esant Ribojamas fizinis krŪvis arba nerekomenduojama sportuoti </w:t>
                  </w:r>
                </w:sdtContent>
              </w:sdt>
            </w:p>
            <w:p>
              <w:pPr>
                <w:jc w:val="center"/>
                <w:rPr>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1932"/>
                <w:gridCol w:w="1188"/>
                <w:gridCol w:w="6"/>
                <w:gridCol w:w="37"/>
                <w:gridCol w:w="42"/>
                <w:gridCol w:w="41"/>
                <w:gridCol w:w="754"/>
                <w:gridCol w:w="1554"/>
                <w:gridCol w:w="385"/>
                <w:gridCol w:w="1943"/>
              </w:tblGrid>
              <w:tr>
                <w:trPr>
                  <w:trHeight w:val="20"/>
                  <w:tblHeader/>
                </w:trPr>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Eil. Nr.</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Ligos ir patologinės būsenos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Asmenims, lankantiems sporto mokymo įstaigas, sporto klases, sporto gimnazijas; Lietuvos olimpinio sporto centro sportininkams, Lietuvos olimpinės rinktinės kandidatams ir sportininkams, esantiems šios rinktinės rezerve</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Sportuotojams, sveikos gyvensenos puoselėtojams, individualiai sportuojantiesiems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ūmios ligos ir lėtinių ligų paūmėjimo stadijos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Fizinio išsivystymo ypatybės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Ryškus fizinio vystymosi atsilikimas, trukdantis atlikti pratimus ir normatyvus, numatytus ugdymo programose; ryški kūno ir galūnių disproporcija. M95-M99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2.2.2.</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rankų deformacijos, trukdančios atlikti įvairius fizinius pratimus. M95</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2.2.3.</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krūtinės ląstos deformacija, trikdanti normalią krūtinės ląstos organų funkciją.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2.2.4.</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dubens deformacija, turinti įtakos laikysenai bei eisenos biomechanikai. M95,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2.2.5.</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Viena koja trumpesnė daugiau nei 3 cm (net esant visavertei eisenai); kojų deformacijos: iškrypimas į vidų („X“ formos) ar į išorę („O“ formos), kai atstumas tarp vidinių šlaunies krumplių arba vidinių kulkšnelių paviršiaus yra daugiau nei 12 cm.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Nervų ir psichikos ligos. Centrinės ir periferinės nervų sistemos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2.3.1.</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Psichoziniai ir nepsichoziniai psichikos sutrikimai dėl organinio galvos smegenų pakenkimo. Endogeninės psichozės: šizofrenija ir afektinės psichozės. Simptomatinės psichozės ir kiti egzogeninės etiologijos psichikos sutrikimai. G00-G09, F00-F09, F20-F29, F50-F59, F70-79, F99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2.3.2. </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Reakcinės psichozės ir neurotiniai sutrikimai. F40-48</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2.3.3.</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Protinis atsilikimas. F70-F79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2.3.4.</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Epilepsija. G40-47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eigą, nerekomenduojamos treniruotės vandenyje, aukštyje, su įrankiais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2.3.5.</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Centrinės nervų sistemos infekcinės, parazitinės, virusinės ligos ir jų padariniai. Galvos ir stuburo smegenų pažeidimai esant bendroms infekcijoms, ūmioms ir lėtinėms intoksikacijoms ir jų padariniai (asteninė, neurocirkuliacinė distonija, nuolatiniai išsėtiniai organiniai požymiai). G00-G09, G10-G13, G35-G37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2.3.6.</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traumos ir jų padariniai. S00-S09, T90</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Atsižvelgiant į traumos sunkumą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2.3.7.</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kraujagyslių ligos ir jų padariniai (subarachnoidiniai, vidiniai smegenų ir kiti intrakranijiniai kraujo išsiliejimai, infarktas, tranzitorinė smegenų išemija ir kt. G00-G09, G44, G45</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sunkumą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Vidaus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Įgimtos širdies ydos: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42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Prieširdžių pertvaros defektas (PPD). I51.0 nedidelis PPD, esant normaliam dešiniam skilveliui, be plaučių hipertenzijos;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0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PPD ir nepakitęs spaudimas plaučių arterijoje;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Galimos visos sporto šakos</w:t>
                    </w:r>
                  </w:p>
                </w:tc>
              </w:tr>
              <w:tr>
                <w:trPr>
                  <w:trHeight w:val="447"/>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IA klasės sporto šakos pagal statinio ir dinaminio krūvio klasifikaciją (toliau – SDK klasifikacija) </w:t>
                    </w:r>
                  </w:p>
                </w:tc>
              </w:tr>
              <w:tr>
                <w:trPr>
                  <w:trHeight w:val="186"/>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 esant plaučių arterijos vožtuvo stenozei, cianozei ir dideliam šuntui iš dešinės į kairę;</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Sportuoti nerekomenduojama</w:t>
                    </w:r>
                  </w:p>
                </w:tc>
              </w:tr>
              <w:tr>
                <w:trPr>
                  <w:trHeight w:val="70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po PPD uždarymo operacijos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Sportuoti gali po 3–6 mėn., jei nėra:</w:t>
                    </w:r>
                  </w:p>
                  <w:p>
                    <w:pPr>
                      <w:widowControl w:val="0"/>
                    </w:pPr>
                    <w:r>
                      <w:t>plaučių hipertenzijos, ritmo ir laidumo sutrikimų, miokardo disfunkcijos</w:t>
                    </w:r>
                  </w:p>
                </w:tc>
              </w:tr>
              <w:tr>
                <w:trPr>
                  <w:trHeight w:val="72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Skilvelių pertvaros defektas (SPD). I51.0 SPD ir 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SPD;</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Operacinis gydymas</w:t>
                    </w:r>
                  </w:p>
                </w:tc>
              </w:tr>
              <w:tr>
                <w:trPr>
                  <w:trHeight w:val="163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po SPD operacinio gydymo;</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Po 3–6 mėn. gali sportuoti, jei nėra nusiskundimų, nėra defekto recidyvo, plaučių arterijos hipertenzijos, tachikardijos, miokardo disfunkcijos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esant vidutinio laipsnio plaučių hipertenzijai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Atviras arterinis latakas (AAL). I70-I79 nedidelis AAL ir normalus kairysis skilvelis;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ar didelis AAL su kairiojo skilvelio padidėjimu;</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Būtinas operacinis gydymas </w:t>
                    </w:r>
                  </w:p>
                </w:tc>
              </w:tr>
              <w:tr>
                <w:trPr>
                  <w:trHeight w:val="97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3–6 mėn. po operacijos, pacientai be klinikinių simptomų, nesant plaučių hipertenzijos ir kairiojo skilvelio padidėjimo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Galimos visos sporto šakos </w:t>
                    </w:r>
                  </w:p>
                </w:tc>
              </w:tr>
              <w:tr>
                <w:trPr>
                  <w:trHeight w:val="43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Plaučių arterijos stenozė. I28</w:t>
                    </w:r>
                  </w:p>
                  <w:p>
                    <w:pPr>
                      <w:widowControl w:val="0"/>
                      <w:ind w:firstLine="67"/>
                    </w:pPr>
                    <w:r>
                      <w:t xml:space="preserve">jei maks. sistolinis gradientas per vožtuvą &lt;40 mm Hg ir normali dešiniojo skilvelio funkcija; </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 bet privalo tikrintis kasmet</w:t>
                    </w:r>
                  </w:p>
                </w:tc>
              </w:tr>
              <w:tr>
                <w:trPr>
                  <w:trHeight w:val="124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ind w:firstLine="67"/>
                    </w:pPr>
                    <w:r>
                      <w:t>jei maks. sistolinis gradientas &gt; 40 mm 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 dalyvauti IA ir IB klasės sporto šakose (pagal SDK klasifikaciją); siūlomas chirurginis gydymas</w:t>
                    </w:r>
                  </w:p>
                </w:tc>
              </w:tr>
              <w:tr>
                <w:trPr>
                  <w:trHeight w:val="81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ind w:firstLine="67"/>
                    </w:pPr>
                    <w:r>
                      <w:t>po operacijos, jei nėra klinikinių simptomų</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115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ind w:firstLine="67"/>
                    </w:pPr>
                    <w:r>
                      <w:t>Aortos vožtuvo stenozė (AVS). I35.2</w:t>
                    </w:r>
                  </w:p>
                  <w:p>
                    <w:pPr>
                      <w:widowControl w:val="0"/>
                    </w:pPr>
                    <w:r>
                      <w:t>nedidelė AVS ( jei normali EKG, fizinio krūvio tolerancija, nebuvę krūtinės skausmų, sinkopių, tachiaritmijų anamnezėje);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vidutinė AVS;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35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jei echoskopija nerodo KS hipertrofijos, jei krūvio metu nestebima išemijos ar tachiaritmijos epizodų,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ir IB sporto šakos</w:t>
                    </w:r>
                  </w:p>
                </w:tc>
              </w:tr>
              <w:tr>
                <w:trPr>
                  <w:trHeight w:val="61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jei normali krūvio trukmė ir kraujospūdžio kitimas; didelė AVS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88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Dviburis aortos vožtuvas (DAV) ir aortos šaknies dilatacija. I35.8</w:t>
                    </w:r>
                  </w:p>
                  <w:p>
                    <w:pPr>
                      <w:widowControl w:val="0"/>
                    </w:pPr>
                    <w:r>
                      <w:t>DAV + aortos šaknies dilatacija &lt;40 mm;</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DAV + aortos šaknies dilatacija 40–50 mm;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IIA ir IIB, vengti traumų</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DAV + aortos šaknies dilatacija &gt;45 mm;</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9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koarktacija (AK). I35.9</w:t>
                    </w:r>
                  </w:p>
                  <w:p>
                    <w:pPr>
                      <w:widowControl w:val="0"/>
                    </w:pPr>
                    <w:r>
                      <w:t>nedidelė AK, esant geroms kolateralėms, normaliam krūvio testui (AKS&lt;230 mmHg) ir mažam spaudimų gradientui tarp rankų ir kojų (&lt; 20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9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sistolinis gradientas tarp rankų ir kojų &gt;20 mm Hg ir sistolinis kraujospūdis krūvio metu &gt;230 mm Hg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 iki gydymo</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pirmaisiais metais po operacijos (nesant patologijos);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 IIIA, IIIB ir IIIC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pirmaisiais metais po operacijos, jei išlieka reikšminga aortos dilatacija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ir IB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Įgytos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91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Mitralinė stenozė (MS). I34</w:t>
                    </w:r>
                  </w:p>
                  <w:p>
                    <w:pPr>
                      <w:widowControl w:val="0"/>
                    </w:pPr>
                    <w:r>
                      <w:t>nedidelė MS + sinusinis ritmas + maksimalus spaudimas plaučių arterijoje &lt; 50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MS + sinusinis ritmas ar prieširdžių virpėjimas + maksimalus spaudimas plaučių arterijoje &lt; 50 mmHg;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ir IIB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didelė MS;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tabs>
                        <w:tab w:val="left" w:pos="1095"/>
                      </w:tabs>
                    </w:pPr>
                    <w:r>
                      <w:t>netiesioginio veikimo antikoaguliantus vartojantys pacientai (dėl PV)</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 išskyrus tas, kuriose galimos traumos</w:t>
                    </w:r>
                  </w:p>
                </w:tc>
              </w:tr>
              <w:tr>
                <w:trPr>
                  <w:trHeight w:val="108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nesandarumas (MVN). I34</w:t>
                    </w:r>
                  </w:p>
                  <w:p>
                    <w:pPr>
                      <w:widowControl w:val="0"/>
                    </w:pPr>
                    <w:r>
                      <w:t>nedidelis ar vidutinis MVN+sinusinis ritmas+nomalus KS dydis ir funkcija+normalus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581"/>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vidutinis MVN </w:t>
                    </w:r>
                    <w:r>
                      <w:rPr>
                        <w:lang w:val="pt-BR"/>
                      </w:rPr>
                      <w:t xml:space="preserve">+ </w:t>
                    </w:r>
                    <w:r>
                      <w:t>KS nedidelis padidėjimas;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didelis MVN</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49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stenozė (AVS). I35</w:t>
                    </w:r>
                  </w:p>
                  <w:p>
                    <w:pPr>
                      <w:widowControl w:val="0"/>
                    </w:pPr>
                    <w:r>
                      <w:t>nedidelė AVS;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bet sveikatą tikrintis ne rečiau kaip kartą per metus </w:t>
                    </w:r>
                  </w:p>
                </w:tc>
              </w:tr>
              <w:tr>
                <w:trPr>
                  <w:trHeight w:val="75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2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 jei fizinio krūvio testas neigiamas, nėra ST depresijos ir tachiaritmijų, normalus kraujospūdis;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didelė AVS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53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nesandarumas (AVN). I35.2–I35.8 nedidelis ar vidutinis:</w:t>
                    </w:r>
                  </w:p>
                  <w:p>
                    <w:pPr>
                      <w:widowControl w:val="0"/>
                    </w:pPr>
                    <w:r>
                      <w:t>a) jei KS diastolinis diametras (dd) normalus ar nežymiai padidėjęs;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2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b) jei KS diastolinis diametras </w:t>
                    </w:r>
                    <w:r>
                      <w:rPr>
                        <w:lang w:val="pt-BR"/>
                      </w:rPr>
                      <w:t xml:space="preserve">60–65 </w:t>
                    </w:r>
                    <w:r>
                      <w:t>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c) jei skilvelinės ekstrasistolės krūvio metu ar ramybėje;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AVN ir KS diastolinis diametras &gt; 65 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nedidelis AVN ir kylančios aortos dilatacija (45 mm), jei nėra Marfano sindromo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Triburio vožtuvo nesandarumas. I36, jei DS funkcija nesutrikusi, spaudimas DP &lt; 20 mm Hg</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4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Protezuoti širdies vožtuvai. T82</w:t>
                    </w:r>
                  </w:p>
                  <w:p>
                    <w:pPr>
                      <w:widowControl w:val="0"/>
                    </w:pPr>
                    <w:r>
                      <w:t>mitralinio vožtuvo bioprotezas (be antikoaguliantų, esant normaliai vožtuvo funkcijai ir KS būklei);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Pagal SDK klasifikaciją rekomenduojamos IA, IB, IIA sporto šakos</w:t>
                    </w:r>
                  </w:p>
                </w:tc>
              </w:tr>
              <w:tr>
                <w:trPr>
                  <w:trHeight w:val="252"/>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mechaninis ar biologinis aortos protezas (normali funkcija ir KS būklė);</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64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nepriklausomai nuo kitų sąlygų, sportininkai su vožtuvų protezais, vartojantys antikoaguliantus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 Nerekomenduojama, jei yra traumų pavojus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Genetinės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4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2.4.3.1.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prolapsas (MVP). I34</w:t>
                    </w:r>
                  </w:p>
                  <w:p>
                    <w:pPr>
                      <w:widowControl w:val="0"/>
                    </w:pPr>
                    <w:r>
                      <w:t>MVP, jei nėra:</w:t>
                    </w:r>
                  </w:p>
                  <w:p>
                    <w:pPr>
                      <w:widowControl w:val="0"/>
                    </w:pPr>
                    <w:r>
                      <w:t>a) sinkopių anamnezėje;</w:t>
                    </w:r>
                  </w:p>
                  <w:p>
                    <w:pPr>
                      <w:widowControl w:val="0"/>
                    </w:pPr>
                    <w:r>
                      <w:t xml:space="preserve">b) Holterio tyrime fiksuotų skilvelinių </w:t>
                    </w:r>
                  </w:p>
                  <w:p>
                    <w:pPr>
                      <w:widowControl w:val="0"/>
                    </w:pPr>
                    <w:r>
                      <w:t>ekstrasistolių;</w:t>
                    </w:r>
                  </w:p>
                  <w:p>
                    <w:pPr>
                      <w:widowControl w:val="0"/>
                    </w:pPr>
                    <w:r>
                      <w:t>c) supraventrikulinių paroksizmų;</w:t>
                    </w:r>
                  </w:p>
                  <w:p>
                    <w:pPr>
                      <w:widowControl w:val="0"/>
                    </w:pPr>
                    <w:r>
                      <w:t>d) vidutinio laipsnio miokardo nepakankamumo;</w:t>
                    </w:r>
                  </w:p>
                  <w:p>
                    <w:pPr>
                      <w:widowControl w:val="0"/>
                    </w:pPr>
                    <w:r>
                      <w:t>e) kairiojo skilvelio IF &lt; 50 %;</w:t>
                    </w:r>
                  </w:p>
                  <w:p>
                    <w:pPr>
                      <w:widowControl w:val="0"/>
                    </w:pPr>
                    <w:r>
                      <w:t>f) buvusios embolijos;</w:t>
                    </w:r>
                  </w:p>
                  <w:p>
                    <w:pPr>
                      <w:widowControl w:val="0"/>
                    </w:pPr>
                    <w:r>
                      <w:t>g) staigių mirčių šeimoje dėl MVP.</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w:t>
                    </w:r>
                  </w:p>
                </w:tc>
              </w:tr>
              <w:tr>
                <w:trPr>
                  <w:trHeight w:val="419"/>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MVP ir minėti pakitimai</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Marfano sindromas. Q87.4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sporto šakos IA ir IIA , jei nėra:</w:t>
                    </w:r>
                  </w:p>
                  <w:p>
                    <w:pPr>
                      <w:widowControl w:val="0"/>
                    </w:pPr>
                    <w:r>
                      <w:t>a) aortos šaknies dilatacijos;</w:t>
                    </w:r>
                  </w:p>
                  <w:p>
                    <w:pPr>
                      <w:widowControl w:val="0"/>
                    </w:pPr>
                    <w:r>
                      <w:t>b) vidutinio ar didelio mitralinio nesandarumo;</w:t>
                    </w:r>
                  </w:p>
                  <w:p>
                    <w:pPr>
                      <w:widowControl w:val="0"/>
                    </w:pPr>
                    <w:r>
                      <w:t xml:space="preserve">c) staigios mirties </w:t>
                    </w:r>
                  </w:p>
                  <w:p>
                    <w:pPr>
                      <w:widowControl w:val="0"/>
                    </w:pPr>
                    <w:r>
                      <w:t>šeimyninės anamnezės dėl Marfano sindromo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Visos kardiomiopatijos. I42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Reumatas, širdies reumatinės ligos (reumatoidinis perikarditas, miokarditas, reumatinės širdies vožtuvų ydos). I05-I09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Praėjus dviem metams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Nereumatiniai miokarditai, endokarditai. I30-I52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nesukėlusiu miokardosklerozės, ir neturintys širdies ritmo bei laidumo sutrikimų, gerai toleruojantys fizinį krūvį, gali pradėti sportuoti praėjus 24 mėn. po visiško pasveikimo</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nesulėlusiu miokardosklerozės, ir neturintys širdies ritmo bei laidumo sutrikimų, gerai toleruojantys fizinį krūvį, gali pradėti sportuoti praėjus 24 mėn.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Širdies ritmo ir laidumo sutrikimai.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tabs>
                        <w:tab w:val="left" w:pos="0"/>
                        <w:tab w:val="left" w:pos="64"/>
                        <w:tab w:val="left" w:pos="727"/>
                      </w:tabs>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Aritmogeninė dešiniojo skilvelio displazija (monomorfinė kairiosios Hiso pluošto kojytės blokados morfologijos su ašies nuokrypiu į kairę su skilvelių tachikardija).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Supraventrikulinė tachikardija.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Po kateterinės abliacijos gydymo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WPW sindromas. I45.6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Prieširdžių virpėjimas.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Dažnos skilvelinės ekstrosistolės, registruojamos EKG fizinio krūvio metu. I49.4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Neurokardiogeninės sinkopės. I51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rPr>
                        <w:lang w:val="en-GB"/>
                      </w:rPr>
                    </w:pPr>
                    <w:r>
                      <w:t>2.4.6.</w:t>
                    </w:r>
                    <w:r>
                      <w:rPr>
                        <w:lang w:val="en-GB"/>
                      </w:rPr>
                      <w:t>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Gyvybei grėsmingos skilvelių tachiaritmijos (visos skilvelių tachikardijos kartu esant struktūrinei širdies ligai, </w:t>
                    </w:r>
                    <w:r>
                      <w:rPr>
                        <w:i/>
                      </w:rPr>
                      <w:t>Torsade de pointes,</w:t>
                    </w:r>
                    <w:r>
                      <w:t xml:space="preserve"> polimorfinė skilvelinė tachikardija, skilvelių virpėjimas).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Katecholaminerginė skilvelių tachikardija. I47.1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Ilgo QT sindromas (II derivacijoje &gt;440 ms vyrams ir &gt;460 ms moterims).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Brugada sindromas (dešinės Hiso pluošto kojytės blokada ir ST pakilimas V</w:t>
                    </w:r>
                    <w:r>
                      <w:rPr>
                        <w:vertAlign w:val="subscript"/>
                      </w:rPr>
                      <w:t>1</w:t>
                    </w:r>
                    <w:r>
                      <w:t>-V</w:t>
                    </w:r>
                    <w:r>
                      <w:rPr>
                        <w:vertAlign w:val="subscript"/>
                      </w:rPr>
                      <w:t>3</w:t>
                    </w:r>
                    <w:r>
                      <w:t>).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 laipsnio AV blokada bei II laipsnio Venkebacho tipo blokada, išnykstanti krūvio metu.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II laipsnio II tipo ar visiška blokada, susijusi su simptomais.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su implantuotu EKS</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Hipertoninė liga. I10-I15</w:t>
                    </w:r>
                  </w:p>
                  <w:p>
                    <w:pPr>
                      <w:widowControl w:val="0"/>
                    </w:pPr>
                    <w:r>
                      <w:t>maža rizika širdies-kraujagyslių sistemai;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w:t>
                    </w:r>
                  </w:p>
                </w:tc>
              </w:tr>
              <w:tr>
                <w:trPr>
                  <w:trHeight w:val="1042"/>
                </w:trPr>
                <w:tc>
                  <w:tcPr>
                    <w:tcW w:w="1188" w:type="dxa"/>
                    <w:vMerge/>
                    <w:tcBorders>
                      <w:top w:val="single" w:sz="4" w:space="0" w:color="auto"/>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IIIC hipertoninės ligos stadija) </w:t>
                    </w:r>
                  </w:p>
                </w:tc>
              </w:tr>
              <w:tr>
                <w:trPr>
                  <w:trHeight w:val="152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aukšta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IIIA–IIIC hipertoninės ligos stadija) </w:t>
                    </w:r>
                  </w:p>
                </w:tc>
              </w:tr>
              <w:tr>
                <w:trPr>
                  <w:trHeight w:val="76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labai aukšta rizika</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rekomenduojami IA, IB klasės sportiniai žaidimai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Išeminė širdies liga. I20-I25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Neurocirkuliacinė distonija (hipertenzinio, hipotenzinio, kardialinio ar mišraus tipo). I70-I79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susirgimo sunkumą ir simptomus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nespecifinės plaučių ir pleuros ligos, ne tuberkuliozinės kilmės diseminuojančios plaučių ligos (įskaitant ligas su nereikšmingu kvėpavimo funkcijos sutrikimu).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susirgimo sunkumą ir simptomus, kvėpavimo funkcijos sutrikimus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Bronchinė astma. J45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Nerekomenduojama fizinio krūvio išprovokuotai astmai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bet išlikus bronchų reaktyvumo pokyčiams, galima leisti kultivuoti atskiras sporto šakas, atsižvelgiant į plaučių funkcijos būklę. Nerekomenduojamos sporto šakos, ugdančios ištvermę, žiemos sporto šakos, sporto pratybos salėse, kuriose naudojama daug talko, kanifolijos ir pan.</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Skrandžio ir 12-pirštės žarnos opos paūmėjimo, remisijos stadijos, esant virškinimo funkcijos sutrikimų ir dažnų paūmėjimų.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Sergantiems asmenims, esant 6 metų remisijai ir neturintiems virškinimo funkcijos sutrikimų, nerekomenduojamos ištvermę ugdančios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Kitos skrandžio ir 12-pirštės žarnos ligos: </w:t>
                    </w:r>
                  </w:p>
                  <w:p>
                    <w:pPr>
                      <w:widowControl w:val="0"/>
                    </w:pPr>
                    <w:r>
                      <w:t>autoimuninis gastritas ir ypatingos gastritų formos (granuliomatozinis, eozinofilinis, hipertrofinis, limfocitinis), tulžies pūslės ir jo latakų, kasos, plonojo ir storojo žarnyno ligos, esant reikšmingiems ir vidutiniams funkcijų sutrikimams ir dažniems paūmėjimams. K80-K87, K90-K93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helikobakteriniu gastritu, galima sportuoti tik po atitinkamo gydymo. Asmenims, sergantiems lėtiniu gastritu ir gastroduodenitu, kai funkcijos sutrikimai nereikšmingi ir reti priepuoliai, taip pat sergantiems tulžies latakų diskinezija su retais priepuoliais, galima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kepenų ligos (įskaitant nepiktybinę hiperbilirubinemiją, hepatitą A, B, C, kepenų cirozę). K80-K87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Stemplės ligos (ezofagitai, opos) – iki visiško pasveikimo; kardiospazmai, stenozė, divertikulai, esant ryškiems ir vidutiniams funkcijos sutrikimams.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inkstų ligos (lėtinis glomerulonefritas, lėtinis pirminis pielonefritas, nefrosklerozė, nefrotinis sindromas, pirminis inkstų susiraukšlėjimas, inkstų amiloidozė, lėtinis intersticinis nefritas ir kitos nefropatijos). N08, N10-N16, N17-N19, N25-N29, N30-N39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Pielonefritas (antrinis), hidronefrozė, inkstų akmenligė. N20-N23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instrumentiniu būdu pašalintam ar savaiminiam vieno akmens išėjimui iš šlapimo takų (geldelės, šlapimtakio, šlapimo pūslės), jei akmenys nebuvo skaldomi šlapimo sistemoje, smulkūs (iki 0,5 cm) pavieniai inkstų ir šlapimo pūslės konkrementai, kurie patvirtinami tik ultragarsiniu ištyrimu, be pakitimų šlapime, vienpusei ar abipusei I stadijos nefroptozei, nėra draudžiama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Sisteminės jungiamojo audinio ligos. M00-M99, M30-M36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Sąnarių ligos: reumatinis artritas, artritai kartu su spondyloartrozėmis, ankilozuojantis spondyloartritas, osteoartrozės, metaboliniai artritai, infekcinių artritų padariniai. M00-M25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Sisteminiai vaskulitai.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w:t>
                    </w:r>
                  </w:p>
                </w:tc>
                <w:tc>
                  <w:tcPr>
                    <w:tcW w:w="7882" w:type="dxa"/>
                    <w:gridSpan w:val="10"/>
                    <w:tcBorders>
                      <w:right w:val="single" w:sz="4" w:space="0" w:color="auto"/>
                    </w:tcBorders>
                  </w:tcPr>
                  <w:p>
                    <w:pPr>
                      <w:widowControl w:val="0"/>
                      <w:jc w:val="center"/>
                    </w:pPr>
                    <w:r>
                      <w:t>Kraujo ir kraujodaros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Patvarūs periferinio kraujo sudėties pakitimai (leukocitų kiekis &lt;4,0x10</w:t>
                    </w:r>
                    <w:r>
                      <w:rPr>
                        <w:vertAlign w:val="superscript"/>
                      </w:rPr>
                      <w:t>9</w:t>
                    </w:r>
                    <w:r>
                      <w:t>/l arba &gt;9,0x10</w:t>
                    </w:r>
                    <w:r>
                      <w:rPr>
                        <w:vertAlign w:val="superscript"/>
                      </w:rPr>
                      <w:t>9</w:t>
                    </w:r>
                    <w:r>
                      <w:t>/l, trombocitų kiekis &lt;180,0x10</w:t>
                    </w:r>
                    <w:r>
                      <w:rPr>
                        <w:vertAlign w:val="superscript"/>
                      </w:rPr>
                      <w:t>9</w:t>
                    </w:r>
                    <w:r>
                      <w:t xml:space="preserve">/l, hemoglobino kiekis </w:t>
                    </w:r>
                    <w:r>
                      <w:rPr>
                        <w:vanish/>
                      </w:rPr>
                      <w:t>&lt;=</w:t>
                    </w:r>
                    <w:r>
                      <w:t>?135–160?</w:t>
                    </w:r>
                    <w:r>
                      <w:rPr>
                        <w:vanish/>
                      </w:rPr>
                      <w:t>&gt;=</w:t>
                    </w:r>
                    <w:r>
                      <w:t xml:space="preserve"> g/l vyrams ir </w:t>
                    </w:r>
                    <w:r>
                      <w:rPr>
                        <w:vanish/>
                      </w:rPr>
                      <w:t>&lt;=</w:t>
                    </w:r>
                    <w:r>
                      <w:t>?120–150</w:t>
                    </w:r>
                    <w:r>
                      <w:rPr>
                        <w:vanish/>
                      </w:rPr>
                      <w:t>&gt;=</w:t>
                    </w:r>
                    <w:r>
                      <w:t>? moterims. R70-R79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right="-108"/>
                    </w:pPr>
                    <w:r>
                      <w:t>Nerekomenduojama, kol neišaiškinta priežastis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Kitos kraujo ir kraujodaros organų ligos. D70-D77</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Ūmi spindulinė bet kokios stadijos liga anamnezėje, taip pat praeityje gautas apspinduliavimas avarijos metu arba atsitiktinio apspinduliavimo dozes, 5 kartus viršijančios metines leistinas normas (tai yra 76/87). D80-D89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Endokrininės sistemos ligos, mitybos ir medžiagų apykaitos sutrikimai (paprasta struma, netoksinė struma, tireotoksikozė, tireoiditas, hipotireozė, cukrinis diabetas, akromegalija, podagra, III–IV laipsnio nutukimas. E00-E07, E65-E68, E70-E90</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II–III laipsnio nutukimui spręsti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Chirurginės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ir jo ligų padariniai (spondiliozė ir su ja susijusi būklė, tarpslankstelinių diskų ligos, kitos stuburo ligos, pasireiškiančios stuburo padėties sutrikimais sagitalinėje plokštumoje: rachitinė kifozė, tuberkuliozinė kifozė, Sheuerman-Mau liga, Kalve liga, skoliotinė liga, išreikšto nestabilumo požymiai). M40-M54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krūtinės ląstos, rankų ir kojų, dubens lūžimų padariniai, esant funkcijų sutrikimams. S00-S99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Aortos, magistralinių ir periferinių arterijų ir venų, limfagyslių ligos ir jų padariniai: obliteruojantys endarteritai, aneurizmos, flebitai, flebotrombozės, varikozinė ir potrombolitinė liga, limfedema (dramblialigė), varikozinių venų išsiplėtimas (vidutinio ir ryškaus laipsnio), angiotrofoneurozės, hemangiomos.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Stambių sąnarių, kaulų, kremzlių chirurginės ligos, osteopatijos, įgytos kaulų ir raumenų deformacijos (pažeidimai sąnario viduje, osteomielitai, periostitai, kiti kaulų pažeidimai, deformuojantis osteitas ir osteopatijos, osteochondropatijos, sąnarių patvarios kontraktūros), kitos sąnarių ir kremzlių ligos bei pažeidimai. M30-M79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Šių ligų atveju sprendžiama individualiai, atsižvelgiant į sporto šakos specifiką</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Šių ligų atveju sprendžiama individualiai, atsižvelgiant į sporto šakos specifiką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Įsisenėjęs arba įprastas stambių sąnarių išnirimas, įvykstantis esant nedideliems fiziniams krūviams. S00-S99, T90-T98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Plaštakos pirštų nebuvimas arba jų defektai, trukdantys plaštakos funkcijai. S60-S69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Pėdos pirštų nebuvimas arba jų defektai, trukdantys visavertiškai atramai, apsunkinantys ėjimą ir avalynės dėvėjimą. S90-S99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Plokščia pėda ir kitos pėdos deformacijos, esant reikšmingam ar vidutiniam jos funkcijos sutrikimui. Jei vienos kojos plokščiapėdystė II laipsnio, o kitos I laipsnio, sprendimas priimamas pagal II laipsnio plokščiapėdystę. M90-M99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I laipsnio plokščiapėdystę, arba II laipsnio, jei nėra kulnikaulio artrozės,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Išvaržos (kirkšnies, pilvo, kitos pilvo ertmės išvaržos).Vieno ar abiejų kirkšnies žiedų didėjimas standinantis, išvaržos palpavimo metu per pilvaplėvę čiuopiasi pilvo ertmės turinys. K40-K46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mažai bambos išvaržai, baltosios linijos lipomai ir kirkšnies žiedų praplatėjimui fizinio krūvio metu ir standinantis (kai pilvo ertmės turinys neužčiuopiamas) nėra draudžiama sportuoti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Hemarojus, esant dažniems paūmėjimams ir antrinei anemijai, iškrentant mazgams (II–III stadija). Recidyvuojanti išangės įplėša.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Tiesiosios žarnos visų sienelių išsikišimas standinantis.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Odos ir poodinės ląstelienos sužeidimų padariniai, trikdantys judesių funkcijas arba apsunkinantys drabužių, avalynės ar sportinio inventoriaus dėvėjimą. L80-L99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Po operacijų ar sužeidimų nesutvirtėję randai, apsunkinantys fizinių pratimų atlikimą; randai, turintys polinkį išopėti; randai, sulipę su aplinkiniais audiniais ir trukdantys judėti per vieną ar kitą sąnarį fizinių pratimų metu.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Krūtinės liaukų ligos. C30-C39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Piktybiniai augliai bet kokios lokalizacijos. C00-D48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Nepiktybiniai augliai, kol visiškai pasveikstama. D10-D36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Otorinolaringologiniai susirgimai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Gerklų, kaklo dalies trachėjos ligos ir pažeidimai, sukeliantys net ir nereikšmingus kvėpavimo ir balso funkcijos sutrikimus. Q30-Q34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pertvaros defektai su ryškiais nosies kvėpavimo funkcijos sutrikimais (operacijos atliekamos nuo 15 metų). J34, 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Išorinės ausies ligos – iki visiško pasveikimo. H60-H62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Eustachijaus kanalo ligos – iki visiško pasveikimo. H68-H69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Vienos ar abiejų ausų pūliniai epitimpanitai arba visų formų ir stadijų mezotimpanitai. H66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Stabilūs persirgto otito padariniai (stabilūs būgnelio randiniai pakitimai, jų perforacija). H72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Otosklerozė, labirintopatija, kochlearinio nervo uždegimas ir kiti kurtumo požymiai arba stabilus klausos pablogėjimas viena ar abiem ausimis. H80-H83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Sutrikęs praeinamumas per Eustachijaus vamzdį ir ausies barofunkcijos sutrikimas. 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Vestibulinis vegetacinis sutrikimas net ir vidutinio laipsnio. H81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priedėlių ligos – iki visiško pasveikimo. J00-J99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burnos ruimo, ryklės, gerklų ir trachėjos audinių lėtiniai pakitimai ir deformacijos. J30-J39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Viršutinių kvėpavimo takų ligos (nosies ertmės polipai), adenoidai, lėtinis dekompensuotas tonzilitas – iki visiško pasveikimo. J00-J06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Ozena. J31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Anosmija (kvapo nejutimas). J34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kuriems buvo laikinai sutrikusios funkcijos po LOR lėtinių ligų paūmėjimo, traumų ar chirurginio gydymo.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Infekcinės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Infekcinės ir parazitinės ligos: žarnyno infekcijos, bakterinės zoonozės, bakterinės ir virusinės ligos, tarp jų perduodamos nariuotakojų, ligos sukeliamos chlamidijų, riketsiozių ir kitos ligos, nepasiduodančios arba sunkiai pasiduodančios gydymui, įskaitant laikinus funkcinius sutrikimus po ūmių infekcinių ar parazitinių ligų. A00-A99, B00-B99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serologinės ar alerginės reakcijos teigiamos, bet klinikinių ligos požymių nėra, sportavimo klausimas sprendžiamas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 Jei serologinės ar alerginės reakcijos teigiamos, bet klinikinių ligos požymių nėra, sportavimo klausimas sprendžiamas individualiai.</w:t>
                    </w:r>
                  </w:p>
                  <w:p>
                    <w:pPr>
                      <w:widowControl w:val="0"/>
                    </w:pPr>
                    <w:r>
                      <w:t>b) Asmenims, persirgusiems virusiniu hepatitu, šiltine, paratifu, nesant kepenų ir virškinamojo trakto funkcinių sutrikimų, galima leisti sportuoti, bet ne anksčiau kaip praėjus 6 mėn. po stacionarinio gydymo (nerekomenduojamos ištvermės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Kvėpavimo organų tuberkuliozė: plaučių, bronchų, tarpusienio limfmazgių, pleuros, taip pat ir neaktyvi, po persirgtos ligos esant mažiems (nežymiems) liekamiesiems pakitimams, įskaitant išgydytą spontaninę tuberkuliozę.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 krūtinės ląstos organų tuberkuliozė: periferinių ar pilvaplėvės mazgų, perikardo, žarnyno, kaulų ir sąnarių, šlapimo ir lyties organų, akių, odos, kitų organų.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kuriems yra neaktyvi kvėpavimo organų ir tarpusienio tuberkuliozė, t. y. jei per 5 metus po gydymo nepastebėta jokių suaktyvėjimo reiškinių, po dispanserizacijos nutraukimo ir nesant jokių liekamųjų pakitimų,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Odos ir venerinės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Infekcijos ir kitos odos ir poodžio uždegiminės ligos, sunkiai pasiduodančios gydymui; išplitusios formos lėtinės egzemos, difuzinis neurodermatitas su išplitusia lichenifikacija, pūslelinė, herpinis dermatitas, išplitusi psoriazė, išplitusi absceduojanti ir lėtinė opinė piodermija, ribotos ir dažnos recidyvinės egzemos formos, difuzinis neurodermatitas su odos paviršiaus židinine lichenifikacija, diskoidinė raudonoji vilkligė, fotodermatitai. L00-L99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odos ir poodžio ligos: lėtinė dilgėlinė, recidyvinė Kvinkės edema, ribota sklerodermija. L50-L75</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ŽIV viruso sukeltos ligos, įskaitant ŽIV infekavimą. B20-B24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Dažniausiai lytiškai santykiaujant plintančios infekcijos. A50-A64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Grybelinės ligos. B35-B49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sergantiems grybelinėmis ligomis, gali būti leidžiama sportuoti visiškai pasveikus ir nutraukus dispanserizaciją.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grybelinėmis ligomis, gali būti leidžiama sportuoti visiškai pasveikus ir nutraukus dispanserizaciją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Lytinių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Vyrų lytinių organų ligos (hiperplazijos, priešinės liaukos uždegimai ir kitos ligos, sėklidžių vandenė, orchitas ir epididimitas, fimozė ir apyvarpės perteklius, kitos varpos ligos; sėklidės viržėlio vandenė, kitos vyrų lytinių organų ligos), esant reikšmingiems ir vidutiniams funkcijų sutrikimams. N40-N51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ligos (vulvos, makšties, Bartolinio liaukos, kiaušidžių, gimdos, dubens organų, pilvaplėvės). N70-N77</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venų varikozinis išsiplėtimas.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kraurozė.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Genitalinė ir ekstragenitalinė endometriozė. N80</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2.10.6.</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Ryškiai netaisyklinga moters lytinių organų padėtis. N80-N98</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2.10.7.</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Išreikšta arba lydima funkcijos sutrikimų moters lyties organų įgimta anomalija, lyties organų neišsivystymas (išreikštas lyties organų infantilizmas), hermofrodizmas. N99, Q50-Q56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2.10.8.</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nusileidimas ir iškritimas. N81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Odontologinės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Dantų raidos ir dygimo sutrikimai: 10 ir daugiau dantų nebuvimas vieno žandikaulio lanke arba jų korekcija nuimamais protezais; 8 krūminių dantų nebuvimas vieno žandikaulio lanke arba 4 krūminių dantų nebuvimas viršutinio žandikaulio lanko vienoje pusėje ir 4 krūminių dantų nebuvimas apatinio žandikaulio lanko kitoje pusėje arba korekcija nuimamais protezais.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dantų ir veido anomalijos, žandikaulių ligos, darančios didelę ir vidutinę įtaką kvėpavimo, uoslės, kramtymo, rijimo bei kalbos funkcijoms.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Nepagydomos kietųjų danties audinių, pulpos ir periapikalinių audinių, dantenų ir periodonto, seilių liaukų, liežuvio ir burnos gleivinės ligos.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Akių ligos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Lagoftalmas, vokų išvirtimas ir blakstienų augimas į akies obuolio pusę (trichiazė), sukeliantis akies dirginimą, trikdantis akies funkciją, vokų suaugimas, voko suaugimas su akies obuoliu, ribojantis arba trikdantis akies judesius ir regėjimą (net vienos akies). H00-H06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Voko ptozė, pažeidžianti, veikianti vienos arba abiejų akių regėjimą. H02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Nuolatinis nepagydomas ašarojimas, esant ašarų sistemos ligoms. 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Dažnai paūmėjančios lėtinės junginės, ragenos, uvealinio trakto ir tinklainės uždegiminės ir degeneracinės ligos. H10-H13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ligos.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atrofija.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Ryški įgimta ir įgyta katarakta (ir trauminė). H15-22, H25-H28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Stiklakūnio drumstumas ir destrukcija. H43-H45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apvalkalų įgimti ir įgyti defektai, trikdantys regėjimą. H30-H36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lang w:val="en-US"/>
                      </w:rPr>
                    </w:pPr>
                    <w:r>
                      <w:t>Afakija. H27.0</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dugno pakitimai.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Būklė po akies obuolio prasiskverbiančio pažeidimo. 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Svetimkūnis akyje, kurio neįmanoma pašalinti. H59 </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Vienos arba abiejų akių regėjimo laukas susiaurėjęs 20</w:t>
                    </w:r>
                    <w:r>
                      <w:rPr>
                        <w:vertAlign w:val="superscript"/>
                      </w:rPr>
                      <w:t>o</w:t>
                    </w:r>
                    <w:r>
                      <w:t xml:space="preserve"> ir daugiau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judėjimo aparato sutrikimai.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Ryškus nistagmas, labai sutrikdantis regėjimą.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Bendrakryptis žvairumas daugiau nei 20</w:t>
                    </w:r>
                    <w:r>
                      <w:rPr>
                        <w:vertAlign w:val="superscript"/>
                      </w:rPr>
                      <w:t>o</w:t>
                    </w:r>
                    <w:r>
                      <w:t xml:space="preserve">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Spalvinio matymo trūkumai. H53-H54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r>
                      <w:rPr>
                        <w:highlight w:val="yellow"/>
                      </w:rPr>
                      <w:t xml:space="preserve">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Refrakcijos sutrikimai: bendrai visoms sporto šakoms – kai regėjimas: a) abiejų akių mažiau kaip 0,6 (be korekcijos); b) ne mažiau kaip 0,6 vienos (stipresnės ) akies ir 0,3 – kitos (silpnesnės) akies (be korekcijos); kontraindikacijos atskiroms sporto šakoms (lentelėje).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Pr>
                  <w:p>
                    <w:pPr>
                      <w:widowControl w:val="0"/>
                    </w:pPr>
                    <w:r>
                      <w:rPr>
                        <w:caps/>
                      </w:rPr>
                      <w:t>2.13.</w:t>
                    </w:r>
                  </w:p>
                </w:tc>
                <w:tc>
                  <w:tcPr>
                    <w:tcW w:w="7882" w:type="dxa"/>
                    <w:gridSpan w:val="10"/>
                    <w:tcBorders>
                      <w:right w:val="single" w:sz="4" w:space="0" w:color="auto"/>
                    </w:tcBorders>
                  </w:tcPr>
                  <w:p>
                    <w:pPr>
                      <w:widowControl w:val="0"/>
                      <w:jc w:val="center"/>
                    </w:pPr>
                    <w:r>
                      <w:rPr>
                        <w:caps/>
                      </w:rPr>
                      <w:t>refrakcijos anomalijos</w:t>
                    </w:r>
                  </w:p>
                </w:tc>
              </w:tr>
              <w:tr>
                <w:trPr>
                  <w:trHeight w:val="20"/>
                </w:trPr>
                <w:tc>
                  <w:tcPr>
                    <w:tcW w:w="1188" w:type="dxa"/>
                  </w:tcPr>
                  <w:p>
                    <w:pPr>
                      <w:widowControl w:val="0"/>
                    </w:pPr>
                  </w:p>
                </w:tc>
                <w:tc>
                  <w:tcPr>
                    <w:tcW w:w="1932" w:type="dxa"/>
                  </w:tcPr>
                  <w:p>
                    <w:pPr>
                      <w:widowControl w:val="0"/>
                    </w:pPr>
                    <w:r>
                      <w:t xml:space="preserve">Sporto šakos, kurias galima kultivuoti nenaudojant regėjimo korekcijos </w:t>
                    </w:r>
                  </w:p>
                </w:tc>
                <w:tc>
                  <w:tcPr>
                    <w:tcW w:w="2068" w:type="dxa"/>
                    <w:gridSpan w:val="6"/>
                  </w:tcPr>
                  <w:p>
                    <w:pPr>
                      <w:widowControl w:val="0"/>
                    </w:pPr>
                    <w:r>
                      <w:t>Sporto šakos, kurias kultivuojant leidžiama regėjimo korekcija</w:t>
                    </w:r>
                  </w:p>
                </w:tc>
                <w:tc>
                  <w:tcPr>
                    <w:tcW w:w="1939" w:type="dxa"/>
                    <w:gridSpan w:val="2"/>
                  </w:tcPr>
                  <w:p>
                    <w:pPr>
                      <w:widowControl w:val="0"/>
                    </w:pPr>
                    <w:r>
                      <w:t>Sporto šakos, kurias kultivuojant neleidžiama regėjimo korekcija</w:t>
                    </w:r>
                  </w:p>
                </w:tc>
                <w:tc>
                  <w:tcPr>
                    <w:tcW w:w="1943" w:type="dxa"/>
                  </w:tcPr>
                  <w:p>
                    <w:pPr>
                      <w:widowControl w:val="0"/>
                    </w:pPr>
                    <w:r>
                      <w:t>Sporto šakos, kurias kultivuojant sumažėjęs regėjimas pavojingas, o korekcijos naudojimas neleistinas</w:t>
                    </w:r>
                  </w:p>
                </w:tc>
              </w:tr>
              <w:tr>
                <w:trPr>
                  <w:trHeight w:val="20"/>
                </w:trPr>
                <w:tc>
                  <w:tcPr>
                    <w:tcW w:w="1188" w:type="dxa"/>
                  </w:tcPr>
                  <w:p>
                    <w:pPr>
                      <w:widowControl w:val="0"/>
                    </w:pPr>
                    <w:r>
                      <w:t>2.13.1.</w:t>
                    </w:r>
                  </w:p>
                </w:tc>
                <w:tc>
                  <w:tcPr>
                    <w:tcW w:w="1932" w:type="dxa"/>
                  </w:tcPr>
                  <w:p>
                    <w:pPr>
                      <w:widowControl w:val="0"/>
                    </w:pPr>
                    <w:r>
                      <w:t>Lengvosios atletikos rūšys (ėjimas, metimai, krosai, šuoliai su kartimi)</w:t>
                    </w:r>
                  </w:p>
                </w:tc>
                <w:tc>
                  <w:tcPr>
                    <w:tcW w:w="2068" w:type="dxa"/>
                    <w:gridSpan w:val="6"/>
                  </w:tcPr>
                  <w:p>
                    <w:pPr>
                      <w:widowControl w:val="0"/>
                    </w:pPr>
                    <w:r>
                      <w:t>Sportinė ir meninė gimnastika</w:t>
                    </w:r>
                  </w:p>
                </w:tc>
                <w:tc>
                  <w:tcPr>
                    <w:tcW w:w="1939" w:type="dxa"/>
                    <w:gridSpan w:val="2"/>
                  </w:tcPr>
                  <w:p>
                    <w:pPr>
                      <w:widowControl w:val="0"/>
                    </w:pPr>
                    <w:r>
                      <w:t>Visos imtynių rūšys</w:t>
                    </w:r>
                  </w:p>
                </w:tc>
                <w:tc>
                  <w:tcPr>
                    <w:tcW w:w="1943" w:type="dxa"/>
                  </w:tcPr>
                  <w:p>
                    <w:pPr>
                      <w:widowControl w:val="0"/>
                    </w:pPr>
                    <w:r>
                      <w:t>Motosportas</w:t>
                    </w:r>
                  </w:p>
                </w:tc>
              </w:tr>
              <w:tr>
                <w:trPr>
                  <w:trHeight w:val="20"/>
                </w:trPr>
                <w:tc>
                  <w:tcPr>
                    <w:tcW w:w="1188" w:type="dxa"/>
                  </w:tcPr>
                  <w:p>
                    <w:pPr>
                      <w:widowControl w:val="0"/>
                    </w:pPr>
                    <w:r>
                      <w:t>2.13.2.</w:t>
                    </w:r>
                  </w:p>
                </w:tc>
                <w:tc>
                  <w:tcPr>
                    <w:tcW w:w="1932" w:type="dxa"/>
                  </w:tcPr>
                  <w:p>
                    <w:pPr>
                      <w:widowControl w:val="0"/>
                    </w:pPr>
                    <w:r>
                      <w:t>Sunkioji atletika</w:t>
                    </w:r>
                  </w:p>
                </w:tc>
                <w:tc>
                  <w:tcPr>
                    <w:tcW w:w="2068" w:type="dxa"/>
                    <w:gridSpan w:val="6"/>
                  </w:tcPr>
                  <w:p>
                    <w:pPr>
                      <w:widowControl w:val="0"/>
                    </w:pPr>
                    <w:r>
                      <w:t>Lengvoji atletika</w:t>
                    </w:r>
                  </w:p>
                </w:tc>
                <w:tc>
                  <w:tcPr>
                    <w:tcW w:w="1939" w:type="dxa"/>
                    <w:gridSpan w:val="2"/>
                  </w:tcPr>
                  <w:p>
                    <w:pPr>
                      <w:widowControl w:val="0"/>
                    </w:pPr>
                    <w:r>
                      <w:t>Boksas</w:t>
                    </w:r>
                  </w:p>
                </w:tc>
                <w:tc>
                  <w:tcPr>
                    <w:tcW w:w="1943" w:type="dxa"/>
                  </w:tcPr>
                  <w:p>
                    <w:pPr>
                      <w:widowControl w:val="0"/>
                    </w:pPr>
                    <w:r>
                      <w:t>Žirgų sportas</w:t>
                    </w:r>
                  </w:p>
                </w:tc>
              </w:tr>
              <w:tr>
                <w:trPr>
                  <w:trHeight w:val="20"/>
                </w:trPr>
                <w:tc>
                  <w:tcPr>
                    <w:tcW w:w="1188" w:type="dxa"/>
                  </w:tcPr>
                  <w:p>
                    <w:pPr>
                      <w:widowControl w:val="0"/>
                    </w:pPr>
                    <w:r>
                      <w:t>2.13.3.</w:t>
                    </w:r>
                  </w:p>
                </w:tc>
                <w:tc>
                  <w:tcPr>
                    <w:tcW w:w="1932" w:type="dxa"/>
                  </w:tcPr>
                  <w:p>
                    <w:pPr>
                      <w:widowControl w:val="0"/>
                    </w:pPr>
                    <w:r>
                      <w:t>Greitasis čiuožimas</w:t>
                    </w:r>
                  </w:p>
                </w:tc>
                <w:tc>
                  <w:tcPr>
                    <w:tcW w:w="2068" w:type="dxa"/>
                    <w:gridSpan w:val="6"/>
                  </w:tcPr>
                  <w:p>
                    <w:pPr>
                      <w:widowControl w:val="0"/>
                    </w:pPr>
                    <w:r>
                      <w:t>Slidinėjimas</w:t>
                    </w:r>
                  </w:p>
                </w:tc>
                <w:tc>
                  <w:tcPr>
                    <w:tcW w:w="1939" w:type="dxa"/>
                    <w:gridSpan w:val="2"/>
                  </w:tcPr>
                  <w:p>
                    <w:pPr>
                      <w:widowControl w:val="0"/>
                    </w:pPr>
                    <w:r>
                      <w:t>Futbolas</w:t>
                    </w:r>
                  </w:p>
                </w:tc>
                <w:tc>
                  <w:tcPr>
                    <w:tcW w:w="1943" w:type="dxa"/>
                  </w:tcPr>
                  <w:p>
                    <w:pPr>
                      <w:widowControl w:val="0"/>
                    </w:pPr>
                    <w:r>
                      <w:t>Buriavimas</w:t>
                    </w:r>
                  </w:p>
                </w:tc>
              </w:tr>
              <w:tr>
                <w:trPr>
                  <w:trHeight w:val="20"/>
                </w:trPr>
                <w:tc>
                  <w:tcPr>
                    <w:tcW w:w="1188" w:type="dxa"/>
                  </w:tcPr>
                  <w:p>
                    <w:pPr>
                      <w:widowControl w:val="0"/>
                    </w:pPr>
                    <w:r>
                      <w:t>2.13.4.</w:t>
                    </w:r>
                  </w:p>
                </w:tc>
                <w:tc>
                  <w:tcPr>
                    <w:tcW w:w="1932" w:type="dxa"/>
                  </w:tcPr>
                  <w:p>
                    <w:pPr>
                      <w:widowControl w:val="0"/>
                    </w:pPr>
                    <w:r>
                      <w:t>Dailusis čiuožimas</w:t>
                    </w:r>
                  </w:p>
                </w:tc>
                <w:tc>
                  <w:tcPr>
                    <w:tcW w:w="2068" w:type="dxa"/>
                    <w:gridSpan w:val="6"/>
                  </w:tcPr>
                  <w:p>
                    <w:pPr>
                      <w:widowControl w:val="0"/>
                    </w:pPr>
                    <w:r>
                      <w:t>Greitasis čiuožimas</w:t>
                    </w:r>
                  </w:p>
                </w:tc>
                <w:tc>
                  <w:tcPr>
                    <w:tcW w:w="1939" w:type="dxa"/>
                    <w:gridSpan w:val="2"/>
                  </w:tcPr>
                  <w:p>
                    <w:pPr>
                      <w:widowControl w:val="0"/>
                    </w:pPr>
                    <w:r>
                      <w:t>Ledo rutulys</w:t>
                    </w:r>
                  </w:p>
                </w:tc>
                <w:tc>
                  <w:tcPr>
                    <w:tcW w:w="1943" w:type="dxa"/>
                  </w:tcPr>
                  <w:p>
                    <w:pPr>
                      <w:widowControl w:val="0"/>
                    </w:pPr>
                    <w:r>
                      <w:t>Vandens motosportas</w:t>
                    </w:r>
                  </w:p>
                </w:tc>
              </w:tr>
              <w:tr>
                <w:trPr>
                  <w:trHeight w:val="20"/>
                </w:trPr>
                <w:tc>
                  <w:tcPr>
                    <w:tcW w:w="1188" w:type="dxa"/>
                  </w:tcPr>
                  <w:p>
                    <w:pPr>
                      <w:widowControl w:val="0"/>
                    </w:pPr>
                    <w:r>
                      <w:t>2.13.5.</w:t>
                    </w:r>
                  </w:p>
                </w:tc>
                <w:tc>
                  <w:tcPr>
                    <w:tcW w:w="1932" w:type="dxa"/>
                  </w:tcPr>
                  <w:p>
                    <w:pPr>
                      <w:widowControl w:val="0"/>
                    </w:pPr>
                    <w:r>
                      <w:t>Plaukimas</w:t>
                    </w:r>
                  </w:p>
                </w:tc>
                <w:tc>
                  <w:tcPr>
                    <w:tcW w:w="2068" w:type="dxa"/>
                    <w:gridSpan w:val="6"/>
                  </w:tcPr>
                  <w:p>
                    <w:pPr>
                      <w:widowControl w:val="0"/>
                    </w:pPr>
                    <w:r>
                      <w:t>Dailusis čiuožimas</w:t>
                    </w:r>
                  </w:p>
                </w:tc>
                <w:tc>
                  <w:tcPr>
                    <w:tcW w:w="1939" w:type="dxa"/>
                    <w:gridSpan w:val="2"/>
                  </w:tcPr>
                  <w:p>
                    <w:pPr>
                      <w:widowControl w:val="0"/>
                    </w:pPr>
                    <w:r>
                      <w:t>Vandensvydis</w:t>
                    </w:r>
                  </w:p>
                </w:tc>
                <w:tc>
                  <w:tcPr>
                    <w:tcW w:w="1943" w:type="dxa"/>
                  </w:tcPr>
                  <w:p>
                    <w:pPr>
                      <w:widowControl w:val="0"/>
                    </w:pPr>
                    <w:r>
                      <w:t>Kalnų slidinėjimas</w:t>
                    </w:r>
                  </w:p>
                </w:tc>
              </w:tr>
              <w:tr>
                <w:trPr>
                  <w:trHeight w:val="20"/>
                </w:trPr>
                <w:tc>
                  <w:tcPr>
                    <w:tcW w:w="1188" w:type="dxa"/>
                  </w:tcPr>
                  <w:p>
                    <w:pPr>
                      <w:widowControl w:val="0"/>
                    </w:pPr>
                    <w:r>
                      <w:t>2.13.6.</w:t>
                    </w:r>
                  </w:p>
                </w:tc>
                <w:tc>
                  <w:tcPr>
                    <w:tcW w:w="1932" w:type="dxa"/>
                  </w:tcPr>
                  <w:p>
                    <w:pPr>
                      <w:widowControl w:val="0"/>
                    </w:pPr>
                    <w:r>
                      <w:t>Irklavimas</w:t>
                    </w:r>
                  </w:p>
                </w:tc>
                <w:tc>
                  <w:tcPr>
                    <w:tcW w:w="2068" w:type="dxa"/>
                    <w:gridSpan w:val="6"/>
                  </w:tcPr>
                  <w:p>
                    <w:pPr>
                      <w:widowControl w:val="0"/>
                    </w:pPr>
                    <w:r>
                      <w:t>Fechtavimasis</w:t>
                    </w:r>
                  </w:p>
                </w:tc>
                <w:tc>
                  <w:tcPr>
                    <w:tcW w:w="1939" w:type="dxa"/>
                    <w:gridSpan w:val="2"/>
                  </w:tcPr>
                  <w:p>
                    <w:pPr>
                      <w:widowControl w:val="0"/>
                    </w:pPr>
                    <w:r>
                      <w:t>Motosportas</w:t>
                    </w:r>
                  </w:p>
                </w:tc>
                <w:tc>
                  <w:tcPr>
                    <w:tcW w:w="1943" w:type="dxa"/>
                  </w:tcPr>
                  <w:p>
                    <w:pPr>
                      <w:widowControl w:val="0"/>
                    </w:pPr>
                    <w:r>
                      <w:t>Šuoliai į vandenį</w:t>
                    </w:r>
                  </w:p>
                </w:tc>
              </w:tr>
              <w:tr>
                <w:trPr>
                  <w:trHeight w:val="20"/>
                </w:trPr>
                <w:tc>
                  <w:tcPr>
                    <w:tcW w:w="1188" w:type="dxa"/>
                  </w:tcPr>
                  <w:p>
                    <w:pPr>
                      <w:widowControl w:val="0"/>
                    </w:pPr>
                    <w:r>
                      <w:t>2.13.7.</w:t>
                    </w:r>
                  </w:p>
                </w:tc>
                <w:tc>
                  <w:tcPr>
                    <w:tcW w:w="1932" w:type="dxa"/>
                    <w:tcBorders>
                      <w:bottom w:val="single" w:sz="4" w:space="0" w:color="auto"/>
                    </w:tcBorders>
                  </w:tcPr>
                  <w:p>
                    <w:pPr>
                      <w:widowControl w:val="0"/>
                    </w:pPr>
                  </w:p>
                </w:tc>
                <w:tc>
                  <w:tcPr>
                    <w:tcW w:w="2068" w:type="dxa"/>
                    <w:gridSpan w:val="6"/>
                  </w:tcPr>
                  <w:p>
                    <w:pPr>
                      <w:widowControl w:val="0"/>
                    </w:pPr>
                    <w:r>
                      <w:t>Irklavimas</w:t>
                    </w:r>
                  </w:p>
                </w:tc>
                <w:tc>
                  <w:tcPr>
                    <w:tcW w:w="1939" w:type="dxa"/>
                    <w:gridSpan w:val="2"/>
                  </w:tcPr>
                  <w:p>
                    <w:pPr>
                      <w:widowControl w:val="0"/>
                    </w:pPr>
                    <w:r>
                      <w:t>Žirgų sportas</w:t>
                    </w:r>
                  </w:p>
                </w:tc>
                <w:tc>
                  <w:tcPr>
                    <w:tcW w:w="1943" w:type="dxa"/>
                    <w:tcBorders>
                      <w:bottom w:val="single" w:sz="4" w:space="0" w:color="auto"/>
                    </w:tcBorders>
                  </w:tcPr>
                  <w:p>
                    <w:pPr>
                      <w:widowControl w:val="0"/>
                    </w:pPr>
                    <w:r>
                      <w:t>Alpinizmas</w:t>
                    </w:r>
                  </w:p>
                </w:tc>
              </w:tr>
              <w:tr>
                <w:trPr>
                  <w:trHeight w:val="20"/>
                </w:trPr>
                <w:tc>
                  <w:tcPr>
                    <w:tcW w:w="1188" w:type="dxa"/>
                  </w:tcPr>
                  <w:p>
                    <w:pPr>
                      <w:widowControl w:val="0"/>
                    </w:pPr>
                    <w:r>
                      <w:t>2.13.8.</w:t>
                    </w:r>
                  </w:p>
                </w:tc>
                <w:tc>
                  <w:tcPr>
                    <w:tcW w:w="1932" w:type="dxa"/>
                    <w:tcBorders>
                      <w:bottom w:val="nil"/>
                    </w:tcBorders>
                    <w:shd w:val="clear" w:color="auto" w:fill="auto"/>
                  </w:tcPr>
                  <w:p>
                    <w:pPr>
                      <w:widowControl w:val="0"/>
                    </w:pPr>
                  </w:p>
                </w:tc>
                <w:tc>
                  <w:tcPr>
                    <w:tcW w:w="2068" w:type="dxa"/>
                    <w:gridSpan w:val="6"/>
                  </w:tcPr>
                  <w:p>
                    <w:pPr>
                      <w:widowControl w:val="0"/>
                    </w:pPr>
                    <w:r>
                      <w:t>Šaudymas</w:t>
                    </w:r>
                  </w:p>
                </w:tc>
                <w:tc>
                  <w:tcPr>
                    <w:tcW w:w="1939" w:type="dxa"/>
                    <w:gridSpan w:val="2"/>
                  </w:tcPr>
                  <w:p>
                    <w:pPr>
                      <w:widowControl w:val="0"/>
                    </w:pPr>
                    <w:r>
                      <w:t>Šuoliai į vandenį</w:t>
                    </w:r>
                  </w:p>
                </w:tc>
                <w:tc>
                  <w:tcPr>
                    <w:tcW w:w="1943" w:type="dxa"/>
                    <w:tcBorders>
                      <w:bottom w:val="nil"/>
                    </w:tcBorders>
                    <w:shd w:val="clear" w:color="auto" w:fill="auto"/>
                  </w:tcPr>
                  <w:p>
                    <w:pPr>
                      <w:widowControl w:val="0"/>
                    </w:pPr>
                  </w:p>
                </w:tc>
              </w:tr>
              <w:tr>
                <w:trPr>
                  <w:trHeight w:val="20"/>
                </w:trPr>
                <w:tc>
                  <w:tcPr>
                    <w:tcW w:w="1188" w:type="dxa"/>
                  </w:tcPr>
                  <w:p>
                    <w:pPr>
                      <w:widowControl w:val="0"/>
                    </w:pPr>
                    <w:r>
                      <w:t>2.13.9.</w:t>
                    </w:r>
                  </w:p>
                </w:tc>
                <w:tc>
                  <w:tcPr>
                    <w:tcW w:w="1932" w:type="dxa"/>
                    <w:tcBorders>
                      <w:top w:val="nil"/>
                      <w:bottom w:val="nil"/>
                    </w:tcBorders>
                    <w:shd w:val="clear" w:color="auto" w:fill="auto"/>
                  </w:tcPr>
                  <w:p>
                    <w:pPr>
                      <w:widowControl w:val="0"/>
                    </w:pPr>
                  </w:p>
                </w:tc>
                <w:tc>
                  <w:tcPr>
                    <w:tcW w:w="2068" w:type="dxa"/>
                    <w:gridSpan w:val="6"/>
                  </w:tcPr>
                  <w:p>
                    <w:pPr>
                      <w:widowControl w:val="0"/>
                    </w:pPr>
                    <w:r>
                      <w:t>Sunkioji atletika</w:t>
                    </w:r>
                  </w:p>
                </w:tc>
                <w:tc>
                  <w:tcPr>
                    <w:tcW w:w="1939" w:type="dxa"/>
                    <w:gridSpan w:val="2"/>
                  </w:tcPr>
                  <w:p>
                    <w:pPr>
                      <w:widowControl w:val="0"/>
                    </w:pPr>
                    <w:r>
                      <w:t>Šuoliai su slidėmis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2.13.10.</w:t>
                    </w:r>
                  </w:p>
                </w:tc>
                <w:tc>
                  <w:tcPr>
                    <w:tcW w:w="1932" w:type="dxa"/>
                    <w:tcBorders>
                      <w:top w:val="nil"/>
                      <w:bottom w:val="nil"/>
                    </w:tcBorders>
                    <w:shd w:val="clear" w:color="auto" w:fill="auto"/>
                  </w:tcPr>
                  <w:p>
                    <w:pPr>
                      <w:widowControl w:val="0"/>
                    </w:pPr>
                  </w:p>
                </w:tc>
                <w:tc>
                  <w:tcPr>
                    <w:tcW w:w="2068" w:type="dxa"/>
                    <w:gridSpan w:val="6"/>
                  </w:tcPr>
                  <w:p>
                    <w:pPr>
                      <w:widowControl w:val="0"/>
                    </w:pPr>
                    <w:r>
                      <w:t xml:space="preserve">Tenisas </w:t>
                    </w:r>
                  </w:p>
                </w:tc>
                <w:tc>
                  <w:tcPr>
                    <w:tcW w:w="1939" w:type="dxa"/>
                    <w:gridSpan w:val="2"/>
                    <w:tcBorders>
                      <w:bottom w:val="single" w:sz="4" w:space="0" w:color="auto"/>
                    </w:tcBorders>
                  </w:tcPr>
                  <w:p>
                    <w:pPr>
                      <w:widowControl w:val="0"/>
                    </w:pPr>
                    <w:r>
                      <w:t>Alpinizmas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2.13.11.</w:t>
                    </w:r>
                  </w:p>
                </w:tc>
                <w:tc>
                  <w:tcPr>
                    <w:tcW w:w="1932" w:type="dxa"/>
                    <w:tcBorders>
                      <w:top w:val="nil"/>
                      <w:bottom w:val="nil"/>
                    </w:tcBorders>
                    <w:shd w:val="clear" w:color="auto" w:fill="auto"/>
                  </w:tcPr>
                  <w:p>
                    <w:pPr>
                      <w:widowControl w:val="0"/>
                    </w:pPr>
                  </w:p>
                </w:tc>
                <w:tc>
                  <w:tcPr>
                    <w:tcW w:w="2068" w:type="dxa"/>
                    <w:gridSpan w:val="6"/>
                  </w:tcPr>
                  <w:p>
                    <w:pPr>
                      <w:widowControl w:val="0"/>
                    </w:pPr>
                    <w:r>
                      <w:t>Krepšinis</w:t>
                    </w:r>
                  </w:p>
                </w:tc>
                <w:tc>
                  <w:tcPr>
                    <w:tcW w:w="1939" w:type="dxa"/>
                    <w:gridSpan w:val="2"/>
                    <w:tcBorders>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2.13.12.</w:t>
                    </w:r>
                  </w:p>
                </w:tc>
                <w:tc>
                  <w:tcPr>
                    <w:tcW w:w="1932" w:type="dxa"/>
                    <w:tcBorders>
                      <w:top w:val="nil"/>
                      <w:bottom w:val="nil"/>
                    </w:tcBorders>
                    <w:shd w:val="clear" w:color="auto" w:fill="auto"/>
                  </w:tcPr>
                  <w:p>
                    <w:pPr>
                      <w:widowControl w:val="0"/>
                    </w:pPr>
                  </w:p>
                </w:tc>
                <w:tc>
                  <w:tcPr>
                    <w:tcW w:w="2068" w:type="dxa"/>
                    <w:gridSpan w:val="6"/>
                  </w:tcPr>
                  <w:p>
                    <w:pPr>
                      <w:widowControl w:val="0"/>
                    </w:pPr>
                    <w:r>
                      <w:t>Tinklinis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2.13.13.</w:t>
                    </w:r>
                  </w:p>
                </w:tc>
                <w:tc>
                  <w:tcPr>
                    <w:tcW w:w="1932" w:type="dxa"/>
                    <w:tcBorders>
                      <w:top w:val="nil"/>
                      <w:bottom w:val="nil"/>
                    </w:tcBorders>
                    <w:shd w:val="clear" w:color="auto" w:fill="auto"/>
                  </w:tcPr>
                  <w:p>
                    <w:pPr>
                      <w:widowControl w:val="0"/>
                    </w:pPr>
                  </w:p>
                </w:tc>
                <w:tc>
                  <w:tcPr>
                    <w:tcW w:w="2068" w:type="dxa"/>
                    <w:gridSpan w:val="6"/>
                  </w:tcPr>
                  <w:p>
                    <w:pPr>
                      <w:widowControl w:val="0"/>
                    </w:pPr>
                    <w:r>
                      <w:t>Dviračių sportas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2.13.14.</w:t>
                    </w:r>
                  </w:p>
                </w:tc>
                <w:tc>
                  <w:tcPr>
                    <w:tcW w:w="1932" w:type="dxa"/>
                    <w:tcBorders>
                      <w:top w:val="nil"/>
                    </w:tcBorders>
                    <w:shd w:val="clear" w:color="auto" w:fill="auto"/>
                  </w:tcPr>
                  <w:p>
                    <w:pPr>
                      <w:widowControl w:val="0"/>
                    </w:pPr>
                  </w:p>
                </w:tc>
                <w:tc>
                  <w:tcPr>
                    <w:tcW w:w="2068" w:type="dxa"/>
                    <w:gridSpan w:val="6"/>
                  </w:tcPr>
                  <w:p>
                    <w:pPr>
                      <w:widowControl w:val="0"/>
                    </w:pPr>
                    <w:r>
                      <w:t>Kėgliai</w:t>
                    </w:r>
                  </w:p>
                </w:tc>
                <w:tc>
                  <w:tcPr>
                    <w:tcW w:w="1939" w:type="dxa"/>
                    <w:gridSpan w:val="2"/>
                    <w:tcBorders>
                      <w:top w:val="nil"/>
                    </w:tcBorders>
                    <w:shd w:val="clear" w:color="auto" w:fill="auto"/>
                  </w:tcPr>
                  <w:p>
                    <w:pPr>
                      <w:widowControl w:val="0"/>
                    </w:pPr>
                  </w:p>
                </w:tc>
                <w:tc>
                  <w:tcPr>
                    <w:tcW w:w="1943" w:type="dxa"/>
                    <w:tcBorders>
                      <w:top w:val="nil"/>
                    </w:tcBorders>
                    <w:shd w:val="clear" w:color="auto" w:fill="auto"/>
                  </w:tcPr>
                  <w:p>
                    <w:pPr>
                      <w:widowControl w:val="0"/>
                    </w:pPr>
                  </w:p>
                </w:tc>
              </w:tr>
            </w:tbl>
            <w:p>
              <w:pPr>
                <w:widowControl w:val="0"/>
                <w:suppressAutoHyphens/>
                <w:ind w:firstLine="567"/>
                <w:jc w:val="both"/>
                <w:rPr>
                  <w:color w:val="000000"/>
                </w:rPr>
              </w:pPr>
            </w:p>
            <w:p>
              <w:pPr>
                <w:widowControl w:val="0"/>
                <w:suppressAutoHyphens/>
                <w:ind w:firstLine="567"/>
                <w:jc w:val="both"/>
                <w:rPr>
                  <w:color w:val="000000"/>
                </w:rPr>
                <w:sectPr>
                  <w:pgSz w:w="11907" w:h="16840" w:code="9"/>
                  <w:pgMar w:top="1134" w:right="1134" w:bottom="1134" w:left="1701" w:header="567" w:footer="284" w:gutter="0"/>
                  <w:pgNumType w:start="1"/>
                  <w:cols w:space="1296"/>
                  <w:titlePg/>
                  <w:docGrid w:linePitch="360"/>
                </w:sectPr>
              </w:pPr>
            </w:p>
            <w:p>
              <w:pPr>
                <w:widowControl w:val="0"/>
                <w:suppressAutoHyphens/>
                <w:jc w:val="center"/>
                <w:rPr>
                  <w:color w:val="000000"/>
                </w:rPr>
              </w:pPr>
            </w:p>
          </w:sdtContent>
        </w:sdt>
        <w:sdt>
          <w:sdtPr>
            <w:alias w:val="skyrius"/>
            <w:tag w:val="part_c1a1094e2b3840b590b89d810116cc44"/>
            <w:lock w:val="sdtLocked"/>
            <w:richText/>
          </w:sdtPr>
          <w:sdtContent>
            <w:p>
              <w:pPr>
                <w:jc w:val="center"/>
                <w:rPr>
                  <w:b/>
                </w:rPr>
              </w:pPr>
              <w:sdt>
                <w:sdtPr>
                  <w:alias w:val="Numeris"/>
                  <w:tag w:val="nr_c1a1094e2b3840b590b89d810116cc44"/>
                  <w:lock w:val="sdtLocked"/>
                  <w:richText/>
                </w:sdtPr>
                <w:sdtContent>
                  <w:r>
                    <w:rPr>
                      <w:b/>
                    </w:rPr>
                    <w:t>III</w:t>
                  </w:r>
                </w:sdtContent>
              </w:sdt>
              <w:r>
                <w:rPr>
                  <w:b/>
                </w:rPr>
                <w:t xml:space="preserve">. </w:t>
              </w:r>
              <w:sdt>
                <w:sdtPr>
                  <w:alias w:val="Pavadinimas"/>
                  <w:tag w:val="title_c1a1094e2b3840b590b89d810116cc44"/>
                  <w:lock w:val="sdtLocked"/>
                  <w:richText/>
                </w:sdtPr>
                <w:sdtContent>
                  <w:r>
                    <w:rPr>
                      <w:b/>
                    </w:rPr>
                    <w:t xml:space="preserve">SPORTUOJANČIŲ ASMENŲ SVEIKATOS IŠTYRIMO PERIODIŠKUMAS </w:t>
                  </w:r>
                  <w:r>
                    <w:rPr>
                      <w:b/>
                      <w:caps/>
                    </w:rPr>
                    <w:t>ir PASLAUGŲ MASTAS</w:t>
                  </w:r>
                  <w:r>
                    <w:rPr>
                      <w:b/>
                    </w:rPr>
                    <w:t xml:space="preserve"> </w:t>
                  </w:r>
                </w:sdtContent>
              </w:sdt>
            </w:p>
            <w:p>
              <w:pPr>
                <w:jc w:val="center"/>
                <w:rPr>
                  <w:b/>
                </w:rPr>
              </w:pPr>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8"/>
                <w:gridCol w:w="2280"/>
                <w:gridCol w:w="1459"/>
                <w:gridCol w:w="2644"/>
                <w:gridCol w:w="3465"/>
                <w:gridCol w:w="4254"/>
              </w:tblGrid>
              <w:tr>
                <w:trPr>
                  <w:trHeight w:val="20"/>
                  <w:tblHeader/>
                </w:trPr>
                <w:tc>
                  <w:tcPr>
                    <w:tcW w:w="638" w:type="dxa"/>
                  </w:tcPr>
                  <w:p>
                    <w:pPr>
                      <w:jc w:val="center"/>
                      <w:rPr>
                        <w:bCs/>
                        <w:sz w:val="20"/>
                      </w:rPr>
                    </w:pPr>
                    <w:r>
                      <w:rPr>
                        <w:bCs/>
                        <w:sz w:val="20"/>
                      </w:rPr>
                      <w:t>Eil. Nr.</w:t>
                    </w:r>
                  </w:p>
                </w:tc>
                <w:tc>
                  <w:tcPr>
                    <w:tcW w:w="2280" w:type="dxa"/>
                    <w:shd w:val="clear" w:color="auto" w:fill="auto"/>
                  </w:tcPr>
                  <w:p>
                    <w:pPr>
                      <w:jc w:val="center"/>
                      <w:rPr>
                        <w:bCs/>
                        <w:sz w:val="20"/>
                      </w:rPr>
                    </w:pPr>
                    <w:r>
                      <w:rPr>
                        <w:bCs/>
                        <w:sz w:val="20"/>
                      </w:rPr>
                      <w:t>Sportininkai, sporto šakos</w:t>
                    </w:r>
                  </w:p>
                </w:tc>
                <w:tc>
                  <w:tcPr>
                    <w:tcW w:w="1459" w:type="dxa"/>
                    <w:shd w:val="clear" w:color="auto" w:fill="auto"/>
                  </w:tcPr>
                  <w:p>
                    <w:pPr>
                      <w:jc w:val="center"/>
                      <w:rPr>
                        <w:bCs/>
                        <w:sz w:val="20"/>
                      </w:rPr>
                    </w:pPr>
                    <w:r>
                      <w:rPr>
                        <w:bCs/>
                        <w:sz w:val="20"/>
                      </w:rPr>
                      <w:t>Tikrinimų periodiškumas</w:t>
                    </w:r>
                  </w:p>
                </w:tc>
                <w:tc>
                  <w:tcPr>
                    <w:tcW w:w="2644" w:type="dxa"/>
                  </w:tcPr>
                  <w:p>
                    <w:pPr>
                      <w:jc w:val="center"/>
                      <w:rPr>
                        <w:bCs/>
                        <w:sz w:val="20"/>
                      </w:rPr>
                    </w:pPr>
                    <w:r>
                      <w:rPr>
                        <w:bCs/>
                        <w:sz w:val="20"/>
                      </w:rPr>
                      <w:t>Tikrinantys specialistai</w:t>
                    </w:r>
                  </w:p>
                </w:tc>
                <w:tc>
                  <w:tcPr>
                    <w:tcW w:w="3465" w:type="dxa"/>
                    <w:tcBorders>
                      <w:bottom w:val="single" w:sz="4" w:space="0" w:color="auto"/>
                    </w:tcBorders>
                    <w:shd w:val="clear" w:color="auto" w:fill="auto"/>
                  </w:tcPr>
                  <w:p>
                    <w:pPr>
                      <w:jc w:val="center"/>
                      <w:rPr>
                        <w:bCs/>
                        <w:sz w:val="20"/>
                      </w:rPr>
                    </w:pPr>
                    <w:r>
                      <w:rPr>
                        <w:bCs/>
                        <w:sz w:val="20"/>
                      </w:rPr>
                      <w:t>Tyrimų apimtis</w:t>
                    </w:r>
                  </w:p>
                </w:tc>
                <w:tc>
                  <w:tcPr>
                    <w:tcW w:w="4254" w:type="dxa"/>
                    <w:tcBorders>
                      <w:bottom w:val="single" w:sz="4" w:space="0" w:color="auto"/>
                    </w:tcBorders>
                    <w:shd w:val="clear" w:color="auto" w:fill="auto"/>
                  </w:tcPr>
                  <w:p>
                    <w:pPr>
                      <w:jc w:val="center"/>
                      <w:rPr>
                        <w:bCs/>
                        <w:sz w:val="20"/>
                      </w:rPr>
                    </w:pPr>
                    <w:r>
                      <w:rPr>
                        <w:bCs/>
                        <w:sz w:val="20"/>
                      </w:rPr>
                      <w:t>Pastabos</w:t>
                    </w:r>
                  </w:p>
                </w:tc>
              </w:tr>
              <w:tr>
                <w:trPr>
                  <w:trHeight w:val="510"/>
                </w:trPr>
                <w:tc>
                  <w:tcPr>
                    <w:tcW w:w="638" w:type="dxa"/>
                    <w:vMerge w:val="restart"/>
                  </w:tcPr>
                  <w:p>
                    <w:pPr>
                      <w:rPr>
                        <w:bCs/>
                        <w:sz w:val="20"/>
                        <w:lang w:val="en-US"/>
                      </w:rPr>
                    </w:pPr>
                    <w:r>
                      <w:rPr>
                        <w:bCs/>
                        <w:sz w:val="20"/>
                      </w:rPr>
                      <w:t>3.1.</w:t>
                    </w:r>
                  </w:p>
                </w:tc>
                <w:tc>
                  <w:tcPr>
                    <w:tcW w:w="2280" w:type="dxa"/>
                    <w:vMerge w:val="restart"/>
                    <w:shd w:val="clear" w:color="auto" w:fill="auto"/>
                  </w:tcPr>
                  <w:p>
                    <w:pPr>
                      <w:rPr>
                        <w:bCs/>
                        <w:sz w:val="20"/>
                      </w:rPr>
                    </w:pPr>
                    <w:r>
                      <w:rPr>
                        <w:bCs/>
                        <w:sz w:val="20"/>
                      </w:rPr>
                      <w:t>Sporto mokymo įstaigų pradinio rengimo grupės nariai</w:t>
                    </w:r>
                  </w:p>
                </w:tc>
                <w:tc>
                  <w:tcPr>
                    <w:tcW w:w="1459" w:type="dxa"/>
                    <w:vMerge w:val="restart"/>
                    <w:shd w:val="clear" w:color="auto" w:fill="auto"/>
                  </w:tcPr>
                  <w:p>
                    <w:pPr>
                      <w:rPr>
                        <w:bCs/>
                        <w:sz w:val="20"/>
                      </w:rPr>
                    </w:pPr>
                    <w:r>
                      <w:rPr>
                        <w:bCs/>
                        <w:sz w:val="20"/>
                      </w:rPr>
                      <w:t>1 kartą per 4 mėn.</w:t>
                    </w:r>
                  </w:p>
                </w:tc>
                <w:tc>
                  <w:tcPr>
                    <w:tcW w:w="2644" w:type="dxa"/>
                    <w:vMerge w:val="restart"/>
                  </w:tcPr>
                  <w:p>
                    <w:pPr>
                      <w:rPr>
                        <w:bCs/>
                        <w:sz w:val="20"/>
                        <w:lang w:val="pt-BR"/>
                      </w:rPr>
                    </w:pPr>
                    <w:r>
                      <w:rPr>
                        <w:bCs/>
                        <w:sz w:val="20"/>
                      </w:rPr>
                      <w:t>Šeimos medicinos paslaugas teikiantys gydytojai, oftalmologas, neurologas, otori</w:t>
                    </w:r>
                    <w:r>
                      <w:rPr>
                        <w:bCs/>
                        <w:sz w:val="20"/>
                        <w:lang w:val="pt-BR"/>
                      </w:rPr>
                      <w:t>nolaringologas, traumatologas ortopedas ir kiti specialistai pagal indikacijas</w:t>
                    </w:r>
                  </w:p>
                </w:tc>
                <w:tc>
                  <w:tcPr>
                    <w:tcW w:w="3465" w:type="dxa"/>
                    <w:tcBorders>
                      <w:bottom w:val="nil"/>
                    </w:tcBorders>
                    <w:shd w:val="clear" w:color="auto" w:fill="auto"/>
                  </w:tcPr>
                  <w:p>
                    <w:pPr>
                      <w:rPr>
                        <w:bCs/>
                        <w:sz w:val="20"/>
                        <w:lang w:val="pt-BR"/>
                      </w:rPr>
                    </w:pPr>
                    <w:r>
                      <w:rPr>
                        <w:bCs/>
                        <w:sz w:val="20"/>
                        <w:lang w:val="pt-BR"/>
                      </w:rPr>
                      <w:t>Fizinio išsivystymo ir judamojo aparato funkcinės būklės įvertinimas;</w:t>
                    </w:r>
                  </w:p>
                </w:tc>
                <w:tc>
                  <w:tcPr>
                    <w:tcW w:w="4254" w:type="dxa"/>
                    <w:tcBorders>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regos įvertinimas;</w:t>
                    </w:r>
                  </w:p>
                </w:tc>
                <w:tc>
                  <w:tcPr>
                    <w:tcW w:w="4254" w:type="dxa"/>
                    <w:tcBorders>
                      <w:top w:val="nil"/>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bendri kraujo ir šlapimo tyrimai;</w:t>
                    </w:r>
                  </w:p>
                </w:tc>
                <w:tc>
                  <w:tcPr>
                    <w:tcW w:w="4254" w:type="dxa"/>
                    <w:tcBorders>
                      <w:top w:val="nil"/>
                      <w:bottom w:val="nil"/>
                    </w:tcBorders>
                    <w:shd w:val="clear" w:color="auto" w:fill="auto"/>
                  </w:tcPr>
                  <w:p>
                    <w:pPr>
                      <w:rPr>
                        <w:bCs/>
                        <w:sz w:val="20"/>
                        <w:lang w:val="pt-BR"/>
                      </w:rPr>
                    </w:pPr>
                    <w:r>
                      <w:rPr>
                        <w:bCs/>
                        <w:sz w:val="20"/>
                        <w:lang w:val="pt-BR"/>
                      </w:rPr>
                      <w:t>Kartą per metus, esant indikacijų</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elektrokardiograma ramybėje;</w:t>
                    </w:r>
                  </w:p>
                </w:tc>
                <w:tc>
                  <w:tcPr>
                    <w:tcW w:w="4254" w:type="dxa"/>
                    <w:tcBorders>
                      <w:top w:val="nil"/>
                      <w:bottom w:val="nil"/>
                    </w:tcBorders>
                    <w:shd w:val="clear" w:color="auto" w:fill="auto"/>
                  </w:tcPr>
                  <w:p>
                    <w:pPr>
                      <w:rPr>
                        <w:bCs/>
                        <w:sz w:val="20"/>
                        <w:lang w:val="pt-BR"/>
                      </w:rPr>
                    </w:pPr>
                    <w:r>
                      <w:rPr>
                        <w:bCs/>
                        <w:sz w:val="20"/>
                        <w:lang w:val="pt-BR"/>
                      </w:rPr>
                      <w:t>Kiekvienos apžiūros metu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kitų specialistų privalomi tyimai pagal indikacijas, tarp jų elektrokardiograma su apkrova;</w:t>
                    </w:r>
                  </w:p>
                </w:tc>
                <w:tc>
                  <w:tcPr>
                    <w:tcW w:w="4254" w:type="dxa"/>
                    <w:tcBorders>
                      <w:top w:val="nil"/>
                      <w:bottom w:val="nil"/>
                    </w:tcBorders>
                    <w:shd w:val="clear" w:color="auto" w:fill="auto"/>
                  </w:tcPr>
                  <w:p>
                    <w:pPr>
                      <w:rPr>
                        <w:bCs/>
                        <w:sz w:val="20"/>
                        <w:lang w:val="pt-BR"/>
                      </w:rPr>
                    </w:pPr>
                    <w:r>
                      <w:rPr>
                        <w:bCs/>
                        <w:sz w:val="20"/>
                        <w:lang w:val="pt-BR"/>
                      </w:rPr>
                      <w:t>Pirmos apžiūros metu</w:t>
                    </w:r>
                  </w:p>
                </w:tc>
              </w:tr>
              <w:tr>
                <w:trPr>
                  <w:trHeight w:val="75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Borders>
                      <w:bottom w:val="single" w:sz="4" w:space="0" w:color="auto"/>
                    </w:tcBorders>
                  </w:tcPr>
                  <w:p>
                    <w:pPr>
                      <w:rPr>
                        <w:bCs/>
                        <w:sz w:val="20"/>
                      </w:rPr>
                    </w:pPr>
                  </w:p>
                </w:tc>
                <w:tc>
                  <w:tcPr>
                    <w:tcW w:w="3465" w:type="dxa"/>
                    <w:tcBorders>
                      <w:top w:val="nil"/>
                      <w:bottom w:val="single" w:sz="4" w:space="0" w:color="auto"/>
                    </w:tcBorders>
                    <w:shd w:val="clear" w:color="auto" w:fill="auto"/>
                  </w:tcPr>
                  <w:p>
                    <w:pPr>
                      <w:rPr>
                        <w:bCs/>
                        <w:sz w:val="20"/>
                        <w:lang w:val="pt-BR"/>
                      </w:rPr>
                    </w:pPr>
                    <w:r>
                      <w:rPr>
                        <w:bCs/>
                        <w:sz w:val="20"/>
                        <w:lang w:val="pt-BR"/>
                      </w:rPr>
                      <w:t>ergometrija arba fizinio krūvio mėginys, atsižvelgiant į tiriamojo amžių, registruojant atsigavimą 3–5 min.</w:t>
                    </w:r>
                  </w:p>
                </w:tc>
                <w:tc>
                  <w:tcPr>
                    <w:tcW w:w="4254" w:type="dxa"/>
                    <w:tcBorders>
                      <w:top w:val="nil"/>
                      <w:bottom w:val="single" w:sz="4" w:space="0" w:color="auto"/>
                    </w:tcBorders>
                    <w:shd w:val="clear" w:color="auto" w:fill="auto"/>
                  </w:tcPr>
                  <w:p>
                    <w:pPr>
                      <w:rPr>
                        <w:bCs/>
                        <w:sz w:val="20"/>
                        <w:lang w:val="pt-BR"/>
                      </w:rPr>
                    </w:pPr>
                    <w:r>
                      <w:rPr>
                        <w:bCs/>
                        <w:sz w:val="20"/>
                        <w:lang w:val="pt-BR"/>
                      </w:rPr>
                      <w:t>Pagal indikacijas</w:t>
                    </w:r>
                  </w:p>
                </w:tc>
              </w:tr>
              <w:tr>
                <w:trPr>
                  <w:trHeight w:val="495"/>
                </w:trPr>
                <w:tc>
                  <w:tcPr>
                    <w:tcW w:w="638" w:type="dxa"/>
                    <w:vMerge w:val="restart"/>
                  </w:tcPr>
                  <w:p>
                    <w:pPr>
                      <w:rPr>
                        <w:bCs/>
                        <w:sz w:val="20"/>
                        <w:lang w:val="pt-BR"/>
                      </w:rPr>
                    </w:pPr>
                    <w:r>
                      <w:rPr>
                        <w:bCs/>
                        <w:sz w:val="20"/>
                        <w:lang w:val="pt-BR"/>
                      </w:rPr>
                      <w:t>3.2.</w:t>
                    </w:r>
                  </w:p>
                </w:tc>
                <w:tc>
                  <w:tcPr>
                    <w:tcW w:w="2280" w:type="dxa"/>
                    <w:vMerge w:val="restart"/>
                    <w:shd w:val="clear" w:color="auto" w:fill="auto"/>
                  </w:tcPr>
                  <w:p>
                    <w:pPr>
                      <w:rPr>
                        <w:bCs/>
                        <w:sz w:val="20"/>
                        <w:lang w:val="pt-BR"/>
                      </w:rPr>
                    </w:pPr>
                    <w:r>
                      <w:rPr>
                        <w:bCs/>
                        <w:sz w:val="20"/>
                        <w:lang w:val="pt-BR"/>
                      </w:rPr>
                      <w:t>Reguliariai sportuojantys ir dalyvaujantys sporto varžybose (sporto klubų nariai, sporto mokymo įstaigų, sporto centrų auklėtiniai)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t-BR"/>
                      </w:rPr>
                    </w:pPr>
                    <w:r>
                      <w:rPr>
                        <w:bCs/>
                        <w:sz w:val="20"/>
                        <w:lang w:val="pt-BR"/>
                      </w:rPr>
                      <w:t xml:space="preserve">Sporto medicinos gydytojas </w:t>
                    </w:r>
                  </w:p>
                </w:tc>
                <w:tc>
                  <w:tcPr>
                    <w:tcW w:w="3465" w:type="dxa"/>
                    <w:tcBorders>
                      <w:bottom w:val="nil"/>
                    </w:tcBorders>
                    <w:shd w:val="clear" w:color="auto" w:fill="auto"/>
                  </w:tcPr>
                  <w:p>
                    <w:pPr>
                      <w:rPr>
                        <w:bCs/>
                        <w:sz w:val="20"/>
                        <w:lang w:val="pt-BR"/>
                      </w:rPr>
                    </w:pPr>
                    <w:r>
                      <w:rPr>
                        <w:bCs/>
                        <w:sz w:val="20"/>
                        <w:lang w:val="pt-BR"/>
                      </w:rPr>
                      <w:t>Kaip 3.1 punkte ir papildomai:</w:t>
                    </w:r>
                  </w:p>
                  <w:p>
                    <w:pPr>
                      <w:rPr>
                        <w:bCs/>
                        <w:sz w:val="20"/>
                        <w:lang w:val="pt-BR"/>
                      </w:rPr>
                    </w:pPr>
                    <w:r>
                      <w:rPr>
                        <w:bCs/>
                        <w:sz w:val="20"/>
                        <w:lang w:val="pt-BR"/>
                      </w:rPr>
                      <w:t>plaučių funkcijos mėginiai;</w:t>
                    </w:r>
                  </w:p>
                </w:tc>
                <w:tc>
                  <w:tcPr>
                    <w:tcW w:w="4254" w:type="dxa"/>
                    <w:tcBorders>
                      <w:bottom w:val="nil"/>
                    </w:tcBorders>
                    <w:shd w:val="clear" w:color="auto" w:fill="auto"/>
                  </w:tcPr>
                  <w:p>
                    <w:pPr>
                      <w:tabs>
                        <w:tab w:val="left" w:pos="4572"/>
                        <w:tab w:val="left" w:pos="4662"/>
                        <w:tab w:val="left" w:pos="4842"/>
                      </w:tabs>
                      <w:ind w:right="1006"/>
                      <w:rPr>
                        <w:bCs/>
                        <w:sz w:val="20"/>
                        <w:lang w:val="pt-BR"/>
                      </w:rPr>
                    </w:pPr>
                    <w:r>
                      <w:rPr>
                        <w:bCs/>
                        <w:sz w:val="20"/>
                        <w:lang w:val="pt-BR"/>
                      </w:rPr>
                      <w:t>Pirmos apžiūros metu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lang w:val="pt-BR"/>
                      </w:rPr>
                    </w:pPr>
                  </w:p>
                </w:tc>
                <w:tc>
                  <w:tcPr>
                    <w:tcW w:w="3465" w:type="dxa"/>
                    <w:tcBorders>
                      <w:top w:val="nil"/>
                      <w:bottom w:val="nil"/>
                    </w:tcBorders>
                    <w:shd w:val="clear" w:color="auto" w:fill="auto"/>
                  </w:tcPr>
                  <w:p>
                    <w:pPr>
                      <w:rPr>
                        <w:bCs/>
                        <w:sz w:val="20"/>
                        <w:lang w:val="pt-BR"/>
                      </w:rPr>
                    </w:pPr>
                    <w:r>
                      <w:rPr>
                        <w:bCs/>
                        <w:sz w:val="20"/>
                        <w:lang w:val="pt-BR"/>
                      </w:rPr>
                      <w:t xml:space="preserve">EKG su fizine apkrova ir registruojant atsigavimo periode 3–5 min. </w:t>
                    </w:r>
                  </w:p>
                </w:tc>
                <w:tc>
                  <w:tcPr>
                    <w:tcW w:w="4254" w:type="dxa"/>
                    <w:tcBorders>
                      <w:top w:val="nil"/>
                      <w:bottom w:val="nil"/>
                    </w:tcBorders>
                    <w:shd w:val="clear" w:color="auto" w:fill="auto"/>
                  </w:tcPr>
                  <w:p>
                    <w:pPr>
                      <w:tabs>
                        <w:tab w:val="left" w:pos="4572"/>
                        <w:tab w:val="left" w:pos="4662"/>
                        <w:tab w:val="left" w:pos="4842"/>
                      </w:tabs>
                      <w:ind w:right="1006"/>
                      <w:rPr>
                        <w:bCs/>
                        <w:sz w:val="20"/>
                        <w:lang w:val="pt-BR"/>
                      </w:rPr>
                    </w:pPr>
                    <w:r>
                      <w:rPr>
                        <w:bCs/>
                        <w:sz w:val="20"/>
                        <w:lang w:val="nl-NL"/>
                      </w:rPr>
                      <w:t>Kartą per metus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lang w:val="pt-BR"/>
                      </w:rPr>
                    </w:pPr>
                    <w:r>
                      <w:rPr>
                        <w:bCs/>
                        <w:sz w:val="20"/>
                      </w:rPr>
                      <w:t>š</w:t>
                    </w:r>
                    <w:r>
                      <w:rPr>
                        <w:bCs/>
                        <w:sz w:val="20"/>
                        <w:lang w:val="pt-BR"/>
                      </w:rPr>
                      <w:t>irdies echoskopija</w:t>
                    </w:r>
                  </w:p>
                </w:tc>
                <w:tc>
                  <w:tcPr>
                    <w:tcW w:w="4254" w:type="dxa"/>
                    <w:tcBorders>
                      <w:top w:val="nil"/>
                      <w:bottom w:val="nil"/>
                    </w:tcBorders>
                    <w:shd w:val="clear" w:color="auto" w:fill="auto"/>
                  </w:tcPr>
                  <w:p>
                    <w:pPr>
                      <w:rPr>
                        <w:bCs/>
                        <w:sz w:val="20"/>
                        <w:lang w:val="pt-BR"/>
                      </w:rPr>
                    </w:pPr>
                    <w:r>
                      <w:rPr>
                        <w:bCs/>
                        <w:sz w:val="20"/>
                        <w:lang w:val="pt-BR"/>
                      </w:rPr>
                      <w:t>Reguliariai sportuojant 1 kartą per metus arba pagal indikacijas</w:t>
                    </w:r>
                  </w:p>
                </w:tc>
              </w:tr>
              <w:tr>
                <w:trPr>
                  <w:trHeight w:val="84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oftalmologas, neurologas, otori</w:t>
                    </w:r>
                    <w:r>
                      <w:rPr>
                        <w:bCs/>
                        <w:sz w:val="20"/>
                        <w:lang w:val="pt-BR"/>
                      </w:rPr>
                      <w:t xml:space="preserve">nolaringologas, traumatologas ortopedas ir kiti specialistai pagal indikacijas </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tabs>
                        <w:tab w:val="left" w:pos="4572"/>
                        <w:tab w:val="left" w:pos="4662"/>
                        <w:tab w:val="left" w:pos="4842"/>
                      </w:tabs>
                      <w:ind w:right="1006"/>
                      <w:rPr>
                        <w:bCs/>
                        <w:sz w:val="20"/>
                        <w:lang w:val="nl-NL"/>
                      </w:rPr>
                    </w:pPr>
                    <w:r>
                      <w:rPr>
                        <w:bCs/>
                        <w:sz w:val="20"/>
                        <w:lang w:val="pt-BR"/>
                      </w:rPr>
                      <w:t>Pagal indikacijas</w:t>
                    </w:r>
                  </w:p>
                </w:tc>
              </w:tr>
              <w:tr>
                <w:trPr>
                  <w:trHeight w:val="20"/>
                </w:trPr>
                <w:tc>
                  <w:tcPr>
                    <w:tcW w:w="638" w:type="dxa"/>
                  </w:tcPr>
                  <w:p>
                    <w:pPr>
                      <w:widowControl w:val="0"/>
                      <w:rPr>
                        <w:bCs/>
                        <w:sz w:val="20"/>
                        <w:lang w:val="pt-BR"/>
                      </w:rPr>
                    </w:pPr>
                    <w:r>
                      <w:rPr>
                        <w:bCs/>
                        <w:sz w:val="20"/>
                        <w:lang w:val="pt-BR"/>
                      </w:rPr>
                      <w:t>3.3</w:t>
                    </w:r>
                  </w:p>
                </w:tc>
                <w:tc>
                  <w:tcPr>
                    <w:tcW w:w="2280" w:type="dxa"/>
                    <w:shd w:val="clear" w:color="auto" w:fill="auto"/>
                  </w:tcPr>
                  <w:p>
                    <w:pPr>
                      <w:widowControl w:val="0"/>
                      <w:rPr>
                        <w:bCs/>
                        <w:sz w:val="20"/>
                        <w:lang w:val="pt-BR"/>
                      </w:rPr>
                    </w:pPr>
                    <w:r>
                      <w:rPr>
                        <w:bCs/>
                        <w:sz w:val="20"/>
                        <w:lang w:val="pt-BR"/>
                      </w:rPr>
                      <w:t xml:space="preserve">Lietuvos olimpinės rinktinės ir sporto šakų rinktinių nariai </w:t>
                    </w:r>
                  </w:p>
                </w:tc>
                <w:tc>
                  <w:tcPr>
                    <w:tcW w:w="1459" w:type="dxa"/>
                    <w:shd w:val="clear" w:color="auto" w:fill="auto"/>
                  </w:tcPr>
                  <w:p>
                    <w:pPr>
                      <w:widowControl w:val="0"/>
                      <w:rPr>
                        <w:bCs/>
                        <w:sz w:val="20"/>
                      </w:rPr>
                    </w:pPr>
                    <w:r>
                      <w:rPr>
                        <w:bCs/>
                        <w:sz w:val="20"/>
                      </w:rPr>
                      <w:t>1 kartą per 3–4 mėn.</w:t>
                    </w:r>
                  </w:p>
                </w:tc>
                <w:tc>
                  <w:tcPr>
                    <w:tcW w:w="2644" w:type="dxa"/>
                  </w:tcPr>
                  <w:p>
                    <w:pPr>
                      <w:widowControl w:val="0"/>
                      <w:rPr>
                        <w:bCs/>
                        <w:sz w:val="20"/>
                        <w:lang w:val="pt-BR"/>
                      </w:rPr>
                    </w:pPr>
                    <w:r>
                      <w:rPr>
                        <w:bCs/>
                        <w:sz w:val="20"/>
                        <w:lang w:val="pt-BR"/>
                      </w:rPr>
                      <w:t xml:space="preserve">Sporto medicinos gydytojas, </w:t>
                    </w:r>
                    <w:r>
                      <w:rPr>
                        <w:bCs/>
                        <w:sz w:val="20"/>
                      </w:rPr>
                      <w:t>oftalmologas, neurologas, otori</w:t>
                    </w:r>
                    <w:r>
                      <w:rPr>
                        <w:bCs/>
                        <w:sz w:val="20"/>
                        <w:lang w:val="pt-BR"/>
                      </w:rPr>
                      <w:t xml:space="preserve">nolaringologas, traumatologas ortopedas, kiti specialistai pagal indikacijas </w:t>
                    </w:r>
                  </w:p>
                </w:tc>
                <w:tc>
                  <w:tcPr>
                    <w:tcW w:w="3465" w:type="dxa"/>
                    <w:shd w:val="clear" w:color="auto" w:fill="auto"/>
                  </w:tcPr>
                  <w:p>
                    <w:pPr>
                      <w:widowControl w:val="0"/>
                      <w:rPr>
                        <w:bCs/>
                        <w:sz w:val="20"/>
                        <w:lang w:val="pt-BR"/>
                      </w:rPr>
                    </w:pPr>
                    <w:r>
                      <w:rPr>
                        <w:bCs/>
                        <w:sz w:val="20"/>
                        <w:lang w:val="pt-BR"/>
                      </w:rPr>
                      <w:t>Išplėstiniai, etapiniai ir operatyviniai tyrimai pagal atskirą sporto šakų atstovų ištyrimo programą, patvirtintą bendru Kūno kultūros ir sporto departamento generalinio direktoriaus ir sveikatos apsaugos ministro įsakymu.</w:t>
                    </w:r>
                  </w:p>
                </w:tc>
                <w:tc>
                  <w:tcPr>
                    <w:tcW w:w="4254" w:type="dxa"/>
                    <w:shd w:val="clear" w:color="auto" w:fill="auto"/>
                  </w:tcPr>
                  <w:p>
                    <w:pPr>
                      <w:widowControl w:val="0"/>
                      <w:rPr>
                        <w:bCs/>
                        <w:sz w:val="20"/>
                        <w:lang w:val="pt-BR"/>
                      </w:rPr>
                    </w:pPr>
                    <w:r>
                      <w:rPr>
                        <w:bCs/>
                        <w:sz w:val="20"/>
                        <w:lang w:val="pt-BR"/>
                      </w:rPr>
                      <w:t>Olimpinių rinktinių narių išsamūs tyrimai atliekami Vilniaus sporto medicinos centre. Kituose sporto medicinos centruose išsamūs tyrimai olimpiečiams atliekami tik suderinus su LOSC ar VSMC</w:t>
                    </w:r>
                  </w:p>
                </w:tc>
              </w:tr>
              <w:tr>
                <w:trPr>
                  <w:trHeight w:val="20"/>
                </w:trPr>
                <w:tc>
                  <w:tcPr>
                    <w:tcW w:w="638" w:type="dxa"/>
                  </w:tcPr>
                  <w:p>
                    <w:pPr>
                      <w:rPr>
                        <w:bCs/>
                        <w:sz w:val="20"/>
                      </w:rPr>
                    </w:pPr>
                    <w:r>
                      <w:rPr>
                        <w:bCs/>
                        <w:sz w:val="20"/>
                      </w:rPr>
                      <w:t>3.4.</w:t>
                    </w:r>
                  </w:p>
                </w:tc>
                <w:tc>
                  <w:tcPr>
                    <w:tcW w:w="2280" w:type="dxa"/>
                    <w:shd w:val="clear" w:color="auto" w:fill="auto"/>
                  </w:tcPr>
                  <w:p>
                    <w:pPr>
                      <w:rPr>
                        <w:bCs/>
                        <w:sz w:val="20"/>
                      </w:rPr>
                    </w:pPr>
                    <w:r>
                      <w:rPr>
                        <w:bCs/>
                        <w:sz w:val="20"/>
                      </w:rPr>
                      <w:t>Neįgalieji sportininkai</w:t>
                    </w:r>
                  </w:p>
                </w:tc>
                <w:tc>
                  <w:tcPr>
                    <w:tcW w:w="1459" w:type="dxa"/>
                    <w:shd w:val="clear" w:color="auto" w:fill="auto"/>
                  </w:tcPr>
                  <w:p>
                    <w:pPr>
                      <w:rPr>
                        <w:bCs/>
                        <w:sz w:val="20"/>
                      </w:rPr>
                    </w:pPr>
                    <w:r>
                      <w:rPr>
                        <w:bCs/>
                        <w:sz w:val="20"/>
                      </w:rPr>
                      <w:t>1 kartą per 6 mėn.</w:t>
                    </w:r>
                  </w:p>
                </w:tc>
                <w:tc>
                  <w:tcPr>
                    <w:tcW w:w="2644" w:type="dxa"/>
                    <w:tcBorders>
                      <w:bottom w:val="single" w:sz="4" w:space="0" w:color="auto"/>
                    </w:tcBorders>
                  </w:tcPr>
                  <w:p>
                    <w:pPr>
                      <w:rPr>
                        <w:bCs/>
                        <w:sz w:val="20"/>
                      </w:rPr>
                    </w:pPr>
                    <w:r>
                      <w:rPr>
                        <w:bCs/>
                        <w:sz w:val="20"/>
                      </w:rPr>
                      <w:t>Sporto medicinos, fizinės medicinos ir reabilitacijos gydytojas ir kiti specialistai pagal indikacijas</w:t>
                    </w:r>
                  </w:p>
                </w:tc>
                <w:tc>
                  <w:tcPr>
                    <w:tcW w:w="3465" w:type="dxa"/>
                    <w:tcBorders>
                      <w:bottom w:val="single" w:sz="4" w:space="0" w:color="auto"/>
                    </w:tcBorders>
                    <w:shd w:val="clear" w:color="auto" w:fill="auto"/>
                  </w:tcPr>
                  <w:p>
                    <w:pPr>
                      <w:rPr>
                        <w:bCs/>
                        <w:sz w:val="20"/>
                        <w:lang w:val="pt-BR"/>
                      </w:rPr>
                    </w:pPr>
                    <w:r>
                      <w:rPr>
                        <w:bCs/>
                        <w:sz w:val="20"/>
                      </w:rPr>
                      <w:t>Pradedant sportuoti nus</w:t>
                    </w:r>
                    <w:r>
                      <w:rPr>
                        <w:bCs/>
                        <w:sz w:val="20"/>
                        <w:lang w:val="pt-BR"/>
                      </w:rPr>
                      <w:t>tatoma medicininė-funkcinė klasifikacija. Fizinio išsivystymo ir judamojo aparato funkcinės būklės įvertinimas (matuojama be protezų), regos aštrumas. Bendri kraujo ir šlapimo tyrimai. EKG ramybės būsenos (neįgaliesiems su judamojo aparato negalia, su cerebriniu paralyžiumi ir stuburo smegenų pažeidimu). Kurtiesiems ir blogai matantiems – EKG ramybės būsenos ir su apkrova</w:t>
                    </w:r>
                  </w:p>
                </w:tc>
                <w:tc>
                  <w:tcPr>
                    <w:tcW w:w="4254" w:type="dxa"/>
                    <w:tcBorders>
                      <w:bottom w:val="single" w:sz="4" w:space="0" w:color="auto"/>
                    </w:tcBorders>
                    <w:shd w:val="clear" w:color="auto" w:fill="auto"/>
                  </w:tcPr>
                  <w:p>
                    <w:pPr>
                      <w:ind w:firstLine="55"/>
                      <w:rPr>
                        <w:bCs/>
                        <w:sz w:val="20"/>
                        <w:lang w:val="pt-BR"/>
                      </w:rPr>
                    </w:pPr>
                  </w:p>
                </w:tc>
              </w:tr>
              <w:tr>
                <w:trPr>
                  <w:trHeight w:val="184"/>
                </w:trPr>
                <w:tc>
                  <w:tcPr>
                    <w:tcW w:w="638" w:type="dxa"/>
                    <w:vMerge w:val="restart"/>
                  </w:tcPr>
                  <w:p>
                    <w:pPr>
                      <w:rPr>
                        <w:bCs/>
                        <w:sz w:val="20"/>
                        <w:lang w:val="pt-BR"/>
                      </w:rPr>
                    </w:pPr>
                    <w:r>
                      <w:rPr>
                        <w:bCs/>
                        <w:sz w:val="20"/>
                        <w:lang w:val="pt-BR"/>
                      </w:rPr>
                      <w:t>3.5.</w:t>
                    </w:r>
                  </w:p>
                </w:tc>
                <w:tc>
                  <w:tcPr>
                    <w:tcW w:w="2280" w:type="dxa"/>
                    <w:vMerge w:val="restart"/>
                    <w:shd w:val="clear" w:color="auto" w:fill="auto"/>
                  </w:tcPr>
                  <w:p>
                    <w:pPr>
                      <w:rPr>
                        <w:bCs/>
                        <w:sz w:val="20"/>
                      </w:rPr>
                    </w:pPr>
                    <w:r>
                      <w:rPr>
                        <w:bCs/>
                        <w:sz w:val="20"/>
                        <w:lang w:val="pt-BR"/>
                      </w:rPr>
                      <w:t>Bokso, kikbokso, Rytų kovų menų treniruotes lankantys sportininkai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shd w:val="clear" w:color="auto" w:fill="auto"/>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lang w:val="pt-BR"/>
                      </w:rPr>
                    </w:pPr>
                    <w:r>
                      <w:rPr>
                        <w:bCs/>
                        <w:sz w:val="20"/>
                      </w:rPr>
                      <w:t xml:space="preserve">plaučių funkcijos </w:t>
                    </w:r>
                    <w:r>
                      <w:rPr>
                        <w:bCs/>
                        <w:sz w:val="20"/>
                        <w:lang w:val="pt-BR"/>
                      </w:rPr>
                      <w:t>tyrimai;</w:t>
                    </w:r>
                  </w:p>
                </w:tc>
                <w:tc>
                  <w:tcPr>
                    <w:tcW w:w="4254" w:type="dxa"/>
                    <w:tcBorders>
                      <w:bottom w:val="nil"/>
                    </w:tcBorders>
                    <w:shd w:val="clear" w:color="auto" w:fill="auto"/>
                  </w:tcPr>
                  <w:p>
                    <w:pPr>
                      <w:rPr>
                        <w:bCs/>
                        <w:sz w:val="20"/>
                        <w:lang w:val="pt-BR"/>
                      </w:rPr>
                    </w:pPr>
                    <w:r>
                      <w:rPr>
                        <w:bCs/>
                        <w:sz w:val="20"/>
                        <w:lang w:val="pt-BR"/>
                      </w:rPr>
                      <w:t>Pagal indikacijas</w:t>
                    </w:r>
                  </w:p>
                </w:tc>
              </w:tr>
              <w:tr>
                <w:trPr>
                  <w:trHeight w:val="247"/>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shd w:val="clear" w:color="auto" w:fill="auto"/>
                  </w:tcPr>
                  <w:p>
                    <w:pPr>
                      <w:rPr>
                        <w:bCs/>
                        <w:sz w:val="20"/>
                      </w:rPr>
                    </w:pPr>
                  </w:p>
                </w:tc>
                <w:tc>
                  <w:tcPr>
                    <w:tcW w:w="3465" w:type="dxa"/>
                    <w:tcBorders>
                      <w:top w:val="nil"/>
                      <w:bottom w:val="nil"/>
                    </w:tcBorders>
                    <w:shd w:val="clear" w:color="auto" w:fill="auto"/>
                  </w:tcPr>
                  <w:p>
                    <w:pPr>
                      <w:rPr>
                        <w:bCs/>
                        <w:sz w:val="20"/>
                      </w:rPr>
                    </w:pPr>
                    <w:r>
                      <w:rPr>
                        <w:bCs/>
                        <w:sz w:val="20"/>
                        <w:lang w:val="pt-BR"/>
                      </w:rPr>
                      <w:t xml:space="preserve">galimi papildomi tyrimai, atsižvelgiant į sporto šakos specifiką </w:t>
                    </w:r>
                  </w:p>
                </w:tc>
                <w:tc>
                  <w:tcPr>
                    <w:tcW w:w="4254" w:type="dxa"/>
                    <w:tcBorders>
                      <w:top w:val="nil"/>
                      <w:bottom w:val="nil"/>
                    </w:tcBorders>
                    <w:shd w:val="clear" w:color="auto" w:fill="auto"/>
                  </w:tcPr>
                  <w:p>
                    <w:pPr>
                      <w:rPr>
                        <w:bCs/>
                        <w:sz w:val="20"/>
                        <w:lang w:val="pt-BR"/>
                      </w:rPr>
                    </w:pPr>
                    <w:r>
                      <w:rPr>
                        <w:bCs/>
                        <w:sz w:val="20"/>
                        <w:lang w:val="pt-BR"/>
                      </w:rPr>
                      <w:t>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shd w:val="clear" w:color="auto" w:fill="auto"/>
                  </w:tcPr>
                  <w:p>
                    <w:pPr>
                      <w:rPr>
                        <w:bCs/>
                        <w:sz w:val="20"/>
                      </w:rPr>
                    </w:pPr>
                    <w:r>
                      <w:rPr>
                        <w:bCs/>
                        <w:sz w:val="20"/>
                      </w:rPr>
                      <w:t>oftalmologas, neurologas, otorinolaringologas</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Kartą per metus arba pagal indikacijas</w:t>
                    </w:r>
                  </w:p>
                </w:tc>
              </w:tr>
              <w:tr>
                <w:trPr>
                  <w:trHeight w:val="20"/>
                </w:trPr>
                <w:tc>
                  <w:tcPr>
                    <w:tcW w:w="638" w:type="dxa"/>
                  </w:tcPr>
                  <w:p>
                    <w:pPr>
                      <w:rPr>
                        <w:bCs/>
                        <w:sz w:val="20"/>
                        <w:lang w:val="pt-BR"/>
                      </w:rPr>
                    </w:pPr>
                    <w:r>
                      <w:rPr>
                        <w:bCs/>
                        <w:sz w:val="20"/>
                        <w:lang w:val="pt-BR"/>
                      </w:rPr>
                      <w:t>3.6.</w:t>
                    </w:r>
                  </w:p>
                </w:tc>
                <w:tc>
                  <w:tcPr>
                    <w:tcW w:w="2280" w:type="dxa"/>
                    <w:shd w:val="clear" w:color="auto" w:fill="auto"/>
                  </w:tcPr>
                  <w:p>
                    <w:pPr>
                      <w:rPr>
                        <w:bCs/>
                        <w:sz w:val="20"/>
                        <w:lang w:val="pt-BR"/>
                      </w:rPr>
                    </w:pPr>
                    <w:r>
                      <w:rPr>
                        <w:bCs/>
                        <w:sz w:val="20"/>
                      </w:rPr>
                      <w:t>Bokso treniruotes lankantys sportininkai</w:t>
                    </w:r>
                  </w:p>
                </w:tc>
                <w:tc>
                  <w:tcPr>
                    <w:tcW w:w="1459" w:type="dxa"/>
                    <w:shd w:val="clear" w:color="auto" w:fill="auto"/>
                  </w:tcPr>
                  <w:p>
                    <w:pPr>
                      <w:rPr>
                        <w:bCs/>
                        <w:sz w:val="20"/>
                      </w:rPr>
                    </w:pPr>
                    <w:r>
                      <w:rPr>
                        <w:bCs/>
                        <w:sz w:val="20"/>
                      </w:rPr>
                      <w:t>Patikrinimas prieš varžybas</w:t>
                    </w:r>
                  </w:p>
                </w:tc>
                <w:tc>
                  <w:tcPr>
                    <w:tcW w:w="2644" w:type="dxa"/>
                    <w:tcBorders>
                      <w:bottom w:val="single" w:sz="4" w:space="0" w:color="auto"/>
                    </w:tcBorders>
                    <w:shd w:val="clear" w:color="auto" w:fill="auto"/>
                  </w:tcPr>
                  <w:p>
                    <w:pPr>
                      <w:rPr>
                        <w:bCs/>
                        <w:sz w:val="20"/>
                        <w:lang w:val="pt-BR"/>
                      </w:rPr>
                    </w:pPr>
                    <w:r>
                      <w:rPr>
                        <w:bCs/>
                        <w:sz w:val="20"/>
                        <w:lang w:val="pt-BR"/>
                      </w:rPr>
                      <w:t>Sporto medicinos gydytojas, oftalmologas, neurologas, otorinolaringologas</w:t>
                    </w:r>
                  </w:p>
                </w:tc>
                <w:tc>
                  <w:tcPr>
                    <w:tcW w:w="3465" w:type="dxa"/>
                    <w:tcBorders>
                      <w:bottom w:val="single" w:sz="4" w:space="0" w:color="auto"/>
                    </w:tcBorders>
                    <w:shd w:val="clear" w:color="auto" w:fill="auto"/>
                  </w:tcPr>
                  <w:p>
                    <w:pPr>
                      <w:rPr>
                        <w:bCs/>
                        <w:sz w:val="20"/>
                        <w:lang w:val="pt-BR"/>
                      </w:rPr>
                    </w:pPr>
                  </w:p>
                </w:tc>
                <w:tc>
                  <w:tcPr>
                    <w:tcW w:w="4254" w:type="dxa"/>
                    <w:tcBorders>
                      <w:bottom w:val="single" w:sz="4" w:space="0" w:color="auto"/>
                    </w:tcBorders>
                    <w:shd w:val="clear" w:color="auto" w:fill="auto"/>
                  </w:tcPr>
                  <w:p>
                    <w:pPr>
                      <w:rPr>
                        <w:bCs/>
                        <w:sz w:val="20"/>
                        <w:lang w:val="pt-BR"/>
                      </w:rPr>
                    </w:pPr>
                    <w:r>
                      <w:rPr>
                        <w:bCs/>
                        <w:sz w:val="20"/>
                        <w:lang w:val="pt-BR"/>
                      </w:rPr>
                      <w:t>Tikrinama likus 10–14 dienų iki varžybų</w:t>
                    </w:r>
                  </w:p>
                </w:tc>
              </w:tr>
              <w:tr>
                <w:trPr>
                  <w:trHeight w:val="70"/>
                </w:trPr>
                <w:tc>
                  <w:tcPr>
                    <w:tcW w:w="638" w:type="dxa"/>
                    <w:vMerge w:val="restart"/>
                  </w:tcPr>
                  <w:p>
                    <w:pPr>
                      <w:rPr>
                        <w:bCs/>
                        <w:sz w:val="20"/>
                        <w:lang w:val="pt-BR"/>
                      </w:rPr>
                    </w:pPr>
                    <w:r>
                      <w:rPr>
                        <w:bCs/>
                        <w:sz w:val="20"/>
                        <w:lang w:val="pt-BR"/>
                      </w:rPr>
                      <w:t>3.7.</w:t>
                    </w:r>
                  </w:p>
                </w:tc>
                <w:tc>
                  <w:tcPr>
                    <w:tcW w:w="2280" w:type="dxa"/>
                    <w:vMerge w:val="restart"/>
                    <w:shd w:val="clear" w:color="auto" w:fill="auto"/>
                  </w:tcPr>
                  <w:p>
                    <w:pPr>
                      <w:rPr>
                        <w:bCs/>
                        <w:sz w:val="20"/>
                      </w:rPr>
                    </w:pPr>
                    <w:r>
                      <w:rPr>
                        <w:bCs/>
                        <w:sz w:val="20"/>
                        <w:lang w:val="pt-BR"/>
                      </w:rPr>
                      <w:t>Pova</w:t>
                    </w:r>
                    <w:r>
                      <w:rPr>
                        <w:bCs/>
                        <w:sz w:val="20"/>
                      </w:rPr>
                      <w:t>ndeninis sportas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rPr>
                    </w:pPr>
                    <w:r>
                      <w:rPr>
                        <w:bCs/>
                        <w:sz w:val="20"/>
                      </w:rPr>
                      <w:t>plaučių funkcijos rodikliai;</w:t>
                    </w:r>
                  </w:p>
                </w:tc>
                <w:tc>
                  <w:tcPr>
                    <w:tcW w:w="4254" w:type="dxa"/>
                    <w:tcBorders>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ortostatinis mėginys;</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345"/>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kvėpavimo sulaikymo mėginiai</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neurologas, otorinolaringologas</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ind w:right="196"/>
                      <w:rPr>
                        <w:bCs/>
                        <w:sz w:val="20"/>
                      </w:rPr>
                    </w:pPr>
                    <w:r>
                      <w:rPr>
                        <w:bCs/>
                        <w:sz w:val="20"/>
                      </w:rPr>
                      <w:t>Kiekvienos apžiūros metu</w:t>
                    </w:r>
                  </w:p>
                </w:tc>
              </w:tr>
              <w:tr>
                <w:trPr>
                  <w:cantSplit/>
                  <w:trHeight w:val="144"/>
                </w:trPr>
                <w:tc>
                  <w:tcPr>
                    <w:tcW w:w="638" w:type="dxa"/>
                    <w:vMerge w:val="restart"/>
                  </w:tcPr>
                  <w:p>
                    <w:pPr>
                      <w:rPr>
                        <w:bCs/>
                        <w:sz w:val="20"/>
                        <w:lang w:val="pl-PL"/>
                      </w:rPr>
                    </w:pPr>
                    <w:r>
                      <w:rPr>
                        <w:bCs/>
                        <w:sz w:val="20"/>
                        <w:lang w:val="pl-PL"/>
                      </w:rPr>
                      <w:t>3.8.</w:t>
                    </w:r>
                  </w:p>
                </w:tc>
                <w:tc>
                  <w:tcPr>
                    <w:tcW w:w="2280" w:type="dxa"/>
                    <w:vMerge w:val="restart"/>
                    <w:shd w:val="clear" w:color="auto" w:fill="auto"/>
                  </w:tcPr>
                  <w:p>
                    <w:pPr>
                      <w:rPr>
                        <w:bCs/>
                        <w:sz w:val="20"/>
                        <w:lang w:val="pl-PL"/>
                      </w:rPr>
                    </w:pPr>
                    <w:r>
                      <w:rPr>
                        <w:bCs/>
                        <w:sz w:val="20"/>
                        <w:lang w:val="pl-PL"/>
                      </w:rPr>
                      <w:t>Triatlonas, labai ilgų nuotolių (maratono – 42,125; 50 km) bėgimas, slidin</w:t>
                    </w:r>
                    <w:r>
                      <w:rPr>
                        <w:bCs/>
                        <w:sz w:val="20"/>
                      </w:rPr>
                      <w:t>ė</w:t>
                    </w:r>
                    <w:r>
                      <w:rPr>
                        <w:bCs/>
                        <w:sz w:val="20"/>
                        <w:lang w:val="pl-PL"/>
                      </w:rPr>
                      <w:t>jimas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l-PL"/>
                      </w:rPr>
                    </w:pPr>
                    <w:r>
                      <w:rPr>
                        <w:bCs/>
                        <w:sz w:val="20"/>
                        <w:lang w:val="pl-PL"/>
                      </w:rPr>
                      <w:t>Sporto medicinos gydytojas</w:t>
                    </w:r>
                  </w:p>
                </w:tc>
                <w:tc>
                  <w:tcPr>
                    <w:tcW w:w="3465" w:type="dxa"/>
                    <w:tcBorders>
                      <w:bottom w:val="nil"/>
                    </w:tcBorders>
                    <w:shd w:val="clear" w:color="auto" w:fill="auto"/>
                  </w:tcPr>
                  <w:p>
                    <w:pPr>
                      <w:rPr>
                        <w:bCs/>
                        <w:sz w:val="20"/>
                        <w:lang w:val="pl-PL"/>
                      </w:rPr>
                    </w:pPr>
                    <w:r>
                      <w:rPr>
                        <w:bCs/>
                        <w:sz w:val="20"/>
                        <w:lang w:val="pl-PL"/>
                      </w:rPr>
                      <w:t>Kaip 3.1 punkte</w:t>
                    </w:r>
                    <w:r>
                      <w:rPr>
                        <w:bCs/>
                        <w:sz w:val="20"/>
                      </w:rPr>
                      <w:t xml:space="preserve"> </w:t>
                    </w:r>
                    <w:r>
                      <w:rPr>
                        <w:bCs/>
                        <w:sz w:val="20"/>
                        <w:lang w:val="pl-PL"/>
                      </w:rPr>
                      <w:t>ir papildomai:</w:t>
                    </w:r>
                  </w:p>
                  <w:p>
                    <w:pPr>
                      <w:rPr>
                        <w:bCs/>
                        <w:sz w:val="20"/>
                        <w:lang w:val="pl-PL"/>
                      </w:rPr>
                    </w:pPr>
                    <w:r>
                      <w:rPr>
                        <w:bCs/>
                        <w:sz w:val="20"/>
                        <w:lang w:val="pl-PL"/>
                      </w:rPr>
                      <w:t>plaučių funkcijos tyrimai</w:t>
                    </w:r>
                  </w:p>
                </w:tc>
                <w:tc>
                  <w:tcPr>
                    <w:tcW w:w="4254" w:type="dxa"/>
                    <w:tcBorders>
                      <w:bottom w:val="nil"/>
                    </w:tcBorders>
                    <w:shd w:val="clear" w:color="auto" w:fill="auto"/>
                  </w:tcPr>
                  <w:p>
                    <w:pPr>
                      <w:rPr>
                        <w:bCs/>
                        <w:sz w:val="20"/>
                        <w:lang w:val="pt-BR"/>
                      </w:rPr>
                    </w:pPr>
                    <w:r>
                      <w:rPr>
                        <w:bCs/>
                        <w:sz w:val="20"/>
                        <w:lang w:val="pl-PL"/>
                      </w:rPr>
                      <w:t>Kiekvienos apžiūros metu</w:t>
                    </w:r>
                  </w:p>
                </w:tc>
              </w:tr>
              <w:tr>
                <w:trPr>
                  <w:cantSplit/>
                  <w:trHeight w:val="70"/>
                </w:trPr>
                <w:tc>
                  <w:tcPr>
                    <w:tcW w:w="638" w:type="dxa"/>
                    <w:vMerge/>
                  </w:tcPr>
                  <w:p>
                    <w:pPr>
                      <w:rPr>
                        <w:bCs/>
                        <w:sz w:val="20"/>
                        <w:lang w:val="pl-PL"/>
                      </w:rPr>
                    </w:pPr>
                  </w:p>
                </w:tc>
                <w:tc>
                  <w:tcPr>
                    <w:tcW w:w="2280" w:type="dxa"/>
                    <w:vMerge/>
                    <w:shd w:val="clear" w:color="auto" w:fill="auto"/>
                  </w:tcPr>
                  <w:p>
                    <w:pPr>
                      <w:rPr>
                        <w:bCs/>
                        <w:sz w:val="20"/>
                        <w:lang w:val="pl-PL"/>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lang w:val="pl-PL"/>
                      </w:rPr>
                    </w:pPr>
                    <w:r>
                      <w:rPr>
                        <w:bCs/>
                        <w:sz w:val="20"/>
                        <w:lang w:val="pl-PL"/>
                      </w:rPr>
                      <w:t>oftalmologas, neurologas, traumatologas ortopedas, otorinolaringologas ir kiti specialistai</w:t>
                    </w:r>
                  </w:p>
                </w:tc>
                <w:tc>
                  <w:tcPr>
                    <w:tcW w:w="3465" w:type="dxa"/>
                    <w:tcBorders>
                      <w:top w:val="nil"/>
                      <w:bottom w:val="single" w:sz="4" w:space="0" w:color="auto"/>
                    </w:tcBorders>
                    <w:shd w:val="clear" w:color="auto" w:fill="auto"/>
                  </w:tcPr>
                  <w:p>
                    <w:pPr>
                      <w:rPr>
                        <w:bCs/>
                        <w:sz w:val="20"/>
                        <w:lang w:val="pl-PL"/>
                      </w:rPr>
                    </w:pPr>
                  </w:p>
                </w:tc>
                <w:tc>
                  <w:tcPr>
                    <w:tcW w:w="4254" w:type="dxa"/>
                    <w:tcBorders>
                      <w:top w:val="nil"/>
                      <w:bottom w:val="single" w:sz="4" w:space="0" w:color="auto"/>
                    </w:tcBorders>
                    <w:shd w:val="clear" w:color="auto" w:fill="auto"/>
                  </w:tcPr>
                  <w:p>
                    <w:pPr>
                      <w:rPr>
                        <w:bCs/>
                        <w:sz w:val="20"/>
                        <w:lang w:val="pl-PL"/>
                      </w:rPr>
                    </w:pPr>
                    <w:r>
                      <w:rPr>
                        <w:bCs/>
                        <w:sz w:val="20"/>
                        <w:lang w:val="pt-BR"/>
                      </w:rPr>
                      <w:t xml:space="preserve">Pagal indikacijas </w:t>
                    </w:r>
                  </w:p>
                </w:tc>
              </w:tr>
              <w:tr>
                <w:trPr>
                  <w:trHeight w:val="360"/>
                </w:trPr>
                <w:tc>
                  <w:tcPr>
                    <w:tcW w:w="638" w:type="dxa"/>
                    <w:vMerge w:val="restart"/>
                  </w:tcPr>
                  <w:p>
                    <w:pPr>
                      <w:rPr>
                        <w:bCs/>
                        <w:sz w:val="20"/>
                        <w:lang w:val="pt-BR"/>
                      </w:rPr>
                    </w:pPr>
                    <w:r>
                      <w:rPr>
                        <w:bCs/>
                        <w:sz w:val="20"/>
                        <w:lang w:val="pt-BR"/>
                      </w:rPr>
                      <w:t>3.9.</w:t>
                    </w:r>
                  </w:p>
                </w:tc>
                <w:tc>
                  <w:tcPr>
                    <w:tcW w:w="2280" w:type="dxa"/>
                    <w:vMerge w:val="restart"/>
                    <w:shd w:val="clear" w:color="auto" w:fill="auto"/>
                  </w:tcPr>
                  <w:p>
                    <w:pPr>
                      <w:rPr>
                        <w:bCs/>
                        <w:sz w:val="20"/>
                        <w:lang w:val="pt-BR"/>
                      </w:rPr>
                    </w:pPr>
                    <w:r>
                      <w:rPr>
                        <w:bCs/>
                        <w:sz w:val="20"/>
                        <w:lang w:val="pt-BR"/>
                      </w:rPr>
                      <w:t>Triatlonas, labai ilgų nuotolių (42,125; 50 km maratono) bėgimas, slidin</w:t>
                    </w:r>
                    <w:r>
                      <w:rPr>
                        <w:bCs/>
                        <w:sz w:val="20"/>
                      </w:rPr>
                      <w:t>ė</w:t>
                    </w:r>
                    <w:r>
                      <w:rPr>
                        <w:bCs/>
                        <w:sz w:val="20"/>
                        <w:lang w:val="pt-BR"/>
                      </w:rPr>
                      <w:t xml:space="preserve">jimas </w:t>
                    </w:r>
                  </w:p>
                </w:tc>
                <w:tc>
                  <w:tcPr>
                    <w:tcW w:w="1459" w:type="dxa"/>
                    <w:vMerge w:val="restart"/>
                    <w:shd w:val="clear" w:color="auto" w:fill="auto"/>
                  </w:tcPr>
                  <w:p>
                    <w:pPr>
                      <w:rPr>
                        <w:bCs/>
                        <w:sz w:val="20"/>
                      </w:rPr>
                    </w:pPr>
                    <w:r>
                      <w:rPr>
                        <w:bCs/>
                        <w:sz w:val="20"/>
                      </w:rPr>
                      <w:t>Patikrinimas prieš varžybas</w:t>
                    </w:r>
                  </w:p>
                </w:tc>
                <w:tc>
                  <w:tcPr>
                    <w:tcW w:w="2644" w:type="dxa"/>
                    <w:tcBorders>
                      <w:bottom w:val="nil"/>
                    </w:tcBorders>
                  </w:tcPr>
                  <w:p>
                    <w:pPr>
                      <w:rPr>
                        <w:bCs/>
                        <w:sz w:val="20"/>
                        <w:lang w:val="pt-BR"/>
                      </w:rPr>
                    </w:pPr>
                    <w:r>
                      <w:rPr>
                        <w:bCs/>
                        <w:sz w:val="20"/>
                        <w:lang w:val="pt-BR"/>
                      </w:rPr>
                      <w:t>Sporto medicinos gydytojas</w:t>
                    </w:r>
                  </w:p>
                </w:tc>
                <w:tc>
                  <w:tcPr>
                    <w:tcW w:w="3465" w:type="dxa"/>
                    <w:tcBorders>
                      <w:bottom w:val="nil"/>
                    </w:tcBorders>
                    <w:shd w:val="clear" w:color="auto" w:fill="auto"/>
                  </w:tcPr>
                  <w:p>
                    <w:pPr>
                      <w:rPr>
                        <w:bCs/>
                        <w:sz w:val="20"/>
                        <w:lang w:val="pt-BR"/>
                      </w:rPr>
                    </w:pPr>
                    <w:r>
                      <w:rPr>
                        <w:bCs/>
                        <w:sz w:val="20"/>
                        <w:lang w:val="pt-BR"/>
                      </w:rPr>
                      <w:t>Ramybės, krūvio EKG, atsigavimo periode 3–5 min.</w:t>
                    </w:r>
                  </w:p>
                </w:tc>
                <w:tc>
                  <w:tcPr>
                    <w:tcW w:w="4254" w:type="dxa"/>
                    <w:tcBorders>
                      <w:bottom w:val="nil"/>
                    </w:tcBorders>
                    <w:shd w:val="clear" w:color="auto" w:fill="auto"/>
                  </w:tcPr>
                  <w:p>
                    <w:pPr>
                      <w:rPr>
                        <w:bCs/>
                        <w:sz w:val="20"/>
                      </w:rPr>
                    </w:pP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lang w:val="pt-BR"/>
                      </w:rPr>
                    </w:pPr>
                    <w:r>
                      <w:rPr>
                        <w:bCs/>
                        <w:sz w:val="20"/>
                        <w:lang w:val="pt-BR"/>
                      </w:rPr>
                      <w:t>kiti specialistai</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Pagal indikacijas</w:t>
                    </w:r>
                  </w:p>
                </w:tc>
              </w:tr>
              <w:tr>
                <w:trPr>
                  <w:trHeight w:val="70"/>
                </w:trPr>
                <w:tc>
                  <w:tcPr>
                    <w:tcW w:w="638" w:type="dxa"/>
                    <w:vMerge w:val="restart"/>
                  </w:tcPr>
                  <w:p>
                    <w:pPr>
                      <w:rPr>
                        <w:bCs/>
                        <w:sz w:val="20"/>
                      </w:rPr>
                    </w:pPr>
                    <w:r>
                      <w:rPr>
                        <w:bCs/>
                        <w:sz w:val="20"/>
                      </w:rPr>
                      <w:t>3.10.</w:t>
                    </w:r>
                  </w:p>
                </w:tc>
                <w:tc>
                  <w:tcPr>
                    <w:tcW w:w="2280" w:type="dxa"/>
                    <w:vMerge w:val="restart"/>
                    <w:shd w:val="clear" w:color="auto" w:fill="auto"/>
                  </w:tcPr>
                  <w:p>
                    <w:pPr>
                      <w:rPr>
                        <w:bCs/>
                        <w:sz w:val="20"/>
                      </w:rPr>
                    </w:pPr>
                    <w:r>
                      <w:rPr>
                        <w:bCs/>
                        <w:sz w:val="20"/>
                      </w:rPr>
                      <w:t xml:space="preserve">Techninės sporto šakos (auto-, motosportas, kartingai, motorlaiviai ir kt.) </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lang w:val="pt-BR"/>
                      </w:rPr>
                    </w:pPr>
                    <w:r>
                      <w:rPr>
                        <w:bCs/>
                        <w:sz w:val="20"/>
                        <w:lang w:val="nl-NL"/>
                      </w:rPr>
                      <w:t>1 kartą per metus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otorinolaringologas,</w:t>
                    </w:r>
                  </w:p>
                  <w:p>
                    <w:pPr>
                      <w:rPr>
                        <w:bCs/>
                        <w:sz w:val="20"/>
                      </w:rPr>
                    </w:pPr>
                    <w:r>
                      <w:rPr>
                        <w:bCs/>
                        <w:sz w:val="20"/>
                      </w:rPr>
                      <w:t>kiti specialistai</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rPr>
                        <w:bCs/>
                        <w:sz w:val="20"/>
                        <w:lang w:val="nl-NL"/>
                      </w:rPr>
                    </w:pPr>
                    <w:r>
                      <w:rPr>
                        <w:bCs/>
                        <w:sz w:val="20"/>
                        <w:lang w:val="pt-BR"/>
                      </w:rPr>
                      <w:t>Pagal indikacijas</w:t>
                    </w:r>
                  </w:p>
                </w:tc>
              </w:tr>
              <w:tr>
                <w:trPr>
                  <w:trHeight w:val="345"/>
                </w:trPr>
                <w:tc>
                  <w:tcPr>
                    <w:tcW w:w="638" w:type="dxa"/>
                    <w:vMerge w:val="restart"/>
                  </w:tcPr>
                  <w:p>
                    <w:pPr>
                      <w:ind w:right="-8407"/>
                      <w:rPr>
                        <w:bCs/>
                        <w:sz w:val="20"/>
                      </w:rPr>
                    </w:pPr>
                    <w:r>
                      <w:rPr>
                        <w:bCs/>
                        <w:sz w:val="20"/>
                      </w:rPr>
                      <w:t>3.11.</w:t>
                    </w:r>
                  </w:p>
                </w:tc>
                <w:tc>
                  <w:tcPr>
                    <w:tcW w:w="2280" w:type="dxa"/>
                    <w:vMerge w:val="restart"/>
                    <w:shd w:val="clear" w:color="auto" w:fill="auto"/>
                  </w:tcPr>
                  <w:p>
                    <w:pPr>
                      <w:ind w:right="-8407"/>
                      <w:rPr>
                        <w:bCs/>
                        <w:sz w:val="20"/>
                      </w:rPr>
                    </w:pPr>
                    <w:r>
                      <w:rPr>
                        <w:bCs/>
                        <w:sz w:val="20"/>
                      </w:rPr>
                      <w:t>Sportuotojai</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rPr>
                    </w:pPr>
                  </w:p>
                </w:tc>
              </w:tr>
              <w:tr>
                <w:trPr>
                  <w:trHeight w:val="330"/>
                </w:trPr>
                <w:tc>
                  <w:tcPr>
                    <w:tcW w:w="638" w:type="dxa"/>
                    <w:vMerge/>
                  </w:tcPr>
                  <w:p>
                    <w:pPr>
                      <w:ind w:right="-8407"/>
                      <w:rPr>
                        <w:bCs/>
                        <w:sz w:val="20"/>
                      </w:rPr>
                    </w:pPr>
                  </w:p>
                </w:tc>
                <w:tc>
                  <w:tcPr>
                    <w:tcW w:w="2280" w:type="dxa"/>
                    <w:vMerge/>
                    <w:shd w:val="clear" w:color="auto" w:fill="auto"/>
                  </w:tcPr>
                  <w:p>
                    <w:pPr>
                      <w:ind w:right="-8407"/>
                      <w:rPr>
                        <w:bCs/>
                        <w:sz w:val="20"/>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Kiti specialistai</w:t>
                    </w:r>
                  </w:p>
                </w:tc>
                <w:tc>
                  <w:tcPr>
                    <w:tcW w:w="3465" w:type="dxa"/>
                    <w:tcBorders>
                      <w:top w:val="nil"/>
                    </w:tcBorders>
                    <w:shd w:val="clear" w:color="auto" w:fill="auto"/>
                  </w:tcPr>
                  <w:p>
                    <w:pPr>
                      <w:rPr>
                        <w:bCs/>
                        <w:sz w:val="20"/>
                      </w:rPr>
                    </w:pPr>
                  </w:p>
                </w:tc>
                <w:tc>
                  <w:tcPr>
                    <w:tcW w:w="4254" w:type="dxa"/>
                    <w:tcBorders>
                      <w:top w:val="nil"/>
                    </w:tcBorders>
                    <w:shd w:val="clear" w:color="auto" w:fill="auto"/>
                  </w:tcPr>
                  <w:p>
                    <w:pPr>
                      <w:rPr>
                        <w:bCs/>
                        <w:sz w:val="20"/>
                      </w:rPr>
                    </w:pPr>
                    <w:r>
                      <w:rPr>
                        <w:bCs/>
                        <w:sz w:val="20"/>
                      </w:rPr>
                      <w:t>Pagal indikacijas</w:t>
                    </w:r>
                  </w:p>
                </w:tc>
              </w:tr>
            </w:tbl>
            <w:p>
              <w:pPr>
                <w:widowControl w:val="0"/>
                <w:suppressAutoHyphens/>
                <w:ind w:firstLine="567"/>
                <w:jc w:val="both"/>
                <w:rPr>
                  <w:color w:val="000000"/>
                </w:rPr>
              </w:pPr>
            </w:p>
            <w:p>
              <w:pPr>
                <w:widowControl w:val="0"/>
                <w:suppressAutoHyphens/>
                <w:ind w:firstLine="567"/>
                <w:jc w:val="both"/>
                <w:rPr>
                  <w:color w:val="000000"/>
                </w:rPr>
              </w:pPr>
            </w:p>
            <w:p>
              <w:pPr>
                <w:widowControl w:val="0"/>
                <w:suppressAutoHyphens/>
                <w:ind w:firstLine="567"/>
                <w:jc w:val="both"/>
                <w:rPr>
                  <w:color w:val="000000"/>
                </w:rPr>
                <w:sectPr>
                  <w:pgSz w:w="16840" w:h="11907" w:orient="landscape" w:code="9"/>
                  <w:pgMar w:top="1134" w:right="1134" w:bottom="1701" w:left="1134" w:header="567" w:footer="284" w:gutter="0"/>
                  <w:cols w:space="1296"/>
                  <w:docGrid w:linePitch="360"/>
                </w:sectPr>
              </w:pPr>
            </w:p>
          </w:sdtContent>
        </w:sdt>
        <w:sdt>
          <w:sdtPr>
            <w:alias w:val="skyrius"/>
            <w:tag w:val="part_db8ba70d495a479c947d7f86ea83ac4a"/>
            <w:lock w:val="sdtLocked"/>
            <w:richText/>
          </w:sdtPr>
          <w:sdtContent>
            <w:p>
              <w:pPr>
                <w:jc w:val="center"/>
                <w:rPr>
                  <w:bCs/>
                  <w:caps/>
                </w:rPr>
              </w:pPr>
              <w:sdt>
                <w:sdtPr>
                  <w:alias w:val="Numeris"/>
                  <w:tag w:val="nr_db8ba70d495a479c947d7f86ea83ac4a"/>
                  <w:lock w:val="sdtLocked"/>
                  <w:richText/>
                </w:sdtPr>
                <w:sdtContent>
                  <w:r>
                    <w:rPr>
                      <w:b/>
                      <w:bCs/>
                      <w:caps/>
                    </w:rPr>
                    <w:t>IV</w:t>
                  </w:r>
                </w:sdtContent>
              </w:sdt>
              <w:r>
                <w:rPr>
                  <w:b/>
                  <w:bCs/>
                  <w:caps/>
                </w:rPr>
                <w:t xml:space="preserve">. </w:t>
              </w:r>
              <w:sdt>
                <w:sdtPr>
                  <w:alias w:val="Pavadinimas"/>
                  <w:tag w:val="title_db8ba70d495a479c947d7f86ea83ac4a"/>
                  <w:lock w:val="sdtLocked"/>
                  <w:richText/>
                </w:sdtPr>
                <w:sdtContent>
                  <w:r>
                    <w:rPr>
                      <w:b/>
                      <w:bCs/>
                      <w:caps/>
                    </w:rPr>
                    <w:t>detalUs sporto medicinOs centruose teikiamų asmens sveikatos priežiūros paslaugų sąrašas</w:t>
                  </w:r>
                </w:sdtContent>
              </w:sdt>
            </w:p>
            <w:p>
              <w:pPr>
                <w:rPr>
                  <w:bCs/>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8"/>
                <w:gridCol w:w="7762"/>
              </w:tblGrid>
              <w:tr>
                <w:trPr>
                  <w:trHeight w:val="334"/>
                  <w:tblHeader/>
                </w:trPr>
                <w:tc>
                  <w:tcPr>
                    <w:tcW w:w="1308" w:type="dxa"/>
                    <w:tcBorders>
                      <w:top w:val="single" w:sz="4" w:space="0" w:color="auto"/>
                      <w:left w:val="single" w:sz="4" w:space="0" w:color="auto"/>
                      <w:bottom w:val="single" w:sz="4" w:space="0" w:color="auto"/>
                      <w:right w:val="single" w:sz="4" w:space="0" w:color="auto"/>
                    </w:tcBorders>
                    <w:shd w:val="clear" w:color="auto" w:fill="auto"/>
                  </w:tcPr>
                  <w:p>
                    <w:pPr>
                      <w:jc w:val="center"/>
                      <w:rPr>
                        <w:bCs/>
                        <w:sz w:val="20"/>
                      </w:rPr>
                    </w:pPr>
                    <w:r>
                      <w:rPr>
                        <w:bCs/>
                        <w:sz w:val="20"/>
                      </w:rPr>
                      <w:t>Eil. Nr.</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jc w:val="center"/>
                      <w:rPr>
                        <w:bCs/>
                      </w:rPr>
                    </w:pPr>
                    <w:r>
                      <w:rPr>
                        <w:bCs/>
                      </w:rPr>
                      <w:t>PASLAUGOS (pateikiamas minimalus paslaugų mastas, kuris apmokamas biudžeto lėšomis)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SPORTO MEDICINOS GYDYTOJO </w:t>
                    </w:r>
                  </w:p>
                </w:tc>
              </w:tr>
              <w:tr>
                <w:trPr>
                  <w:trHeight w:val="27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nil"/>
                      <w:right w:val="single" w:sz="4" w:space="0" w:color="auto"/>
                    </w:tcBorders>
                    <w:shd w:val="clear" w:color="auto" w:fill="auto"/>
                  </w:tcPr>
                  <w:p>
                    <w:pPr>
                      <w:ind w:firstLine="55"/>
                      <w:rPr>
                        <w:bCs/>
                        <w:sz w:val="20"/>
                      </w:rPr>
                    </w:pPr>
                    <w:r>
                      <w:rPr>
                        <w:bCs/>
                        <w:sz w:val="20"/>
                      </w:rPr>
                      <w:t>Sportininkų sveikatos ištyrimas:</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fizinio išsivystymo, judamojo aparato funkcinės būklės įvertinimas;</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regos aštrumo nustatymas;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plaučių gyvybinės talpos nustatymas;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išsamus sportinės bei ligos anamnezės surinkimas;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palpacija (ypač kreipiant dėmesį į judamąjį aparatą);</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auskultacija (širdies, plaučių);</w:t>
                    </w:r>
                  </w:p>
                </w:tc>
              </w:tr>
              <w:tr>
                <w:trPr>
                  <w:trHeight w:val="1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burnos ertmės apžiūra;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pulso tyrimas ir arterinio kraujo spaudimo matavimas netiesioginiu būdu;</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kūno temperatūros matavimas;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sportuojančių kūno masės komponentų nustatymas ir įvertinimas.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Reikalingų tyrimų paskyrimas (hematologinių, bendraklinikinių, biocheminių, elektrokardiogramos, echoskopijos, spiroergometrijos, rentgeno, magnetinio rezonanso, kompiuterinės tomografijos).</w:t>
                    </w:r>
                  </w:p>
                </w:tc>
              </w:tr>
              <w:tr>
                <w:trPr>
                  <w:trHeight w:val="15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širdies ir kraujagyslių sistemos funkcinės būklės nustatymas specialiais testais: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20 pritūpimų vietoje;</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15 sek. maksimalaus bėgimo vietoje, aukštai keliant kelius;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3 min. bėgimu vietoje, 180 žingsnių per minutę tempu;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4.1.3.4.</w:t>
                    </w:r>
                  </w:p>
                </w:tc>
                <w:tc>
                  <w:tcPr>
                    <w:tcW w:w="7762" w:type="dxa"/>
                    <w:tcBorders>
                      <w:top w:val="nil"/>
                      <w:left w:val="single" w:sz="4" w:space="0" w:color="auto"/>
                      <w:bottom w:val="nil"/>
                      <w:right w:val="single" w:sz="4" w:space="0" w:color="auto"/>
                    </w:tcBorders>
                    <w:shd w:val="clear" w:color="auto" w:fill="auto"/>
                  </w:tcPr>
                  <w:p>
                    <w:pPr>
                      <w:ind w:firstLine="55"/>
                      <w:rPr>
                        <w:bCs/>
                        <w:sz w:val="20"/>
                      </w:rPr>
                    </w:pPr>
                    <w:r>
                      <w:rPr>
                        <w:bCs/>
                        <w:i/>
                        <w:sz w:val="20"/>
                      </w:rPr>
                      <w:t>Astrando step</w:t>
                    </w:r>
                    <w:r>
                      <w:rPr>
                        <w:bCs/>
                        <w:sz w:val="20"/>
                      </w:rPr>
                      <w:t xml:space="preserve"> testu;</w:t>
                    </w:r>
                  </w:p>
                </w:tc>
              </w:tr>
              <w:tr>
                <w:trPr>
                  <w:trHeight w:val="136"/>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4.1.3.5.</w:t>
                    </w:r>
                  </w:p>
                </w:tc>
                <w:tc>
                  <w:tcPr>
                    <w:tcW w:w="7762" w:type="dxa"/>
                    <w:tcBorders>
                      <w:top w:val="nil"/>
                      <w:left w:val="single" w:sz="4" w:space="0" w:color="auto"/>
                      <w:bottom w:val="nil"/>
                      <w:right w:val="single" w:sz="4" w:space="0" w:color="auto"/>
                    </w:tcBorders>
                    <w:shd w:val="clear" w:color="auto" w:fill="auto"/>
                  </w:tcPr>
                  <w:p>
                    <w:pPr>
                      <w:rPr>
                        <w:bCs/>
                        <w:sz w:val="20"/>
                      </w:rPr>
                    </w:pPr>
                    <w:r>
                      <w:rPr>
                        <w:bCs/>
                        <w:i/>
                        <w:sz w:val="20"/>
                      </w:rPr>
                      <w:t>Harvardo step</w:t>
                    </w:r>
                    <w:r>
                      <w:rPr>
                        <w:bCs/>
                        <w:sz w:val="20"/>
                      </w:rPr>
                      <w:t xml:space="preserve"> testu; </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kvėpavimo sulaikymo mėginiu (pagal Serkiną);</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ortostatiniu mėginiu.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Sportininkų sveikatos ir funkcinės būklės analizė ir kitų duomenų įvertinimas.</w:t>
                    </w:r>
                  </w:p>
                </w:tc>
              </w:tr>
              <w:tr>
                <w:trPr>
                  <w:trHeight w:val="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Susirgusių ir traumuotų sportininkų gydymas pagal kompetenciją.</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Atsigavimo programų sudarymas.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Rekomendacijų dėl sveikatos stiprinimo, traumų profilaktikos, treniruočių režimo teikimas.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Medicininių, funkcinių tyrimų duomenų, atliktų treniruočių, mokomųjų-treniravimo stovyklų ar varžybų metu, analizė, išvadų teikimas. </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sveikatos stebėjimo kortelės (forma Nr. 61/a), asmens sveikatos istorijos (forma Nr. 025/a-LK) pildymas.</w:t>
                    </w:r>
                  </w:p>
                </w:tc>
              </w:tr>
              <w:tr>
                <w:trPr>
                  <w:trHeight w:val="285"/>
                </w:trPr>
                <w:tc>
                  <w:tcPr>
                    <w:tcW w:w="1308" w:type="dxa"/>
                    <w:tcBorders>
                      <w:top w:val="nil"/>
                      <w:left w:val="single" w:sz="4" w:space="0" w:color="auto"/>
                      <w:bottom w:val="nil"/>
                      <w:right w:val="single" w:sz="4" w:space="0" w:color="auto"/>
                    </w:tcBorders>
                    <w:shd w:val="clear" w:color="auto" w:fill="auto"/>
                  </w:tcPr>
                  <w:p>
                    <w:pPr>
                      <w:rPr>
                        <w:bCs/>
                        <w:sz w:val="20"/>
                      </w:rPr>
                    </w:pP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Sporto varžybų paraiškų medicininis patvirtinimas.</w:t>
                    </w:r>
                  </w:p>
                </w:tc>
              </w:tr>
              <w:tr>
                <w:trPr>
                  <w:trHeight w:val="33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Susirgusių sportininkų nukreipimas konsultacijoms ir stacionariniam gydymui į antrojo ir trečiojo lygio asmens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sveikatos priežiūros įstaigas.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Būtinosios pagalbos teikimas.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Receptų medikamentams, vitaminams išrašymas bei jų naudojimo aiškinimas.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caps/>
                        <w:sz w:val="20"/>
                      </w:rPr>
                      <w:t xml:space="preserve">Klinikinės fiziologijos </w:t>
                    </w:r>
                  </w:p>
                </w:tc>
              </w:tr>
              <w:tr>
                <w:trPr>
                  <w:trHeight w:val="21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4.2.1.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lang w:val="pt-BR"/>
                      </w:rPr>
                      <w:t>Anamnezės patikslinimas.</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Elektrokardiogramos esant ramybės būsenos registravimas (12, 18 derivacijų) ir jos interpretavimas.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Elektrokardiograma su medikamentais (kalio chlorido, atropino, nitroglicerino) ir jos interpretacija.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dviratiniu ergometru (testas PWC</w:t>
                    </w:r>
                    <w:r>
                      <w:rPr>
                        <w:bCs/>
                        <w:sz w:val="20"/>
                        <w:vertAlign w:val="subscript"/>
                        <w:lang w:val="pt-BR"/>
                      </w:rPr>
                      <w:t xml:space="preserve">170, </w:t>
                    </w:r>
                    <w:r>
                      <w:rPr>
                        <w:bCs/>
                        <w:sz w:val="20"/>
                        <w:lang w:val="pt-BR"/>
                      </w:rPr>
                      <w:t>tolerancijos standartiniams krūviams).</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irklavimo ergometru.</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baidarių ergometru.</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4.2.7.</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bėgtakiu (tredmilu).</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4.2.8.</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Ortostatinis mėginys. </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4.2.9.</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Spiroergometrijos tyrimas (testuojant dviratiniu, irklavimo, baidarių ergometrais, bėgtakiu).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4.2.10.</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echoskopija (doplerinė, vienmatė ir dvimatė).</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4.2.11.</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Kompiuterizuota spirografija.</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Arterinio kraujo spaudimo matavimas esant ramybės būsenos ir fizinio krūvio metu netiesioginiu būdu.</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veiklos stebėjimas ergometrijos ar spiroergometrijos metu.</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Defibriliatoriaus naudojimas.</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Anaerobinio slenksčio nustatymas, atliekant laktato mėginį.</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rPr>
                      <w:t>Reakcijos greičio matavimas.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4.2.17.</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i/>
                        <w:sz w:val="20"/>
                      </w:rPr>
                      <w:t>Teping</w:t>
                    </w:r>
                    <w:r>
                      <w:rPr>
                        <w:bCs/>
                        <w:sz w:val="20"/>
                      </w:rPr>
                      <w:t xml:space="preserve"> testo atlikimas ir įvertinimas.</w:t>
                    </w:r>
                  </w:p>
                </w:tc>
              </w:tr>
              <w:tr>
                <w:tblPrEx>
                  <w:tblBorders>
                    <w:insideH w:val="none" w:sz="0" w:space="0" w:color="auto"/>
                    <w:insideV w:val="none" w:sz="0" w:space="0" w:color="auto"/>
                  </w:tblBorders>
                </w:tblPrEx>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4.3.</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widowControl w:val="0"/>
                      <w:rPr>
                        <w:bCs/>
                        <w:sz w:val="20"/>
                        <w:lang w:val="pt-BR"/>
                      </w:rPr>
                    </w:pPr>
                    <w:r>
                      <w:rPr>
                        <w:bCs/>
                        <w:sz w:val="20"/>
                        <w:lang w:val="pt-BR"/>
                      </w:rPr>
                      <w:t xml:space="preserve">KLINIKINĖS LABORATORIJOS </w:t>
                    </w:r>
                  </w:p>
                </w:tc>
              </w:tr>
              <w:tr>
                <w:tblPrEx>
                  <w:tblBorders>
                    <w:insideH w:val="none" w:sz="0" w:space="0" w:color="auto"/>
                    <w:insideV w:val="none" w:sz="0" w:space="0" w:color="auto"/>
                  </w:tblBorders>
                </w:tblPrEx>
                <w:trPr>
                  <w:trHeight w:val="1380"/>
                </w:trPr>
                <w:tc>
                  <w:tcPr>
                    <w:tcW w:w="1308" w:type="dxa"/>
                    <w:tcBorders>
                      <w:top w:val="single" w:sz="4" w:space="0" w:color="auto"/>
                      <w:bottom w:val="nil"/>
                      <w:right w:val="single" w:sz="4" w:space="0" w:color="auto"/>
                    </w:tcBorders>
                    <w:shd w:val="clear" w:color="auto" w:fill="auto"/>
                  </w:tcPr>
                  <w:p>
                    <w:pPr>
                      <w:rPr>
                        <w:bCs/>
                        <w:sz w:val="20"/>
                      </w:rPr>
                    </w:pPr>
                    <w:r>
                      <w:rPr>
                        <w:bCs/>
                        <w:sz w:val="20"/>
                      </w:rPr>
                      <w:t>4.3.1.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Automatizuotas kraujo tyrimas:</w:t>
                    </w:r>
                  </w:p>
                  <w:p>
                    <w:pPr>
                      <w:rPr>
                        <w:bCs/>
                        <w:sz w:val="20"/>
                      </w:rPr>
                    </w:pPr>
                    <w:r>
                      <w:rPr>
                        <w:bCs/>
                        <w:sz w:val="20"/>
                      </w:rPr>
                      <w:t>eritrocitų kiekis;</w:t>
                    </w:r>
                  </w:p>
                  <w:p>
                    <w:pPr>
                      <w:rPr>
                        <w:bCs/>
                        <w:sz w:val="20"/>
                      </w:rPr>
                    </w:pPr>
                    <w:r>
                      <w:rPr>
                        <w:bCs/>
                        <w:sz w:val="20"/>
                      </w:rPr>
                      <w:t>hemoglobino kiekis;</w:t>
                    </w:r>
                  </w:p>
                  <w:p>
                    <w:pPr>
                      <w:rPr>
                        <w:bCs/>
                        <w:sz w:val="20"/>
                      </w:rPr>
                    </w:pPr>
                    <w:r>
                      <w:rPr>
                        <w:bCs/>
                        <w:sz w:val="20"/>
                      </w:rPr>
                      <w:t>leukocitų kiekis;</w:t>
                    </w:r>
                  </w:p>
                  <w:p>
                    <w:pPr>
                      <w:rPr>
                        <w:bCs/>
                        <w:sz w:val="20"/>
                      </w:rPr>
                    </w:pPr>
                    <w:r>
                      <w:rPr>
                        <w:bCs/>
                        <w:sz w:val="20"/>
                      </w:rPr>
                      <w:t>trombocitų kiekis;</w:t>
                    </w:r>
                  </w:p>
                  <w:p>
                    <w:pPr>
                      <w:rPr>
                        <w:rFonts w:ascii="TimesLT" w:hAnsi="TimesLT"/>
                        <w:bCs/>
                        <w:sz w:val="20"/>
                        <w:lang w:val="pt-BR"/>
                      </w:rPr>
                    </w:pPr>
                    <w:r>
                      <w:rPr>
                        <w:bCs/>
                        <w:sz w:val="20"/>
                      </w:rPr>
                      <w:t>leukocitų diferencinis pasiskirstymas;</w:t>
                    </w:r>
                  </w:p>
                </w:tc>
              </w:tr>
              <w:tr>
                <w:tblPrEx>
                  <w:tblBorders>
                    <w:insideH w:val="none" w:sz="0" w:space="0" w:color="auto"/>
                    <w:insideV w:val="none" w:sz="0" w:space="0" w:color="auto"/>
                  </w:tblBorders>
                </w:tblPrEx>
                <w:trPr>
                  <w:trHeight w:val="165"/>
                </w:trPr>
                <w:tc>
                  <w:tcPr>
                    <w:tcW w:w="1308" w:type="dxa"/>
                    <w:tcBorders>
                      <w:top w:val="nil"/>
                      <w:bottom w:val="nil"/>
                      <w:right w:val="single" w:sz="4" w:space="0" w:color="auto"/>
                    </w:tcBorders>
                    <w:shd w:val="clear" w:color="auto" w:fill="auto"/>
                  </w:tcPr>
                  <w:p>
                    <w:pPr>
                      <w:rPr>
                        <w:bCs/>
                        <w:sz w:val="20"/>
                      </w:rPr>
                    </w:pPr>
                    <w:r>
                      <w:rPr>
                        <w:bCs/>
                        <w:sz w:val="20"/>
                      </w:rPr>
                      <w:t>4.3.2.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Leukocitų diferencinio pasiskirstymo skaičiavimas mikroskopu.</w:t>
                    </w:r>
                  </w:p>
                </w:tc>
              </w:tr>
              <w:tr>
                <w:tblPrEx>
                  <w:tblBorders>
                    <w:insideH w:val="none" w:sz="0" w:space="0" w:color="auto"/>
                    <w:insideV w:val="none" w:sz="0" w:space="0" w:color="auto"/>
                  </w:tblBorders>
                </w:tblPrEx>
                <w:trPr>
                  <w:trHeight w:val="105"/>
                </w:trPr>
                <w:tc>
                  <w:tcPr>
                    <w:tcW w:w="1308" w:type="dxa"/>
                    <w:tcBorders>
                      <w:top w:val="nil"/>
                      <w:bottom w:val="nil"/>
                      <w:right w:val="single" w:sz="4" w:space="0" w:color="auto"/>
                    </w:tcBorders>
                    <w:shd w:val="clear" w:color="auto" w:fill="auto"/>
                  </w:tcPr>
                  <w:p>
                    <w:pPr>
                      <w:rPr>
                        <w:bCs/>
                        <w:sz w:val="20"/>
                      </w:rPr>
                    </w:pPr>
                    <w:r>
                      <w:rPr>
                        <w:bCs/>
                        <w:sz w:val="20"/>
                      </w:rPr>
                      <w:t>4.3.3.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Kraujo tyrimas eritrocitų nusėdimo greičiui (ENG) nustatyti.</w:t>
                    </w:r>
                  </w:p>
                </w:tc>
              </w:tr>
              <w:tr>
                <w:tblPrEx>
                  <w:tblBorders>
                    <w:insideH w:val="none" w:sz="0" w:space="0" w:color="auto"/>
                    <w:insideV w:val="none" w:sz="0" w:space="0" w:color="auto"/>
                  </w:tblBorders>
                </w:tblPrEx>
                <w:trPr>
                  <w:trHeight w:val="2021"/>
                </w:trPr>
                <w:tc>
                  <w:tcPr>
                    <w:tcW w:w="1308" w:type="dxa"/>
                    <w:tcBorders>
                      <w:top w:val="nil"/>
                      <w:bottom w:val="nil"/>
                      <w:right w:val="single" w:sz="4" w:space="0" w:color="auto"/>
                    </w:tcBorders>
                    <w:shd w:val="clear" w:color="auto" w:fill="auto"/>
                  </w:tcPr>
                  <w:p>
                    <w:pPr>
                      <w:rPr>
                        <w:bCs/>
                        <w:sz w:val="20"/>
                      </w:rPr>
                    </w:pPr>
                    <w:r>
                      <w:rPr>
                        <w:bCs/>
                        <w:sz w:val="20"/>
                      </w:rPr>
                      <w:t xml:space="preserve">4.3.4. </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Automatizuotas šlapimo tyrimas:</w:t>
                    </w:r>
                  </w:p>
                  <w:p>
                    <w:pPr>
                      <w:rPr>
                        <w:bCs/>
                        <w:sz w:val="20"/>
                      </w:rPr>
                    </w:pPr>
                    <w:r>
                      <w:rPr>
                        <w:bCs/>
                        <w:sz w:val="20"/>
                      </w:rPr>
                      <w:t>lyginamasis svoris;</w:t>
                    </w:r>
                  </w:p>
                  <w:p>
                    <w:pPr>
                      <w:rPr>
                        <w:bCs/>
                        <w:sz w:val="20"/>
                      </w:rPr>
                    </w:pPr>
                    <w:r>
                      <w:rPr>
                        <w:bCs/>
                        <w:sz w:val="20"/>
                      </w:rPr>
                      <w:t>šarmų-rūgščių pusiausvyra (PH);</w:t>
                    </w:r>
                  </w:p>
                  <w:p>
                    <w:pPr>
                      <w:rPr>
                        <w:bCs/>
                        <w:sz w:val="20"/>
                      </w:rPr>
                    </w:pPr>
                    <w:r>
                      <w:rPr>
                        <w:bCs/>
                        <w:sz w:val="20"/>
                      </w:rPr>
                      <w:t>baltymas;</w:t>
                    </w:r>
                  </w:p>
                  <w:p>
                    <w:pPr>
                      <w:rPr>
                        <w:bCs/>
                        <w:sz w:val="20"/>
                      </w:rPr>
                    </w:pPr>
                    <w:r>
                      <w:rPr>
                        <w:bCs/>
                        <w:sz w:val="20"/>
                      </w:rPr>
                      <w:t>bilirubinas;</w:t>
                    </w:r>
                  </w:p>
                  <w:p>
                    <w:pPr>
                      <w:rPr>
                        <w:bCs/>
                        <w:sz w:val="20"/>
                      </w:rPr>
                    </w:pPr>
                    <w:r>
                      <w:rPr>
                        <w:bCs/>
                        <w:sz w:val="20"/>
                      </w:rPr>
                      <w:t>urobilinogenas;</w:t>
                    </w:r>
                  </w:p>
                  <w:p>
                    <w:pPr>
                      <w:rPr>
                        <w:bCs/>
                        <w:sz w:val="20"/>
                      </w:rPr>
                    </w:pPr>
                    <w:r>
                      <w:rPr>
                        <w:bCs/>
                        <w:sz w:val="20"/>
                      </w:rPr>
                      <w:t>ketonai;</w:t>
                    </w:r>
                  </w:p>
                  <w:p>
                    <w:pPr>
                      <w:rPr>
                        <w:bCs/>
                        <w:sz w:val="20"/>
                      </w:rPr>
                    </w:pPr>
                    <w:r>
                      <w:rPr>
                        <w:bCs/>
                        <w:sz w:val="20"/>
                      </w:rPr>
                      <w:t>eritrocitai;</w:t>
                    </w:r>
                  </w:p>
                  <w:p>
                    <w:pPr>
                      <w:rPr>
                        <w:bCs/>
                        <w:sz w:val="20"/>
                      </w:rPr>
                    </w:pPr>
                    <w:r>
                      <w:rPr>
                        <w:bCs/>
                        <w:sz w:val="20"/>
                      </w:rPr>
                      <w:t>leukocitai;</w:t>
                    </w:r>
                  </w:p>
                  <w:p>
                    <w:pPr>
                      <w:rPr>
                        <w:bCs/>
                        <w:sz w:val="20"/>
                      </w:rPr>
                    </w:pPr>
                    <w:r>
                      <w:rPr>
                        <w:bCs/>
                        <w:sz w:val="20"/>
                      </w:rPr>
                      <w:t>bakterijos.</w:t>
                    </w:r>
                  </w:p>
                </w:tc>
              </w:tr>
              <w:tr>
                <w:tblPrEx>
                  <w:tblBorders>
                    <w:insideH w:val="none" w:sz="0" w:space="0" w:color="auto"/>
                    <w:insideV w:val="none" w:sz="0" w:space="0" w:color="auto"/>
                  </w:tblBorders>
                </w:tblPrEx>
                <w:trPr>
                  <w:trHeight w:val="285"/>
                </w:trPr>
                <w:tc>
                  <w:tcPr>
                    <w:tcW w:w="1308" w:type="dxa"/>
                    <w:tcBorders>
                      <w:top w:val="nil"/>
                      <w:bottom w:val="nil"/>
                      <w:right w:val="single" w:sz="4" w:space="0" w:color="auto"/>
                    </w:tcBorders>
                    <w:shd w:val="clear" w:color="auto" w:fill="auto"/>
                  </w:tcPr>
                  <w:p>
                    <w:pPr>
                      <w:rPr>
                        <w:bCs/>
                        <w:sz w:val="20"/>
                      </w:rPr>
                    </w:pPr>
                    <w:r>
                      <w:rPr>
                        <w:bCs/>
                        <w:sz w:val="20"/>
                      </w:rPr>
                      <w:t>4.3.5.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Šlapimo nuosėdų mikroskopinis tyrimas.</w:t>
                    </w:r>
                  </w:p>
                </w:tc>
              </w:tr>
              <w:tr>
                <w:tblPrEx>
                  <w:tblBorders>
                    <w:insideH w:val="none" w:sz="0" w:space="0" w:color="auto"/>
                    <w:insideV w:val="none" w:sz="0" w:space="0" w:color="auto"/>
                  </w:tblBorders>
                </w:tblPrEx>
                <w:trPr>
                  <w:trHeight w:val="3373"/>
                </w:trPr>
                <w:tc>
                  <w:tcPr>
                    <w:tcW w:w="1308" w:type="dxa"/>
                    <w:tcBorders>
                      <w:top w:val="nil"/>
                      <w:bottom w:val="single" w:sz="4" w:space="0" w:color="auto"/>
                      <w:right w:val="single" w:sz="4" w:space="0" w:color="auto"/>
                    </w:tcBorders>
                    <w:shd w:val="clear" w:color="auto" w:fill="auto"/>
                  </w:tcPr>
                  <w:p>
                    <w:pPr>
                      <w:rPr>
                        <w:bCs/>
                        <w:sz w:val="20"/>
                      </w:rPr>
                    </w:pPr>
                    <w:r>
                      <w:rPr>
                        <w:bCs/>
                        <w:sz w:val="20"/>
                      </w:rPr>
                      <w:t xml:space="preserve">4.3.6. </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 xml:space="preserve">Automatizuotas biocheminis kraujo tyrimas: </w:t>
                    </w:r>
                  </w:p>
                  <w:p>
                    <w:pPr>
                      <w:rPr>
                        <w:bCs/>
                        <w:sz w:val="20"/>
                      </w:rPr>
                    </w:pPr>
                    <w:r>
                      <w:rPr>
                        <w:bCs/>
                        <w:sz w:val="20"/>
                      </w:rPr>
                      <w:t>bendrojo cholesterolio koncentracija;</w:t>
                    </w:r>
                  </w:p>
                  <w:p>
                    <w:pPr>
                      <w:rPr>
                        <w:bCs/>
                        <w:sz w:val="20"/>
                      </w:rPr>
                    </w:pPr>
                    <w:r>
                      <w:rPr>
                        <w:bCs/>
                        <w:sz w:val="20"/>
                      </w:rPr>
                      <w:t>didelio tankio lipoproteinų cholesterolio koncentracija;</w:t>
                    </w:r>
                  </w:p>
                  <w:p>
                    <w:pPr>
                      <w:rPr>
                        <w:bCs/>
                        <w:sz w:val="20"/>
                      </w:rPr>
                    </w:pPr>
                    <w:r>
                      <w:rPr>
                        <w:bCs/>
                        <w:sz w:val="20"/>
                      </w:rPr>
                      <w:t>trigliceridai;</w:t>
                    </w:r>
                  </w:p>
                  <w:p>
                    <w:pPr>
                      <w:rPr>
                        <w:bCs/>
                        <w:sz w:val="20"/>
                      </w:rPr>
                    </w:pPr>
                    <w:r>
                      <w:rPr>
                        <w:bCs/>
                        <w:sz w:val="20"/>
                      </w:rPr>
                      <w:t>bilirubinas;</w:t>
                    </w:r>
                  </w:p>
                  <w:p>
                    <w:pPr>
                      <w:rPr>
                        <w:bCs/>
                        <w:sz w:val="20"/>
                      </w:rPr>
                    </w:pPr>
                    <w:r>
                      <w:rPr>
                        <w:bCs/>
                        <w:sz w:val="20"/>
                      </w:rPr>
                      <w:t>amilazė;</w:t>
                    </w:r>
                  </w:p>
                  <w:p>
                    <w:pPr>
                      <w:rPr>
                        <w:bCs/>
                        <w:sz w:val="20"/>
                      </w:rPr>
                    </w:pPr>
                    <w:r>
                      <w:rPr>
                        <w:bCs/>
                        <w:sz w:val="20"/>
                      </w:rPr>
                      <w:t>kasos amilazė;</w:t>
                    </w:r>
                  </w:p>
                  <w:p>
                    <w:pPr>
                      <w:rPr>
                        <w:bCs/>
                        <w:sz w:val="20"/>
                      </w:rPr>
                    </w:pPr>
                    <w:r>
                      <w:rPr>
                        <w:bCs/>
                        <w:sz w:val="20"/>
                      </w:rPr>
                      <w:t>aspartataminotransferazė (GOT);</w:t>
                    </w:r>
                  </w:p>
                  <w:p>
                    <w:pPr>
                      <w:rPr>
                        <w:bCs/>
                        <w:sz w:val="20"/>
                      </w:rPr>
                    </w:pPr>
                    <w:r>
                      <w:rPr>
                        <w:bCs/>
                        <w:sz w:val="20"/>
                      </w:rPr>
                      <w:t>alaninaminotransferazės (GPT);</w:t>
                    </w:r>
                  </w:p>
                  <w:p>
                    <w:pPr>
                      <w:rPr>
                        <w:bCs/>
                        <w:sz w:val="20"/>
                      </w:rPr>
                    </w:pPr>
                    <w:r>
                      <w:rPr>
                        <w:bCs/>
                        <w:sz w:val="20"/>
                      </w:rPr>
                      <w:t>gama gliutamintransferazė (GGT);</w:t>
                    </w:r>
                  </w:p>
                  <w:p>
                    <w:pPr>
                      <w:rPr>
                        <w:bCs/>
                        <w:sz w:val="20"/>
                      </w:rPr>
                    </w:pPr>
                    <w:r>
                      <w:rPr>
                        <w:bCs/>
                        <w:sz w:val="20"/>
                      </w:rPr>
                      <w:t>kalis;</w:t>
                    </w:r>
                  </w:p>
                  <w:p>
                    <w:pPr>
                      <w:rPr>
                        <w:bCs/>
                        <w:sz w:val="20"/>
                      </w:rPr>
                    </w:pPr>
                    <w:r>
                      <w:rPr>
                        <w:bCs/>
                        <w:sz w:val="20"/>
                      </w:rPr>
                      <w:t>šlapalas;</w:t>
                    </w:r>
                  </w:p>
                  <w:p>
                    <w:pPr>
                      <w:rPr>
                        <w:bCs/>
                        <w:sz w:val="20"/>
                      </w:rPr>
                    </w:pPr>
                    <w:r>
                      <w:rPr>
                        <w:bCs/>
                        <w:sz w:val="20"/>
                      </w:rPr>
                      <w:t>šlapimo rūgštis;</w:t>
                    </w:r>
                  </w:p>
                  <w:p>
                    <w:pPr>
                      <w:rPr>
                        <w:bCs/>
                        <w:sz w:val="20"/>
                      </w:rPr>
                    </w:pPr>
                    <w:r>
                      <w:rPr>
                        <w:bCs/>
                        <w:sz w:val="20"/>
                      </w:rPr>
                      <w:t>kreatinkinazė (CK);</w:t>
                    </w:r>
                  </w:p>
                  <w:p>
                    <w:pPr>
                      <w:rPr>
                        <w:bCs/>
                        <w:sz w:val="20"/>
                      </w:rPr>
                    </w:pPr>
                    <w:r>
                      <w:rPr>
                        <w:bCs/>
                        <w:sz w:val="20"/>
                      </w:rPr>
                      <w:t>kreatininas;</w:t>
                    </w:r>
                  </w:p>
                  <w:p>
                    <w:pPr>
                      <w:rPr>
                        <w:bCs/>
                        <w:sz w:val="20"/>
                      </w:rPr>
                    </w:pPr>
                    <w:r>
                      <w:rPr>
                        <w:bCs/>
                        <w:sz w:val="20"/>
                      </w:rPr>
                      <w:t>gliukozė.</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4.4.</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FIZINĖS MEDICINOS IR REABILITACIJOS GYDYTOJO</w:t>
                    </w:r>
                  </w:p>
                  <w:p>
                    <w:pPr>
                      <w:ind w:firstLine="50"/>
                      <w:rPr>
                        <w:bCs/>
                        <w:sz w:val="20"/>
                      </w:rPr>
                    </w:pPr>
                    <w:r>
                      <w:rPr>
                        <w:bCs/>
                        <w:sz w:val="20"/>
                      </w:rPr>
                      <w:t xml:space="preserve">(fizinės medicinos ir reabilitacijos gydytojas, dirbantis Sporto medicinos centre, teikia trumpalaikes – iki 14 d. </w:t>
                    </w:r>
                    <w:r>
                      <w:rPr>
                        <w:bCs/>
                        <w:sz w:val="20"/>
                        <w:u w:val="single"/>
                      </w:rPr>
                      <w:t xml:space="preserve">nemedikamentinio gydymo paslaugas </w:t>
                    </w:r>
                    <w:r>
                      <w:rPr>
                        <w:bCs/>
                        <w:sz w:val="20"/>
                      </w:rPr>
                      <w:t xml:space="preserve">ir vykdo sportininkų atsigavimą skatinančias programas, panaudojant nemedikamentines priemones; esant indikacijoms ilgalaikiam nemedikamentiniam gydymui ir reabilitacijai – siunčia sportininkus į ambulatorinės reabilitacijos paslaugas teikiančias asmens sveikatos priežiūros įstaigas, vadovaudamasis šias paslaugas reglamentuojančiu Lietuvos Respublikos sveikatos apsaugos ministro 2008 m. sausio 17 d. įsakymu Nr. V-50 „Dėl medicininės reabilitacijos ir sanatorinio (antirecidyvinio) gydymo organizavimo“. </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w:t>
                    </w:r>
                  </w:p>
                </w:tc>
                <w:tc>
                  <w:tcPr>
                    <w:tcW w:w="7762" w:type="dxa"/>
                    <w:tcBorders>
                      <w:top w:val="single" w:sz="4" w:space="0" w:color="auto"/>
                      <w:left w:val="single" w:sz="4" w:space="0" w:color="auto"/>
                      <w:bottom w:val="nil"/>
                    </w:tcBorders>
                    <w:shd w:val="clear" w:color="auto" w:fill="auto"/>
                  </w:tcPr>
                  <w:p>
                    <w:pPr>
                      <w:rPr>
                        <w:bCs/>
                        <w:sz w:val="20"/>
                      </w:rPr>
                    </w:pPr>
                    <w:r>
                      <w:rPr>
                        <w:bCs/>
                        <w:sz w:val="20"/>
                      </w:rPr>
                      <w:t>Nemedikamentiniam gydymui siųstų sportininkų ištyrimas:</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4.4.1.1.</w:t>
                    </w:r>
                  </w:p>
                </w:tc>
                <w:tc>
                  <w:tcPr>
                    <w:tcW w:w="7762" w:type="dxa"/>
                    <w:tcBorders>
                      <w:top w:val="nil"/>
                      <w:left w:val="single" w:sz="4" w:space="0" w:color="auto"/>
                      <w:bottom w:val="nil"/>
                    </w:tcBorders>
                    <w:shd w:val="clear" w:color="auto" w:fill="auto"/>
                  </w:tcPr>
                  <w:p>
                    <w:pPr>
                      <w:rPr>
                        <w:bCs/>
                        <w:sz w:val="20"/>
                      </w:rPr>
                    </w:pPr>
                    <w:r>
                      <w:rPr>
                        <w:bCs/>
                        <w:sz w:val="20"/>
                      </w:rPr>
                      <w:t>sąnarių goniometrija;</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4.4.1.2.</w:t>
                    </w:r>
                  </w:p>
                </w:tc>
                <w:tc>
                  <w:tcPr>
                    <w:tcW w:w="7762" w:type="dxa"/>
                    <w:tcBorders>
                      <w:top w:val="nil"/>
                      <w:left w:val="single" w:sz="4" w:space="0" w:color="auto"/>
                      <w:bottom w:val="nil"/>
                    </w:tcBorders>
                    <w:shd w:val="clear" w:color="auto" w:fill="auto"/>
                  </w:tcPr>
                  <w:p>
                    <w:pPr>
                      <w:rPr>
                        <w:bCs/>
                        <w:sz w:val="20"/>
                      </w:rPr>
                    </w:pPr>
                    <w:r>
                      <w:rPr>
                        <w:bCs/>
                        <w:sz w:val="20"/>
                      </w:rPr>
                      <w:t>pėdos skliautų ištyrimas ir įvertinimas;</w:t>
                    </w:r>
                  </w:p>
                </w:tc>
              </w:tr>
              <w:tr>
                <w:tblPrEx>
                  <w:tblBorders>
                    <w:insideH w:val="none" w:sz="0" w:space="0" w:color="auto"/>
                    <w:insideV w:val="none" w:sz="0" w:space="0" w:color="auto"/>
                  </w:tblBorders>
                </w:tblPrEx>
                <w:trPr>
                  <w:trHeight w:val="120"/>
                </w:trPr>
                <w:tc>
                  <w:tcPr>
                    <w:tcW w:w="1308" w:type="dxa"/>
                    <w:tcBorders>
                      <w:right w:val="single" w:sz="4" w:space="0" w:color="auto"/>
                    </w:tcBorders>
                    <w:shd w:val="clear" w:color="auto" w:fill="auto"/>
                  </w:tcPr>
                  <w:p>
                    <w:pPr>
                      <w:rPr>
                        <w:bCs/>
                        <w:sz w:val="20"/>
                      </w:rPr>
                    </w:pPr>
                    <w:r>
                      <w:rPr>
                        <w:bCs/>
                        <w:sz w:val="20"/>
                      </w:rPr>
                      <w:t>4.4.1.3.</w:t>
                    </w:r>
                  </w:p>
                </w:tc>
                <w:tc>
                  <w:tcPr>
                    <w:tcW w:w="7762" w:type="dxa"/>
                    <w:tcBorders>
                      <w:top w:val="nil"/>
                      <w:left w:val="single" w:sz="4" w:space="0" w:color="auto"/>
                      <w:bottom w:val="nil"/>
                    </w:tcBorders>
                    <w:shd w:val="clear" w:color="auto" w:fill="auto"/>
                  </w:tcPr>
                  <w:p>
                    <w:pPr>
                      <w:rPr>
                        <w:bCs/>
                        <w:sz w:val="20"/>
                      </w:rPr>
                    </w:pPr>
                    <w:r>
                      <w:rPr>
                        <w:bCs/>
                        <w:sz w:val="20"/>
                      </w:rPr>
                      <w:t>elektrodiagnostika;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4.4.1.4.</w:t>
                    </w:r>
                  </w:p>
                </w:tc>
                <w:tc>
                  <w:tcPr>
                    <w:tcW w:w="7762" w:type="dxa"/>
                    <w:tcBorders>
                      <w:top w:val="nil"/>
                      <w:left w:val="single" w:sz="4" w:space="0" w:color="auto"/>
                      <w:bottom w:val="nil"/>
                    </w:tcBorders>
                    <w:shd w:val="clear" w:color="auto" w:fill="auto"/>
                  </w:tcPr>
                  <w:p>
                    <w:pPr>
                      <w:rPr>
                        <w:bCs/>
                        <w:sz w:val="20"/>
                      </w:rPr>
                    </w:pPr>
                    <w:r>
                      <w:rPr>
                        <w:bCs/>
                        <w:sz w:val="20"/>
                      </w:rPr>
                      <w:t>raumenų jėgos, ištvermės, galūnių apimties ir ilgio matavimai;</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4.4.1.5.</w:t>
                    </w:r>
                  </w:p>
                </w:tc>
                <w:tc>
                  <w:tcPr>
                    <w:tcW w:w="7762" w:type="dxa"/>
                    <w:tcBorders>
                      <w:top w:val="nil"/>
                      <w:left w:val="single" w:sz="4" w:space="0" w:color="auto"/>
                      <w:bottom w:val="nil"/>
                    </w:tcBorders>
                    <w:shd w:val="clear" w:color="auto" w:fill="auto"/>
                  </w:tcPr>
                  <w:p>
                    <w:pPr>
                      <w:rPr>
                        <w:bCs/>
                        <w:sz w:val="20"/>
                      </w:rPr>
                    </w:pPr>
                    <w:r>
                      <w:rPr>
                        <w:bCs/>
                        <w:sz w:val="20"/>
                      </w:rPr>
                      <w:t>įvairių organų ir sistemų funkcijų testavimas;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4.4.1.6.</w:t>
                    </w:r>
                  </w:p>
                </w:tc>
                <w:tc>
                  <w:tcPr>
                    <w:tcW w:w="7762" w:type="dxa"/>
                    <w:tcBorders>
                      <w:top w:val="nil"/>
                      <w:left w:val="single" w:sz="4" w:space="0" w:color="auto"/>
                      <w:bottom w:val="nil"/>
                    </w:tcBorders>
                    <w:shd w:val="clear" w:color="auto" w:fill="auto"/>
                  </w:tcPr>
                  <w:p>
                    <w:pPr>
                      <w:rPr>
                        <w:bCs/>
                        <w:sz w:val="20"/>
                      </w:rPr>
                    </w:pPr>
                    <w:r>
                      <w:rPr>
                        <w:bCs/>
                        <w:sz w:val="20"/>
                      </w:rPr>
                      <w:t>rentgenologinių, laboratorinių tyrimų, EKG, sonoskopijų paskyrimas;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4.4.1.7.</w:t>
                    </w:r>
                  </w:p>
                </w:tc>
                <w:tc>
                  <w:tcPr>
                    <w:tcW w:w="7762" w:type="dxa"/>
                    <w:tcBorders>
                      <w:top w:val="nil"/>
                      <w:left w:val="single" w:sz="4" w:space="0" w:color="auto"/>
                      <w:bottom w:val="nil"/>
                    </w:tcBorders>
                    <w:shd w:val="clear" w:color="auto" w:fill="auto"/>
                  </w:tcPr>
                  <w:p>
                    <w:pPr>
                      <w:rPr>
                        <w:bCs/>
                        <w:sz w:val="20"/>
                      </w:rPr>
                    </w:pPr>
                    <w:r>
                      <w:rPr>
                        <w:bCs/>
                        <w:sz w:val="20"/>
                      </w:rPr>
                      <w:t>receptų išrašymas, medikamentų 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w:t>
                    </w:r>
                  </w:p>
                </w:tc>
                <w:tc>
                  <w:tcPr>
                    <w:tcW w:w="7762" w:type="dxa"/>
                    <w:tcBorders>
                      <w:top w:val="nil"/>
                      <w:left w:val="single" w:sz="4" w:space="0" w:color="auto"/>
                      <w:bottom w:val="nil"/>
                    </w:tcBorders>
                    <w:shd w:val="clear" w:color="auto" w:fill="auto"/>
                  </w:tcPr>
                  <w:p>
                    <w:pPr>
                      <w:rPr>
                        <w:bCs/>
                        <w:sz w:val="20"/>
                      </w:rPr>
                    </w:pPr>
                    <w:r>
                      <w:rPr>
                        <w:bCs/>
                        <w:sz w:val="20"/>
                      </w:rPr>
                      <w:t>Nemedikamentinio gydymo ir nemedikamentinės atsigavimo programos dalies sudarymas:</w:t>
                    </w:r>
                  </w:p>
                </w:tc>
              </w:tr>
              <w:tr>
                <w:tblPrEx>
                  <w:tblBorders>
                    <w:insideH w:val="none" w:sz="0" w:space="0" w:color="auto"/>
                    <w:insideV w:val="none" w:sz="0" w:space="0" w:color="auto"/>
                  </w:tblBorders>
                </w:tblPrEx>
                <w:trPr>
                  <w:trHeight w:val="240"/>
                </w:trPr>
                <w:tc>
                  <w:tcPr>
                    <w:tcW w:w="1308" w:type="dxa"/>
                    <w:tcBorders>
                      <w:right w:val="single" w:sz="4" w:space="0" w:color="auto"/>
                    </w:tcBorders>
                    <w:shd w:val="clear" w:color="auto" w:fill="auto"/>
                  </w:tcPr>
                  <w:p>
                    <w:pPr>
                      <w:rPr>
                        <w:bCs/>
                        <w:sz w:val="20"/>
                      </w:rPr>
                    </w:pPr>
                    <w:r>
                      <w:rPr>
                        <w:bCs/>
                        <w:sz w:val="20"/>
                      </w:rPr>
                      <w:t>4.4.2.1.</w:t>
                    </w:r>
                  </w:p>
                </w:tc>
                <w:tc>
                  <w:tcPr>
                    <w:tcW w:w="7762" w:type="dxa"/>
                    <w:tcBorders>
                      <w:top w:val="nil"/>
                      <w:left w:val="single" w:sz="4" w:space="0" w:color="auto"/>
                      <w:bottom w:val="nil"/>
                    </w:tcBorders>
                    <w:shd w:val="clear" w:color="auto" w:fill="auto"/>
                  </w:tcPr>
                  <w:p>
                    <w:pPr>
                      <w:rPr>
                        <w:bCs/>
                        <w:sz w:val="20"/>
                      </w:rPr>
                    </w:pPr>
                    <w:r>
                      <w:rPr>
                        <w:bCs/>
                        <w:sz w:val="20"/>
                        <w:lang w:val="pt-BR"/>
                      </w:rPr>
                      <w:t>kineziterapijos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4.4.2.2.</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fizioterapijos procedūrų paskyrimas;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4.4.2.3.</w:t>
                    </w:r>
                  </w:p>
                </w:tc>
                <w:tc>
                  <w:tcPr>
                    <w:tcW w:w="7762" w:type="dxa"/>
                    <w:tcBorders>
                      <w:top w:val="nil"/>
                      <w:left w:val="single" w:sz="4" w:space="0" w:color="auto"/>
                      <w:bottom w:val="nil"/>
                    </w:tcBorders>
                    <w:shd w:val="clear" w:color="auto" w:fill="auto"/>
                  </w:tcPr>
                  <w:p>
                    <w:pPr>
                      <w:rPr>
                        <w:bCs/>
                        <w:sz w:val="20"/>
                        <w:lang w:val="pt-BR"/>
                      </w:rPr>
                    </w:pPr>
                    <w:r>
                      <w:rPr>
                        <w:bCs/>
                        <w:sz w:val="20"/>
                        <w:lang w:val="pt-BR"/>
                      </w:rPr>
                      <w:t>masažo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Fizinės medicinos ir reabilitacijos gydytojų atliekamos procedūros: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4.4.3.1.</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lazeriu;</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4.4.3.2.</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šalčiu (krioterapija);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griaučių-raumenų stimuliacija.</w:t>
                    </w:r>
                  </w:p>
                </w:tc>
              </w:tr>
              <w:tr>
                <w:tblPrEx>
                  <w:tblBorders>
                    <w:insideH w:val="none" w:sz="0" w:space="0" w:color="auto"/>
                    <w:insideV w:val="none" w:sz="0" w:space="0" w:color="auto"/>
                  </w:tblBorders>
                </w:tblPrEx>
                <w:trPr>
                  <w:trHeight w:val="180"/>
                </w:trPr>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4.5.</w:t>
                    </w:r>
                  </w:p>
                </w:tc>
                <w:tc>
                  <w:tcPr>
                    <w:tcW w:w="7762" w:type="dxa"/>
                    <w:tcBorders>
                      <w:top w:val="single" w:sz="4" w:space="0" w:color="auto"/>
                      <w:left w:val="single" w:sz="4" w:space="0" w:color="auto"/>
                      <w:bottom w:val="single" w:sz="4" w:space="0" w:color="auto"/>
                    </w:tcBorders>
                    <w:shd w:val="clear" w:color="auto" w:fill="auto"/>
                  </w:tcPr>
                  <w:p>
                    <w:pPr>
                      <w:widowControl w:val="0"/>
                      <w:rPr>
                        <w:bCs/>
                        <w:sz w:val="20"/>
                      </w:rPr>
                    </w:pPr>
                    <w:r>
                      <w:rPr>
                        <w:bCs/>
                        <w:sz w:val="20"/>
                      </w:rPr>
                      <w:t xml:space="preserve">KINEZITERAPEUTO </w:t>
                    </w:r>
                  </w:p>
                </w:tc>
              </w:tr>
              <w:tr>
                <w:tblPrEx>
                  <w:tblBorders>
                    <w:insideH w:val="none" w:sz="0" w:space="0" w:color="auto"/>
                    <w:insideV w:val="none" w:sz="0" w:space="0" w:color="auto"/>
                  </w:tblBorders>
                </w:tblPrEx>
                <w:trPr>
                  <w:trHeight w:val="70"/>
                </w:trPr>
                <w:tc>
                  <w:tcPr>
                    <w:tcW w:w="1308" w:type="dxa"/>
                    <w:tcBorders>
                      <w:top w:val="single" w:sz="4" w:space="0" w:color="auto"/>
                      <w:right w:val="single" w:sz="4" w:space="0" w:color="auto"/>
                    </w:tcBorders>
                    <w:shd w:val="clear" w:color="auto" w:fill="auto"/>
                  </w:tcPr>
                  <w:p>
                    <w:pPr>
                      <w:widowControl w:val="0"/>
                      <w:rPr>
                        <w:bCs/>
                        <w:sz w:val="20"/>
                      </w:rPr>
                    </w:pPr>
                    <w:r>
                      <w:rPr>
                        <w:bCs/>
                        <w:sz w:val="20"/>
                      </w:rPr>
                      <w:t>4.5.1.</w:t>
                    </w:r>
                  </w:p>
                </w:tc>
                <w:tc>
                  <w:tcPr>
                    <w:tcW w:w="7762" w:type="dxa"/>
                    <w:tcBorders>
                      <w:top w:val="single" w:sz="4" w:space="0" w:color="auto"/>
                      <w:left w:val="single" w:sz="4" w:space="0" w:color="auto"/>
                      <w:bottom w:val="nil"/>
                    </w:tcBorders>
                    <w:shd w:val="clear" w:color="auto" w:fill="auto"/>
                  </w:tcPr>
                  <w:p>
                    <w:pPr>
                      <w:widowControl w:val="0"/>
                      <w:rPr>
                        <w:bCs/>
                        <w:sz w:val="20"/>
                      </w:rPr>
                    </w:pPr>
                    <w:r>
                      <w:rPr>
                        <w:bCs/>
                        <w:sz w:val="20"/>
                      </w:rPr>
                      <w:t>Kineziterapijos procedūros (grupinės, individualios):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4.5.1.1.</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vidaus ligomis;</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widowControl w:val="0"/>
                      <w:rPr>
                        <w:bCs/>
                        <w:sz w:val="20"/>
                      </w:rPr>
                    </w:pPr>
                    <w:r>
                      <w:rPr>
                        <w:bCs/>
                        <w:sz w:val="20"/>
                      </w:rPr>
                      <w:t>4.5.1.2.</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neurologinėmis ligomis;</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widowControl w:val="0"/>
                      <w:rPr>
                        <w:bCs/>
                        <w:sz w:val="20"/>
                      </w:rPr>
                    </w:pPr>
                    <w:r>
                      <w:rPr>
                        <w:bCs/>
                        <w:sz w:val="20"/>
                      </w:rPr>
                      <w:t>4.5.1.3.</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ortopedinėmis ligomis;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4.5.1.4.</w:t>
                    </w:r>
                  </w:p>
                </w:tc>
                <w:tc>
                  <w:tcPr>
                    <w:tcW w:w="7762" w:type="dxa"/>
                    <w:tcBorders>
                      <w:top w:val="nil"/>
                      <w:left w:val="single" w:sz="4" w:space="0" w:color="auto"/>
                      <w:bottom w:val="nil"/>
                    </w:tcBorders>
                    <w:shd w:val="clear" w:color="auto" w:fill="auto"/>
                  </w:tcPr>
                  <w:p>
                    <w:pPr>
                      <w:widowControl w:val="0"/>
                      <w:rPr>
                        <w:bCs/>
                        <w:sz w:val="20"/>
                      </w:rPr>
                    </w:pPr>
                    <w:r>
                      <w:rPr>
                        <w:bCs/>
                        <w:sz w:val="20"/>
                        <w:lang w:val="pl-PL"/>
                      </w:rPr>
                      <w:t>kineziterapija po traumų;</w:t>
                    </w:r>
                  </w:p>
                </w:tc>
              </w:tr>
              <w:tr>
                <w:tblPrEx>
                  <w:tblBorders>
                    <w:insideH w:val="none" w:sz="0" w:space="0" w:color="auto"/>
                    <w:insideV w:val="none" w:sz="0" w:space="0" w:color="auto"/>
                  </w:tblBorders>
                </w:tblPrEx>
                <w:trPr>
                  <w:trHeight w:val="149"/>
                </w:trPr>
                <w:tc>
                  <w:tcPr>
                    <w:tcW w:w="1308" w:type="dxa"/>
                    <w:tcBorders>
                      <w:right w:val="single" w:sz="4" w:space="0" w:color="auto"/>
                    </w:tcBorders>
                    <w:shd w:val="clear" w:color="auto" w:fill="auto"/>
                  </w:tcPr>
                  <w:p>
                    <w:pPr>
                      <w:widowControl w:val="0"/>
                      <w:rPr>
                        <w:bCs/>
                        <w:sz w:val="20"/>
                      </w:rPr>
                    </w:pPr>
                    <w:r>
                      <w:rPr>
                        <w:bCs/>
                        <w:sz w:val="20"/>
                      </w:rPr>
                      <w:t>4.5.2.</w:t>
                    </w:r>
                  </w:p>
                </w:tc>
                <w:tc>
                  <w:tcPr>
                    <w:tcW w:w="7762" w:type="dxa"/>
                    <w:tcBorders>
                      <w:top w:val="nil"/>
                      <w:left w:val="single" w:sz="4" w:space="0" w:color="auto"/>
                      <w:bottom w:val="single" w:sz="4" w:space="0" w:color="auto"/>
                    </w:tcBorders>
                    <w:shd w:val="clear" w:color="auto" w:fill="auto"/>
                  </w:tcPr>
                  <w:p>
                    <w:pPr>
                      <w:widowControl w:val="0"/>
                      <w:rPr>
                        <w:rFonts w:ascii="TimesLT" w:hAnsi="TimesLT"/>
                        <w:bCs/>
                        <w:sz w:val="20"/>
                        <w:lang w:val="pl-PL"/>
                      </w:rPr>
                    </w:pPr>
                    <w:r>
                      <w:rPr>
                        <w:rFonts w:ascii="TimesLT" w:hAnsi="TimesLT"/>
                        <w:bCs/>
                        <w:sz w:val="20"/>
                        <w:lang w:val="pl-PL"/>
                      </w:rPr>
                      <w:t>Mechanoterapija.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4.6.</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FIZIOTERAPIJOS </w:t>
                    </w:r>
                  </w:p>
                </w:tc>
              </w:tr>
              <w:tr>
                <w:tblPrEx>
                  <w:tblBorders>
                    <w:insideH w:val="none" w:sz="0" w:space="0" w:color="auto"/>
                    <w:insideV w:val="none" w:sz="0" w:space="0" w:color="auto"/>
                  </w:tblBorders>
                </w:tblPrEx>
                <w:trPr>
                  <w:trHeight w:val="210"/>
                </w:trPr>
                <w:tc>
                  <w:tcPr>
                    <w:tcW w:w="1308" w:type="dxa"/>
                    <w:tcBorders>
                      <w:right w:val="single" w:sz="4" w:space="0" w:color="auto"/>
                    </w:tcBorders>
                    <w:shd w:val="clear" w:color="auto" w:fill="auto"/>
                  </w:tcPr>
                  <w:p>
                    <w:pPr>
                      <w:rPr>
                        <w:bCs/>
                        <w:sz w:val="20"/>
                      </w:rPr>
                    </w:pPr>
                    <w:r>
                      <w:rPr>
                        <w:bCs/>
                        <w:sz w:val="20"/>
                      </w:rPr>
                      <w:t>4.6.1.</w:t>
                    </w:r>
                  </w:p>
                </w:tc>
                <w:tc>
                  <w:tcPr>
                    <w:tcW w:w="7762" w:type="dxa"/>
                    <w:tcBorders>
                      <w:top w:val="single" w:sz="4" w:space="0" w:color="auto"/>
                      <w:left w:val="single" w:sz="4" w:space="0" w:color="auto"/>
                      <w:bottom w:val="nil"/>
                    </w:tcBorders>
                    <w:shd w:val="clear" w:color="auto" w:fill="auto"/>
                  </w:tcPr>
                  <w:p>
                    <w:pPr>
                      <w:rPr>
                        <w:bCs/>
                        <w:sz w:val="20"/>
                      </w:rPr>
                    </w:pPr>
                    <w:r>
                      <w:rPr>
                        <w:bCs/>
                        <w:sz w:val="20"/>
                        <w:lang w:val="pt-BR"/>
                      </w:rPr>
                      <w:t>Ultragarso (su medikamentais ir be jų ) terapija.</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4.6.2.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Amplipulsterapija (su medikamentais ir be jų).</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4.6.3.</w:t>
                    </w:r>
                  </w:p>
                </w:tc>
                <w:tc>
                  <w:tcPr>
                    <w:tcW w:w="7762" w:type="dxa"/>
                    <w:tcBorders>
                      <w:top w:val="nil"/>
                      <w:left w:val="single" w:sz="4" w:space="0" w:color="auto"/>
                      <w:bottom w:val="nil"/>
                    </w:tcBorders>
                    <w:shd w:val="clear" w:color="auto" w:fill="auto"/>
                  </w:tcPr>
                  <w:p>
                    <w:pPr>
                      <w:rPr>
                        <w:bCs/>
                        <w:sz w:val="20"/>
                        <w:lang w:val="pt-BR"/>
                      </w:rPr>
                    </w:pPr>
                    <w:r>
                      <w:rPr>
                        <w:bCs/>
                        <w:sz w:val="20"/>
                        <w:lang w:val="pt-BR"/>
                      </w:rPr>
                      <w:t>Elektroforezė.</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4.6.4.</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elektrostimuliavimas..</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Ultravioletinių spindulių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bendra;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lokali;</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4.6.6.</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Ultraaukšto dažnio (UAD) terapija.</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4.6.7.</w:t>
                    </w:r>
                  </w:p>
                </w:tc>
                <w:tc>
                  <w:tcPr>
                    <w:tcW w:w="7762" w:type="dxa"/>
                    <w:tcBorders>
                      <w:top w:val="nil"/>
                      <w:left w:val="single" w:sz="4" w:space="0" w:color="auto"/>
                      <w:bottom w:val="nil"/>
                    </w:tcBorders>
                    <w:shd w:val="clear" w:color="auto" w:fill="auto"/>
                  </w:tcPr>
                  <w:p>
                    <w:pPr>
                      <w:rPr>
                        <w:bCs/>
                        <w:sz w:val="20"/>
                        <w:lang w:val="pt-BR"/>
                      </w:rPr>
                    </w:pPr>
                    <w:r>
                      <w:rPr>
                        <w:bCs/>
                        <w:sz w:val="20"/>
                        <w:lang w:val="pt-BR"/>
                      </w:rPr>
                      <w:t xml:space="preserve">Mikrobangų terapija. </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4.6.8.</w:t>
                    </w:r>
                  </w:p>
                </w:tc>
                <w:tc>
                  <w:tcPr>
                    <w:tcW w:w="7762" w:type="dxa"/>
                    <w:tcBorders>
                      <w:top w:val="nil"/>
                      <w:left w:val="single" w:sz="4" w:space="0" w:color="auto"/>
                      <w:bottom w:val="nil"/>
                    </w:tcBorders>
                    <w:shd w:val="clear" w:color="auto" w:fill="auto"/>
                  </w:tcPr>
                  <w:p>
                    <w:pPr>
                      <w:rPr>
                        <w:bCs/>
                        <w:sz w:val="20"/>
                        <w:lang w:val="pt-BR"/>
                      </w:rPr>
                    </w:pPr>
                    <w:r>
                      <w:rPr>
                        <w:bCs/>
                        <w:sz w:val="20"/>
                        <w:lang w:val="pt-BR"/>
                      </w:rPr>
                      <w:t>Interferencinių srovių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4.6.9.</w:t>
                    </w:r>
                  </w:p>
                </w:tc>
                <w:tc>
                  <w:tcPr>
                    <w:tcW w:w="7762" w:type="dxa"/>
                    <w:tcBorders>
                      <w:top w:val="nil"/>
                      <w:left w:val="single" w:sz="4" w:space="0" w:color="auto"/>
                      <w:bottom w:val="nil"/>
                    </w:tcBorders>
                    <w:shd w:val="clear" w:color="auto" w:fill="auto"/>
                  </w:tcPr>
                  <w:p>
                    <w:pPr>
                      <w:rPr>
                        <w:bCs/>
                        <w:sz w:val="20"/>
                        <w:lang w:val="pt-BR"/>
                      </w:rPr>
                    </w:pPr>
                    <w:r>
                      <w:rPr>
                        <w:bCs/>
                        <w:sz w:val="20"/>
                        <w:lang w:val="pt-BR"/>
                      </w:rPr>
                      <w:t>Darsonvalizacija.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Diadinamoterapija.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Veninės kraujotakos stimuliavimo 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4.6.12.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Transkutaninio stimuliavimo 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4.7.</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MASAŽO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w:t>
                    </w:r>
                  </w:p>
                </w:tc>
                <w:tc>
                  <w:tcPr>
                    <w:tcW w:w="7762" w:type="dxa"/>
                    <w:tcBorders>
                      <w:top w:val="single" w:sz="4" w:space="0" w:color="auto"/>
                      <w:left w:val="single" w:sz="4" w:space="0" w:color="auto"/>
                      <w:bottom w:val="nil"/>
                    </w:tcBorders>
                    <w:shd w:val="clear" w:color="auto" w:fill="auto"/>
                  </w:tcPr>
                  <w:p>
                    <w:pPr>
                      <w:rPr>
                        <w:bCs/>
                        <w:sz w:val="20"/>
                      </w:rPr>
                    </w:pPr>
                    <w:r>
                      <w:rPr>
                        <w:bCs/>
                        <w:caps/>
                        <w:sz w:val="20"/>
                      </w:rPr>
                      <w:t>A</w:t>
                    </w:r>
                    <w:r>
                      <w:rPr>
                        <w:bCs/>
                        <w:sz w:val="20"/>
                      </w:rPr>
                      <w:t>tskirų kūno sričių masažas</w:t>
                    </w:r>
                    <w:r>
                      <w:rPr>
                        <w:bCs/>
                        <w:caps/>
                        <w:sz w:val="20"/>
                      </w:rPr>
                      <w:t>:</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4.7.1.1.</w:t>
                    </w:r>
                  </w:p>
                </w:tc>
                <w:tc>
                  <w:tcPr>
                    <w:tcW w:w="7762" w:type="dxa"/>
                    <w:tcBorders>
                      <w:top w:val="nil"/>
                      <w:left w:val="single" w:sz="4" w:space="0" w:color="auto"/>
                      <w:bottom w:val="nil"/>
                    </w:tcBorders>
                    <w:shd w:val="clear" w:color="auto" w:fill="auto"/>
                  </w:tcPr>
                  <w:p>
                    <w:pPr>
                      <w:rPr>
                        <w:bCs/>
                        <w:caps/>
                        <w:sz w:val="20"/>
                      </w:rPr>
                    </w:pPr>
                    <w:r>
                      <w:rPr>
                        <w:bCs/>
                        <w:sz w:val="20"/>
                      </w:rPr>
                      <w:t>galvos;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4.7.1.2.</w:t>
                    </w:r>
                  </w:p>
                </w:tc>
                <w:tc>
                  <w:tcPr>
                    <w:tcW w:w="7762" w:type="dxa"/>
                    <w:tcBorders>
                      <w:top w:val="nil"/>
                      <w:left w:val="single" w:sz="4" w:space="0" w:color="auto"/>
                      <w:bottom w:val="nil"/>
                    </w:tcBorders>
                    <w:shd w:val="clear" w:color="auto" w:fill="auto"/>
                  </w:tcPr>
                  <w:p>
                    <w:pPr>
                      <w:rPr>
                        <w:bCs/>
                        <w:sz w:val="20"/>
                      </w:rPr>
                    </w:pPr>
                    <w:r>
                      <w:rPr>
                        <w:bCs/>
                        <w:sz w:val="20"/>
                      </w:rPr>
                      <w:t>veido;</w:t>
                    </w:r>
                  </w:p>
                </w:tc>
              </w:tr>
              <w:tr>
                <w:tblPrEx>
                  <w:tblBorders>
                    <w:insideH w:val="none" w:sz="0" w:space="0" w:color="auto"/>
                    <w:insideV w:val="none" w:sz="0" w:space="0" w:color="auto"/>
                  </w:tblBorders>
                </w:tblPrEx>
                <w:trPr>
                  <w:trHeight w:val="300"/>
                </w:trPr>
                <w:tc>
                  <w:tcPr>
                    <w:tcW w:w="1308" w:type="dxa"/>
                    <w:tcBorders>
                      <w:right w:val="single" w:sz="4" w:space="0" w:color="auto"/>
                    </w:tcBorders>
                    <w:shd w:val="clear" w:color="auto" w:fill="auto"/>
                  </w:tcPr>
                  <w:p>
                    <w:pPr>
                      <w:rPr>
                        <w:bCs/>
                        <w:sz w:val="20"/>
                      </w:rPr>
                    </w:pPr>
                    <w:r>
                      <w:rPr>
                        <w:bCs/>
                        <w:sz w:val="20"/>
                      </w:rPr>
                      <w:t>4.7.1.3.</w:t>
                    </w:r>
                  </w:p>
                </w:tc>
                <w:tc>
                  <w:tcPr>
                    <w:tcW w:w="7762" w:type="dxa"/>
                    <w:tcBorders>
                      <w:top w:val="nil"/>
                      <w:left w:val="single" w:sz="4" w:space="0" w:color="auto"/>
                      <w:bottom w:val="nil"/>
                    </w:tcBorders>
                    <w:shd w:val="clear" w:color="auto" w:fill="auto"/>
                  </w:tcPr>
                  <w:p>
                    <w:pPr>
                      <w:rPr>
                        <w:bCs/>
                        <w:sz w:val="20"/>
                      </w:rPr>
                    </w:pPr>
                    <w:r>
                      <w:rPr>
                        <w:bCs/>
                        <w:sz w:val="20"/>
                      </w:rPr>
                      <w:t>kaklo srities;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4.7.1.4.</w:t>
                    </w:r>
                  </w:p>
                </w:tc>
                <w:tc>
                  <w:tcPr>
                    <w:tcW w:w="7762" w:type="dxa"/>
                    <w:tcBorders>
                      <w:top w:val="nil"/>
                      <w:left w:val="single" w:sz="4" w:space="0" w:color="auto"/>
                      <w:bottom w:val="nil"/>
                    </w:tcBorders>
                    <w:shd w:val="clear" w:color="auto" w:fill="auto"/>
                  </w:tcPr>
                  <w:p>
                    <w:pPr>
                      <w:rPr>
                        <w:bCs/>
                        <w:sz w:val="20"/>
                      </w:rPr>
                    </w:pPr>
                    <w:r>
                      <w:rPr>
                        <w:bCs/>
                        <w:sz w:val="20"/>
                      </w:rPr>
                      <w:t>viršutinės galūnės, peties ir mentės srities arba visų viršutinės galūnės sąnarių;</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4.7.1.5.</w:t>
                    </w:r>
                  </w:p>
                </w:tc>
                <w:tc>
                  <w:tcPr>
                    <w:tcW w:w="7762" w:type="dxa"/>
                    <w:tcBorders>
                      <w:top w:val="nil"/>
                      <w:left w:val="single" w:sz="4" w:space="0" w:color="auto"/>
                      <w:bottom w:val="nil"/>
                    </w:tcBorders>
                    <w:shd w:val="clear" w:color="auto" w:fill="auto"/>
                  </w:tcPr>
                  <w:p>
                    <w:pPr>
                      <w:rPr>
                        <w:bCs/>
                        <w:sz w:val="20"/>
                      </w:rPr>
                    </w:pPr>
                    <w:r>
                      <w:rPr>
                        <w:bCs/>
                        <w:sz w:val="20"/>
                      </w:rPr>
                      <w:t>alkūnės sąnario;</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4.7.1.6.</w:t>
                    </w:r>
                  </w:p>
                </w:tc>
                <w:tc>
                  <w:tcPr>
                    <w:tcW w:w="7762" w:type="dxa"/>
                    <w:tcBorders>
                      <w:top w:val="nil"/>
                      <w:left w:val="single" w:sz="4" w:space="0" w:color="auto"/>
                      <w:bottom w:val="nil"/>
                    </w:tcBorders>
                    <w:shd w:val="clear" w:color="auto" w:fill="auto"/>
                  </w:tcPr>
                  <w:p>
                    <w:pPr>
                      <w:rPr>
                        <w:bCs/>
                        <w:sz w:val="20"/>
                      </w:rPr>
                    </w:pPr>
                    <w:r>
                      <w:rPr>
                        <w:bCs/>
                        <w:sz w:val="20"/>
                      </w:rPr>
                      <w:t>riešo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4.7.1.7.</w:t>
                    </w:r>
                  </w:p>
                </w:tc>
                <w:tc>
                  <w:tcPr>
                    <w:tcW w:w="7762" w:type="dxa"/>
                    <w:tcBorders>
                      <w:top w:val="nil"/>
                      <w:left w:val="single" w:sz="4" w:space="0" w:color="auto"/>
                      <w:bottom w:val="nil"/>
                    </w:tcBorders>
                    <w:shd w:val="clear" w:color="auto" w:fill="auto"/>
                  </w:tcPr>
                  <w:p>
                    <w:pPr>
                      <w:rPr>
                        <w:bCs/>
                        <w:sz w:val="20"/>
                      </w:rPr>
                    </w:pPr>
                    <w:r>
                      <w:rPr>
                        <w:bCs/>
                        <w:sz w:val="20"/>
                      </w:rPr>
                      <w:t>plaštakos ir dilbio;</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4.7.1.8.</w:t>
                    </w:r>
                  </w:p>
                </w:tc>
                <w:tc>
                  <w:tcPr>
                    <w:tcW w:w="7762" w:type="dxa"/>
                    <w:tcBorders>
                      <w:top w:val="nil"/>
                      <w:left w:val="single" w:sz="4" w:space="0" w:color="auto"/>
                      <w:bottom w:val="nil"/>
                    </w:tcBorders>
                    <w:shd w:val="clear" w:color="auto" w:fill="auto"/>
                  </w:tcPr>
                  <w:p>
                    <w:pPr>
                      <w:rPr>
                        <w:bCs/>
                        <w:sz w:val="20"/>
                      </w:rPr>
                    </w:pPr>
                    <w:r>
                      <w:rPr>
                        <w:bCs/>
                        <w:sz w:val="20"/>
                        <w:lang w:val="pt-BR"/>
                      </w:rPr>
                      <w:t>krūtinės ląstos (iš priekio ir nugaros);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w:t>
                    </w:r>
                  </w:p>
                </w:tc>
              </w:tr>
              <w:tr>
                <w:tblPrEx>
                  <w:tblBorders>
                    <w:insideH w:val="none" w:sz="0" w:space="0" w:color="auto"/>
                    <w:insideV w:val="none" w:sz="0" w:space="0" w:color="auto"/>
                  </w:tblBorders>
                </w:tblPrEx>
                <w:trPr>
                  <w:trHeight w:val="112"/>
                </w:trPr>
                <w:tc>
                  <w:tcPr>
                    <w:tcW w:w="1308" w:type="dxa"/>
                    <w:tcBorders>
                      <w:right w:val="single" w:sz="4" w:space="0" w:color="auto"/>
                    </w:tcBorders>
                    <w:shd w:val="clear" w:color="auto" w:fill="auto"/>
                  </w:tcPr>
                  <w:p>
                    <w:pPr>
                      <w:rPr>
                        <w:bCs/>
                        <w:sz w:val="20"/>
                      </w:rPr>
                    </w:pPr>
                    <w:r>
                      <w:rPr>
                        <w:bCs/>
                        <w:sz w:val="20"/>
                      </w:rPr>
                      <w:t>4.7.1.10.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pilvo raumenų;</w:t>
                    </w:r>
                  </w:p>
                </w:tc>
              </w:tr>
              <w:tr>
                <w:tblPrEx>
                  <w:tblBorders>
                    <w:insideH w:val="none" w:sz="0" w:space="0" w:color="auto"/>
                    <w:insideV w:val="none" w:sz="0" w:space="0" w:color="auto"/>
                  </w:tblBorders>
                </w:tblPrEx>
                <w:trPr>
                  <w:trHeight w:val="93"/>
                </w:trPr>
                <w:tc>
                  <w:tcPr>
                    <w:tcW w:w="1308" w:type="dxa"/>
                    <w:tcBorders>
                      <w:right w:val="single" w:sz="4" w:space="0" w:color="auto"/>
                    </w:tcBorders>
                    <w:shd w:val="clear" w:color="auto" w:fill="auto"/>
                  </w:tcPr>
                  <w:p>
                    <w:pPr>
                      <w:rPr>
                        <w:bCs/>
                        <w:sz w:val="20"/>
                      </w:rPr>
                    </w:pPr>
                    <w:r>
                      <w:rPr>
                        <w:bCs/>
                        <w:sz w:val="20"/>
                      </w:rPr>
                      <w:t>4.7.1.11.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juosmens ir kryžkaulio srities segmentinis;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 ir juosmens srities;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segmentinis kaklo, stuburo ir krūtinės srities;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4.7.1.14.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srities;</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4.7.1.15.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apatinių galūnių;</w:t>
                    </w:r>
                  </w:p>
                </w:tc>
              </w:tr>
              <w:tr>
                <w:tblPrEx>
                  <w:tblBorders>
                    <w:insideH w:val="none" w:sz="0" w:space="0" w:color="auto"/>
                    <w:insideV w:val="none" w:sz="0" w:space="0" w:color="auto"/>
                  </w:tblBorders>
                </w:tblPrEx>
                <w:trPr>
                  <w:trHeight w:val="224"/>
                </w:trPr>
                <w:tc>
                  <w:tcPr>
                    <w:tcW w:w="1308" w:type="dxa"/>
                    <w:tcBorders>
                      <w:right w:val="single" w:sz="4" w:space="0" w:color="auto"/>
                    </w:tcBorders>
                    <w:shd w:val="clear" w:color="auto" w:fill="auto"/>
                  </w:tcPr>
                  <w:p>
                    <w:pPr>
                      <w:rPr>
                        <w:bCs/>
                        <w:sz w:val="20"/>
                      </w:rPr>
                    </w:pPr>
                    <w:r>
                      <w:rPr>
                        <w:bCs/>
                        <w:sz w:val="20"/>
                      </w:rPr>
                      <w:t>4.7.1.16.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klubo sąnario;</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4.7.1.17.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kelio sąnario;</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čiurnos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pėdos ir blauzdos.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4.7.2.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Sportinis masažas.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4.8.</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OFTALMOLOGO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4.8.1.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4.8.2.</w:t>
                    </w:r>
                  </w:p>
                </w:tc>
                <w:tc>
                  <w:tcPr>
                    <w:tcW w:w="7762" w:type="dxa"/>
                    <w:tcBorders>
                      <w:top w:val="nil"/>
                      <w:left w:val="single" w:sz="4" w:space="0" w:color="auto"/>
                      <w:bottom w:val="nil"/>
                    </w:tcBorders>
                    <w:shd w:val="clear" w:color="auto" w:fill="auto"/>
                  </w:tcPr>
                  <w:p>
                    <w:pPr>
                      <w:rPr>
                        <w:bCs/>
                        <w:sz w:val="20"/>
                      </w:rPr>
                    </w:pPr>
                    <w:r>
                      <w:rPr>
                        <w:bCs/>
                        <w:sz w:val="20"/>
                      </w:rPr>
                      <w:t>Ligonio apžiūra, regos organų būklės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4.8.3.</w:t>
                    </w:r>
                  </w:p>
                </w:tc>
                <w:tc>
                  <w:tcPr>
                    <w:tcW w:w="7762" w:type="dxa"/>
                    <w:tcBorders>
                      <w:top w:val="nil"/>
                      <w:left w:val="single" w:sz="4" w:space="0" w:color="auto"/>
                      <w:bottom w:val="nil"/>
                    </w:tcBorders>
                    <w:shd w:val="clear" w:color="auto" w:fill="auto"/>
                  </w:tcPr>
                  <w:p>
                    <w:pPr>
                      <w:rPr>
                        <w:bCs/>
                        <w:sz w:val="20"/>
                      </w:rPr>
                    </w:pPr>
                    <w:r>
                      <w:rPr>
                        <w:bCs/>
                        <w:sz w:val="20"/>
                      </w:rPr>
                      <w:t>Papildomų ištyrimų atlikimas.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4.8.4.</w:t>
                    </w:r>
                  </w:p>
                </w:tc>
                <w:tc>
                  <w:tcPr>
                    <w:tcW w:w="7762" w:type="dxa"/>
                    <w:tcBorders>
                      <w:top w:val="nil"/>
                      <w:left w:val="single" w:sz="4" w:space="0" w:color="auto"/>
                      <w:bottom w:val="nil"/>
                    </w:tcBorders>
                    <w:shd w:val="clear" w:color="auto" w:fill="auto"/>
                  </w:tcPr>
                  <w:p>
                    <w:pPr>
                      <w:rPr>
                        <w:bCs/>
                        <w:sz w:val="20"/>
                      </w:rPr>
                    </w:pPr>
                    <w:r>
                      <w:rPr>
                        <w:bCs/>
                        <w:sz w:val="20"/>
                      </w:rPr>
                      <w:t>Rekomendacijų dėl galimybės treniruotis pagal pasirinktą sporto šaką teikimas.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4.8.5.</w:t>
                    </w:r>
                  </w:p>
                </w:tc>
                <w:tc>
                  <w:tcPr>
                    <w:tcW w:w="7762" w:type="dxa"/>
                    <w:tcBorders>
                      <w:top w:val="nil"/>
                      <w:left w:val="single" w:sz="4" w:space="0" w:color="auto"/>
                      <w:bottom w:val="nil"/>
                    </w:tcBorders>
                    <w:shd w:val="clear" w:color="auto" w:fill="auto"/>
                  </w:tcPr>
                  <w:p>
                    <w:pPr>
                      <w:rPr>
                        <w:bCs/>
                        <w:sz w:val="20"/>
                      </w:rPr>
                    </w:pPr>
                    <w:r>
                      <w:rPr>
                        <w:bCs/>
                        <w:sz w:val="20"/>
                        <w:lang w:val="pt-BR"/>
                      </w:rPr>
                      <w:t>Gydymo paskyrimas, receptų išrašymas, sekimas ir kontrolė.</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Rekomendacijos sveikatos išsaugojimo ir stiprinimo klausimais.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Būtinų veiksmų, reikalingų paciento sveikatai gerinti, vykdymas.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Profilaktinė regos organų apžiūra: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4.8.8.1.</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regėjimo aštrumo ištyrimas;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akinių parinkimas;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refrakcijos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spalvų jutimo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apžiūra plyšine lempa su akių dugno tyrimu „Volk linze”;</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padėties akiduobėje bei jų judrumo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akipločio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akispūdžio tyrimas;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4.8.9</w:t>
                    </w:r>
                  </w:p>
                </w:tc>
                <w:tc>
                  <w:tcPr>
                    <w:tcW w:w="7762" w:type="dxa"/>
                    <w:tcBorders>
                      <w:top w:val="nil"/>
                      <w:left w:val="single" w:sz="4" w:space="0" w:color="auto"/>
                      <w:bottom w:val="nil"/>
                    </w:tcBorders>
                    <w:shd w:val="clear" w:color="auto" w:fill="auto"/>
                  </w:tcPr>
                  <w:p>
                    <w:pPr>
                      <w:rPr>
                        <w:bCs/>
                        <w:sz w:val="20"/>
                        <w:lang w:val="pt-BR"/>
                      </w:rPr>
                    </w:pPr>
                    <w:r>
                      <w:rPr>
                        <w:bCs/>
                        <w:sz w:val="20"/>
                        <w:lang w:val="pt-BR"/>
                      </w:rPr>
                      <w:t>Lašų lašinimas ir tepalų įterpimas į jungties maišelį.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Vokų krašto uždegimų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Svetimkūnių pašalinimas iš jungties.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Konjunktyvitų diagnozavimas ir gydymas.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liaukų uždegimo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kanalo uždegimo diagnozavimas ir gydymas.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4.8.15.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Episklerito ir sklerito diagnozavimas ir gydymas.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4.8.16.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Tinklainės ligų diagnozavimas.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4.8.17.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Regos nervo ligų diagnozavimas ir gydymas.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Akiduobės ligų diagnozavimas ir gydymas.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4.8.19.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Pirmosios pagalbos suteikimas įvykus akių traumoms.</w:t>
                    </w:r>
                  </w:p>
                </w:tc>
              </w:tr>
              <w:tr>
                <w:tblPrEx>
                  <w:tblBorders>
                    <w:insideH w:val="none" w:sz="0" w:space="0" w:color="auto"/>
                    <w:insideV w:val="none" w:sz="0" w:space="0" w:color="auto"/>
                  </w:tblBorders>
                </w:tblPrEx>
                <w:trPr>
                  <w:trHeight w:val="62"/>
                </w:trPr>
                <w:tc>
                  <w:tcPr>
                    <w:tcW w:w="1308" w:type="dxa"/>
                    <w:tcBorders>
                      <w:right w:val="single" w:sz="4" w:space="0" w:color="auto"/>
                    </w:tcBorders>
                    <w:shd w:val="clear" w:color="auto" w:fill="auto"/>
                  </w:tcPr>
                  <w:p>
                    <w:pPr>
                      <w:rPr>
                        <w:bCs/>
                        <w:sz w:val="20"/>
                      </w:rPr>
                    </w:pPr>
                    <w:r>
                      <w:rPr>
                        <w:bCs/>
                        <w:sz w:val="20"/>
                      </w:rPr>
                      <w:t>4.8.20.</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Žvairumo nustatymas.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4.9.</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OTORINOLARINGOLOGO </w:t>
                    </w:r>
                  </w:p>
                </w:tc>
              </w:tr>
              <w:tr>
                <w:tblPrEx>
                  <w:tblBorders>
                    <w:insideH w:val="none" w:sz="0" w:space="0" w:color="auto"/>
                    <w:insideV w:val="none" w:sz="0" w:space="0" w:color="auto"/>
                  </w:tblBorders>
                </w:tblPrEx>
                <w:trPr>
                  <w:trHeight w:val="187"/>
                </w:trPr>
                <w:tc>
                  <w:tcPr>
                    <w:tcW w:w="1308" w:type="dxa"/>
                    <w:tcBorders>
                      <w:right w:val="single" w:sz="4" w:space="0" w:color="auto"/>
                    </w:tcBorders>
                    <w:shd w:val="clear" w:color="auto" w:fill="auto"/>
                  </w:tcPr>
                  <w:p>
                    <w:pPr>
                      <w:rPr>
                        <w:bCs/>
                        <w:sz w:val="20"/>
                        <w:lang w:val="en-US"/>
                      </w:rPr>
                    </w:pPr>
                    <w:r>
                      <w:rPr>
                        <w:bCs/>
                        <w:sz w:val="20"/>
                      </w:rPr>
                      <w:t>4.9.1.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4.9.2.</w:t>
                    </w:r>
                  </w:p>
                </w:tc>
                <w:tc>
                  <w:tcPr>
                    <w:tcW w:w="7762" w:type="dxa"/>
                    <w:tcBorders>
                      <w:top w:val="nil"/>
                      <w:left w:val="single" w:sz="4" w:space="0" w:color="auto"/>
                      <w:bottom w:val="nil"/>
                    </w:tcBorders>
                    <w:shd w:val="clear" w:color="auto" w:fill="auto"/>
                  </w:tcPr>
                  <w:p>
                    <w:pPr>
                      <w:rPr>
                        <w:bCs/>
                        <w:sz w:val="20"/>
                      </w:rPr>
                    </w:pPr>
                    <w:r>
                      <w:rPr>
                        <w:bCs/>
                        <w:sz w:val="20"/>
                      </w:rPr>
                      <w:t>Išorinių LOR organų apžiūra ir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w:t>
                    </w:r>
                  </w:p>
                </w:tc>
                <w:tc>
                  <w:tcPr>
                    <w:tcW w:w="7762" w:type="dxa"/>
                    <w:tcBorders>
                      <w:top w:val="nil"/>
                      <w:left w:val="single" w:sz="4" w:space="0" w:color="auto"/>
                      <w:bottom w:val="nil"/>
                    </w:tcBorders>
                    <w:shd w:val="clear" w:color="auto" w:fill="auto"/>
                  </w:tcPr>
                  <w:p>
                    <w:pPr>
                      <w:rPr>
                        <w:bCs/>
                        <w:sz w:val="20"/>
                      </w:rPr>
                    </w:pPr>
                    <w:r>
                      <w:rPr>
                        <w:bCs/>
                        <w:sz w:val="20"/>
                      </w:rPr>
                      <w:t>Nuoseklus LOR organų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4.9.3.1.</w:t>
                    </w:r>
                  </w:p>
                </w:tc>
                <w:tc>
                  <w:tcPr>
                    <w:tcW w:w="7762" w:type="dxa"/>
                    <w:tcBorders>
                      <w:top w:val="nil"/>
                      <w:left w:val="single" w:sz="4" w:space="0" w:color="auto"/>
                      <w:bottom w:val="nil"/>
                    </w:tcBorders>
                    <w:shd w:val="clear" w:color="auto" w:fill="auto"/>
                  </w:tcPr>
                  <w:p>
                    <w:pPr>
                      <w:rPr>
                        <w:bCs/>
                        <w:sz w:val="20"/>
                      </w:rPr>
                    </w:pPr>
                    <w:r>
                      <w:rPr>
                        <w:bCs/>
                        <w:sz w:val="20"/>
                      </w:rPr>
                      <w:t>Nosies apžiūra:</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4.9.3.1.1.</w:t>
                    </w:r>
                  </w:p>
                </w:tc>
                <w:tc>
                  <w:tcPr>
                    <w:tcW w:w="7762" w:type="dxa"/>
                    <w:tcBorders>
                      <w:top w:val="nil"/>
                      <w:left w:val="single" w:sz="4" w:space="0" w:color="auto"/>
                      <w:bottom w:val="nil"/>
                    </w:tcBorders>
                    <w:shd w:val="clear" w:color="auto" w:fill="auto"/>
                  </w:tcPr>
                  <w:p>
                    <w:pPr>
                      <w:rPr>
                        <w:bCs/>
                        <w:sz w:val="20"/>
                      </w:rPr>
                    </w:pPr>
                    <w:r>
                      <w:rPr>
                        <w:bCs/>
                        <w:sz w:val="20"/>
                      </w:rPr>
                      <w:t>išorinė nosies apžiūra;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4.9.3.1.2.</w:t>
                    </w:r>
                  </w:p>
                </w:tc>
                <w:tc>
                  <w:tcPr>
                    <w:tcW w:w="7762" w:type="dxa"/>
                    <w:tcBorders>
                      <w:top w:val="nil"/>
                      <w:left w:val="single" w:sz="4" w:space="0" w:color="auto"/>
                      <w:bottom w:val="nil"/>
                    </w:tcBorders>
                    <w:shd w:val="clear" w:color="auto" w:fill="auto"/>
                  </w:tcPr>
                  <w:p>
                    <w:pPr>
                      <w:rPr>
                        <w:bCs/>
                        <w:sz w:val="20"/>
                      </w:rPr>
                    </w:pPr>
                    <w:r>
                      <w:rPr>
                        <w:bCs/>
                        <w:sz w:val="20"/>
                      </w:rPr>
                      <w:t>priekinė nosies rinoskopija naudojant išplėtiklį;</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rPr>
                    </w:pPr>
                    <w:r>
                      <w:rPr>
                        <w:bCs/>
                        <w:sz w:val="20"/>
                      </w:rPr>
                      <w:t>4.9.3.1.3.</w:t>
                    </w:r>
                  </w:p>
                </w:tc>
                <w:tc>
                  <w:tcPr>
                    <w:tcW w:w="7762" w:type="dxa"/>
                    <w:tcBorders>
                      <w:top w:val="nil"/>
                      <w:left w:val="single" w:sz="4" w:space="0" w:color="auto"/>
                      <w:bottom w:val="nil"/>
                    </w:tcBorders>
                    <w:shd w:val="clear" w:color="auto" w:fill="auto"/>
                  </w:tcPr>
                  <w:p>
                    <w:pPr>
                      <w:rPr>
                        <w:bCs/>
                        <w:sz w:val="20"/>
                      </w:rPr>
                    </w:pPr>
                    <w:r>
                      <w:rPr>
                        <w:bCs/>
                        <w:sz w:val="20"/>
                      </w:rPr>
                      <w:t>gleivinės, nosies kriauklių, pertvaros būklės, išskyrų nosies ertmėje, papildomų darinių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4.9.3.1.4.</w:t>
                    </w:r>
                  </w:p>
                </w:tc>
                <w:tc>
                  <w:tcPr>
                    <w:tcW w:w="7762" w:type="dxa"/>
                    <w:tcBorders>
                      <w:top w:val="nil"/>
                      <w:left w:val="single" w:sz="4" w:space="0" w:color="auto"/>
                      <w:bottom w:val="nil"/>
                    </w:tcBorders>
                    <w:shd w:val="clear" w:color="auto" w:fill="auto"/>
                  </w:tcPr>
                  <w:p>
                    <w:pPr>
                      <w:rPr>
                        <w:bCs/>
                        <w:sz w:val="20"/>
                      </w:rPr>
                    </w:pPr>
                    <w:r>
                      <w:rPr>
                        <w:bCs/>
                        <w:sz w:val="20"/>
                      </w:rPr>
                      <w:t>kvėpavimo per nosį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4.9.3.1.5.</w:t>
                    </w:r>
                  </w:p>
                </w:tc>
                <w:tc>
                  <w:tcPr>
                    <w:tcW w:w="7762" w:type="dxa"/>
                    <w:tcBorders>
                      <w:top w:val="nil"/>
                      <w:left w:val="single" w:sz="4" w:space="0" w:color="auto"/>
                      <w:bottom w:val="nil"/>
                    </w:tcBorders>
                    <w:shd w:val="clear" w:color="auto" w:fill="auto"/>
                  </w:tcPr>
                  <w:p>
                    <w:pPr>
                      <w:rPr>
                        <w:bCs/>
                        <w:sz w:val="20"/>
                      </w:rPr>
                    </w:pPr>
                    <w:r>
                      <w:rPr>
                        <w:bCs/>
                        <w:sz w:val="20"/>
                      </w:rPr>
                      <w:t>prienosinių ančių fluorografinio bei rentgenografinio ištyrimo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4.9.3.2.</w:t>
                    </w:r>
                  </w:p>
                </w:tc>
                <w:tc>
                  <w:tcPr>
                    <w:tcW w:w="7762" w:type="dxa"/>
                    <w:tcBorders>
                      <w:top w:val="nil"/>
                      <w:left w:val="single" w:sz="4" w:space="0" w:color="auto"/>
                      <w:bottom w:val="nil"/>
                    </w:tcBorders>
                    <w:shd w:val="clear" w:color="auto" w:fill="auto"/>
                  </w:tcPr>
                  <w:p>
                    <w:pPr>
                      <w:rPr>
                        <w:bCs/>
                        <w:sz w:val="20"/>
                      </w:rPr>
                    </w:pPr>
                    <w:r>
                      <w:rPr>
                        <w:bCs/>
                        <w:sz w:val="20"/>
                      </w:rPr>
                      <w:t>Nosiaryklės apžiūra (nosiaryklės apžiūrėjimas užpakalinės rinoskopijos metodu ir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4.9.3.3.</w:t>
                    </w:r>
                  </w:p>
                </w:tc>
                <w:tc>
                  <w:tcPr>
                    <w:tcW w:w="7762" w:type="dxa"/>
                    <w:tcBorders>
                      <w:top w:val="nil"/>
                      <w:left w:val="single" w:sz="4" w:space="0" w:color="auto"/>
                      <w:bottom w:val="nil"/>
                    </w:tcBorders>
                    <w:shd w:val="clear" w:color="auto" w:fill="auto"/>
                  </w:tcPr>
                  <w:p>
                    <w:pPr>
                      <w:rPr>
                        <w:bCs/>
                        <w:sz w:val="20"/>
                      </w:rPr>
                    </w:pPr>
                    <w:r>
                      <w:rPr>
                        <w:bCs/>
                        <w:sz w:val="20"/>
                      </w:rPr>
                      <w:t>Ryklės ištyrimas (ryklės užpakalinės sienelės, gomurio lankų, tonzilių ir kaklo limfmazgių apžiūra ir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4.9.3.4.</w:t>
                    </w:r>
                  </w:p>
                </w:tc>
                <w:tc>
                  <w:tcPr>
                    <w:tcW w:w="7762" w:type="dxa"/>
                    <w:tcBorders>
                      <w:top w:val="nil"/>
                      <w:left w:val="single" w:sz="4" w:space="0" w:color="auto"/>
                      <w:bottom w:val="nil"/>
                    </w:tcBorders>
                    <w:shd w:val="clear" w:color="auto" w:fill="auto"/>
                  </w:tcPr>
                  <w:p>
                    <w:pPr>
                      <w:rPr>
                        <w:bCs/>
                        <w:sz w:val="20"/>
                      </w:rPr>
                    </w:pPr>
                    <w:r>
                      <w:rPr>
                        <w:bCs/>
                        <w:sz w:val="20"/>
                      </w:rPr>
                      <w:t>Gerklų ištyrimas: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lang w:val="en-US"/>
                      </w:rPr>
                      <w:t>4.9.3.4.1.</w:t>
                    </w:r>
                  </w:p>
                </w:tc>
                <w:tc>
                  <w:tcPr>
                    <w:tcW w:w="7762" w:type="dxa"/>
                    <w:tcBorders>
                      <w:top w:val="nil"/>
                      <w:left w:val="single" w:sz="4" w:space="0" w:color="auto"/>
                      <w:bottom w:val="nil"/>
                    </w:tcBorders>
                    <w:shd w:val="clear" w:color="auto" w:fill="auto"/>
                  </w:tcPr>
                  <w:p>
                    <w:pPr>
                      <w:rPr>
                        <w:bCs/>
                        <w:sz w:val="20"/>
                      </w:rPr>
                    </w:pPr>
                    <w:r>
                      <w:rPr>
                        <w:bCs/>
                        <w:sz w:val="20"/>
                      </w:rPr>
                      <w:t>viršutinių kvėpavimo takų būklės įvertinimas;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lang w:val="en-US"/>
                      </w:rPr>
                      <w:t>4.9.3.4.2.</w:t>
                    </w:r>
                  </w:p>
                </w:tc>
                <w:tc>
                  <w:tcPr>
                    <w:tcW w:w="7762" w:type="dxa"/>
                    <w:tcBorders>
                      <w:top w:val="nil"/>
                      <w:left w:val="single" w:sz="4" w:space="0" w:color="auto"/>
                      <w:bottom w:val="nil"/>
                    </w:tcBorders>
                    <w:shd w:val="clear" w:color="auto" w:fill="auto"/>
                  </w:tcPr>
                  <w:p>
                    <w:pPr>
                      <w:rPr>
                        <w:bCs/>
                        <w:sz w:val="20"/>
                      </w:rPr>
                    </w:pPr>
                    <w:r>
                      <w:rPr>
                        <w:bCs/>
                        <w:sz w:val="20"/>
                        <w:lang w:val="pt-BR"/>
                      </w:rPr>
                      <w:t>balso tembro, mikčiojimo ar kitų sutrikimų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antgerklio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balso klosčių būklės įvertinimas naudojant gerklų veidrodėlį;</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4.9.3.4.5.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papildomų darinių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gerklų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organų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4.9.3.5.1.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išorinės ausies, kaušelio, speninės ataugos ir landos apžiūra;</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4.9.3.5.2.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ausies būgnelio ir jo pakitimų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randų ir perforacijų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4.9.3.5.4.</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klausomojo vamzdžio funkcijos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lang w:val="en-US"/>
                      </w:rPr>
                    </w:pPr>
                    <w:r>
                      <w:rPr>
                        <w:bCs/>
                        <w:sz w:val="20"/>
                        <w:lang w:val="en-US"/>
                      </w:rPr>
                      <w:t>4.9.3.5.5.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kamertoninis tyrimas;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aštrumo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lang w:val="en-US"/>
                      </w:rPr>
                    </w:pPr>
                    <w:r>
                      <w:rPr>
                        <w:bCs/>
                        <w:sz w:val="20"/>
                        <w:lang w:val="en-US"/>
                      </w:rPr>
                      <w:t>4.9.3.5.7.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audiometrinio klausos ištyrimo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Atliekamos gydymo procedūros: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4.9.4.1.</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prapūtimas pagal Policerį;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hematomų punktavimas;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tvarsčių uždėjimas po punkcijos;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sieros kamščių plovimas;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kraujagyslių prideginimas;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punkcijos atlikimas;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4.9.4.7.</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priekin</w:t>
                    </w:r>
                    <w:r>
                      <w:rPr>
                        <w:bCs/>
                        <w:sz w:val="20"/>
                      </w:rPr>
                      <w:t>ė</w:t>
                    </w:r>
                    <w:r>
                      <w:rPr>
                        <w:bCs/>
                        <w:sz w:val="20"/>
                        <w:lang w:val="pt-BR"/>
                      </w:rPr>
                      <w:t xml:space="preserve"> tamponada;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paratonziliarinių injekcijų atlikimas;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paratonzilinio pūlinio punkcija ir invazija;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plovimas;</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4.9.4.11.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medikamentinis tepimas;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4.9.4.12.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ryklės prideginimas skystu azotu;</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gerklų instiliacija medikamentais.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4.10.</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ORTOPEDO TRAUMATOLOGO </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anamnezės surinkimas.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4.10.2.</w:t>
                    </w:r>
                  </w:p>
                </w:tc>
                <w:tc>
                  <w:tcPr>
                    <w:tcW w:w="7762" w:type="dxa"/>
                    <w:tcBorders>
                      <w:top w:val="nil"/>
                      <w:left w:val="single" w:sz="4" w:space="0" w:color="auto"/>
                      <w:bottom w:val="nil"/>
                    </w:tcBorders>
                    <w:shd w:val="clear" w:color="auto" w:fill="auto"/>
                  </w:tcPr>
                  <w:p>
                    <w:pPr>
                      <w:rPr>
                        <w:bCs/>
                        <w:sz w:val="20"/>
                      </w:rPr>
                    </w:pPr>
                    <w:r>
                      <w:rPr>
                        <w:bCs/>
                        <w:sz w:val="20"/>
                      </w:rPr>
                      <w:t>Ligonio apžiūrėjimas, palpacija, surinktų duomenų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4.10.3.</w:t>
                    </w:r>
                  </w:p>
                </w:tc>
                <w:tc>
                  <w:tcPr>
                    <w:tcW w:w="7762" w:type="dxa"/>
                    <w:tcBorders>
                      <w:top w:val="nil"/>
                      <w:left w:val="single" w:sz="4" w:space="0" w:color="auto"/>
                      <w:bottom w:val="nil"/>
                    </w:tcBorders>
                    <w:shd w:val="clear" w:color="auto" w:fill="auto"/>
                  </w:tcPr>
                  <w:p>
                    <w:pPr>
                      <w:rPr>
                        <w:bCs/>
                        <w:sz w:val="20"/>
                      </w:rPr>
                    </w:pPr>
                    <w:r>
                      <w:rPr>
                        <w:bCs/>
                        <w:sz w:val="20"/>
                      </w:rPr>
                      <w:t>Profilaktinis sveikatos tikrinimas.</w:t>
                    </w:r>
                  </w:p>
                </w:tc>
              </w:tr>
              <w:tr>
                <w:tblPrEx>
                  <w:tblBorders>
                    <w:insideH w:val="none" w:sz="0" w:space="0" w:color="auto"/>
                    <w:insideV w:val="none" w:sz="0" w:space="0" w:color="auto"/>
                  </w:tblBorders>
                </w:tblPrEx>
                <w:trPr>
                  <w:trHeight w:val="160"/>
                </w:trPr>
                <w:tc>
                  <w:tcPr>
                    <w:tcW w:w="1308" w:type="dxa"/>
                    <w:tcBorders>
                      <w:right w:val="single" w:sz="4" w:space="0" w:color="auto"/>
                    </w:tcBorders>
                    <w:shd w:val="clear" w:color="auto" w:fill="auto"/>
                  </w:tcPr>
                  <w:p>
                    <w:pPr>
                      <w:rPr>
                        <w:bCs/>
                        <w:sz w:val="20"/>
                      </w:rPr>
                    </w:pPr>
                    <w:r>
                      <w:rPr>
                        <w:bCs/>
                        <w:sz w:val="20"/>
                      </w:rPr>
                      <w:t>4.10.4.</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272"/>
                </w:trPr>
                <w:tc>
                  <w:tcPr>
                    <w:tcW w:w="1308" w:type="dxa"/>
                    <w:tcBorders>
                      <w:right w:val="single" w:sz="4" w:space="0" w:color="auto"/>
                    </w:tcBorders>
                    <w:shd w:val="clear" w:color="auto" w:fill="auto"/>
                  </w:tcPr>
                  <w:p>
                    <w:pPr>
                      <w:rPr>
                        <w:bCs/>
                        <w:sz w:val="20"/>
                      </w:rPr>
                    </w:pPr>
                    <w:r>
                      <w:rPr>
                        <w:bCs/>
                        <w:sz w:val="20"/>
                      </w:rPr>
                      <w:t>4.10.5.</w:t>
                    </w:r>
                  </w:p>
                </w:tc>
                <w:tc>
                  <w:tcPr>
                    <w:tcW w:w="7762" w:type="dxa"/>
                    <w:tcBorders>
                      <w:top w:val="nil"/>
                      <w:left w:val="single" w:sz="4" w:space="0" w:color="auto"/>
                      <w:bottom w:val="nil"/>
                    </w:tcBorders>
                    <w:shd w:val="clear" w:color="auto" w:fill="auto"/>
                  </w:tcPr>
                  <w:p>
                    <w:pPr>
                      <w:rPr>
                        <w:bCs/>
                        <w:sz w:val="20"/>
                      </w:rPr>
                    </w:pPr>
                    <w:r>
                      <w:rPr>
                        <w:bCs/>
                        <w:sz w:val="20"/>
                      </w:rPr>
                      <w:t>Tvarstymas.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4.10.6.</w:t>
                    </w:r>
                  </w:p>
                </w:tc>
                <w:tc>
                  <w:tcPr>
                    <w:tcW w:w="7762" w:type="dxa"/>
                    <w:tcBorders>
                      <w:top w:val="nil"/>
                      <w:left w:val="single" w:sz="4" w:space="0" w:color="auto"/>
                      <w:bottom w:val="nil"/>
                    </w:tcBorders>
                    <w:shd w:val="clear" w:color="auto" w:fill="auto"/>
                  </w:tcPr>
                  <w:p>
                    <w:pPr>
                      <w:rPr>
                        <w:bCs/>
                        <w:sz w:val="20"/>
                      </w:rPr>
                    </w:pPr>
                    <w:r>
                      <w:rPr>
                        <w:bCs/>
                        <w:sz w:val="20"/>
                      </w:rPr>
                      <w:t>Žaizdų perrišimas.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4.10.7.</w:t>
                    </w:r>
                  </w:p>
                </w:tc>
                <w:tc>
                  <w:tcPr>
                    <w:tcW w:w="7762" w:type="dxa"/>
                    <w:tcBorders>
                      <w:top w:val="nil"/>
                      <w:left w:val="single" w:sz="4" w:space="0" w:color="auto"/>
                      <w:bottom w:val="nil"/>
                    </w:tcBorders>
                    <w:shd w:val="clear" w:color="auto" w:fill="auto"/>
                  </w:tcPr>
                  <w:p>
                    <w:pPr>
                      <w:rPr>
                        <w:bCs/>
                        <w:sz w:val="20"/>
                      </w:rPr>
                    </w:pPr>
                    <w:r>
                      <w:rPr>
                        <w:bCs/>
                        <w:sz w:val="20"/>
                      </w:rPr>
                      <w:t>Žaizdų priežiūra.</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4.10.8.</w:t>
                    </w:r>
                  </w:p>
                </w:tc>
                <w:tc>
                  <w:tcPr>
                    <w:tcW w:w="7762" w:type="dxa"/>
                    <w:tcBorders>
                      <w:top w:val="nil"/>
                      <w:left w:val="single" w:sz="4" w:space="0" w:color="auto"/>
                      <w:bottom w:val="nil"/>
                    </w:tcBorders>
                    <w:shd w:val="clear" w:color="auto" w:fill="auto"/>
                  </w:tcPr>
                  <w:p>
                    <w:pPr>
                      <w:rPr>
                        <w:bCs/>
                        <w:sz w:val="20"/>
                      </w:rPr>
                    </w:pPr>
                    <w:r>
                      <w:rPr>
                        <w:bCs/>
                        <w:sz w:val="20"/>
                      </w:rPr>
                      <w:t>Išorinio kraujavimo stabdymas.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4.10.9.</w:t>
                    </w:r>
                  </w:p>
                </w:tc>
                <w:tc>
                  <w:tcPr>
                    <w:tcW w:w="7762" w:type="dxa"/>
                    <w:tcBorders>
                      <w:top w:val="nil"/>
                      <w:left w:val="single" w:sz="4" w:space="0" w:color="auto"/>
                      <w:bottom w:val="nil"/>
                    </w:tcBorders>
                    <w:shd w:val="clear" w:color="auto" w:fill="auto"/>
                  </w:tcPr>
                  <w:p>
                    <w:pPr>
                      <w:rPr>
                        <w:bCs/>
                        <w:sz w:val="20"/>
                      </w:rPr>
                    </w:pPr>
                    <w:r>
                      <w:rPr>
                        <w:bCs/>
                        <w:sz w:val="20"/>
                      </w:rPr>
                      <w:t>Vietinės blokados lidokainu, novokainu.</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4.10.10.</w:t>
                    </w:r>
                  </w:p>
                </w:tc>
                <w:tc>
                  <w:tcPr>
                    <w:tcW w:w="7762" w:type="dxa"/>
                    <w:tcBorders>
                      <w:top w:val="nil"/>
                      <w:left w:val="single" w:sz="4" w:space="0" w:color="auto"/>
                      <w:bottom w:val="nil"/>
                    </w:tcBorders>
                    <w:shd w:val="clear" w:color="auto" w:fill="auto"/>
                  </w:tcPr>
                  <w:p>
                    <w:pPr>
                      <w:rPr>
                        <w:bCs/>
                        <w:sz w:val="20"/>
                      </w:rPr>
                    </w:pPr>
                    <w:r>
                      <w:rPr>
                        <w:bCs/>
                        <w:sz w:val="20"/>
                      </w:rPr>
                      <w:t>Vietinė infiltracinė anestezija.</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4.10.11.</w:t>
                    </w:r>
                  </w:p>
                </w:tc>
                <w:tc>
                  <w:tcPr>
                    <w:tcW w:w="7762" w:type="dxa"/>
                    <w:tcBorders>
                      <w:top w:val="nil"/>
                      <w:left w:val="single" w:sz="4" w:space="0" w:color="auto"/>
                      <w:bottom w:val="nil"/>
                    </w:tcBorders>
                    <w:shd w:val="clear" w:color="auto" w:fill="auto"/>
                  </w:tcPr>
                  <w:p>
                    <w:pPr>
                      <w:rPr>
                        <w:bCs/>
                        <w:sz w:val="20"/>
                      </w:rPr>
                    </w:pPr>
                    <w:r>
                      <w:rPr>
                        <w:bCs/>
                        <w:sz w:val="20"/>
                      </w:rPr>
                      <w:t>Pirminis chirurginis žaizdų sutvarkymas.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4.10.12.</w:t>
                    </w:r>
                  </w:p>
                </w:tc>
                <w:tc>
                  <w:tcPr>
                    <w:tcW w:w="7762" w:type="dxa"/>
                    <w:tcBorders>
                      <w:top w:val="nil"/>
                      <w:left w:val="single" w:sz="4" w:space="0" w:color="auto"/>
                      <w:bottom w:val="nil"/>
                    </w:tcBorders>
                    <w:shd w:val="clear" w:color="auto" w:fill="auto"/>
                  </w:tcPr>
                  <w:p>
                    <w:pPr>
                      <w:rPr>
                        <w:bCs/>
                        <w:sz w:val="20"/>
                      </w:rPr>
                    </w:pPr>
                    <w:r>
                      <w:rPr>
                        <w:bCs/>
                        <w:sz w:val="20"/>
                      </w:rPr>
                      <w:t>Siūlų išėmimas.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4.10.13.</w:t>
                    </w:r>
                  </w:p>
                </w:tc>
                <w:tc>
                  <w:tcPr>
                    <w:tcW w:w="7762" w:type="dxa"/>
                    <w:tcBorders>
                      <w:top w:val="nil"/>
                      <w:left w:val="single" w:sz="4" w:space="0" w:color="auto"/>
                      <w:bottom w:val="nil"/>
                    </w:tcBorders>
                    <w:shd w:val="clear" w:color="auto" w:fill="auto"/>
                  </w:tcPr>
                  <w:p>
                    <w:pPr>
                      <w:rPr>
                        <w:bCs/>
                        <w:sz w:val="20"/>
                      </w:rPr>
                    </w:pPr>
                    <w:r>
                      <w:rPr>
                        <w:bCs/>
                        <w:sz w:val="20"/>
                      </w:rPr>
                      <w:t xml:space="preserve">Odos pūlingos infekcijos chirurginis gydymas. </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4.10.14.</w:t>
                    </w:r>
                  </w:p>
                </w:tc>
                <w:tc>
                  <w:tcPr>
                    <w:tcW w:w="7762" w:type="dxa"/>
                    <w:tcBorders>
                      <w:top w:val="nil"/>
                      <w:left w:val="single" w:sz="4" w:space="0" w:color="auto"/>
                      <w:bottom w:val="nil"/>
                    </w:tcBorders>
                    <w:shd w:val="clear" w:color="auto" w:fill="auto"/>
                  </w:tcPr>
                  <w:p>
                    <w:pPr>
                      <w:rPr>
                        <w:bCs/>
                        <w:sz w:val="20"/>
                      </w:rPr>
                    </w:pPr>
                    <w:r>
                      <w:rPr>
                        <w:bCs/>
                        <w:sz w:val="20"/>
                      </w:rPr>
                      <w:t>Sąnarių punkcijos.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4.10.15.</w:t>
                    </w:r>
                  </w:p>
                </w:tc>
                <w:tc>
                  <w:tcPr>
                    <w:tcW w:w="7762" w:type="dxa"/>
                    <w:tcBorders>
                      <w:top w:val="nil"/>
                      <w:left w:val="single" w:sz="4" w:space="0" w:color="auto"/>
                      <w:bottom w:val="nil"/>
                    </w:tcBorders>
                    <w:shd w:val="clear" w:color="auto" w:fill="auto"/>
                  </w:tcPr>
                  <w:p>
                    <w:pPr>
                      <w:rPr>
                        <w:bCs/>
                        <w:sz w:val="20"/>
                      </w:rPr>
                    </w:pPr>
                    <w:r>
                      <w:rPr>
                        <w:bCs/>
                        <w:sz w:val="20"/>
                      </w:rPr>
                      <w:t>Svetimkūnių, esančių odoje, šalinimas.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4.10.16.</w:t>
                    </w:r>
                  </w:p>
                </w:tc>
                <w:tc>
                  <w:tcPr>
                    <w:tcW w:w="7762" w:type="dxa"/>
                    <w:tcBorders>
                      <w:top w:val="nil"/>
                      <w:left w:val="single" w:sz="4" w:space="0" w:color="auto"/>
                      <w:bottom w:val="nil"/>
                    </w:tcBorders>
                    <w:shd w:val="clear" w:color="auto" w:fill="auto"/>
                  </w:tcPr>
                  <w:p>
                    <w:pPr>
                      <w:rPr>
                        <w:bCs/>
                        <w:sz w:val="20"/>
                      </w:rPr>
                    </w:pPr>
                    <w:r>
                      <w:rPr>
                        <w:bCs/>
                        <w:sz w:val="20"/>
                      </w:rPr>
                      <w:t>Įaugusio nago pašalinimas.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4.10.17.</w:t>
                    </w:r>
                  </w:p>
                </w:tc>
                <w:tc>
                  <w:tcPr>
                    <w:tcW w:w="7762" w:type="dxa"/>
                    <w:tcBorders>
                      <w:top w:val="nil"/>
                      <w:left w:val="single" w:sz="4" w:space="0" w:color="auto"/>
                      <w:bottom w:val="nil"/>
                    </w:tcBorders>
                    <w:shd w:val="clear" w:color="auto" w:fill="auto"/>
                  </w:tcPr>
                  <w:p>
                    <w:pPr>
                      <w:rPr>
                        <w:bCs/>
                        <w:sz w:val="20"/>
                      </w:rPr>
                    </w:pPr>
                    <w:r>
                      <w:rPr>
                        <w:bCs/>
                        <w:sz w:val="20"/>
                      </w:rPr>
                      <w:t>Venos punkcija.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4.10.18.</w:t>
                    </w:r>
                  </w:p>
                </w:tc>
                <w:tc>
                  <w:tcPr>
                    <w:tcW w:w="7762" w:type="dxa"/>
                    <w:tcBorders>
                      <w:top w:val="nil"/>
                      <w:left w:val="single" w:sz="4" w:space="0" w:color="auto"/>
                      <w:bottom w:val="nil"/>
                    </w:tcBorders>
                    <w:shd w:val="clear" w:color="auto" w:fill="auto"/>
                  </w:tcPr>
                  <w:p>
                    <w:pPr>
                      <w:rPr>
                        <w:bCs/>
                        <w:sz w:val="20"/>
                      </w:rPr>
                    </w:pPr>
                    <w:r>
                      <w:rPr>
                        <w:bCs/>
                        <w:sz w:val="20"/>
                      </w:rPr>
                      <w:t>Gipso tvarsčio uždėjimas ir nuėmimas.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4.10.19.</w:t>
                    </w:r>
                  </w:p>
                </w:tc>
                <w:tc>
                  <w:tcPr>
                    <w:tcW w:w="7762" w:type="dxa"/>
                    <w:tcBorders>
                      <w:top w:val="nil"/>
                      <w:left w:val="single" w:sz="4" w:space="0" w:color="auto"/>
                      <w:bottom w:val="nil"/>
                    </w:tcBorders>
                    <w:shd w:val="clear" w:color="auto" w:fill="auto"/>
                  </w:tcPr>
                  <w:p>
                    <w:pPr>
                      <w:rPr>
                        <w:bCs/>
                        <w:sz w:val="20"/>
                      </w:rPr>
                    </w:pPr>
                    <w:r>
                      <w:rPr>
                        <w:bCs/>
                        <w:sz w:val="20"/>
                      </w:rPr>
                      <w:t xml:space="preserve">Vaistų paskyrimas. Esant indikacijų, siuntimas fizinės medicinos ir reabilitacijos gydytojo konsultacijai dėl nemedikamentinio gydymo ir (ar) medicininės reabilitacijos. </w:t>
                    </w:r>
                  </w:p>
                </w:tc>
              </w:tr>
              <w:tr>
                <w:tblPrEx>
                  <w:tblBorders>
                    <w:insideH w:val="none" w:sz="0" w:space="0" w:color="auto"/>
                    <w:insideV w:val="none" w:sz="0" w:space="0" w:color="auto"/>
                  </w:tblBorders>
                </w:tblPrEx>
                <w:trPr>
                  <w:trHeight w:val="206"/>
                </w:trPr>
                <w:tc>
                  <w:tcPr>
                    <w:tcW w:w="1308" w:type="dxa"/>
                    <w:tcBorders>
                      <w:right w:val="single" w:sz="4" w:space="0" w:color="auto"/>
                    </w:tcBorders>
                    <w:shd w:val="clear" w:color="auto" w:fill="auto"/>
                  </w:tcPr>
                  <w:p>
                    <w:pPr>
                      <w:rPr>
                        <w:bCs/>
                        <w:sz w:val="20"/>
                      </w:rPr>
                    </w:pPr>
                    <w:r>
                      <w:rPr>
                        <w:bCs/>
                        <w:sz w:val="20"/>
                      </w:rPr>
                      <w:t>4.10.20.</w:t>
                    </w:r>
                  </w:p>
                </w:tc>
                <w:tc>
                  <w:tcPr>
                    <w:tcW w:w="7762" w:type="dxa"/>
                    <w:tcBorders>
                      <w:top w:val="nil"/>
                      <w:left w:val="single" w:sz="4" w:space="0" w:color="auto"/>
                      <w:bottom w:val="nil"/>
                    </w:tcBorders>
                    <w:shd w:val="clear" w:color="auto" w:fill="auto"/>
                  </w:tcPr>
                  <w:p>
                    <w:pPr>
                      <w:rPr>
                        <w:bCs/>
                        <w:sz w:val="20"/>
                      </w:rPr>
                    </w:pPr>
                    <w:r>
                      <w:rPr>
                        <w:bCs/>
                        <w:sz w:val="20"/>
                      </w:rPr>
                      <w:t>Raumenų ir skeleto, sąnarių ultragarsinis tyrimas.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4.10.21.</w:t>
                    </w:r>
                  </w:p>
                </w:tc>
                <w:tc>
                  <w:tcPr>
                    <w:tcW w:w="7762" w:type="dxa"/>
                    <w:tcBorders>
                      <w:top w:val="nil"/>
                      <w:left w:val="single" w:sz="4" w:space="0" w:color="auto"/>
                      <w:bottom w:val="nil"/>
                    </w:tcBorders>
                    <w:shd w:val="clear" w:color="auto" w:fill="auto"/>
                  </w:tcPr>
                  <w:p>
                    <w:pPr>
                      <w:rPr>
                        <w:bCs/>
                        <w:sz w:val="20"/>
                      </w:rPr>
                    </w:pPr>
                    <w:r>
                      <w:rPr>
                        <w:bCs/>
                        <w:sz w:val="20"/>
                      </w:rPr>
                      <w:t>Gydymo sekimas, koregavimas, kontrolė.</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4.10.22.</w:t>
                    </w:r>
                  </w:p>
                </w:tc>
                <w:tc>
                  <w:tcPr>
                    <w:tcW w:w="7762" w:type="dxa"/>
                    <w:tcBorders>
                      <w:top w:val="nil"/>
                      <w:left w:val="single" w:sz="4" w:space="0" w:color="auto"/>
                      <w:bottom w:val="single" w:sz="4" w:space="0" w:color="auto"/>
                    </w:tcBorders>
                    <w:shd w:val="clear" w:color="auto" w:fill="auto"/>
                  </w:tcPr>
                  <w:p>
                    <w:pPr>
                      <w:rPr>
                        <w:bCs/>
                        <w:sz w:val="20"/>
                      </w:rPr>
                    </w:pPr>
                    <w:r>
                      <w:rPr>
                        <w:bCs/>
                        <w:sz w:val="20"/>
                      </w:rPr>
                      <w:t>Rekomendacijos sveikatos išsaugojimo ir stiprinimo klausimais.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NEUROLOGO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4.11.1.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gyvenimo bei neurologinės anamnezės surinkimas.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tcBorders>
                    <w:shd w:val="clear" w:color="auto" w:fill="auto"/>
                  </w:tcPr>
                  <w:p>
                    <w:pPr>
                      <w:rPr>
                        <w:rFonts w:ascii="TimesLT" w:hAnsi="TimesLT"/>
                        <w:bCs/>
                        <w:sz w:val="20"/>
                      </w:rPr>
                    </w:pPr>
                    <w:r>
                      <w:rPr>
                        <w:bCs/>
                        <w:sz w:val="20"/>
                      </w:rPr>
                      <w:t>Neurologinis</w:t>
                    </w:r>
                    <w:r>
                      <w:rPr>
                        <w:rFonts w:ascii="TimesLT" w:hAnsi="TimesLT"/>
                        <w:bCs/>
                        <w:sz w:val="20"/>
                      </w:rPr>
                      <w:t xml:space="preserve"> </w:t>
                    </w:r>
                    <w:r>
                      <w:rPr>
                        <w:bCs/>
                        <w:sz w:val="20"/>
                      </w:rPr>
                      <w:t>ligonio apžiūrėjimas: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4.11.2.1.</w:t>
                    </w:r>
                  </w:p>
                </w:tc>
                <w:tc>
                  <w:tcPr>
                    <w:tcW w:w="7762" w:type="dxa"/>
                    <w:tcBorders>
                      <w:top w:val="nil"/>
                      <w:left w:val="single" w:sz="4" w:space="0" w:color="auto"/>
                      <w:bottom w:val="nil"/>
                    </w:tcBorders>
                    <w:shd w:val="clear" w:color="auto" w:fill="auto"/>
                  </w:tcPr>
                  <w:p>
                    <w:pPr>
                      <w:rPr>
                        <w:bCs/>
                        <w:sz w:val="20"/>
                      </w:rPr>
                    </w:pPr>
                    <w:r>
                      <w:rPr>
                        <w:bCs/>
                        <w:sz w:val="20"/>
                      </w:rPr>
                      <w:t>cerebro bulbarinių nervų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4.11.2.2.</w:t>
                    </w:r>
                  </w:p>
                </w:tc>
                <w:tc>
                  <w:tcPr>
                    <w:tcW w:w="7762" w:type="dxa"/>
                    <w:tcBorders>
                      <w:top w:val="nil"/>
                      <w:left w:val="single" w:sz="4" w:space="0" w:color="auto"/>
                      <w:bottom w:val="nil"/>
                    </w:tcBorders>
                    <w:shd w:val="clear" w:color="auto" w:fill="auto"/>
                  </w:tcPr>
                  <w:p>
                    <w:pPr>
                      <w:rPr>
                        <w:bCs/>
                        <w:sz w:val="20"/>
                      </w:rPr>
                    </w:pPr>
                    <w:r>
                      <w:rPr>
                        <w:bCs/>
                        <w:sz w:val="20"/>
                      </w:rPr>
                      <w:t>sausgyslinių, periostalinių refleksų ir patologinių refleksų buvimo nustatymas;</w:t>
                    </w:r>
                  </w:p>
                </w:tc>
              </w:tr>
              <w:tr>
                <w:tblPrEx>
                  <w:tblBorders>
                    <w:insideH w:val="none" w:sz="0" w:space="0" w:color="auto"/>
                    <w:insideV w:val="none" w:sz="0" w:space="0" w:color="auto"/>
                  </w:tblBorders>
                </w:tblPrEx>
                <w:trPr>
                  <w:trHeight w:val="58"/>
                </w:trPr>
                <w:tc>
                  <w:tcPr>
                    <w:tcW w:w="1308" w:type="dxa"/>
                    <w:tcBorders>
                      <w:right w:val="single" w:sz="4" w:space="0" w:color="auto"/>
                    </w:tcBorders>
                    <w:shd w:val="clear" w:color="auto" w:fill="auto"/>
                  </w:tcPr>
                  <w:p>
                    <w:pPr>
                      <w:rPr>
                        <w:bCs/>
                        <w:sz w:val="20"/>
                      </w:rPr>
                    </w:pPr>
                    <w:r>
                      <w:rPr>
                        <w:bCs/>
                        <w:sz w:val="20"/>
                      </w:rPr>
                      <w:t>4.11.2.3.</w:t>
                    </w:r>
                  </w:p>
                </w:tc>
                <w:tc>
                  <w:tcPr>
                    <w:tcW w:w="7762" w:type="dxa"/>
                    <w:tcBorders>
                      <w:top w:val="nil"/>
                      <w:left w:val="single" w:sz="4" w:space="0" w:color="auto"/>
                      <w:bottom w:val="nil"/>
                    </w:tcBorders>
                    <w:shd w:val="clear" w:color="auto" w:fill="auto"/>
                  </w:tcPr>
                  <w:p>
                    <w:pPr>
                      <w:rPr>
                        <w:bCs/>
                        <w:sz w:val="20"/>
                      </w:rPr>
                    </w:pPr>
                    <w:r>
                      <w:rPr>
                        <w:bCs/>
                        <w:sz w:val="20"/>
                        <w:lang w:val="pt-BR"/>
                      </w:rPr>
                      <w:t>galūnių skausminio, temperatūrinio jautrumo įvertinimas;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4.11.2.4.</w:t>
                    </w:r>
                  </w:p>
                </w:tc>
                <w:tc>
                  <w:tcPr>
                    <w:tcW w:w="7762" w:type="dxa"/>
                    <w:tcBorders>
                      <w:top w:val="nil"/>
                      <w:left w:val="single" w:sz="4" w:space="0" w:color="auto"/>
                      <w:bottom w:val="nil"/>
                    </w:tcBorders>
                    <w:shd w:val="clear" w:color="auto" w:fill="auto"/>
                  </w:tcPr>
                  <w:p>
                    <w:pPr>
                      <w:rPr>
                        <w:bCs/>
                        <w:sz w:val="20"/>
                      </w:rPr>
                    </w:pPr>
                    <w:r>
                      <w:rPr>
                        <w:bCs/>
                        <w:sz w:val="20"/>
                        <w:lang w:val="pt-BR"/>
                      </w:rPr>
                      <w:t>autonominės sistemos būklės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4.11.2.5.</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tonuso, meninginių simptomų bei magistralinių kraujagyslių auskultacija;</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4.11.2.6.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koordinacinių mėginių atlikimas;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4.11.2.7.</w:t>
                    </w:r>
                  </w:p>
                </w:tc>
                <w:tc>
                  <w:tcPr>
                    <w:tcW w:w="7762" w:type="dxa"/>
                    <w:tcBorders>
                      <w:top w:val="nil"/>
                      <w:left w:val="single" w:sz="4" w:space="0" w:color="auto"/>
                      <w:bottom w:val="nil"/>
                    </w:tcBorders>
                    <w:shd w:val="clear" w:color="auto" w:fill="auto"/>
                  </w:tcPr>
                  <w:p>
                    <w:pPr>
                      <w:rPr>
                        <w:bCs/>
                        <w:sz w:val="20"/>
                        <w:lang w:val="pt-BR"/>
                      </w:rPr>
                    </w:pPr>
                    <w:r>
                      <w:rPr>
                        <w:bCs/>
                        <w:sz w:val="20"/>
                        <w:lang w:val="pt-BR"/>
                      </w:rPr>
                      <w:t>eisenos, stuburo biomechanikos patikrinimas;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4.11.2.8.</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funkcijos įvertinimas, išaiškinant tempimo ir iškritimo požymius.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tcBorders>
                    <w:shd w:val="clear" w:color="auto" w:fill="auto"/>
                  </w:tcPr>
                  <w:p>
                    <w:pPr>
                      <w:rPr>
                        <w:bCs/>
                        <w:sz w:val="20"/>
                        <w:lang w:val="pt-BR"/>
                      </w:rPr>
                    </w:pPr>
                    <w:r>
                      <w:rPr>
                        <w:bCs/>
                        <w:sz w:val="20"/>
                      </w:rPr>
                      <w:t>Preliminarios diagnozės nustatymas.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tcBorders>
                    <w:shd w:val="clear" w:color="auto" w:fill="auto"/>
                  </w:tcPr>
                  <w:p>
                    <w:pPr>
                      <w:rPr>
                        <w:bCs/>
                        <w:sz w:val="20"/>
                      </w:rPr>
                    </w:pPr>
                    <w:r>
                      <w:rPr>
                        <w:bCs/>
                        <w:sz w:val="20"/>
                      </w:rPr>
                      <w:t>Profilaktinis neurologinis apžiūrėjimas.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4.11.5.1.</w:t>
                    </w:r>
                  </w:p>
                </w:tc>
                <w:tc>
                  <w:tcPr>
                    <w:tcW w:w="7762" w:type="dxa"/>
                    <w:tcBorders>
                      <w:top w:val="nil"/>
                      <w:left w:val="single" w:sz="4" w:space="0" w:color="auto"/>
                      <w:bottom w:val="nil"/>
                    </w:tcBorders>
                    <w:shd w:val="clear" w:color="auto" w:fill="auto"/>
                  </w:tcPr>
                  <w:p>
                    <w:pPr>
                      <w:rPr>
                        <w:bCs/>
                        <w:sz w:val="20"/>
                      </w:rPr>
                    </w:pPr>
                    <w:r>
                      <w:rPr>
                        <w:bCs/>
                        <w:sz w:val="20"/>
                      </w:rPr>
                      <w:t>rentgenogramų;</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4.11.5.2.</w:t>
                    </w:r>
                  </w:p>
                </w:tc>
                <w:tc>
                  <w:tcPr>
                    <w:tcW w:w="7762" w:type="dxa"/>
                    <w:tcBorders>
                      <w:top w:val="nil"/>
                      <w:left w:val="single" w:sz="4" w:space="0" w:color="auto"/>
                      <w:bottom w:val="nil"/>
                    </w:tcBorders>
                    <w:shd w:val="clear" w:color="auto" w:fill="auto"/>
                  </w:tcPr>
                  <w:p>
                    <w:pPr>
                      <w:rPr>
                        <w:bCs/>
                        <w:sz w:val="20"/>
                      </w:rPr>
                    </w:pPr>
                    <w:r>
                      <w:rPr>
                        <w:bCs/>
                        <w:sz w:val="20"/>
                      </w:rPr>
                      <w:t>kompiuterinės tomografijos;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4.11.5.3.</w:t>
                    </w:r>
                  </w:p>
                </w:tc>
                <w:tc>
                  <w:tcPr>
                    <w:tcW w:w="7762" w:type="dxa"/>
                    <w:tcBorders>
                      <w:top w:val="nil"/>
                      <w:left w:val="single" w:sz="4" w:space="0" w:color="auto"/>
                      <w:bottom w:val="nil"/>
                    </w:tcBorders>
                    <w:shd w:val="clear" w:color="auto" w:fill="auto"/>
                  </w:tcPr>
                  <w:p>
                    <w:pPr>
                      <w:rPr>
                        <w:bCs/>
                        <w:sz w:val="20"/>
                      </w:rPr>
                    </w:pPr>
                    <w:r>
                      <w:rPr>
                        <w:bCs/>
                        <w:sz w:val="20"/>
                      </w:rPr>
                      <w:t>magnetinio rezonanso tyrimo;</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4.11.5.4.</w:t>
                    </w:r>
                  </w:p>
                </w:tc>
                <w:tc>
                  <w:tcPr>
                    <w:tcW w:w="7762" w:type="dxa"/>
                    <w:tcBorders>
                      <w:top w:val="nil"/>
                      <w:left w:val="single" w:sz="4" w:space="0" w:color="auto"/>
                      <w:bottom w:val="nil"/>
                    </w:tcBorders>
                    <w:shd w:val="clear" w:color="auto" w:fill="auto"/>
                  </w:tcPr>
                  <w:p>
                    <w:pPr>
                      <w:rPr>
                        <w:bCs/>
                        <w:sz w:val="20"/>
                      </w:rPr>
                    </w:pPr>
                    <w:r>
                      <w:rPr>
                        <w:bCs/>
                        <w:sz w:val="20"/>
                      </w:rPr>
                      <w:t>akių dugno tyrimo;</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4.11.5.5.</w:t>
                    </w:r>
                  </w:p>
                </w:tc>
                <w:tc>
                  <w:tcPr>
                    <w:tcW w:w="7762" w:type="dxa"/>
                    <w:tcBorders>
                      <w:top w:val="nil"/>
                      <w:left w:val="single" w:sz="4" w:space="0" w:color="auto"/>
                      <w:bottom w:val="nil"/>
                    </w:tcBorders>
                    <w:shd w:val="clear" w:color="auto" w:fill="auto"/>
                  </w:tcPr>
                  <w:p>
                    <w:pPr>
                      <w:rPr>
                        <w:bCs/>
                        <w:sz w:val="20"/>
                      </w:rPr>
                    </w:pPr>
                    <w:r>
                      <w:rPr>
                        <w:bCs/>
                        <w:sz w:val="20"/>
                      </w:rPr>
                      <w:t>elektroencefalogramos;</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4.11.5.6.</w:t>
                    </w:r>
                  </w:p>
                </w:tc>
                <w:tc>
                  <w:tcPr>
                    <w:tcW w:w="7762" w:type="dxa"/>
                    <w:tcBorders>
                      <w:top w:val="nil"/>
                      <w:left w:val="single" w:sz="4" w:space="0" w:color="auto"/>
                      <w:bottom w:val="nil"/>
                    </w:tcBorders>
                    <w:shd w:val="clear" w:color="auto" w:fill="auto"/>
                  </w:tcPr>
                  <w:p>
                    <w:pPr>
                      <w:rPr>
                        <w:bCs/>
                        <w:sz w:val="20"/>
                      </w:rPr>
                    </w:pPr>
                    <w:r>
                      <w:rPr>
                        <w:bCs/>
                        <w:sz w:val="20"/>
                      </w:rPr>
                      <w:t>elektroneuroangiografijos;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4.11.5.7.</w:t>
                    </w:r>
                  </w:p>
                </w:tc>
                <w:tc>
                  <w:tcPr>
                    <w:tcW w:w="7762" w:type="dxa"/>
                    <w:tcBorders>
                      <w:top w:val="nil"/>
                      <w:left w:val="single" w:sz="4" w:space="0" w:color="auto"/>
                      <w:bottom w:val="nil"/>
                    </w:tcBorders>
                    <w:shd w:val="clear" w:color="auto" w:fill="auto"/>
                  </w:tcPr>
                  <w:p>
                    <w:pPr>
                      <w:rPr>
                        <w:bCs/>
                        <w:sz w:val="20"/>
                      </w:rPr>
                    </w:pPr>
                    <w:r>
                      <w:rPr>
                        <w:bCs/>
                        <w:sz w:val="20"/>
                      </w:rPr>
                      <w:t>laboratorinių bei klinikinių fiziologinių tyrimų.</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tcBorders>
                    <w:shd w:val="clear" w:color="auto" w:fill="auto"/>
                  </w:tcPr>
                  <w:p>
                    <w:pPr>
                      <w:rPr>
                        <w:bCs/>
                        <w:sz w:val="20"/>
                      </w:rPr>
                    </w:pPr>
                    <w:r>
                      <w:rPr>
                        <w:bCs/>
                        <w:sz w:val="20"/>
                      </w:rPr>
                      <w:t>Skiria gydytojų konsultacijas: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4.11.6.1.</w:t>
                    </w:r>
                  </w:p>
                </w:tc>
                <w:tc>
                  <w:tcPr>
                    <w:tcW w:w="7762" w:type="dxa"/>
                    <w:tcBorders>
                      <w:top w:val="nil"/>
                      <w:left w:val="single" w:sz="4" w:space="0" w:color="auto"/>
                      <w:bottom w:val="nil"/>
                    </w:tcBorders>
                    <w:shd w:val="clear" w:color="auto" w:fill="auto"/>
                  </w:tcPr>
                  <w:p>
                    <w:pPr>
                      <w:rPr>
                        <w:bCs/>
                        <w:sz w:val="20"/>
                      </w:rPr>
                    </w:pPr>
                    <w:r>
                      <w:rPr>
                        <w:bCs/>
                        <w:sz w:val="20"/>
                      </w:rPr>
                      <w:t>ortopedo traumatologo;</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4.11.6.2.</w:t>
                    </w:r>
                  </w:p>
                </w:tc>
                <w:tc>
                  <w:tcPr>
                    <w:tcW w:w="7762" w:type="dxa"/>
                    <w:tcBorders>
                      <w:top w:val="nil"/>
                      <w:left w:val="single" w:sz="4" w:space="0" w:color="auto"/>
                      <w:bottom w:val="nil"/>
                    </w:tcBorders>
                    <w:shd w:val="clear" w:color="auto" w:fill="auto"/>
                  </w:tcPr>
                  <w:p>
                    <w:pPr>
                      <w:rPr>
                        <w:bCs/>
                        <w:sz w:val="20"/>
                      </w:rPr>
                    </w:pPr>
                    <w:r>
                      <w:rPr>
                        <w:bCs/>
                        <w:sz w:val="20"/>
                      </w:rPr>
                      <w:t xml:space="preserve">neurochirurgo arba angiochirurgo. </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single" w:sz="4" w:space="0" w:color="auto"/>
                    </w:tcBorders>
                    <w:shd w:val="clear" w:color="auto" w:fill="auto"/>
                  </w:tcPr>
                  <w:p>
                    <w:pPr>
                      <w:rPr>
                        <w:bCs/>
                        <w:sz w:val="20"/>
                      </w:rPr>
                    </w:pPr>
                    <w:r>
                      <w:rPr>
                        <w:bCs/>
                        <w:sz w:val="20"/>
                      </w:rPr>
                      <w:t>Pacientų gydymas, skiriant medikamentinį gydymą.</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TEIKIAMOS PROCEDŪRŲ KABINETE</w:t>
                    </w:r>
                  </w:p>
                </w:tc>
              </w:tr>
              <w:tr>
                <w:tblPrEx>
                  <w:tblBorders>
                    <w:insideH w:val="none" w:sz="0" w:space="0" w:color="auto"/>
                    <w:insideV w:val="none" w:sz="0" w:space="0" w:color="auto"/>
                  </w:tblBorders>
                </w:tblPrEx>
                <w:trPr>
                  <w:trHeight w:val="205"/>
                </w:trPr>
                <w:tc>
                  <w:tcPr>
                    <w:tcW w:w="1308" w:type="dxa"/>
                    <w:tcBorders>
                      <w:right w:val="single" w:sz="4" w:space="0" w:color="auto"/>
                    </w:tcBorders>
                    <w:shd w:val="clear" w:color="auto" w:fill="auto"/>
                  </w:tcPr>
                  <w:p>
                    <w:pPr>
                      <w:rPr>
                        <w:bCs/>
                        <w:sz w:val="20"/>
                      </w:rPr>
                    </w:pPr>
                    <w:r>
                      <w:rPr>
                        <w:bCs/>
                        <w:sz w:val="20"/>
                      </w:rPr>
                      <w:t>4.12.1.</w:t>
                    </w:r>
                  </w:p>
                </w:tc>
                <w:tc>
                  <w:tcPr>
                    <w:tcW w:w="7762" w:type="dxa"/>
                    <w:tcBorders>
                      <w:top w:val="single" w:sz="4" w:space="0" w:color="auto"/>
                      <w:left w:val="single" w:sz="4" w:space="0" w:color="auto"/>
                      <w:bottom w:val="nil"/>
                    </w:tcBorders>
                    <w:shd w:val="clear" w:color="auto" w:fill="auto"/>
                  </w:tcPr>
                  <w:p>
                    <w:pPr>
                      <w:rPr>
                        <w:bCs/>
                        <w:sz w:val="20"/>
                      </w:rPr>
                    </w:pPr>
                    <w:r>
                      <w:rPr>
                        <w:bCs/>
                        <w:sz w:val="20"/>
                      </w:rPr>
                      <w:t>Injekcijos:</w:t>
                    </w:r>
                  </w:p>
                </w:tc>
              </w:tr>
              <w:tr>
                <w:tblPrEx>
                  <w:tblBorders>
                    <w:insideH w:val="none" w:sz="0" w:space="0" w:color="auto"/>
                    <w:insideV w:val="none" w:sz="0" w:space="0" w:color="auto"/>
                  </w:tblBorders>
                </w:tblPrEx>
                <w:trPr>
                  <w:trHeight w:val="132"/>
                </w:trPr>
                <w:tc>
                  <w:tcPr>
                    <w:tcW w:w="1308" w:type="dxa"/>
                    <w:tcBorders>
                      <w:right w:val="single" w:sz="4" w:space="0" w:color="auto"/>
                    </w:tcBorders>
                    <w:shd w:val="clear" w:color="auto" w:fill="auto"/>
                  </w:tcPr>
                  <w:p>
                    <w:pPr>
                      <w:rPr>
                        <w:bCs/>
                        <w:sz w:val="20"/>
                      </w:rPr>
                    </w:pPr>
                    <w:r>
                      <w:rPr>
                        <w:bCs/>
                        <w:sz w:val="20"/>
                      </w:rPr>
                      <w:t>4.12.1.1.</w:t>
                    </w:r>
                  </w:p>
                </w:tc>
                <w:tc>
                  <w:tcPr>
                    <w:tcW w:w="7762" w:type="dxa"/>
                    <w:tcBorders>
                      <w:top w:val="nil"/>
                      <w:left w:val="single" w:sz="4" w:space="0" w:color="auto"/>
                      <w:bottom w:val="nil"/>
                    </w:tcBorders>
                    <w:shd w:val="clear" w:color="auto" w:fill="auto"/>
                  </w:tcPr>
                  <w:p>
                    <w:pPr>
                      <w:rPr>
                        <w:bCs/>
                        <w:sz w:val="20"/>
                      </w:rPr>
                    </w:pPr>
                    <w:r>
                      <w:rPr>
                        <w:bCs/>
                        <w:sz w:val="20"/>
                      </w:rPr>
                      <w:t>į paodį;</w:t>
                    </w:r>
                  </w:p>
                </w:tc>
              </w:tr>
              <w:tr>
                <w:tblPrEx>
                  <w:tblBorders>
                    <w:insideH w:val="none" w:sz="0" w:space="0" w:color="auto"/>
                    <w:insideV w:val="none" w:sz="0" w:space="0" w:color="auto"/>
                  </w:tblBorders>
                </w:tblPrEx>
                <w:trPr>
                  <w:trHeight w:val="253"/>
                </w:trPr>
                <w:tc>
                  <w:tcPr>
                    <w:tcW w:w="1308" w:type="dxa"/>
                    <w:tcBorders>
                      <w:right w:val="single" w:sz="4" w:space="0" w:color="auto"/>
                    </w:tcBorders>
                    <w:shd w:val="clear" w:color="auto" w:fill="auto"/>
                  </w:tcPr>
                  <w:p>
                    <w:pPr>
                      <w:rPr>
                        <w:bCs/>
                        <w:sz w:val="20"/>
                      </w:rPr>
                    </w:pPr>
                    <w:r>
                      <w:rPr>
                        <w:bCs/>
                        <w:sz w:val="20"/>
                      </w:rPr>
                      <w:t>4.12.1.2.</w:t>
                    </w:r>
                  </w:p>
                </w:tc>
                <w:tc>
                  <w:tcPr>
                    <w:tcW w:w="7762" w:type="dxa"/>
                    <w:tcBorders>
                      <w:top w:val="nil"/>
                      <w:left w:val="single" w:sz="4" w:space="0" w:color="auto"/>
                      <w:bottom w:val="nil"/>
                    </w:tcBorders>
                    <w:shd w:val="clear" w:color="auto" w:fill="auto"/>
                  </w:tcPr>
                  <w:p>
                    <w:pPr>
                      <w:rPr>
                        <w:bCs/>
                        <w:sz w:val="20"/>
                      </w:rPr>
                    </w:pPr>
                    <w:r>
                      <w:rPr>
                        <w:bCs/>
                        <w:sz w:val="20"/>
                      </w:rPr>
                      <w:t>į raumenis;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4.12.1.3.</w:t>
                    </w:r>
                  </w:p>
                </w:tc>
                <w:tc>
                  <w:tcPr>
                    <w:tcW w:w="7762" w:type="dxa"/>
                    <w:tcBorders>
                      <w:top w:val="nil"/>
                      <w:left w:val="single" w:sz="4" w:space="0" w:color="auto"/>
                      <w:bottom w:val="nil"/>
                    </w:tcBorders>
                    <w:shd w:val="clear" w:color="auto" w:fill="auto"/>
                  </w:tcPr>
                  <w:p>
                    <w:pPr>
                      <w:rPr>
                        <w:bCs/>
                        <w:sz w:val="20"/>
                      </w:rPr>
                    </w:pPr>
                    <w:r>
                      <w:rPr>
                        <w:bCs/>
                        <w:sz w:val="20"/>
                      </w:rPr>
                      <w:t>į veną.</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4.12.2.</w:t>
                    </w:r>
                  </w:p>
                </w:tc>
                <w:tc>
                  <w:tcPr>
                    <w:tcW w:w="7762" w:type="dxa"/>
                    <w:tcBorders>
                      <w:top w:val="nil"/>
                      <w:left w:val="single" w:sz="4" w:space="0" w:color="auto"/>
                      <w:bottom w:val="nil"/>
                    </w:tcBorders>
                    <w:shd w:val="clear" w:color="auto" w:fill="auto"/>
                  </w:tcPr>
                  <w:p>
                    <w:pPr>
                      <w:rPr>
                        <w:bCs/>
                        <w:sz w:val="20"/>
                      </w:rPr>
                    </w:pPr>
                    <w:r>
                      <w:rPr>
                        <w:bCs/>
                        <w:sz w:val="20"/>
                      </w:rPr>
                      <w:t>Lašinės infuzijos.</w:t>
                    </w:r>
                  </w:p>
                </w:tc>
              </w:tr>
              <w:tr>
                <w:tblPrEx>
                  <w:tblBorders>
                    <w:insideH w:val="none" w:sz="0" w:space="0" w:color="auto"/>
                    <w:insideV w:val="none" w:sz="0" w:space="0" w:color="auto"/>
                  </w:tblBorders>
                </w:tblPrEx>
                <w:trPr>
                  <w:trHeight w:val="346"/>
                </w:trPr>
                <w:tc>
                  <w:tcPr>
                    <w:tcW w:w="1308" w:type="dxa"/>
                    <w:tcBorders>
                      <w:right w:val="single" w:sz="4" w:space="0" w:color="auto"/>
                    </w:tcBorders>
                    <w:shd w:val="clear" w:color="auto" w:fill="auto"/>
                  </w:tcPr>
                  <w:p>
                    <w:pPr>
                      <w:rPr>
                        <w:bCs/>
                        <w:sz w:val="20"/>
                      </w:rPr>
                    </w:pPr>
                    <w:r>
                      <w:rPr>
                        <w:bCs/>
                        <w:sz w:val="20"/>
                      </w:rPr>
                      <w:t>4.12.3.</w:t>
                    </w:r>
                  </w:p>
                </w:tc>
                <w:tc>
                  <w:tcPr>
                    <w:tcW w:w="7762" w:type="dxa"/>
                    <w:tcBorders>
                      <w:top w:val="nil"/>
                      <w:left w:val="single" w:sz="4" w:space="0" w:color="auto"/>
                      <w:bottom w:val="nil"/>
                    </w:tcBorders>
                    <w:shd w:val="clear" w:color="auto" w:fill="auto"/>
                  </w:tcPr>
                  <w:p>
                    <w:pPr>
                      <w:rPr>
                        <w:bCs/>
                        <w:sz w:val="20"/>
                      </w:rPr>
                    </w:pPr>
                    <w:r>
                      <w:rPr>
                        <w:bCs/>
                        <w:sz w:val="20"/>
                      </w:rPr>
                      <w:t>Skiepijimo procedūros.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4.12.4.</w:t>
                    </w:r>
                  </w:p>
                </w:tc>
                <w:tc>
                  <w:tcPr>
                    <w:tcW w:w="7762" w:type="dxa"/>
                    <w:tcBorders>
                      <w:top w:val="nil"/>
                      <w:left w:val="single" w:sz="4" w:space="0" w:color="auto"/>
                      <w:bottom w:val="nil"/>
                    </w:tcBorders>
                    <w:shd w:val="clear" w:color="auto" w:fill="auto"/>
                  </w:tcPr>
                  <w:p>
                    <w:pPr>
                      <w:rPr>
                        <w:bCs/>
                        <w:sz w:val="20"/>
                      </w:rPr>
                    </w:pPr>
                    <w:r>
                      <w:rPr>
                        <w:bCs/>
                        <w:sz w:val="20"/>
                      </w:rPr>
                      <w:t>Kraujo paėmimas: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4.12.4.1.</w:t>
                    </w:r>
                  </w:p>
                </w:tc>
                <w:tc>
                  <w:tcPr>
                    <w:tcW w:w="7762" w:type="dxa"/>
                    <w:tcBorders>
                      <w:top w:val="nil"/>
                      <w:left w:val="single" w:sz="4" w:space="0" w:color="auto"/>
                      <w:bottom w:val="nil"/>
                    </w:tcBorders>
                    <w:shd w:val="clear" w:color="auto" w:fill="auto"/>
                  </w:tcPr>
                  <w:p>
                    <w:pPr>
                      <w:rPr>
                        <w:bCs/>
                        <w:sz w:val="20"/>
                      </w:rPr>
                    </w:pPr>
                    <w:r>
                      <w:rPr>
                        <w:bCs/>
                        <w:sz w:val="20"/>
                      </w:rPr>
                      <w:t>biocheminiams tyrimams;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4.12.4.2.</w:t>
                    </w:r>
                  </w:p>
                </w:tc>
                <w:tc>
                  <w:tcPr>
                    <w:tcW w:w="7762" w:type="dxa"/>
                    <w:tcBorders>
                      <w:top w:val="nil"/>
                      <w:left w:val="single" w:sz="4" w:space="0" w:color="auto"/>
                      <w:bottom w:val="nil"/>
                    </w:tcBorders>
                    <w:shd w:val="clear" w:color="auto" w:fill="auto"/>
                  </w:tcPr>
                  <w:p>
                    <w:pPr>
                      <w:rPr>
                        <w:bCs/>
                        <w:sz w:val="20"/>
                      </w:rPr>
                    </w:pPr>
                    <w:r>
                      <w:rPr>
                        <w:bCs/>
                        <w:sz w:val="20"/>
                      </w:rPr>
                      <w:t>kraujo grupei nustatyti;</w:t>
                    </w:r>
                  </w:p>
                </w:tc>
              </w:tr>
              <w:tr>
                <w:tblPrEx>
                  <w:tblBorders>
                    <w:insideH w:val="none" w:sz="0" w:space="0" w:color="auto"/>
                    <w:insideV w:val="none" w:sz="0" w:space="0" w:color="auto"/>
                  </w:tblBorders>
                </w:tblPrEx>
                <w:trPr>
                  <w:trHeight w:val="216"/>
                </w:trPr>
                <w:tc>
                  <w:tcPr>
                    <w:tcW w:w="1308" w:type="dxa"/>
                    <w:tcBorders>
                      <w:right w:val="single" w:sz="4" w:space="0" w:color="auto"/>
                    </w:tcBorders>
                    <w:shd w:val="clear" w:color="auto" w:fill="auto"/>
                  </w:tcPr>
                  <w:p>
                    <w:pPr>
                      <w:rPr>
                        <w:bCs/>
                        <w:sz w:val="20"/>
                      </w:rPr>
                    </w:pPr>
                    <w:r>
                      <w:rPr>
                        <w:bCs/>
                        <w:sz w:val="20"/>
                      </w:rPr>
                      <w:t>4.12.4.3.</w:t>
                    </w:r>
                  </w:p>
                </w:tc>
                <w:tc>
                  <w:tcPr>
                    <w:tcW w:w="7762" w:type="dxa"/>
                    <w:tcBorders>
                      <w:top w:val="nil"/>
                      <w:left w:val="single" w:sz="4" w:space="0" w:color="auto"/>
                      <w:bottom w:val="single" w:sz="4" w:space="0" w:color="auto"/>
                    </w:tcBorders>
                    <w:shd w:val="clear" w:color="auto" w:fill="auto"/>
                  </w:tcPr>
                  <w:p>
                    <w:pPr>
                      <w:rPr>
                        <w:rFonts w:ascii="TimesLT" w:hAnsi="TimesLT"/>
                        <w:bCs/>
                        <w:sz w:val="20"/>
                      </w:rPr>
                    </w:pPr>
                    <w:r>
                      <w:rPr>
                        <w:rFonts w:ascii="TimesLT" w:hAnsi="TimesLT"/>
                        <w:bCs/>
                        <w:sz w:val="20"/>
                      </w:rPr>
                      <w:t>genetiniams tyrimams.</w:t>
                    </w:r>
                  </w:p>
                </w:tc>
              </w:tr>
            </w:tbl>
            <w:p>
              <w:pPr>
                <w:widowControl w:val="0"/>
                <w:suppressAutoHyphens/>
                <w:ind w:firstLine="567"/>
                <w:jc w:val="both"/>
                <w:rPr>
                  <w:color w:val="000000"/>
                </w:rPr>
              </w:pPr>
            </w:p>
          </w:sdtContent>
        </w:sdt>
        <w:sdt>
          <w:sdtPr>
            <w:alias w:val="skyrius"/>
            <w:tag w:val="part_78a2bf2665504a518a455938e84666a1"/>
            <w:lock w:val="sdtLocked"/>
            <w:richText/>
          </w:sdtPr>
          <w:sdtContent>
            <w:p>
              <w:pPr>
                <w:keepLines/>
                <w:widowControl w:val="0"/>
                <w:suppressAutoHyphens/>
                <w:jc w:val="center"/>
                <w:rPr>
                  <w:b/>
                  <w:bCs/>
                  <w:caps/>
                  <w:color w:val="000000"/>
                </w:rPr>
              </w:pPr>
              <w:sdt>
                <w:sdtPr>
                  <w:alias w:val="Numeris"/>
                  <w:tag w:val="nr_78a2bf2665504a518a455938e84666a1"/>
                  <w:lock w:val="sdtLocked"/>
                  <w:richText/>
                </w:sdtPr>
                <w:sdtContent>
                  <w:r>
                    <w:rPr>
                      <w:b/>
                      <w:bCs/>
                      <w:caps/>
                      <w:color w:val="000000"/>
                    </w:rPr>
                    <w:t>V</w:t>
                  </w:r>
                </w:sdtContent>
              </w:sdt>
              <w:r>
                <w:rPr>
                  <w:b/>
                  <w:bCs/>
                  <w:caps/>
                  <w:color w:val="000000"/>
                </w:rPr>
                <w:t xml:space="preserve">. </w:t>
              </w:r>
              <w:sdt>
                <w:sdtPr>
                  <w:alias w:val="Pavadinimas"/>
                  <w:tag w:val="title_78a2bf2665504a518a455938e84666a1"/>
                  <w:lock w:val="sdtLocked"/>
                  <w:richText/>
                </w:sdtPr>
                <w:sdtContent>
                  <w:r>
                    <w:rPr>
                      <w:b/>
                      <w:bCs/>
                      <w:caps/>
                      <w:color w:val="000000"/>
                    </w:rPr>
                    <w:t>MEDICINOS PAGALBOS TEIKIMAS SPORTO RENGINIŲ, ĮSKAITANT MOKOMĄSIAS TRENIRUOČIŲ STOVYKLAS, METU</w:t>
                  </w:r>
                </w:sdtContent>
              </w:sdt>
            </w:p>
            <w:p>
              <w:pPr>
                <w:widowControl w:val="0"/>
                <w:suppressAutoHyphens/>
                <w:ind w:firstLine="567"/>
                <w:jc w:val="both"/>
                <w:rPr>
                  <w:color w:val="000000"/>
                </w:rPr>
              </w:pPr>
            </w:p>
            <w:sdt>
              <w:sdtPr>
                <w:alias w:val="5 pr. 5.1 p."/>
                <w:tag w:val="part_bf0d5e6c4f6a4363af456d4f81d86b4d"/>
                <w:lock w:val="sdtLocked"/>
                <w:richText/>
              </w:sdtPr>
              <w:sdtContent>
                <w:p>
                  <w:pPr>
                    <w:widowControl w:val="0"/>
                    <w:suppressAutoHyphens/>
                    <w:ind w:firstLine="567"/>
                    <w:jc w:val="both"/>
                    <w:rPr>
                      <w:color w:val="000000"/>
                    </w:rPr>
                  </w:pPr>
                  <w:sdt>
                    <w:sdtPr>
                      <w:alias w:val="Numeris"/>
                      <w:tag w:val="nr_bf0d5e6c4f6a4363af456d4f81d86b4d"/>
                      <w:lock w:val="sdtLocked"/>
                      <w:richText/>
                    </w:sdtPr>
                    <w:sdtContent>
                      <w:r>
                        <w:rPr>
                          <w:color w:val="000000"/>
                        </w:rPr>
                        <w:t>5.1</w:t>
                      </w:r>
                    </w:sdtContent>
                  </w:sdt>
                  <w:r>
                    <w:rPr>
                      <w:color w:val="000000"/>
                    </w:rPr>
                    <w:t>. Sportininkas, dalyvaujantis sporto renginiuose (sporto varžybose arba treniruočių stovyklose), privalo būti pasitikrinęs sveikatą ir turėti gydytojo leidimą (forma Nr. 068/a), pasirašytą sporto medicinos gydytojo, o kur nėra – pirminės sveikatos priežiūros įstaigos profilaktinius sveikatos tikrinimus atliekančio šeimos medicinos paslaugas teikiančio gydytojo, patvirtintą asmens sveikatos priežiūros įstaigos spaudu.</w:t>
                  </w:r>
                </w:p>
              </w:sdtContent>
            </w:sdt>
            <w:sdt>
              <w:sdtPr>
                <w:alias w:val="5 pr. 5.2 p."/>
                <w:tag w:val="part_5038a3c6d1324dc7af592ffe02ad3a2a"/>
                <w:lock w:val="sdtLocked"/>
                <w:richText/>
              </w:sdtPr>
              <w:sdtContent>
                <w:p>
                  <w:pPr>
                    <w:widowControl w:val="0"/>
                    <w:suppressAutoHyphens/>
                    <w:ind w:firstLine="567"/>
                    <w:jc w:val="both"/>
                    <w:rPr>
                      <w:color w:val="000000"/>
                    </w:rPr>
                  </w:pPr>
                  <w:sdt>
                    <w:sdtPr>
                      <w:alias w:val="Numeris"/>
                      <w:tag w:val="nr_5038a3c6d1324dc7af592ffe02ad3a2a"/>
                      <w:lock w:val="sdtLocked"/>
                      <w:richText/>
                    </w:sdtPr>
                    <w:sdtContent>
                      <w:r>
                        <w:rPr>
                          <w:color w:val="000000"/>
                        </w:rPr>
                        <w:t>5.2</w:t>
                      </w:r>
                    </w:sdtContent>
                  </w:sdt>
                  <w:r>
                    <w:rPr>
                      <w:color w:val="000000"/>
                    </w:rPr>
                    <w:t>. Sporto renginių organizatoriai (vyriausiasis teisėjas, vyriausiasis treneris, stovyklos vadovas) atsakingi, kad visos sporto renginiuose dalyvaujančios komandos ar atskiri sportininkai turėtų teisingai įformintas sporto varžybų paraiškas arba gydytojo išduotus leidimus (forma Nr. 068/a).</w:t>
                  </w:r>
                </w:p>
              </w:sdtContent>
            </w:sdt>
            <w:sdt>
              <w:sdtPr>
                <w:alias w:val="5 pr. 5.3 p."/>
                <w:tag w:val="part_82778d9321414b7b8c139401a29ac851"/>
                <w:lock w:val="sdtLocked"/>
                <w:richText/>
              </w:sdtPr>
              <w:sdtContent>
                <w:p>
                  <w:pPr>
                    <w:widowControl w:val="0"/>
                    <w:suppressAutoHyphens/>
                    <w:ind w:firstLine="567"/>
                    <w:jc w:val="both"/>
                    <w:rPr>
                      <w:color w:val="000000"/>
                    </w:rPr>
                  </w:pPr>
                  <w:sdt>
                    <w:sdtPr>
                      <w:alias w:val="Numeris"/>
                      <w:tag w:val="nr_82778d9321414b7b8c139401a29ac851"/>
                      <w:lock w:val="sdtLocked"/>
                      <w:richText/>
                    </w:sdtPr>
                    <w:sdtContent>
                      <w:r>
                        <w:rPr>
                          <w:color w:val="000000"/>
                        </w:rPr>
                        <w:t>5.3</w:t>
                      </w:r>
                    </w:sdtContent>
                  </w:sdt>
                  <w:r>
                    <w:rPr>
                      <w:color w:val="000000"/>
                    </w:rPr>
                    <w:t>. Sporto varžybose dalyvaujančių asmenų grupės leidimas dalyvauti sporto renginyje gali būti įformintas patvirtinta sporto varžybų paraiška. Paraiškoje privalo būti nurodyta jos įforminimo data. Paraišką pasirašo ir už teisingą jos įforminimą atsako sporto medicinos gydytojas, o kur nėra – pirminės sveikatos priežiūros įstaigos profilaktinius sveikatos tikrinimus atliekantis šeimos medicinos paslaugas teikiantis gydytojas. Paraiška patvirtinama asmens sveikatos priežiūros įstaigos spaudu. Paraiška galioja ne ilgiau kaip 6 mėnesius.</w:t>
                  </w:r>
                </w:p>
              </w:sdtContent>
            </w:sdt>
            <w:sdt>
              <w:sdtPr>
                <w:alias w:val="5 pr. 5.4 p."/>
                <w:tag w:val="part_97ed670279e74658b3e33b43196d66eb"/>
                <w:lock w:val="sdtLocked"/>
                <w:richText/>
              </w:sdtPr>
              <w:sdtContent>
                <w:p>
                  <w:pPr>
                    <w:widowControl w:val="0"/>
                    <w:suppressAutoHyphens/>
                    <w:ind w:firstLine="567"/>
                    <w:jc w:val="both"/>
                    <w:rPr>
                      <w:color w:val="000000"/>
                    </w:rPr>
                  </w:pPr>
                  <w:sdt>
                    <w:sdtPr>
                      <w:alias w:val="Numeris"/>
                      <w:tag w:val="nr_97ed670279e74658b3e33b43196d66eb"/>
                      <w:lock w:val="sdtLocked"/>
                      <w:richText/>
                    </w:sdtPr>
                    <w:sdtContent>
                      <w:r>
                        <w:rPr>
                          <w:color w:val="000000"/>
                        </w:rPr>
                        <w:t>5.4</w:t>
                      </w:r>
                    </w:sdtContent>
                  </w:sdt>
                  <w:r>
                    <w:rPr>
                      <w:color w:val="000000"/>
                    </w:rPr>
                    <w:t>. Sporto renginių organizatoriai sporto renginių metu privalo:</w:t>
                  </w:r>
                </w:p>
                <w:sdt>
                  <w:sdtPr>
                    <w:alias w:val="5 pr. 5.4.1 p."/>
                    <w:tag w:val="part_6db25add32c34f10b31122ccaada9c2b"/>
                    <w:lock w:val="sdtLocked"/>
                    <w:richText/>
                  </w:sdtPr>
                  <w:sdtContent>
                    <w:p>
                      <w:pPr>
                        <w:widowControl w:val="0"/>
                        <w:suppressAutoHyphens/>
                        <w:ind w:firstLine="567"/>
                        <w:jc w:val="both"/>
                        <w:rPr>
                          <w:color w:val="000000"/>
                        </w:rPr>
                      </w:pPr>
                      <w:sdt>
                        <w:sdtPr>
                          <w:alias w:val="Numeris"/>
                          <w:tag w:val="nr_6db25add32c34f10b31122ccaada9c2b"/>
                          <w:lock w:val="sdtLocked"/>
                          <w:richText/>
                        </w:sdtPr>
                        <w:sdtContent>
                          <w:r>
                            <w:rPr>
                              <w:color w:val="000000"/>
                            </w:rPr>
                            <w:t>5.4.1</w:t>
                          </w:r>
                        </w:sdtContent>
                      </w:sdt>
                      <w:r>
                        <w:rPr>
                          <w:color w:val="000000"/>
                        </w:rPr>
                        <w:t>. užtikrinti reikiamą medicinos personalo skaičių, atsižvelgdami į sporto šaką, varžybų arba treniruočių stovyklos lygį ir dalyvių skaičių;</w:t>
                      </w:r>
                    </w:p>
                  </w:sdtContent>
                </w:sdt>
                <w:sdt>
                  <w:sdtPr>
                    <w:alias w:val="5 pr. 5.4.2 p."/>
                    <w:tag w:val="part_ba237b23359e405daacaff5284969a84"/>
                    <w:lock w:val="sdtLocked"/>
                    <w:richText/>
                  </w:sdtPr>
                  <w:sdtContent>
                    <w:p>
                      <w:pPr>
                        <w:widowControl w:val="0"/>
                        <w:suppressAutoHyphens/>
                        <w:ind w:firstLine="567"/>
                        <w:jc w:val="both"/>
                        <w:rPr>
                          <w:color w:val="000000"/>
                        </w:rPr>
                      </w:pPr>
                      <w:sdt>
                        <w:sdtPr>
                          <w:alias w:val="Numeris"/>
                          <w:tag w:val="nr_ba237b23359e405daacaff5284969a84"/>
                          <w:lock w:val="sdtLocked"/>
                          <w:richText/>
                        </w:sdtPr>
                        <w:sdtContent>
                          <w:r>
                            <w:rPr>
                              <w:color w:val="000000"/>
                            </w:rPr>
                            <w:t>5.4.2</w:t>
                          </w:r>
                        </w:sdtContent>
                      </w:sdt>
                      <w:r>
                        <w:rPr>
                          <w:color w:val="000000"/>
                        </w:rPr>
                        <w:t>. ne vėliau kaip prieš 14 dienų prieš sporto varžybų pradžią pateikti paraišką asmens sveikatos priežiūros įstaigai dėl medicinos personalo ar medicinos pagalbos automobilio, nurodydami varžybų vietą, laiką, vyriausiąjį teisėją ar atsakingą už varžybų organizavimą sporto darbuotoją, bei numatyti lėšų, reikalingų medikamentams įsigyti ir medicinos personalui už paslaugas apmokėti, kiekį;</w:t>
                      </w:r>
                    </w:p>
                  </w:sdtContent>
                </w:sdt>
                <w:sdt>
                  <w:sdtPr>
                    <w:alias w:val="5 pr. 5.4.3 p."/>
                    <w:tag w:val="part_4dd4f03fa2ae41b0bd787d4a39cb2bb8"/>
                    <w:lock w:val="sdtLocked"/>
                    <w:richText/>
                  </w:sdtPr>
                  <w:sdtContent>
                    <w:p>
                      <w:pPr>
                        <w:widowControl w:val="0"/>
                        <w:suppressAutoHyphens/>
                        <w:ind w:firstLine="567"/>
                        <w:jc w:val="both"/>
                        <w:rPr>
                          <w:color w:val="000000"/>
                        </w:rPr>
                      </w:pPr>
                      <w:sdt>
                        <w:sdtPr>
                          <w:alias w:val="Numeris"/>
                          <w:tag w:val="nr_4dd4f03fa2ae41b0bd787d4a39cb2bb8"/>
                          <w:lock w:val="sdtLocked"/>
                          <w:richText/>
                        </w:sdtPr>
                        <w:sdtContent>
                          <w:r>
                            <w:rPr>
                              <w:color w:val="000000"/>
                            </w:rPr>
                            <w:t>5.4.3</w:t>
                          </w:r>
                        </w:sdtContent>
                      </w:sdt>
                      <w:r>
                        <w:rPr>
                          <w:color w:val="000000"/>
                        </w:rPr>
                        <w:t>. sudaryti medicinos personalui tinkamas darbo sąlygas;</w:t>
                      </w:r>
                    </w:p>
                  </w:sdtContent>
                </w:sdt>
                <w:sdt>
                  <w:sdtPr>
                    <w:alias w:val="5 pr. 5.4.4 p."/>
                    <w:tag w:val="part_d34997ee9ba84163a66c291a83859638"/>
                    <w:lock w:val="sdtLocked"/>
                    <w:richText/>
                  </w:sdtPr>
                  <w:sdtContent>
                    <w:p>
                      <w:pPr>
                        <w:widowControl w:val="0"/>
                        <w:suppressAutoHyphens/>
                        <w:ind w:firstLine="567"/>
                        <w:jc w:val="both"/>
                        <w:rPr>
                          <w:color w:val="000000"/>
                          <w:spacing w:val="-2"/>
                        </w:rPr>
                      </w:pPr>
                      <w:sdt>
                        <w:sdtPr>
                          <w:alias w:val="Numeris"/>
                          <w:tag w:val="nr_d34997ee9ba84163a66c291a83859638"/>
                          <w:lock w:val="sdtLocked"/>
                          <w:richText/>
                        </w:sdtPr>
                        <w:sdtContent>
                          <w:r>
                            <w:rPr>
                              <w:color w:val="000000"/>
                              <w:spacing w:val="-2"/>
                            </w:rPr>
                            <w:t>5.4.4</w:t>
                          </w:r>
                        </w:sdtContent>
                      </w:sdt>
                      <w:r>
                        <w:rPr>
                          <w:color w:val="000000"/>
                          <w:spacing w:val="-2"/>
                        </w:rPr>
                        <w:t>. užtikrinti sužeisto, susirgusio sportininko, sporto renginio organizatorių ir žiūrovų transportavimą į gydymo įstaigą;</w:t>
                      </w:r>
                    </w:p>
                  </w:sdtContent>
                </w:sdt>
                <w:sdt>
                  <w:sdtPr>
                    <w:alias w:val="5 pr. 5.4.5 p."/>
                    <w:tag w:val="part_2d9c57ea409d437da2cf3cbba20f94ac"/>
                    <w:lock w:val="sdtLocked"/>
                    <w:richText/>
                  </w:sdtPr>
                  <w:sdtContent>
                    <w:p>
                      <w:pPr>
                        <w:widowControl w:val="0"/>
                        <w:suppressAutoHyphens/>
                        <w:ind w:firstLine="567"/>
                        <w:jc w:val="both"/>
                        <w:rPr>
                          <w:color w:val="000000"/>
                        </w:rPr>
                      </w:pPr>
                      <w:sdt>
                        <w:sdtPr>
                          <w:alias w:val="Numeris"/>
                          <w:tag w:val="nr_2d9c57ea409d437da2cf3cbba20f94ac"/>
                          <w:lock w:val="sdtLocked"/>
                          <w:richText/>
                        </w:sdtPr>
                        <w:sdtContent>
                          <w:r>
                            <w:rPr>
                              <w:color w:val="000000"/>
                            </w:rPr>
                            <w:t>5.4.5</w:t>
                          </w:r>
                        </w:sdtContent>
                      </w:sdt>
                      <w:r>
                        <w:rPr>
                          <w:color w:val="000000"/>
                        </w:rPr>
                        <w:t>. laiku atsiskaityti už suteiktas medicinos paslaugas sporto varžybų metu;</w:t>
                      </w:r>
                    </w:p>
                  </w:sdtContent>
                </w:sdt>
                <w:sdt>
                  <w:sdtPr>
                    <w:alias w:val="5 pr. 5.4.6 p."/>
                    <w:tag w:val="part_6f7e9fec47894b8ab9de696b5775c474"/>
                    <w:lock w:val="sdtLocked"/>
                    <w:richText/>
                  </w:sdtPr>
                  <w:sdtContent>
                    <w:p>
                      <w:pPr>
                        <w:widowControl w:val="0"/>
                        <w:suppressAutoHyphens/>
                        <w:ind w:firstLine="567"/>
                        <w:jc w:val="both"/>
                        <w:rPr>
                          <w:color w:val="000000"/>
                          <w:spacing w:val="-2"/>
                        </w:rPr>
                      </w:pPr>
                      <w:sdt>
                        <w:sdtPr>
                          <w:alias w:val="Numeris"/>
                          <w:tag w:val="nr_6f7e9fec47894b8ab9de696b5775c474"/>
                          <w:lock w:val="sdtLocked"/>
                          <w:richText/>
                        </w:sdtPr>
                        <w:sdtContent>
                          <w:r>
                            <w:rPr>
                              <w:color w:val="000000"/>
                              <w:spacing w:val="-2"/>
                            </w:rPr>
                            <w:t>5.4.6</w:t>
                          </w:r>
                        </w:sdtContent>
                      </w:sdt>
                      <w:r>
                        <w:rPr>
                          <w:color w:val="000000"/>
                          <w:spacing w:val="-2"/>
                        </w:rPr>
                        <w:t>. apmokėti įstaigai už sunaudotą tvarsliavą, įtvarus, medikamentus sporto varžybų metu, teikiant medicinos pagalbą.</w:t>
                      </w:r>
                    </w:p>
                  </w:sdtContent>
                </w:sdt>
              </w:sdtContent>
            </w:sdt>
            <w:sdt>
              <w:sdtPr>
                <w:alias w:val="5 pr. 5.5 p."/>
                <w:tag w:val="part_a26e03a627c64256a577a53e23f21174"/>
                <w:lock w:val="sdtLocked"/>
                <w:richText/>
              </w:sdtPr>
              <w:sdtContent>
                <w:p>
                  <w:pPr>
                    <w:widowControl w:val="0"/>
                    <w:suppressAutoHyphens/>
                    <w:ind w:firstLine="567"/>
                    <w:jc w:val="both"/>
                    <w:rPr>
                      <w:color w:val="000000"/>
                    </w:rPr>
                  </w:pPr>
                  <w:sdt>
                    <w:sdtPr>
                      <w:alias w:val="Numeris"/>
                      <w:tag w:val="nr_a26e03a627c64256a577a53e23f21174"/>
                      <w:lock w:val="sdtLocked"/>
                      <w:richText/>
                    </w:sdtPr>
                    <w:sdtContent>
                      <w:r>
                        <w:rPr>
                          <w:color w:val="000000"/>
                        </w:rPr>
                        <w:t>5.5</w:t>
                      </w:r>
                    </w:sdtContent>
                  </w:sdt>
                  <w:r>
                    <w:rPr>
                      <w:color w:val="000000"/>
                    </w:rPr>
                    <w:t>. Sporto renginius aptarnaujantis medicinos personalas privalo:</w:t>
                  </w:r>
                </w:p>
                <w:sdt>
                  <w:sdtPr>
                    <w:alias w:val="5 pr. 5.5.1 p."/>
                    <w:tag w:val="part_c8ceef2e9d824545987237f6fb9c383c"/>
                    <w:lock w:val="sdtLocked"/>
                    <w:richText/>
                  </w:sdtPr>
                  <w:sdtContent>
                    <w:p>
                      <w:pPr>
                        <w:widowControl w:val="0"/>
                        <w:suppressAutoHyphens/>
                        <w:ind w:firstLine="567"/>
                        <w:jc w:val="both"/>
                        <w:rPr>
                          <w:color w:val="000000"/>
                        </w:rPr>
                      </w:pPr>
                      <w:sdt>
                        <w:sdtPr>
                          <w:alias w:val="Numeris"/>
                          <w:tag w:val="nr_c8ceef2e9d824545987237f6fb9c383c"/>
                          <w:lock w:val="sdtLocked"/>
                          <w:richText/>
                        </w:sdtPr>
                        <w:sdtContent>
                          <w:r>
                            <w:rPr>
                              <w:color w:val="000000"/>
                            </w:rPr>
                            <w:t>5.5.1</w:t>
                          </w:r>
                        </w:sdtContent>
                      </w:sdt>
                      <w:r>
                        <w:rPr>
                          <w:color w:val="000000"/>
                        </w:rPr>
                        <w:t>. turėti pirmosios medicinos pagalbos medikamentus, tvarsliavą, įtvarus;</w:t>
                      </w:r>
                    </w:p>
                  </w:sdtContent>
                </w:sdt>
                <w:sdt>
                  <w:sdtPr>
                    <w:alias w:val="5 pr. 5.5.2 p."/>
                    <w:tag w:val="part_52c3120509e442f592886b224b1ba340"/>
                    <w:lock w:val="sdtLocked"/>
                    <w:richText/>
                  </w:sdtPr>
                  <w:sdtContent>
                    <w:p>
                      <w:pPr>
                        <w:widowControl w:val="0"/>
                        <w:suppressAutoHyphens/>
                        <w:ind w:firstLine="567"/>
                        <w:jc w:val="both"/>
                        <w:rPr>
                          <w:color w:val="000000"/>
                        </w:rPr>
                      </w:pPr>
                      <w:sdt>
                        <w:sdtPr>
                          <w:alias w:val="Numeris"/>
                          <w:tag w:val="nr_52c3120509e442f592886b224b1ba340"/>
                          <w:lock w:val="sdtLocked"/>
                          <w:richText/>
                        </w:sdtPr>
                        <w:sdtContent>
                          <w:r>
                            <w:rPr>
                              <w:color w:val="000000"/>
                            </w:rPr>
                            <w:t>5.5.2</w:t>
                          </w:r>
                        </w:sdtContent>
                      </w:sdt>
                      <w:r>
                        <w:rPr>
                          <w:color w:val="000000"/>
                        </w:rPr>
                        <w:t>. turėti aiškius skiriamuosius ženklus;</w:t>
                      </w:r>
                    </w:p>
                  </w:sdtContent>
                </w:sdt>
                <w:sdt>
                  <w:sdtPr>
                    <w:alias w:val="5 pr. 5.5.3 p."/>
                    <w:tag w:val="part_9884f1278be24316b77bbd965e2a5f6e"/>
                    <w:lock w:val="sdtLocked"/>
                    <w:richText/>
                  </w:sdtPr>
                  <w:sdtContent>
                    <w:p>
                      <w:pPr>
                        <w:widowControl w:val="0"/>
                        <w:suppressAutoHyphens/>
                        <w:ind w:firstLine="567"/>
                        <w:jc w:val="both"/>
                        <w:rPr>
                          <w:color w:val="000000"/>
                        </w:rPr>
                      </w:pPr>
                      <w:sdt>
                        <w:sdtPr>
                          <w:alias w:val="Numeris"/>
                          <w:tag w:val="nr_9884f1278be24316b77bbd965e2a5f6e"/>
                          <w:lock w:val="sdtLocked"/>
                          <w:richText/>
                        </w:sdtPr>
                        <w:sdtContent>
                          <w:r>
                            <w:rPr>
                              <w:color w:val="000000"/>
                            </w:rPr>
                            <w:t>5.5.3</w:t>
                          </w:r>
                        </w:sdtContent>
                      </w:sdt>
                      <w:r>
                        <w:rPr>
                          <w:color w:val="000000"/>
                        </w:rPr>
                        <w:t>. kvalifikuotai teikti neatidėliotiną medicinos pagalbą sporto varžybų metu;</w:t>
                      </w:r>
                    </w:p>
                  </w:sdtContent>
                </w:sdt>
                <w:sdt>
                  <w:sdtPr>
                    <w:alias w:val="5 pr. 5.5.4 p."/>
                    <w:tag w:val="part_9d052d96171a4523b90cc461ef3a4dec"/>
                    <w:lock w:val="sdtLocked"/>
                    <w:richText/>
                  </w:sdtPr>
                  <w:sdtContent>
                    <w:p>
                      <w:pPr>
                        <w:widowControl w:val="0"/>
                        <w:suppressAutoHyphens/>
                        <w:ind w:firstLine="567"/>
                        <w:jc w:val="both"/>
                        <w:rPr>
                          <w:color w:val="000000"/>
                        </w:rPr>
                      </w:pPr>
                      <w:sdt>
                        <w:sdtPr>
                          <w:alias w:val="Numeris"/>
                          <w:tag w:val="nr_9d052d96171a4523b90cc461ef3a4dec"/>
                          <w:lock w:val="sdtLocked"/>
                          <w:richText/>
                        </w:sdtPr>
                        <w:sdtContent>
                          <w:r>
                            <w:rPr>
                              <w:color w:val="000000"/>
                            </w:rPr>
                            <w:t>5.5.4</w:t>
                          </w:r>
                        </w:sdtContent>
                      </w:sdt>
                      <w:r>
                        <w:rPr>
                          <w:color w:val="000000"/>
                        </w:rPr>
                        <w:t>. registruoti sporto renginių metu įvykusias traumas bei susirgimus ir informuoti apie tai sporto renginių organizatorius, laiku pateikti informaciją (forma Nr. 062/a) medicinos personalą siuntusios asmens sveikatos priežiūros įstaigos vadovui ar atsakingam asmeniui;</w:t>
                      </w:r>
                    </w:p>
                  </w:sdtContent>
                </w:sdt>
                <w:sdt>
                  <w:sdtPr>
                    <w:alias w:val="5 pr. 5.5.5 p."/>
                    <w:tag w:val="part_8a1300d68761443f80d06a4c1fb3e792"/>
                    <w:lock w:val="sdtLocked"/>
                    <w:richText/>
                  </w:sdtPr>
                  <w:sdtContent>
                    <w:p>
                      <w:pPr>
                        <w:widowControl w:val="0"/>
                        <w:suppressAutoHyphens/>
                        <w:ind w:firstLine="567"/>
                        <w:jc w:val="both"/>
                        <w:rPr>
                          <w:color w:val="000000"/>
                        </w:rPr>
                      </w:pPr>
                      <w:sdt>
                        <w:sdtPr>
                          <w:alias w:val="Numeris"/>
                          <w:tag w:val="nr_8a1300d68761443f80d06a4c1fb3e792"/>
                          <w:lock w:val="sdtLocked"/>
                          <w:richText/>
                        </w:sdtPr>
                        <w:sdtContent>
                          <w:r>
                            <w:rPr>
                              <w:color w:val="000000"/>
                            </w:rPr>
                            <w:t>5.5.5</w:t>
                          </w:r>
                        </w:sdtContent>
                      </w:sdt>
                      <w:r>
                        <w:rPr>
                          <w:color w:val="000000"/>
                        </w:rPr>
                        <w:t>. apie sunkias sportines traumas (kaulų lūžimai, sąnarių išnirimai, raumenų ir sausgyslių nutrūkimai, galvos ir stuburo smegenų pažeidimas, vidaus organų pakenkimai), mirties atvejus sporto renginių metu pranešti (forma Nr. 062-1) Kūno kultūros ir sporto departamentui.</w:t>
                      </w:r>
                    </w:p>
                  </w:sdtContent>
                </w:sdt>
              </w:sdtContent>
            </w:sdt>
            <w:sdt>
              <w:sdtPr>
                <w:alias w:val="5 pr. 5.6 p."/>
                <w:tag w:val="part_b5063ee6b72b4417bd24978488055897"/>
                <w:lock w:val="sdtLocked"/>
                <w:richText/>
              </w:sdtPr>
              <w:sdtContent>
                <w:p>
                  <w:pPr>
                    <w:widowControl w:val="0"/>
                    <w:suppressAutoHyphens/>
                    <w:ind w:firstLine="567"/>
                    <w:jc w:val="both"/>
                    <w:rPr>
                      <w:color w:val="000000"/>
                    </w:rPr>
                  </w:pPr>
                  <w:sdt>
                    <w:sdtPr>
                      <w:alias w:val="Numeris"/>
                      <w:tag w:val="nr_b5063ee6b72b4417bd24978488055897"/>
                      <w:lock w:val="sdtLocked"/>
                      <w:richText/>
                    </w:sdtPr>
                    <w:sdtContent>
                      <w:r>
                        <w:rPr>
                          <w:color w:val="000000"/>
                        </w:rPr>
                        <w:t>5.6</w:t>
                      </w:r>
                    </w:sdtContent>
                  </w:sdt>
                  <w:r>
                    <w:rPr>
                      <w:color w:val="000000"/>
                    </w:rPr>
                    <w:t>. Sporto bazių, kuriose vyksta sporto renginiai, administracija visiškai atsako už jos patalpų, aikščių įrengimą ir inventoriaus kokybę bei saugumą sportuojančių asmenų ir žiūrovų sveikatai.</w:t>
                  </w:r>
                </w:p>
              </w:sdtContent>
            </w:sdt>
            <w:sdt>
              <w:sdtPr>
                <w:alias w:val="5 pr. 5.7 p."/>
                <w:tag w:val="part_3c05797def444c6b9ff5a10dd0e19950"/>
                <w:lock w:val="sdtLocked"/>
                <w:richText/>
              </w:sdtPr>
              <w:sdtContent>
                <w:p>
                  <w:pPr>
                    <w:widowControl w:val="0"/>
                    <w:suppressAutoHyphens/>
                    <w:ind w:firstLine="567"/>
                    <w:jc w:val="both"/>
                    <w:rPr>
                      <w:color w:val="000000"/>
                    </w:rPr>
                  </w:pPr>
                  <w:sdt>
                    <w:sdtPr>
                      <w:alias w:val="Numeris"/>
                      <w:tag w:val="nr_3c05797def444c6b9ff5a10dd0e19950"/>
                      <w:lock w:val="sdtLocked"/>
                      <w:richText/>
                    </w:sdtPr>
                    <w:sdtContent>
                      <w:r>
                        <w:rPr>
                          <w:color w:val="000000"/>
                        </w:rPr>
                        <w:t>5.7</w:t>
                      </w:r>
                    </w:sdtContent>
                  </w:sdt>
                  <w:r>
                    <w:rPr>
                      <w:color w:val="000000"/>
                    </w:rPr>
                    <w:t>. Jei medicinos personalo darbuotojas yra sporto bazės darbuotojas, jis privalo turėti pirmosios medicinos pagalbos medikamentus, tvarsliavą, įtvarus bei teikti neatidėliotiną medicinos pagalbą pagal savo kompetenciją.</w:t>
                  </w:r>
                </w:p>
              </w:sdtContent>
            </w:sdt>
            <w:sdt>
              <w:sdtPr>
                <w:alias w:val="5 pr. 5.8 p."/>
                <w:tag w:val="part_395f82fcf2e549cfb0604d0044543a7f"/>
                <w:lock w:val="sdtLocked"/>
                <w:richText/>
              </w:sdtPr>
              <w:sdtContent>
                <w:p>
                  <w:pPr>
                    <w:widowControl w:val="0"/>
                    <w:suppressAutoHyphens/>
                    <w:ind w:firstLine="567"/>
                    <w:jc w:val="both"/>
                    <w:rPr>
                      <w:color w:val="000000"/>
                      <w:spacing w:val="-2"/>
                    </w:rPr>
                  </w:pPr>
                  <w:sdt>
                    <w:sdtPr>
                      <w:alias w:val="Numeris"/>
                      <w:tag w:val="nr_395f82fcf2e549cfb0604d0044543a7f"/>
                      <w:lock w:val="sdtLocked"/>
                      <w:richText/>
                    </w:sdtPr>
                    <w:sdtContent>
                      <w:r>
                        <w:rPr>
                          <w:color w:val="000000"/>
                          <w:spacing w:val="-2"/>
                        </w:rPr>
                        <w:t>5.8</w:t>
                      </w:r>
                    </w:sdtContent>
                  </w:sdt>
                  <w:r>
                    <w:rPr>
                      <w:color w:val="000000"/>
                      <w:spacing w:val="-2"/>
                    </w:rPr>
                    <w:t>. Sporto bazės budėtojas (ne medicinos darbuotojas) privalo turėti pirmosios pagalbos priemonių vaistinėlę, neštuvus.</w:t>
                  </w:r>
                </w:p>
              </w:sdtContent>
            </w:sdt>
            <w:sdt>
              <w:sdtPr>
                <w:alias w:val="5 pr. 5.9 p."/>
                <w:tag w:val="part_d649c601636c451bad0f44e208fc1ec7"/>
                <w:lock w:val="sdtLocked"/>
                <w:richText/>
              </w:sdtPr>
              <w:sdtContent>
                <w:p>
                  <w:pPr>
                    <w:widowControl w:val="0"/>
                    <w:suppressAutoHyphens/>
                    <w:ind w:firstLine="567"/>
                    <w:jc w:val="both"/>
                    <w:rPr>
                      <w:color w:val="000000"/>
                    </w:rPr>
                  </w:pPr>
                  <w:sdt>
                    <w:sdtPr>
                      <w:alias w:val="Numeris"/>
                      <w:tag w:val="nr_d649c601636c451bad0f44e208fc1ec7"/>
                      <w:lock w:val="sdtLocked"/>
                      <w:richText/>
                    </w:sdtPr>
                    <w:sdtContent>
                      <w:r>
                        <w:rPr>
                          <w:color w:val="000000"/>
                        </w:rPr>
                        <w:t>5.9</w:t>
                      </w:r>
                    </w:sdtContent>
                  </w:sdt>
                  <w:r>
                    <w:rPr>
                      <w:color w:val="000000"/>
                    </w:rPr>
                    <w:t>. Pagal kiekvienos sporto šakos ar atskiros jos rungties sveikatos pažeidimo rizikos laipsnį skiriamas reikalingas medicinos personalas. Sporto šakos pagal pažeidimo lygį skirstomos į aukštos rizikos, vidutinės ir žemos rizikos:</w:t>
                  </w:r>
                </w:p>
                <w:sdt>
                  <w:sdtPr>
                    <w:alias w:val="5 pr. 5.9.1 p."/>
                    <w:tag w:val="part_33fcec917a034b4a8adf80c0aba9328e"/>
                    <w:lock w:val="sdtLocked"/>
                    <w:richText/>
                  </w:sdtPr>
                  <w:sdtContent>
                    <w:p>
                      <w:pPr>
                        <w:widowControl w:val="0"/>
                        <w:suppressAutoHyphens/>
                        <w:ind w:firstLine="567"/>
                        <w:jc w:val="both"/>
                        <w:rPr>
                          <w:color w:val="000000"/>
                        </w:rPr>
                      </w:pPr>
                      <w:sdt>
                        <w:sdtPr>
                          <w:alias w:val="Numeris"/>
                          <w:tag w:val="nr_33fcec917a034b4a8adf80c0aba9328e"/>
                          <w:lock w:val="sdtLocked"/>
                          <w:richText/>
                        </w:sdtPr>
                        <w:sdtContent>
                          <w:r>
                            <w:rPr>
                              <w:color w:val="000000"/>
                            </w:rPr>
                            <w:t>5.9.1</w:t>
                          </w:r>
                        </w:sdtContent>
                      </w:sdt>
                      <w:r>
                        <w:rPr>
                          <w:color w:val="000000"/>
                        </w:rPr>
                        <w:t>. Aukštos rizikos sporto šakos:</w:t>
                      </w:r>
                    </w:p>
                    <w:p>
                      <w:pPr>
                        <w:widowControl w:val="0"/>
                        <w:suppressAutoHyphens/>
                        <w:ind w:firstLine="567"/>
                        <w:jc w:val="both"/>
                        <w:rPr>
                          <w:color w:val="000000"/>
                        </w:rPr>
                      </w:pPr>
                      <w:r>
                        <w:rPr>
                          <w:color w:val="000000"/>
                        </w:rPr>
                        <w:t>Lengvoji atletika (maratonas, 30 km ir 50 km ėjimas, šuoliai su kartimi), boksas, šuoliai į vandenį, dviračių sportas, žirgų sportas (trikovė), fechtavimas, žolės riedulys, sportinė gimnastika, rankinis, ledo ritulys, dziudo, šiuolaikinė penkiakovė (jojimas), čiuožimas (dailusis, greitasis ir trumpasis), kalnų slidinėjimas (slalomas, šuoliai nuo tramplyno ir su snieglente), futbolas, regbis, karatė, taikvando, triatlonas, vandensvydis, sunkioji atletika, imtynės.</w:t>
                      </w:r>
                    </w:p>
                    <w:p>
                      <w:pPr>
                        <w:widowControl w:val="0"/>
                        <w:suppressAutoHyphens/>
                        <w:ind w:firstLine="567"/>
                        <w:jc w:val="both"/>
                        <w:rPr>
                          <w:color w:val="000000"/>
                        </w:rPr>
                      </w:pPr>
                      <w:r>
                        <w:rPr>
                          <w:color w:val="000000"/>
                        </w:rPr>
                        <w:t>Šių sporto varžybų medicininiam aptarnavimui rekomenduojamas minimalus medicinos personalo skaičius – 1 gydytojas, greitosios pagalbos automobilis su medicinos personalo brigada.</w:t>
                      </w:r>
                    </w:p>
                  </w:sdtContent>
                </w:sdt>
                <w:sdt>
                  <w:sdtPr>
                    <w:alias w:val="5 pr. 5.9.2 p."/>
                    <w:tag w:val="part_916854d8e0fb421d997646c3e063e560"/>
                    <w:lock w:val="sdtLocked"/>
                    <w:richText/>
                  </w:sdtPr>
                  <w:sdtContent>
                    <w:p>
                      <w:pPr>
                        <w:widowControl w:val="0"/>
                        <w:suppressAutoHyphens/>
                        <w:ind w:firstLine="567"/>
                        <w:jc w:val="both"/>
                        <w:rPr>
                          <w:color w:val="000000"/>
                        </w:rPr>
                      </w:pPr>
                      <w:sdt>
                        <w:sdtPr>
                          <w:alias w:val="Numeris"/>
                          <w:tag w:val="nr_916854d8e0fb421d997646c3e063e560"/>
                          <w:lock w:val="sdtLocked"/>
                          <w:richText/>
                        </w:sdtPr>
                        <w:sdtContent>
                          <w:r>
                            <w:rPr>
                              <w:color w:val="000000"/>
                            </w:rPr>
                            <w:t>5.9.2</w:t>
                          </w:r>
                        </w:sdtContent>
                      </w:sdt>
                      <w:r>
                        <w:rPr>
                          <w:color w:val="000000"/>
                        </w:rPr>
                        <w:t>. Vidutinės rizikos sporto šakos:</w:t>
                      </w:r>
                    </w:p>
                    <w:p>
                      <w:pPr>
                        <w:widowControl w:val="0"/>
                        <w:suppressAutoHyphens/>
                        <w:ind w:firstLine="567"/>
                        <w:jc w:val="both"/>
                        <w:rPr>
                          <w:color w:val="000000"/>
                        </w:rPr>
                      </w:pPr>
                      <w:r>
                        <w:rPr>
                          <w:color w:val="000000"/>
                        </w:rPr>
                        <w:t>Lengvoji atletika (išskyrus maratoną, 30 km, 50 km ėjimą, šuolį su kartimi), badmintonas, krepšinis, biatlonas, bobslėjus, rogučių sportas, slidinėjimas, baidarių-kanojų akademinis irklavimas, tenisas, buriavimas, tinklinis.</w:t>
                      </w:r>
                    </w:p>
                    <w:p>
                      <w:pPr>
                        <w:widowControl w:val="0"/>
                        <w:suppressAutoHyphens/>
                        <w:ind w:firstLine="567"/>
                        <w:jc w:val="both"/>
                        <w:rPr>
                          <w:color w:val="000000"/>
                        </w:rPr>
                      </w:pPr>
                      <w:r>
                        <w:rPr>
                          <w:color w:val="000000"/>
                        </w:rPr>
                        <w:t>Šių sporto varžybų medicininiam aptarnavimui rekomenduojama minimalus medicinos personalo skaičius – 1 gydytojas, 1 slaugytoja ir galimybė iškviesti greitosios pagalbos automobilį bei jam privažiuoti. Papildomai, atsižvelgiant į dalyvių skaičių, gali būti slaugytojų, kineziterapeutų, turinčių tvarstymo įgūdžių, masažuotojų.</w:t>
                      </w:r>
                    </w:p>
                  </w:sdtContent>
                </w:sdt>
                <w:sdt>
                  <w:sdtPr>
                    <w:alias w:val="5 pr. 5.9.3 p."/>
                    <w:tag w:val="part_49d26e4cf43a4c7492580fa09e97ba8a"/>
                    <w:lock w:val="sdtLocked"/>
                    <w:richText/>
                  </w:sdtPr>
                  <w:sdtContent>
                    <w:p>
                      <w:pPr>
                        <w:widowControl w:val="0"/>
                        <w:suppressAutoHyphens/>
                        <w:ind w:firstLine="567"/>
                        <w:jc w:val="both"/>
                        <w:rPr>
                          <w:color w:val="000000"/>
                        </w:rPr>
                      </w:pPr>
                      <w:sdt>
                        <w:sdtPr>
                          <w:alias w:val="Numeris"/>
                          <w:tag w:val="nr_49d26e4cf43a4c7492580fa09e97ba8a"/>
                          <w:lock w:val="sdtLocked"/>
                          <w:richText/>
                        </w:sdtPr>
                        <w:sdtContent>
                          <w:r>
                            <w:rPr>
                              <w:color w:val="000000"/>
                            </w:rPr>
                            <w:t>5.9.3</w:t>
                          </w:r>
                        </w:sdtContent>
                      </w:sdt>
                      <w:r>
                        <w:rPr>
                          <w:color w:val="000000"/>
                        </w:rPr>
                        <w:t>. Žemos rizikos sporto šakos:</w:t>
                      </w:r>
                    </w:p>
                    <w:p>
                      <w:pPr>
                        <w:widowControl w:val="0"/>
                        <w:suppressAutoHyphens/>
                        <w:ind w:firstLine="567"/>
                        <w:jc w:val="both"/>
                        <w:rPr>
                          <w:color w:val="000000"/>
                        </w:rPr>
                      </w:pPr>
                      <w:r>
                        <w:rPr>
                          <w:color w:val="000000"/>
                        </w:rPr>
                        <w:t>Nekontaktinės sporto šakos, tokios kaip šaudymas iš lanko, šaudymas, sinchroninis plaukimas, plaukimas, stalo tenisas. Šių sporto varžybų medicininiam aptarnavimui rekomenduojamas minimalus medicinos personalo skaičius – 1 slaugytoja ir galimybė iškviesti greitosios pagalbos automobilį. Papildomai gali būti kineziterapeutų, masažuotojų.</w:t>
                      </w:r>
                    </w:p>
                  </w:sdtContent>
                </w:sdt>
                <w:sdt>
                  <w:sdtPr>
                    <w:alias w:val="5 pr. 5.9.4 p."/>
                    <w:tag w:val="part_663374bfc32a49f6883e1cb55afbecc7"/>
                    <w:lock w:val="sdtLocked"/>
                    <w:richText/>
                  </w:sdtPr>
                  <w:sdtContent>
                    <w:p>
                      <w:pPr>
                        <w:widowControl w:val="0"/>
                        <w:suppressAutoHyphens/>
                        <w:ind w:firstLine="567"/>
                        <w:jc w:val="both"/>
                        <w:rPr>
                          <w:color w:val="000000"/>
                        </w:rPr>
                      </w:pPr>
                      <w:sdt>
                        <w:sdtPr>
                          <w:alias w:val="Numeris"/>
                          <w:tag w:val="nr_663374bfc32a49f6883e1cb55afbecc7"/>
                          <w:lock w:val="sdtLocked"/>
                          <w:richText/>
                        </w:sdtPr>
                        <w:sdtContent>
                          <w:r>
                            <w:rPr>
                              <w:color w:val="000000"/>
                            </w:rPr>
                            <w:t>5.9.4</w:t>
                          </w:r>
                        </w:sdtContent>
                      </w:sdt>
                      <w:r>
                        <w:rPr>
                          <w:color w:val="000000"/>
                        </w:rPr>
                        <w:t>. Kitos sporto šakos:</w:t>
                      </w:r>
                    </w:p>
                    <w:p>
                      <w:pPr>
                        <w:widowControl w:val="0"/>
                        <w:suppressAutoHyphens/>
                        <w:ind w:firstLine="567"/>
                        <w:jc w:val="both"/>
                        <w:rPr>
                          <w:color w:val="000000"/>
                        </w:rPr>
                      </w:pPr>
                      <w:r>
                        <w:rPr>
                          <w:color w:val="000000"/>
                        </w:rPr>
                        <w:t>Varžybos negali vykti be medicinos personalo. Kiekvieno renginio metu privalo būti asmuo, sugebantis teikti neatidėliotiną medicinos pagalbą.</w:t>
                      </w:r>
                    </w:p>
                  </w:sdtContent>
                </w:sdt>
              </w:sdtContent>
            </w:sdt>
            <w:sdt>
              <w:sdtPr>
                <w:alias w:val="5 pr. 5.10 p."/>
                <w:tag w:val="part_e3ffaf5ce6fa4074b7128b25da425da1"/>
                <w:lock w:val="sdtLocked"/>
                <w:richText/>
              </w:sdtPr>
              <w:sdtContent>
                <w:p>
                  <w:pPr>
                    <w:widowControl w:val="0"/>
                    <w:suppressAutoHyphens/>
                    <w:ind w:firstLine="567"/>
                    <w:jc w:val="both"/>
                    <w:rPr>
                      <w:color w:val="000000"/>
                    </w:rPr>
                  </w:pPr>
                  <w:sdt>
                    <w:sdtPr>
                      <w:alias w:val="Numeris"/>
                      <w:tag w:val="nr_e3ffaf5ce6fa4074b7128b25da425da1"/>
                      <w:lock w:val="sdtLocked"/>
                      <w:richText/>
                    </w:sdtPr>
                    <w:sdtContent>
                      <w:r>
                        <w:rPr>
                          <w:color w:val="000000"/>
                        </w:rPr>
                        <w:t>5.10</w:t>
                      </w:r>
                    </w:sdtContent>
                  </w:sdt>
                  <w:r>
                    <w:rPr>
                      <w:color w:val="000000"/>
                    </w:rPr>
                    <w:t>. Vykdant didelių sporto renginių medicininį aptarnavimą, būtina atsižvelgti į dalyvių bei galimų žiūrovų skaičių. Rekomenduotina prieš tokias varžybas medicinos atstovams kartu su varžybų organizatoriais aptarti medicinos personalo skaičių ir galimos medicinos pagalbos teikimo mastą. Labai svarbu užtikrinti neatidėliotinos medicinos pagalbos suteikimą bei evakuaciją tokių renginių atidarymų bei uždarymų metu, ypač jei jie vyksta šaltu ar karštu oru. Tam turi būti organizuotos padėjėjų iš sporto darbuotojų brigados.</w:t>
                  </w:r>
                </w:p>
              </w:sdtContent>
            </w:sdt>
            <w:sdt>
              <w:sdtPr>
                <w:alias w:val="5 pr. 5.11 p."/>
                <w:tag w:val="part_de10a88f08674aff90545f28d0ef20fc"/>
                <w:lock w:val="sdtLocked"/>
                <w:richText/>
              </w:sdtPr>
              <w:sdtContent>
                <w:p>
                  <w:pPr>
                    <w:widowControl w:val="0"/>
                    <w:suppressAutoHyphens/>
                    <w:ind w:firstLine="567"/>
                    <w:jc w:val="both"/>
                    <w:rPr>
                      <w:color w:val="000000"/>
                    </w:rPr>
                  </w:pPr>
                  <w:sdt>
                    <w:sdtPr>
                      <w:alias w:val="Numeris"/>
                      <w:tag w:val="nr_de10a88f08674aff90545f28d0ef20fc"/>
                      <w:lock w:val="sdtLocked"/>
                      <w:richText/>
                    </w:sdtPr>
                    <w:sdtContent>
                      <w:r>
                        <w:rPr>
                          <w:color w:val="000000"/>
                        </w:rPr>
                        <w:t>5.11</w:t>
                      </w:r>
                    </w:sdtContent>
                  </w:sdt>
                  <w:r>
                    <w:rPr>
                      <w:color w:val="000000"/>
                    </w:rPr>
                    <w:t>. Techninių sporto šakų varžybose (automobilių, motokroso, kartingų, laivų, aviacijos sporto, parašiutų sporto ir kt.), privalo būti greitosios medicinos pagalbos automobiliai su medikų brigadomis. Jų skaičius ir išdėstymas varžybų metų priklauso nuo sporto šakos.</w:t>
                  </w:r>
                </w:p>
              </w:sdtContent>
            </w:sdt>
            <w:sdt>
              <w:sdtPr>
                <w:alias w:val="5 pr. 5.12 p."/>
                <w:tag w:val="part_641de453e23e47a78b33cf8d3e5ae9df"/>
                <w:lock w:val="sdtLocked"/>
                <w:richText/>
              </w:sdtPr>
              <w:sdtContent>
                <w:p>
                  <w:pPr>
                    <w:keepNext/>
                    <w:keepLines/>
                    <w:pageBreakBefore/>
                    <w:widowControl w:val="0"/>
                    <w:suppressAutoHyphens/>
                    <w:ind w:firstLine="567"/>
                    <w:jc w:val="both"/>
                    <w:rPr>
                      <w:color w:val="000000"/>
                    </w:rPr>
                  </w:pPr>
                  <w:sdt>
                    <w:sdtPr>
                      <w:alias w:val="Numeris"/>
                      <w:tag w:val="nr_641de453e23e47a78b33cf8d3e5ae9df"/>
                      <w:lock w:val="sdtLocked"/>
                      <w:richText/>
                    </w:sdtPr>
                    <w:sdtContent>
                      <w:r>
                        <w:rPr>
                          <w:color w:val="000000"/>
                        </w:rPr>
                        <w:t>5.12</w:t>
                      </w:r>
                    </w:sdtContent>
                  </w:sdt>
                  <w:r>
                    <w:rPr>
                      <w:color w:val="000000"/>
                    </w:rPr>
                    <w:t xml:space="preserve">. Medicinos personalas, teikiantis medicinos pagalbą sporto varžybų metu, privalo turėti pirmosios medicinos pagalbos priemones, vadovaujantis Lietuvos Respublikos sveikatos apsaugos ministro 2003 m. liepos 11 d. įsakyme Nr. V-450 „Dėl sveikatos priežiūros ir farmacijos specialistų kompetencijos teikiant pirmąją medicinos pagalbą, pirmosios medicinos pagalbos vaistinėlių ir pirmosios pagalbos rinkinių“ (Žin., 2003, Nr. </w:t>
                  </w:r>
                  <w:hyperlink r:id="rId87" w:tgtFrame="_blank" w:history="1">
                    <w:r>
                      <w:rPr>
                        <w:color w:val="0000FF" w:themeColor="hyperlink"/>
                        <w:u w:val="single"/>
                      </w:rPr>
                      <w:t>79-3605</w:t>
                    </w:r>
                  </w:hyperlink>
                  <w:r>
                    <w:rPr>
                      <w:color w:val="000000"/>
                    </w:rPr>
                    <w:t>) pateiktais pirmosios medicinos pagalbos vaistinėlių ir pirmosios pagalbos rinkinių aprašymais.</w:t>
                  </w:r>
                </w:p>
                <w:p/>
              </w:sdtContent>
            </w:sdt>
          </w:sdtContent>
        </w:sdt>
        <w:sdt>
          <w:sdtPr>
            <w:alias w:val="pabaiga"/>
            <w:tag w:val="part_ca9e1f2e6aef4f108650d0708e1a4791"/>
            <w:lock w:val="sdtLocked"/>
            <w:richText/>
          </w:sdtPr>
          <w:sdtContent>
            <w:p>
              <w:pPr>
                <w:jc w:val="center"/>
                <w:rPr>
                  <w:color w:val="000000"/>
                </w:rPr>
              </w:pPr>
              <w:r>
                <w:t>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A050BC6517F">
            <w:r w:rsidRPr="00532B9F">
              <w:rPr>
                <w:rFonts w:ascii="Times New Roman" w:eastAsia="MS Mincho" w:hAnsi="Times New Roman"/>
                <w:sz w:val="20"/>
                <w:i/>
                <w:iCs/>
                <w:color w:val="0000FF" w:themeColor="hyperlink"/>
                <w:u w:val="single"/>
              </w:rPr>
              <w:t>V-184</w:t>
            </w:r>
          </w:fldSimple>
          <w:r>
            <w:rPr>
              <w:rFonts w:ascii="Times New Roman" w:eastAsia="MS Mincho" w:hAnsi="Times New Roman"/>
              <w:sz w:val="20"/>
              <w:i/>
              <w:iCs/>
            </w:rPr>
            <w:t>,
2011-02-28,
Žin., 2011, Nr.
29-1370 (2011-03-08), i. k. 1112250ISAK000V-184            </w:t>
          </w:r>
        </w:p>
        <w:p/>
      </w:sdtContent>
    </w:sdt>
    <w:sdt>
      <w:sdtPr>
        <w:alias w:val="pr."/>
        <w:tag w:val="part_e8a2e8c2ee184b4ca735be8a810442a7"/>
        <w:lock w:val="sdtLocked"/>
        <w:richText/>
      </w:sdtPr>
      <w:sdtContent>
        <w:p>
          <w:pPr>
            <w:ind w:firstLine="5387"/>
          </w:pPr>
        </w:p>
        <w:p>
          <w:pPr>
            <w:sectPr>
              <w:pgSz w:w="11907" w:h="16840" w:code="9"/>
              <w:pgMar w:top="1134" w:right="1134" w:bottom="1134" w:left="1701" w:header="567" w:footer="567" w:gutter="0"/>
              <w:cols w:space="1296"/>
              <w:titlePg/>
              <w:docGrid w:linePitch="360"/>
            </w:sectPr>
          </w:pPr>
        </w:p>
        <w:p>
          <w:pPr>
            <w:ind w:left="3894"/>
            <w:rPr>
              <w:bCs/>
              <w:caps/>
              <w:szCs w:val="24"/>
            </w:rPr>
          </w:pPr>
          <w:r>
            <w:rPr>
              <w:bCs/>
              <w:caps/>
              <w:szCs w:val="24"/>
            </w:rPr>
            <w:t>PATVIRTINTA</w:t>
          </w:r>
        </w:p>
        <w:p>
          <w:pPr>
            <w:ind w:left="3894"/>
            <w:rPr>
              <w:bCs/>
              <w:szCs w:val="24"/>
            </w:rPr>
          </w:pPr>
          <w:r>
            <w:rPr>
              <w:bCs/>
              <w:szCs w:val="24"/>
            </w:rPr>
            <w:t xml:space="preserve">Lietuvos Respublikos </w:t>
          </w:r>
        </w:p>
        <w:p>
          <w:pPr>
            <w:ind w:left="3894"/>
            <w:rPr>
              <w:bCs/>
              <w:szCs w:val="24"/>
            </w:rPr>
          </w:pPr>
          <w:r>
            <w:rPr>
              <w:bCs/>
              <w:szCs w:val="24"/>
            </w:rPr>
            <w:t>sveikatos</w:t>
          </w:r>
          <w:r>
            <w:rPr>
              <w:bCs/>
              <w:caps/>
              <w:szCs w:val="24"/>
            </w:rPr>
            <w:t xml:space="preserve"> </w:t>
          </w:r>
          <w:r>
            <w:rPr>
              <w:bCs/>
              <w:szCs w:val="24"/>
            </w:rPr>
            <w:t>apsaugos ministro</w:t>
          </w:r>
        </w:p>
        <w:p>
          <w:pPr>
            <w:ind w:left="3894"/>
            <w:rPr>
              <w:bCs/>
              <w:szCs w:val="24"/>
            </w:rPr>
          </w:pPr>
          <w:r>
            <w:rPr>
              <w:bCs/>
              <w:szCs w:val="24"/>
            </w:rPr>
            <w:t>2000 m. gegužės 31 d. įsakymu Nr. 301</w:t>
          </w:r>
        </w:p>
        <w:p>
          <w:pPr>
            <w:ind w:left="3894"/>
            <w:rPr>
              <w:bCs/>
              <w:szCs w:val="24"/>
            </w:rPr>
          </w:pPr>
          <w:r>
            <w:rPr>
              <w:bCs/>
              <w:szCs w:val="24"/>
            </w:rPr>
            <w:t xml:space="preserve">(Lietuvos Respublikos </w:t>
          </w:r>
        </w:p>
        <w:p>
          <w:pPr>
            <w:ind w:left="3894"/>
            <w:rPr>
              <w:bCs/>
              <w:szCs w:val="24"/>
            </w:rPr>
          </w:pPr>
          <w:r>
            <w:rPr>
              <w:bCs/>
              <w:szCs w:val="24"/>
            </w:rPr>
            <w:t xml:space="preserve">sveikatos apsaugos ministro </w:t>
          </w:r>
        </w:p>
        <w:p>
          <w:pPr>
            <w:ind w:left="3894"/>
            <w:rPr>
              <w:bCs/>
              <w:szCs w:val="24"/>
            </w:rPr>
          </w:pPr>
          <w:r>
            <w:rPr>
              <w:bCs/>
              <w:szCs w:val="24"/>
            </w:rPr>
            <w:t xml:space="preserve">2015 m. rugpjūčio 11 d. įsakymo </w:t>
          </w:r>
        </w:p>
        <w:p>
          <w:pPr>
            <w:ind w:left="3894"/>
            <w:rPr>
              <w:bCs/>
              <w:szCs w:val="24"/>
            </w:rPr>
          </w:pPr>
          <w:r>
            <w:rPr>
              <w:bCs/>
              <w:szCs w:val="24"/>
            </w:rPr>
            <w:t xml:space="preserve">Nr. V-943  redakcija)</w:t>
          </w:r>
        </w:p>
        <w:p>
          <w:pPr>
            <w:ind w:firstLine="4395"/>
            <w:rPr>
              <w:b/>
              <w:bCs/>
              <w:caps/>
              <w:color w:val="FF0000"/>
              <w:szCs w:val="24"/>
            </w:rPr>
          </w:pPr>
        </w:p>
        <w:p>
          <w:pPr>
            <w:jc w:val="center"/>
            <w:rPr>
              <w:rFonts w:ascii="TimesLT" w:hAnsi="TimesLT"/>
              <w:b/>
              <w:bCs/>
              <w:caps/>
              <w:sz w:val="20"/>
              <w:lang w:val="en-US"/>
            </w:rPr>
          </w:pPr>
          <w:sdt>
            <w:sdtPr>
              <w:alias w:val="Pavadinimas"/>
              <w:tag w:val="title_e8a2e8c2ee184b4ca735be8a810442a7"/>
              <w:lock w:val="sdtLocked"/>
              <w:richText/>
            </w:sdtPr>
            <w:sdtContent>
              <w:r>
                <w:rPr>
                  <w:b/>
                  <w:bCs/>
                  <w:caps/>
                  <w:szCs w:val="24"/>
                  <w:lang w:val="en-US"/>
                </w:rPr>
                <w:t>NEINFEKCINIŲ LIGŲ PROFILAKTIKOS IR KONTROLĖS TVARKA</w:t>
              </w:r>
            </w:sdtContent>
          </w:sdt>
        </w:p>
        <w:p>
          <w:pPr>
            <w:ind w:left="1080"/>
            <w:rPr>
              <w:b/>
              <w:bCs/>
              <w:caps/>
              <w:szCs w:val="24"/>
            </w:rPr>
          </w:pPr>
        </w:p>
        <w:sdt>
          <w:sdtPr>
            <w:alias w:val="pr. 1 p."/>
            <w:tag w:val="part_f4fd4f1b74e5432ea05fd0b05d5a3334"/>
            <w:lock w:val="sdtLocked"/>
            <w:richText/>
          </w:sdtPr>
          <w:sdtContent>
            <w:p>
              <w:pPr>
                <w:ind w:firstLine="312"/>
                <w:jc w:val="both"/>
                <w:rPr>
                  <w:szCs w:val="24"/>
                </w:rPr>
              </w:pPr>
              <w:sdt>
                <w:sdtPr>
                  <w:alias w:val="Numeris"/>
                  <w:tag w:val="nr_f4fd4f1b74e5432ea05fd0b05d5a3334"/>
                  <w:lock w:val="sdtLocked"/>
                  <w:richText/>
                </w:sdtPr>
                <w:sdtContent>
                  <w:r>
                    <w:rPr>
                      <w:szCs w:val="24"/>
                    </w:rPr>
                    <w:t>1</w:t>
                  </w:r>
                </w:sdtContent>
              </w:sdt>
              <w:r>
                <w:rPr>
                  <w:szCs w:val="24"/>
                </w:rPr>
                <w:t xml:space="preserve">. Neinfekcinių ligų profilaktikos ir kontrolės tvarka (toliau – Tvarka) nustato įvairaus amžiaus grupių asmenų sveikatos tyrimų, vykdant neinfekcinių ligų profilaktiką ir kontrolę, apimtį ir dažnį. </w:t>
              </w:r>
            </w:p>
          </w:sdtContent>
        </w:sdt>
        <w:sdt>
          <w:sdtPr>
            <w:alias w:val="pr. 2 p."/>
            <w:tag w:val="part_c3dd475fe76c46b99769af8cd74957a1"/>
            <w:lock w:val="sdtLocked"/>
            <w:richText/>
          </w:sdtPr>
          <w:sdtContent>
            <w:p>
              <w:pPr>
                <w:ind w:firstLine="312"/>
                <w:jc w:val="both"/>
                <w:rPr>
                  <w:szCs w:val="24"/>
                </w:rPr>
              </w:pPr>
              <w:sdt>
                <w:sdtPr>
                  <w:alias w:val="Numeris"/>
                  <w:tag w:val="nr_c3dd475fe76c46b99769af8cd74957a1"/>
                  <w:lock w:val="sdtLocked"/>
                  <w:richText/>
                </w:sdtPr>
                <w:sdtContent>
                  <w:r>
                    <w:rPr>
                      <w:szCs w:val="24"/>
                    </w:rPr>
                    <w:t>2</w:t>
                  </w:r>
                </w:sdtContent>
              </w:sdt>
              <w:r>
                <w:rPr>
                  <w:szCs w:val="24"/>
                </w:rPr>
                <w:t>.</w:t>
              </w:r>
              <w:r>
                <w:rPr>
                  <w:b/>
                  <w:bCs/>
                  <w:szCs w:val="24"/>
                </w:rPr>
                <w:t xml:space="preserve"> </w:t>
              </w:r>
              <w:r>
                <w:rPr>
                  <w:szCs w:val="24"/>
                </w:rPr>
                <w:t>Tvarkoje nustatyti tyrimai atliekami atsižvelgiant į asmenų amžiaus grupes.</w:t>
              </w:r>
            </w:p>
          </w:sdtContent>
        </w:sdt>
        <w:sdt>
          <w:sdtPr>
            <w:alias w:val="pr. 3 p."/>
            <w:tag w:val="part_351e11271719482896ddc0794d9f87ea"/>
            <w:lock w:val="sdtLocked"/>
            <w:richText/>
          </w:sdtPr>
          <w:sdtContent>
            <w:p>
              <w:pPr>
                <w:tabs>
                  <w:tab w:val="left" w:pos="426"/>
                  <w:tab w:val="left" w:pos="6050"/>
                </w:tabs>
                <w:ind w:firstLine="312"/>
                <w:jc w:val="both"/>
                <w:rPr>
                  <w:szCs w:val="24"/>
                  <w:lang w:val="en-US"/>
                </w:rPr>
              </w:pPr>
              <w:sdt>
                <w:sdtPr>
                  <w:alias w:val="Numeris"/>
                  <w:tag w:val="nr_351e11271719482896ddc0794d9f87ea"/>
                  <w:lock w:val="sdtLocked"/>
                  <w:richText/>
                </w:sdtPr>
                <w:sdtContent>
                  <w:r>
                    <w:rPr>
                      <w:szCs w:val="24"/>
                    </w:rPr>
                    <w:t>3</w:t>
                  </w:r>
                </w:sdtContent>
              </w:sdt>
              <w:r>
                <w:rPr>
                  <w:szCs w:val="24"/>
                </w:rPr>
                <w:t xml:space="preserve">. </w:t>
              </w:r>
              <w:r>
                <w:rPr>
                  <w:szCs w:val="24"/>
                  <w:lang w:val="en-US"/>
                </w:rPr>
                <w:t>Tvarkos 5.1</w:t>
              </w:r>
              <w:r>
                <w:rPr>
                  <w:rFonts w:ascii="TimesLT" w:hAnsi="TimesLT"/>
                  <w:sz w:val="20"/>
                  <w:lang w:val="en-US"/>
                </w:rPr>
                <w:t>–</w:t>
              </w:r>
              <w:r>
                <w:rPr>
                  <w:szCs w:val="24"/>
                  <w:lang w:val="en-US"/>
                </w:rPr>
                <w:t>5.7, 5.13</w:t>
              </w:r>
              <w:r>
                <w:rPr>
                  <w:rFonts w:ascii="TimesLT" w:hAnsi="TimesLT"/>
                  <w:sz w:val="20"/>
                  <w:lang w:val="en-US"/>
                </w:rPr>
                <w:t>–</w:t>
              </w:r>
              <w:r>
                <w:rPr>
                  <w:szCs w:val="24"/>
                  <w:lang w:val="en-US"/>
                </w:rPr>
                <w:t>5.17 papunčiuose numatytus tyrimus pagal kompetenciją atlieka šeimos gydytojas, o 5.8</w:t>
              </w:r>
              <w:r>
                <w:rPr>
                  <w:rFonts w:ascii="TimesLT" w:hAnsi="TimesLT"/>
                  <w:sz w:val="20"/>
                  <w:lang w:val="en-US"/>
                </w:rPr>
                <w:t>–</w:t>
              </w:r>
              <w:r>
                <w:rPr>
                  <w:szCs w:val="24"/>
                  <w:lang w:val="en-US"/>
                </w:rPr>
                <w:t>5.13 papunkčiuose nurodytus tyrimus atlieka šeimos gydytojas kartu su bendrosios praktikos slaugytoju, bendruomenės slaugytoju ar išplėstinės praktikos slaugytoju (universitetams parengus išplėstinės praktikos slaugytojus).</w:t>
              </w:r>
            </w:p>
          </w:sdtContent>
        </w:sdt>
        <w:sdt>
          <w:sdtPr>
            <w:alias w:val="pr. 4 p."/>
            <w:tag w:val="part_c8a10659270a444b95f50a9838e92a5b"/>
            <w:lock w:val="sdtLocked"/>
            <w:richText/>
          </w:sdtPr>
          <w:sdtContent>
            <w:p>
              <w:pPr>
                <w:tabs>
                  <w:tab w:val="left" w:pos="426"/>
                  <w:tab w:val="left" w:pos="6050"/>
                </w:tabs>
                <w:ind w:firstLine="312"/>
                <w:jc w:val="both"/>
                <w:rPr>
                  <w:szCs w:val="24"/>
                  <w:lang w:val="en-US"/>
                </w:rPr>
              </w:pPr>
              <w:sdt>
                <w:sdtPr>
                  <w:alias w:val="Numeris"/>
                  <w:tag w:val="nr_c8a10659270a444b95f50a9838e92a5b"/>
                  <w:lock w:val="sdtLocked"/>
                  <w:richText/>
                </w:sdtPr>
                <w:sdtContent>
                  <w:r>
                    <w:rPr>
                      <w:szCs w:val="24"/>
                    </w:rPr>
                    <w:t>4</w:t>
                  </w:r>
                </w:sdtContent>
              </w:sdt>
              <w:r>
                <w:rPr>
                  <w:szCs w:val="24"/>
                </w:rPr>
                <w:t>.Tvarkoje vartojamos sąvokos suprantamos taip, kaip apibrėžta įstatymuose.</w:t>
              </w:r>
            </w:p>
          </w:sdtContent>
        </w:sdt>
        <w:sdt>
          <w:sdtPr>
            <w:alias w:val="pr. 5 p."/>
            <w:tag w:val="part_1a3bb14f36c047f4a86f5eabda2870bf"/>
            <w:lock w:val="sdtLocked"/>
            <w:richText/>
          </w:sdtPr>
          <w:sdtContent>
            <w:p>
              <w:pPr>
                <w:ind w:firstLine="312"/>
                <w:jc w:val="both"/>
                <w:rPr>
                  <w:szCs w:val="24"/>
                </w:rPr>
              </w:pPr>
              <w:sdt>
                <w:sdtPr>
                  <w:alias w:val="Numeris"/>
                  <w:tag w:val="nr_1a3bb14f36c047f4a86f5eabda2870bf"/>
                  <w:lock w:val="sdtLocked"/>
                  <w:richText/>
                </w:sdtPr>
                <w:sdtContent>
                  <w:r>
                    <w:rPr>
                      <w:szCs w:val="24"/>
                    </w:rPr>
                    <w:t>5</w:t>
                  </w:r>
                </w:sdtContent>
              </w:sdt>
              <w:r>
                <w:rPr>
                  <w:szCs w:val="24"/>
                </w:rPr>
                <w:t>. Sveikatos tyrimų, vykdant neinfekcinių ligų profilaktiką ir kontrolę, apimtis ir dažnis:</w:t>
              </w:r>
            </w:p>
            <w:p>
              <w:pPr>
                <w:ind w:firstLine="312"/>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2243"/>
                <w:gridCol w:w="1583"/>
                <w:gridCol w:w="1586"/>
                <w:gridCol w:w="1586"/>
                <w:gridCol w:w="1594"/>
              </w:tblGrid>
              <w:tr>
                <w:tc>
                  <w:tcPr>
                    <w:tcW w:w="556" w:type="dxa"/>
                    <w:vMerge w:val="restart"/>
                    <w:shd w:val="clear" w:color="auto" w:fill="auto"/>
                  </w:tcPr>
                  <w:p>
                    <w:pPr>
                      <w:jc w:val="both"/>
                      <w:rPr>
                        <w:szCs w:val="24"/>
                      </w:rPr>
                    </w:pPr>
                    <w:r>
                      <w:rPr>
                        <w:szCs w:val="24"/>
                      </w:rPr>
                      <w:t>Eil.</w:t>
                    </w:r>
                  </w:p>
                  <w:p>
                    <w:pPr>
                      <w:jc w:val="both"/>
                      <w:rPr>
                        <w:szCs w:val="24"/>
                      </w:rPr>
                    </w:pPr>
                    <w:r>
                      <w:rPr>
                        <w:szCs w:val="24"/>
                      </w:rPr>
                      <w:t>Nr.</w:t>
                    </w:r>
                  </w:p>
                </w:tc>
                <w:tc>
                  <w:tcPr>
                    <w:tcW w:w="1710" w:type="dxa"/>
                    <w:vMerge w:val="restart"/>
                    <w:shd w:val="clear" w:color="auto" w:fill="auto"/>
                  </w:tcPr>
                  <w:p>
                    <w:pPr>
                      <w:jc w:val="both"/>
                      <w:rPr>
                        <w:szCs w:val="24"/>
                      </w:rPr>
                    </w:pPr>
                    <w:r>
                      <w:rPr>
                        <w:szCs w:val="24"/>
                      </w:rPr>
                      <w:t>Atliekami</w:t>
                    </w:r>
                  </w:p>
                  <w:p>
                    <w:pPr>
                      <w:jc w:val="both"/>
                      <w:rPr>
                        <w:szCs w:val="24"/>
                      </w:rPr>
                    </w:pPr>
                    <w:r>
                      <w:rPr>
                        <w:szCs w:val="24"/>
                      </w:rPr>
                      <w:t>tyrimai</w:t>
                    </w:r>
                  </w:p>
                </w:tc>
                <w:tc>
                  <w:tcPr>
                    <w:tcW w:w="7588" w:type="dxa"/>
                    <w:gridSpan w:val="4"/>
                    <w:shd w:val="clear" w:color="auto" w:fill="auto"/>
                  </w:tcPr>
                  <w:p>
                    <w:pPr>
                      <w:jc w:val="center"/>
                      <w:rPr>
                        <w:szCs w:val="24"/>
                      </w:rPr>
                    </w:pPr>
                    <w:r>
                      <w:rPr>
                        <w:szCs w:val="24"/>
                      </w:rPr>
                      <w:t>Tyrimų dažnis pagal amžiaus grupes</w:t>
                    </w:r>
                  </w:p>
                </w:tc>
              </w:tr>
              <w:tr>
                <w:tc>
                  <w:tcPr>
                    <w:tcW w:w="556" w:type="dxa"/>
                    <w:vMerge/>
                    <w:shd w:val="clear" w:color="auto" w:fill="auto"/>
                  </w:tcPr>
                  <w:p>
                    <w:pPr>
                      <w:jc w:val="both"/>
                      <w:rPr>
                        <w:szCs w:val="24"/>
                      </w:rPr>
                    </w:pPr>
                  </w:p>
                </w:tc>
                <w:tc>
                  <w:tcPr>
                    <w:tcW w:w="1710" w:type="dxa"/>
                    <w:vMerge/>
                    <w:shd w:val="clear" w:color="auto" w:fill="auto"/>
                  </w:tcPr>
                  <w:p>
                    <w:pPr>
                      <w:jc w:val="both"/>
                      <w:rPr>
                        <w:szCs w:val="24"/>
                      </w:rPr>
                    </w:pPr>
                  </w:p>
                </w:tc>
                <w:tc>
                  <w:tcPr>
                    <w:tcW w:w="1868" w:type="dxa"/>
                    <w:shd w:val="clear" w:color="auto" w:fill="auto"/>
                  </w:tcPr>
                  <w:p>
                    <w:pPr>
                      <w:jc w:val="both"/>
                      <w:rPr>
                        <w:szCs w:val="24"/>
                      </w:rPr>
                    </w:pPr>
                    <w:r>
                      <w:rPr>
                        <w:szCs w:val="24"/>
                      </w:rPr>
                      <w:t>Iki 18 metų</w:t>
                    </w:r>
                  </w:p>
                </w:tc>
                <w:tc>
                  <w:tcPr>
                    <w:tcW w:w="1882" w:type="dxa"/>
                    <w:shd w:val="clear" w:color="auto" w:fill="auto"/>
                  </w:tcPr>
                  <w:p>
                    <w:pPr>
                      <w:jc w:val="both"/>
                      <w:rPr>
                        <w:szCs w:val="24"/>
                      </w:rPr>
                    </w:pPr>
                    <w:r>
                      <w:rPr>
                        <w:szCs w:val="24"/>
                      </w:rPr>
                      <w:t>19</w:t>
                    </w:r>
                    <w:r>
                      <w:rPr>
                        <w:rFonts w:ascii="TimesLT" w:hAnsi="TimesLT"/>
                        <w:sz w:val="20"/>
                        <w:lang w:val="en-US"/>
                      </w:rPr>
                      <w:t>–</w:t>
                    </w:r>
                    <w:r>
                      <w:rPr>
                        <w:szCs w:val="24"/>
                      </w:rPr>
                      <w:t>40 m.</w:t>
                    </w:r>
                  </w:p>
                </w:tc>
                <w:tc>
                  <w:tcPr>
                    <w:tcW w:w="1882" w:type="dxa"/>
                    <w:shd w:val="clear" w:color="auto" w:fill="auto"/>
                  </w:tcPr>
                  <w:p>
                    <w:pPr>
                      <w:jc w:val="both"/>
                      <w:rPr>
                        <w:szCs w:val="24"/>
                      </w:rPr>
                    </w:pPr>
                    <w:r>
                      <w:rPr>
                        <w:szCs w:val="24"/>
                      </w:rPr>
                      <w:t>41</w:t>
                    </w:r>
                    <w:r>
                      <w:rPr>
                        <w:rFonts w:ascii="TimesLT" w:hAnsi="TimesLT"/>
                        <w:sz w:val="20"/>
                        <w:lang w:val="en-US"/>
                      </w:rPr>
                      <w:t>–</w:t>
                    </w:r>
                    <w:r>
                      <w:rPr>
                        <w:szCs w:val="24"/>
                      </w:rPr>
                      <w:t>65 m.</w:t>
                    </w:r>
                  </w:p>
                </w:tc>
                <w:tc>
                  <w:tcPr>
                    <w:tcW w:w="1956" w:type="dxa"/>
                    <w:shd w:val="clear" w:color="auto" w:fill="auto"/>
                  </w:tcPr>
                  <w:p>
                    <w:pPr>
                      <w:jc w:val="both"/>
                      <w:rPr>
                        <w:szCs w:val="24"/>
                      </w:rPr>
                    </w:pPr>
                    <w:r>
                      <w:rPr>
                        <w:szCs w:val="24"/>
                      </w:rPr>
                      <w:t>Nuo 65 metų</w:t>
                    </w:r>
                  </w:p>
                </w:tc>
              </w:tr>
              <w:tr>
                <w:tc>
                  <w:tcPr>
                    <w:tcW w:w="556" w:type="dxa"/>
                    <w:shd w:val="clear" w:color="auto" w:fill="auto"/>
                  </w:tcPr>
                  <w:p>
                    <w:pPr>
                      <w:jc w:val="both"/>
                      <w:rPr>
                        <w:szCs w:val="24"/>
                      </w:rPr>
                    </w:pPr>
                    <w:r>
                      <w:rPr>
                        <w:szCs w:val="24"/>
                      </w:rPr>
                      <w:t>5.1.</w:t>
                    </w:r>
                  </w:p>
                </w:tc>
                <w:tc>
                  <w:tcPr>
                    <w:tcW w:w="1710" w:type="dxa"/>
                    <w:shd w:val="clear" w:color="auto" w:fill="auto"/>
                  </w:tcPr>
                  <w:p>
                    <w:pPr>
                      <w:widowControl w:val="0"/>
                      <w:tabs>
                        <w:tab w:val="num" w:pos="360"/>
                      </w:tabs>
                      <w:rPr>
                        <w:szCs w:val="24"/>
                      </w:rPr>
                    </w:pPr>
                    <w:r>
                      <w:rPr>
                        <w:szCs w:val="24"/>
                      </w:rPr>
                      <w:t>Odos ir matomų</w:t>
                    </w:r>
                  </w:p>
                  <w:p>
                    <w:pPr>
                      <w:rPr>
                        <w:szCs w:val="24"/>
                      </w:rPr>
                    </w:pPr>
                    <w:r>
                      <w:rPr>
                        <w:szCs w:val="24"/>
                        <w:lang w:val="en-US"/>
                      </w:rPr>
                      <w:t>gleivinių apžiūra</w:t>
                    </w:r>
                  </w:p>
                </w:tc>
                <w:tc>
                  <w:tcPr>
                    <w:tcW w:w="1868"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 xml:space="preserve">1 kartą per 2 metus, jei nėra </w:t>
                    </w:r>
                  </w:p>
                  <w:p>
                    <w:pPr>
                      <w:widowControl w:val="0"/>
                      <w:tabs>
                        <w:tab w:val="num" w:pos="360"/>
                      </w:tabs>
                      <w:rPr>
                        <w:szCs w:val="24"/>
                      </w:rPr>
                    </w:pPr>
                    <w:r>
                      <w:rPr>
                        <w:szCs w:val="24"/>
                      </w:rPr>
                      <w:t>rizikos veiksnių, jei yra – 2 kar-</w:t>
                    </w:r>
                  </w:p>
                  <w:p>
                    <w:pPr>
                      <w:rPr>
                        <w:szCs w:val="24"/>
                      </w:rPr>
                    </w:pPr>
                    <w:r>
                      <w:rPr>
                        <w:szCs w:val="24"/>
                        <w:lang w:val="en-US"/>
                      </w:rPr>
                      <w:t>tus per metus</w:t>
                    </w:r>
                  </w:p>
                </w:tc>
                <w:tc>
                  <w:tcPr>
                    <w:tcW w:w="1956" w:type="dxa"/>
                    <w:shd w:val="clear" w:color="auto" w:fill="auto"/>
                  </w:tcPr>
                  <w:p>
                    <w:pPr>
                      <w:widowControl w:val="0"/>
                      <w:tabs>
                        <w:tab w:val="num" w:pos="360"/>
                      </w:tabs>
                      <w:rPr>
                        <w:szCs w:val="24"/>
                      </w:rPr>
                    </w:pPr>
                    <w:r>
                      <w:rPr>
                        <w:szCs w:val="24"/>
                      </w:rPr>
                      <w:t>1 kartą per 2 metus, jei nėra rizikos veiksnių, jei yra – 2 kartus per metus</w:t>
                    </w:r>
                  </w:p>
                </w:tc>
              </w:tr>
              <w:tr>
                <w:tc>
                  <w:tcPr>
                    <w:tcW w:w="556" w:type="dxa"/>
                    <w:shd w:val="clear" w:color="auto" w:fill="auto"/>
                  </w:tcPr>
                  <w:p>
                    <w:pPr>
                      <w:jc w:val="both"/>
                      <w:rPr>
                        <w:szCs w:val="24"/>
                      </w:rPr>
                    </w:pPr>
                    <w:r>
                      <w:rPr>
                        <w:szCs w:val="24"/>
                      </w:rPr>
                      <w:t>5.2.</w:t>
                    </w:r>
                  </w:p>
                </w:tc>
                <w:tc>
                  <w:tcPr>
                    <w:tcW w:w="1710" w:type="dxa"/>
                    <w:shd w:val="clear" w:color="auto" w:fill="auto"/>
                  </w:tcPr>
                  <w:p>
                    <w:pPr>
                      <w:rPr>
                        <w:szCs w:val="24"/>
                      </w:rPr>
                    </w:pPr>
                    <w:r>
                      <w:rPr>
                        <w:szCs w:val="24"/>
                        <w:lang w:val="en-US"/>
                      </w:rPr>
                      <w:t>Burnos apžiūra</w:t>
                    </w:r>
                  </w:p>
                </w:tc>
                <w:tc>
                  <w:tcPr>
                    <w:tcW w:w="1868"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956" w:type="dxa"/>
                    <w:shd w:val="clear" w:color="auto" w:fill="auto"/>
                  </w:tcPr>
                  <w:p>
                    <w:pPr>
                      <w:rPr>
                        <w:szCs w:val="24"/>
                      </w:rPr>
                    </w:pPr>
                    <w:r>
                      <w:rPr>
                        <w:szCs w:val="24"/>
                        <w:lang w:val="en-US"/>
                      </w:rPr>
                      <w:t>1 kartą per metus</w:t>
                    </w:r>
                  </w:p>
                </w:tc>
              </w:tr>
              <w:tr>
                <w:tc>
                  <w:tcPr>
                    <w:tcW w:w="556" w:type="dxa"/>
                    <w:shd w:val="clear" w:color="auto" w:fill="auto"/>
                  </w:tcPr>
                  <w:p>
                    <w:pPr>
                      <w:jc w:val="both"/>
                      <w:rPr>
                        <w:szCs w:val="24"/>
                      </w:rPr>
                    </w:pPr>
                    <w:r>
                      <w:rPr>
                        <w:szCs w:val="24"/>
                      </w:rPr>
                      <w:t>5.3.</w:t>
                    </w:r>
                  </w:p>
                </w:tc>
                <w:tc>
                  <w:tcPr>
                    <w:tcW w:w="1710" w:type="dxa"/>
                    <w:shd w:val="clear" w:color="auto" w:fill="auto"/>
                  </w:tcPr>
                  <w:p>
                    <w:pPr>
                      <w:rPr>
                        <w:szCs w:val="24"/>
                      </w:rPr>
                    </w:pPr>
                    <w:r>
                      <w:rPr>
                        <w:szCs w:val="24"/>
                        <w:lang w:val="en-US"/>
                      </w:rPr>
                      <w:t>Periferinių limfmazgių apčiuopa</w:t>
                    </w:r>
                  </w:p>
                </w:tc>
                <w:tc>
                  <w:tcPr>
                    <w:tcW w:w="1868"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956" w:type="dxa"/>
                    <w:shd w:val="clear" w:color="auto" w:fill="auto"/>
                  </w:tcPr>
                  <w:p>
                    <w:pPr>
                      <w:rPr>
                        <w:szCs w:val="24"/>
                      </w:rPr>
                    </w:pPr>
                    <w:r>
                      <w:rPr>
                        <w:szCs w:val="24"/>
                      </w:rPr>
                      <w:t>Kiekvieno profilaktinio tikrinimo metu</w:t>
                    </w:r>
                  </w:p>
                </w:tc>
              </w:tr>
              <w:tr>
                <w:tc>
                  <w:tcPr>
                    <w:tcW w:w="556" w:type="dxa"/>
                    <w:shd w:val="clear" w:color="auto" w:fill="auto"/>
                  </w:tcPr>
                  <w:p>
                    <w:pPr>
                      <w:jc w:val="both"/>
                      <w:rPr>
                        <w:szCs w:val="24"/>
                      </w:rPr>
                    </w:pPr>
                    <w:r>
                      <w:rPr>
                        <w:szCs w:val="24"/>
                      </w:rPr>
                      <w:t>5.4.</w:t>
                    </w:r>
                  </w:p>
                </w:tc>
                <w:tc>
                  <w:tcPr>
                    <w:tcW w:w="1710" w:type="dxa"/>
                    <w:shd w:val="clear" w:color="auto" w:fill="auto"/>
                  </w:tcPr>
                  <w:p>
                    <w:pPr>
                      <w:rPr>
                        <w:szCs w:val="24"/>
                      </w:rPr>
                    </w:pPr>
                    <w:r>
                      <w:rPr>
                        <w:szCs w:val="24"/>
                      </w:rPr>
                      <w:t>Krūtų apžiūra ir apčiuopa</w:t>
                    </w:r>
                  </w:p>
                  <w:p>
                    <w:pPr>
                      <w:rPr>
                        <w:szCs w:val="24"/>
                      </w:rPr>
                    </w:pPr>
                  </w:p>
                  <w:p>
                    <w:pPr>
                      <w:rPr>
                        <w:szCs w:val="24"/>
                      </w:rPr>
                    </w:pPr>
                  </w:p>
                  <w:p>
                    <w:pPr>
                      <w:rPr>
                        <w:szCs w:val="24"/>
                      </w:rPr>
                    </w:pPr>
                  </w:p>
                  <w:p>
                    <w:pPr>
                      <w:rPr>
                        <w:szCs w:val="24"/>
                      </w:rPr>
                    </w:pPr>
                    <w:r>
                      <w:rPr>
                        <w:szCs w:val="24"/>
                      </w:rPr>
                      <w:t>Mamografija</w:t>
                    </w:r>
                  </w:p>
                </w:tc>
                <w:tc>
                  <w:tcPr>
                    <w:tcW w:w="1868" w:type="dxa"/>
                    <w:shd w:val="clear" w:color="auto" w:fill="auto"/>
                  </w:tcPr>
                  <w:p>
                    <w:pPr>
                      <w:rPr>
                        <w:szCs w:val="24"/>
                      </w:rPr>
                    </w:pPr>
                    <w:r>
                      <w:rPr>
                        <w:szCs w:val="24"/>
                      </w:rPr>
                      <w:t>1 kartą per 2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50</w:t>
                    </w:r>
                    <w:r>
                      <w:rPr>
                        <w:rFonts w:ascii="TimesLT" w:hAnsi="TimesLT"/>
                        <w:sz w:val="20"/>
                        <w:lang w:val="en-US"/>
                      </w:rPr>
                      <w:t>–</w:t>
                    </w:r>
                    <w:r>
                      <w:rPr>
                        <w:szCs w:val="24"/>
                      </w:rPr>
                      <w:t>65 m. 1 kartą per 2 metus</w:t>
                    </w:r>
                  </w:p>
                </w:tc>
                <w:tc>
                  <w:tcPr>
                    <w:tcW w:w="1956"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65</w:t>
                    </w:r>
                    <w:r>
                      <w:rPr>
                        <w:rFonts w:ascii="TimesLT" w:hAnsi="TimesLT"/>
                        <w:sz w:val="20"/>
                        <w:lang w:val="en-US"/>
                      </w:rPr>
                      <w:t>–</w:t>
                    </w:r>
                    <w:r>
                      <w:rPr>
                        <w:szCs w:val="24"/>
                      </w:rPr>
                      <w:t>69 m. 1 kartą per 2 metus</w:t>
                    </w:r>
                  </w:p>
                </w:tc>
              </w:tr>
              <w:tr>
                <w:tc>
                  <w:tcPr>
                    <w:tcW w:w="556" w:type="dxa"/>
                    <w:shd w:val="clear" w:color="auto" w:fill="auto"/>
                  </w:tcPr>
                  <w:p>
                    <w:pPr>
                      <w:jc w:val="both"/>
                      <w:rPr>
                        <w:szCs w:val="24"/>
                      </w:rPr>
                    </w:pPr>
                    <w:r>
                      <w:rPr>
                        <w:szCs w:val="24"/>
                      </w:rPr>
                      <w:t>5.5.</w:t>
                    </w:r>
                  </w:p>
                </w:tc>
                <w:tc>
                  <w:tcPr>
                    <w:tcW w:w="1710" w:type="dxa"/>
                    <w:shd w:val="clear" w:color="auto" w:fill="auto"/>
                  </w:tcPr>
                  <w:p>
                    <w:pPr>
                      <w:rPr>
                        <w:szCs w:val="24"/>
                      </w:rPr>
                    </w:pPr>
                    <w:r>
                      <w:rPr>
                        <w:szCs w:val="24"/>
                      </w:rPr>
                      <w:t>Ginekologinė apžiūra</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Nuo 20 m. 1 kartą per metus, esant indikacijų – profilaktinis diagnostinis citologinis tyrimas</w:t>
                    </w:r>
                  </w:p>
                </w:tc>
                <w:tc>
                  <w:tcPr>
                    <w:tcW w:w="1882" w:type="dxa"/>
                    <w:shd w:val="clear" w:color="auto" w:fill="auto"/>
                  </w:tcPr>
                  <w:p>
                    <w:pPr>
                      <w:rPr>
                        <w:szCs w:val="24"/>
                      </w:rPr>
                    </w:pPr>
                    <w:r>
                      <w:rPr>
                        <w:szCs w:val="24"/>
                      </w:rPr>
                      <w:t>1 kartą per metus, esant indikacijų – diagnostinis citologinis tyrimas</w:t>
                    </w:r>
                  </w:p>
                </w:tc>
                <w:tc>
                  <w:tcPr>
                    <w:tcW w:w="1956" w:type="dxa"/>
                    <w:shd w:val="clear" w:color="auto" w:fill="auto"/>
                  </w:tcPr>
                  <w:p>
                    <w:pPr>
                      <w:rPr>
                        <w:szCs w:val="24"/>
                      </w:rPr>
                    </w:pPr>
                    <w:r>
                      <w:rPr>
                        <w:szCs w:val="24"/>
                      </w:rPr>
                      <w:t>1 kartą per metus, esant indikacijų – diagnostinis citologinis tyrimas</w:t>
                    </w:r>
                  </w:p>
                </w:tc>
              </w:tr>
              <w:tr>
                <w:tc>
                  <w:tcPr>
                    <w:tcW w:w="556" w:type="dxa"/>
                    <w:shd w:val="clear" w:color="auto" w:fill="auto"/>
                  </w:tcPr>
                  <w:p>
                    <w:pPr>
                      <w:jc w:val="both"/>
                      <w:rPr>
                        <w:szCs w:val="24"/>
                      </w:rPr>
                    </w:pPr>
                    <w:r>
                      <w:rPr>
                        <w:szCs w:val="24"/>
                      </w:rPr>
                      <w:t>5.6.</w:t>
                    </w:r>
                  </w:p>
                </w:tc>
                <w:tc>
                  <w:tcPr>
                    <w:tcW w:w="1710" w:type="dxa"/>
                    <w:shd w:val="clear" w:color="auto" w:fill="auto"/>
                  </w:tcPr>
                  <w:p>
                    <w:pPr>
                      <w:rPr>
                        <w:szCs w:val="24"/>
                      </w:rPr>
                    </w:pPr>
                    <w:r>
                      <w:rPr>
                        <w:szCs w:val="24"/>
                      </w:rPr>
                      <w:t>Tiesiosios žarnos ir su ja susijusių organų tyrimas pirštu</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41</w:t>
                    </w:r>
                    <w:r>
                      <w:rPr>
                        <w:rFonts w:ascii="TimesLT" w:hAnsi="TimesLT"/>
                        <w:sz w:val="20"/>
                        <w:lang w:val="en-US"/>
                      </w:rPr>
                      <w:t>–</w:t>
                    </w:r>
                    <w:r>
                      <w:rPr>
                        <w:szCs w:val="24"/>
                      </w:rPr>
                      <w:t>50 m. – 1 kartą per 2 metus, nuo 50 m. – 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5.7.</w:t>
                    </w:r>
                  </w:p>
                </w:tc>
                <w:tc>
                  <w:tcPr>
                    <w:tcW w:w="1710" w:type="dxa"/>
                    <w:shd w:val="clear" w:color="auto" w:fill="auto"/>
                  </w:tcPr>
                  <w:p>
                    <w:pPr>
                      <w:rPr>
                        <w:szCs w:val="24"/>
                      </w:rPr>
                    </w:pPr>
                    <w:r>
                      <w:rPr>
                        <w:szCs w:val="24"/>
                      </w:rPr>
                      <w:t>Plaučių rentgenologinis ištyrimas</w:t>
                    </w:r>
                  </w:p>
                </w:tc>
                <w:tc>
                  <w:tcPr>
                    <w:tcW w:w="1868"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956"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r>
              <w:tr>
                <w:tc>
                  <w:tcPr>
                    <w:tcW w:w="556" w:type="dxa"/>
                    <w:shd w:val="clear" w:color="auto" w:fill="auto"/>
                  </w:tcPr>
                  <w:p>
                    <w:pPr>
                      <w:jc w:val="both"/>
                      <w:rPr>
                        <w:szCs w:val="24"/>
                      </w:rPr>
                    </w:pPr>
                    <w:r>
                      <w:rPr>
                        <w:szCs w:val="24"/>
                      </w:rPr>
                      <w:t>5.8.</w:t>
                    </w:r>
                  </w:p>
                </w:tc>
                <w:tc>
                  <w:tcPr>
                    <w:tcW w:w="1710" w:type="dxa"/>
                    <w:shd w:val="clear" w:color="auto" w:fill="auto"/>
                  </w:tcPr>
                  <w:p>
                    <w:pPr>
                      <w:rPr>
                        <w:szCs w:val="24"/>
                      </w:rPr>
                    </w:pPr>
                    <w:r>
                      <w:rPr>
                        <w:szCs w:val="24"/>
                      </w:rPr>
                      <w:t>Svorio, ūgio matavimas</w:t>
                    </w:r>
                  </w:p>
                </w:tc>
                <w:tc>
                  <w:tcPr>
                    <w:tcW w:w="1868"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956" w:type="dxa"/>
                    <w:shd w:val="clear" w:color="auto" w:fill="auto"/>
                  </w:tcPr>
                  <w:p>
                    <w:pPr>
                      <w:rPr>
                        <w:szCs w:val="24"/>
                      </w:rPr>
                    </w:pPr>
                    <w:r>
                      <w:rPr>
                        <w:szCs w:val="24"/>
                      </w:rPr>
                      <w:t>1 kartą per metus, esant antsvoriui, 2 kartus per metus</w:t>
                    </w:r>
                  </w:p>
                </w:tc>
              </w:tr>
              <w:tr>
                <w:tc>
                  <w:tcPr>
                    <w:tcW w:w="556" w:type="dxa"/>
                    <w:shd w:val="clear" w:color="auto" w:fill="auto"/>
                  </w:tcPr>
                  <w:p>
                    <w:pPr>
                      <w:jc w:val="both"/>
                      <w:rPr>
                        <w:szCs w:val="24"/>
                      </w:rPr>
                    </w:pPr>
                    <w:r>
                      <w:rPr>
                        <w:szCs w:val="24"/>
                      </w:rPr>
                      <w:t>5.9.</w:t>
                    </w:r>
                  </w:p>
                </w:tc>
                <w:tc>
                  <w:tcPr>
                    <w:tcW w:w="1710" w:type="dxa"/>
                    <w:shd w:val="clear" w:color="auto" w:fill="auto"/>
                  </w:tcPr>
                  <w:p>
                    <w:pPr>
                      <w:rPr>
                        <w:szCs w:val="24"/>
                      </w:rPr>
                    </w:pPr>
                    <w:r>
                      <w:rPr>
                        <w:szCs w:val="24"/>
                      </w:rPr>
                      <w:t>Elektrokardiogramos atlikimas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p>
                    <w:pPr>
                      <w:rPr>
                        <w:szCs w:val="24"/>
                      </w:rPr>
                    </w:pPr>
                  </w:p>
                </w:tc>
              </w:tr>
              <w:tr>
                <w:tc>
                  <w:tcPr>
                    <w:tcW w:w="556" w:type="dxa"/>
                    <w:shd w:val="clear" w:color="auto" w:fill="auto"/>
                  </w:tcPr>
                  <w:p>
                    <w:pPr>
                      <w:jc w:val="both"/>
                      <w:rPr>
                        <w:szCs w:val="24"/>
                      </w:rPr>
                    </w:pPr>
                    <w:r>
                      <w:rPr>
                        <w:szCs w:val="24"/>
                      </w:rPr>
                      <w:t>5.10.</w:t>
                    </w:r>
                  </w:p>
                </w:tc>
                <w:tc>
                  <w:tcPr>
                    <w:tcW w:w="1710" w:type="dxa"/>
                    <w:shd w:val="clear" w:color="auto" w:fill="auto"/>
                  </w:tcPr>
                  <w:p>
                    <w:pPr>
                      <w:rPr>
                        <w:szCs w:val="24"/>
                      </w:rPr>
                    </w:pPr>
                    <w:r>
                      <w:rPr>
                        <w:szCs w:val="24"/>
                      </w:rPr>
                      <w:t>Arterinio kraujo spaudimo matavimas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5.11.</w:t>
                    </w:r>
                  </w:p>
                </w:tc>
                <w:tc>
                  <w:tcPr>
                    <w:tcW w:w="1710" w:type="dxa"/>
                    <w:shd w:val="clear" w:color="auto" w:fill="auto"/>
                  </w:tcPr>
                  <w:p>
                    <w:pPr>
                      <w:rPr>
                        <w:szCs w:val="24"/>
                      </w:rPr>
                    </w:pPr>
                    <w:r>
                      <w:rPr>
                        <w:szCs w:val="24"/>
                      </w:rPr>
                      <w:t>Regėjimo aštrumo nustatymas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5.12.</w:t>
                    </w:r>
                  </w:p>
                </w:tc>
                <w:tc>
                  <w:tcPr>
                    <w:tcW w:w="1710" w:type="dxa"/>
                    <w:shd w:val="clear" w:color="auto" w:fill="auto"/>
                  </w:tcPr>
                  <w:p>
                    <w:pPr>
                      <w:rPr>
                        <w:szCs w:val="24"/>
                      </w:rPr>
                    </w:pPr>
                    <w:r>
                      <w:rPr>
                        <w:szCs w:val="24"/>
                      </w:rPr>
                      <w:t>Klausos tikrinimas kalba ir šnabždesiu</w:t>
                    </w:r>
                  </w:p>
                </w:tc>
                <w:tc>
                  <w:tcPr>
                    <w:tcW w:w="1868"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5.13.</w:t>
                    </w:r>
                  </w:p>
                </w:tc>
                <w:tc>
                  <w:tcPr>
                    <w:tcW w:w="1710" w:type="dxa"/>
                    <w:shd w:val="clear" w:color="auto" w:fill="auto"/>
                  </w:tcPr>
                  <w:p>
                    <w:pPr>
                      <w:rPr>
                        <w:szCs w:val="24"/>
                      </w:rPr>
                    </w:pPr>
                    <w:r>
                      <w:rPr>
                        <w:szCs w:val="24"/>
                      </w:rPr>
                      <w:t>Akispūdžio matavimas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5.14.</w:t>
                    </w:r>
                  </w:p>
                </w:tc>
                <w:tc>
                  <w:tcPr>
                    <w:tcW w:w="1710" w:type="dxa"/>
                    <w:shd w:val="clear" w:color="auto" w:fill="auto"/>
                  </w:tcPr>
                  <w:p>
                    <w:pPr>
                      <w:rPr>
                        <w:szCs w:val="24"/>
                      </w:rPr>
                    </w:pPr>
                    <w:r>
                      <w:rPr>
                        <w:szCs w:val="24"/>
                      </w:rPr>
                      <w:t>Bendras kraujo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2  metus</w:t>
                    </w:r>
                  </w:p>
                </w:tc>
              </w:tr>
              <w:tr>
                <w:tc>
                  <w:tcPr>
                    <w:tcW w:w="556" w:type="dxa"/>
                    <w:shd w:val="clear" w:color="auto" w:fill="auto"/>
                  </w:tcPr>
                  <w:p>
                    <w:pPr>
                      <w:jc w:val="both"/>
                      <w:rPr>
                        <w:szCs w:val="24"/>
                      </w:rPr>
                    </w:pPr>
                    <w:r>
                      <w:rPr>
                        <w:szCs w:val="24"/>
                      </w:rPr>
                      <w:t>5.15.</w:t>
                    </w:r>
                  </w:p>
                </w:tc>
                <w:tc>
                  <w:tcPr>
                    <w:tcW w:w="1710" w:type="dxa"/>
                    <w:shd w:val="clear" w:color="auto" w:fill="auto"/>
                  </w:tcPr>
                  <w:p>
                    <w:pPr>
                      <w:rPr>
                        <w:szCs w:val="24"/>
                      </w:rPr>
                    </w:pPr>
                    <w:r>
                      <w:rPr>
                        <w:szCs w:val="24"/>
                      </w:rPr>
                      <w:t>Bendras šlapimo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metus</w:t>
                    </w:r>
                  </w:p>
                </w:tc>
              </w:tr>
              <w:tr>
                <w:tc>
                  <w:tcPr>
                    <w:tcW w:w="556" w:type="dxa"/>
                    <w:shd w:val="clear" w:color="auto" w:fill="auto"/>
                  </w:tcPr>
                  <w:p>
                    <w:pPr>
                      <w:jc w:val="both"/>
                      <w:rPr>
                        <w:szCs w:val="24"/>
                      </w:rPr>
                    </w:pPr>
                    <w:r>
                      <w:rPr>
                        <w:szCs w:val="24"/>
                      </w:rPr>
                      <w:t>5.16.</w:t>
                    </w:r>
                  </w:p>
                </w:tc>
                <w:tc>
                  <w:tcPr>
                    <w:tcW w:w="1710" w:type="dxa"/>
                    <w:shd w:val="clear" w:color="auto" w:fill="auto"/>
                  </w:tcPr>
                  <w:p>
                    <w:pPr>
                      <w:rPr>
                        <w:szCs w:val="24"/>
                      </w:rPr>
                    </w:pPr>
                    <w:r>
                      <w:rPr>
                        <w:szCs w:val="24"/>
                      </w:rPr>
                      <w:t>Gliukozės kiekio kraujyje ištyrimas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rPr>
                        <w:szCs w:val="24"/>
                      </w:rPr>
                    </w:pPr>
                    <w:r>
                      <w:rPr>
                        <w:szCs w:val="24"/>
                      </w:rPr>
                      <w:t>5.17.</w:t>
                    </w:r>
                  </w:p>
                </w:tc>
                <w:tc>
                  <w:tcPr>
                    <w:tcW w:w="1710" w:type="dxa"/>
                    <w:shd w:val="clear" w:color="auto" w:fill="auto"/>
                  </w:tcPr>
                  <w:p>
                    <w:pPr>
                      <w:rPr>
                        <w:szCs w:val="24"/>
                      </w:rPr>
                    </w:pPr>
                    <w:r>
                      <w:rPr>
                        <w:szCs w:val="24"/>
                      </w:rPr>
                      <w:t>Cholesterolio kiekio kraujyje ištyrimas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bl>
            <w:p>
              <w:pPr>
                <w:jc w:val="center"/>
                <w:rPr>
                  <w:color w:val="000000"/>
                </w:rPr>
              </w:pPr>
              <w:r>
                <w:rPr>
                  <w:szCs w:val="24"/>
                </w:rPr>
                <w:t>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040b3b8044e611e58568ed613eb39a73">
            <w:r w:rsidRPr="00532B9F">
              <w:rPr>
                <w:rFonts w:ascii="Times New Roman" w:eastAsia="MS Mincho" w:hAnsi="Times New Roman"/>
                <w:sz w:val="20"/>
                <w:i/>
                <w:iCs/>
                <w:color w:val="0000FF" w:themeColor="hyperlink"/>
                <w:u w:val="single"/>
              </w:rPr>
              <w:t>V-943</w:t>
            </w:r>
          </w:fldSimple>
          <w:r>
            <w:rPr>
              <w:rFonts w:ascii="Times New Roman" w:eastAsia="MS Mincho" w:hAnsi="Times New Roman"/>
              <w:sz w:val="20"/>
              <w:i/>
              <w:iCs/>
            </w:rPr>
            <w:t>,
2015-08-11,
paskelbta TAR 2015-08-17, i. k. 2015-12372            </w:t>
          </w:r>
        </w:p>
        <w:p/>
      </w:sdtContent>
    </w:sdt>
    <w:sdt>
      <w:sdtPr>
        <w:alias w:val="7 pr."/>
        <w:tag w:val="part_4478c5b5bd2e41a5b907ff5600aa242d"/>
        <w:lock w:val="sdtLocked"/>
        <w:richText/>
      </w:sdtPr>
      <w:sdtContent>
        <w:p>
          <w:pPr>
            <w:ind w:left="5102"/>
            <w:sectPr>
              <w:pgSz w:w="11907" w:h="16840" w:code="9"/>
              <w:pgMar w:top="1134" w:right="1134" w:bottom="1134" w:left="1701" w:header="567" w:footer="567" w:gutter="0"/>
              <w:pgNumType w:start="1"/>
              <w:cols w:space="1296"/>
              <w:titlePg/>
              <w:docGrid w:linePitch="360"/>
            </w:sectPr>
          </w:pPr>
        </w:p>
        <w:p>
          <w:pPr>
            <w:ind w:left="5102"/>
          </w:pPr>
          <w:r>
            <w:t>PATVIRTINTA</w:t>
          </w:r>
        </w:p>
        <w:p>
          <w:pPr>
            <w:ind w:firstLine="5102"/>
          </w:pPr>
          <w:r>
            <w:t xml:space="preserve">Lietuvos Respublikos sveikatos </w:t>
          </w:r>
        </w:p>
        <w:p>
          <w:pPr>
            <w:ind w:firstLine="5102"/>
          </w:pPr>
          <w:r>
            <w:t xml:space="preserve">apsaugos ministro 2008 m. spalio 10 d. </w:t>
          </w:r>
        </w:p>
        <w:p>
          <w:pPr>
            <w:ind w:firstLine="5102"/>
          </w:pPr>
          <w:r>
            <w:t>įsakymu Nr. V-973</w:t>
          </w:r>
        </w:p>
        <w:p>
          <w:pPr>
            <w:ind w:firstLine="5102"/>
          </w:pPr>
          <w:sdt>
            <w:sdtPr>
              <w:alias w:val="Numeris"/>
              <w:tag w:val="nr_4478c5b5bd2e41a5b907ff5600aa242d"/>
              <w:lock w:val="sdtLocked"/>
              <w:richText/>
            </w:sdtPr>
            <w:sdtContent>
              <w:r>
                <w:t>7</w:t>
              </w:r>
            </w:sdtContent>
          </w:sdt>
          <w:r>
            <w:t xml:space="preserve"> priedas</w:t>
          </w:r>
        </w:p>
        <w:p>
          <w:pPr>
            <w:jc w:val="both"/>
          </w:pPr>
        </w:p>
        <w:p>
          <w:pPr>
            <w:jc w:val="center"/>
            <w:rPr>
              <w:b/>
              <w:bCs/>
            </w:rPr>
          </w:pPr>
          <w:sdt>
            <w:sdtPr>
              <w:alias w:val="Pavadinimas"/>
              <w:tag w:val="title_4478c5b5bd2e41a5b907ff5600aa242d"/>
              <w:lock w:val="sdtLocked"/>
              <w:richText/>
            </w:sdtPr>
            <w:sdtContent>
              <w:r>
                <w:rPr>
                  <w:b/>
                  <w:bCs/>
                </w:rPr>
                <w:t>VAIRUOTOJŲ SVEIKATOS TIKRINIMO REIKALAVIMŲ IR TVARKOS APRAŠAS</w:t>
              </w:r>
            </w:sdtContent>
          </w:sdt>
        </w:p>
        <w:p>
          <w:pPr>
            <w:jc w:val="center"/>
            <w:rPr>
              <w:b/>
              <w:bCs/>
            </w:rPr>
          </w:pPr>
        </w:p>
        <w:sdt>
          <w:sdtPr>
            <w:alias w:val="skyrius"/>
            <w:tag w:val="part_88359cb0a5bb43a18b4597425a46f9c3"/>
            <w:lock w:val="sdtLocked"/>
            <w:richText/>
          </w:sdtPr>
          <w:sdtContent>
            <w:p>
              <w:pPr>
                <w:jc w:val="center"/>
                <w:rPr>
                  <w:b/>
                  <w:bCs/>
                </w:rPr>
              </w:pPr>
              <w:sdt>
                <w:sdtPr>
                  <w:alias w:val="Numeris"/>
                  <w:tag w:val="nr_88359cb0a5bb43a18b4597425a46f9c3"/>
                  <w:lock w:val="sdtLocked"/>
                  <w:richText/>
                </w:sdtPr>
                <w:sdtContent>
                  <w:r>
                    <w:rPr>
                      <w:b/>
                      <w:bCs/>
                    </w:rPr>
                    <w:t>I</w:t>
                  </w:r>
                </w:sdtContent>
              </w:sdt>
              <w:r>
                <w:rPr>
                  <w:b/>
                  <w:bCs/>
                </w:rPr>
                <w:t xml:space="preserve">. </w:t>
              </w:r>
              <w:sdt>
                <w:sdtPr>
                  <w:alias w:val="Pavadinimas"/>
                  <w:tag w:val="title_88359cb0a5bb43a18b4597425a46f9c3"/>
                  <w:lock w:val="sdtLocked"/>
                  <w:richText/>
                </w:sdtPr>
                <w:sdtContent>
                  <w:r>
                    <w:rPr>
                      <w:b/>
                      <w:bCs/>
                    </w:rPr>
                    <w:t>BENDROSIOS NUOSTATOS</w:t>
                  </w:r>
                </w:sdtContent>
              </w:sdt>
            </w:p>
            <w:p>
              <w:pPr>
                <w:ind w:firstLine="567"/>
                <w:jc w:val="both"/>
              </w:pPr>
            </w:p>
            <w:sdt>
              <w:sdtPr>
                <w:alias w:val="7 pr. 1 p."/>
                <w:tag w:val="part_72cfb17836a048808178a0b7b325bd54"/>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72cfb17836a048808178a0b7b325bd54"/>
                      <w:lock w:val="sdtLocked"/>
                      <w:richText/>
                    </w:sdtPr>
                    <w:sdtContent>
                      <w:r>
                        <w:rPr>
                          <w:color w:val="000000"/>
                          <w:szCs w:val="24"/>
                        </w:rPr>
                        <w:t>1</w:t>
                      </w:r>
                    </w:sdtContent>
                  </w:sdt>
                  <w:r>
                    <w:rPr>
                      <w:color w:val="000000"/>
                      <w:szCs w:val="24"/>
                    </w:rPr>
                    <w:t>. Vairuotojų sveikatos tikrinimo tikslas – nustatyti, ar tikrinamo asmens sveikatos būklė atitinka minimalias sveikatos tinkamumo normas, taikomas asmenims, siekiantiems vairuoti ir vairuojantiems atitinkamos kategorijos motorines transporto priemones arba jų junginius su priekaba ir (ar) traktorius, savaeiges mašinas ir mechanizmus.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 p."/>
                <w:tag w:val="part_016bca409eb34383a43341de503f0cfe"/>
                <w:lock w:val="sdtLocked"/>
                <w:richText/>
              </w:sdtPr>
              <w:sdtContent>
                <w:p>
                  <w:pPr>
                    <w:ind w:firstLine="567"/>
                    <w:jc w:val="both"/>
                  </w:pPr>
                  <w:sdt>
                    <w:sdtPr>
                      <w:alias w:val="Numeris"/>
                      <w:tag w:val="nr_016bca409eb34383a43341de503f0cfe"/>
                      <w:lock w:val="sdtLocked"/>
                      <w:richText/>
                    </w:sdtPr>
                    <w:sdtContent>
                      <w:r>
                        <w:t>2</w:t>
                      </w:r>
                    </w:sdtContent>
                  </w:sdt>
                  <w:r>
                    <w:t>. Vairuotojų sveikatos tikrinimo reikalavimų ir tvarkos apraše (toliau – Aprašas) vartojamos sąvokos:</w:t>
                  </w:r>
                </w:p>
                <w:sdt>
                  <w:sdtPr>
                    <w:alias w:val="7 pr. 2.1 p."/>
                    <w:tag w:val="part_2f9572f96cab4c2c811910b3419e54c5"/>
                    <w:lock w:val="sdtLocked"/>
                    <w:richText/>
                  </w:sdtPr>
                  <w:sdtContent>
                    <w:p>
                      <w:pPr>
                        <w:ind w:firstLine="567"/>
                        <w:jc w:val="both"/>
                      </w:pPr>
                      <w:sdt>
                        <w:sdtPr>
                          <w:alias w:val="Numeris"/>
                          <w:tag w:val="nr_2f9572f96cab4c2c811910b3419e54c5"/>
                          <w:lock w:val="sdtLocked"/>
                          <w:richText/>
                        </w:sdtPr>
                        <w:sdtContent>
                          <w:r>
                            <w:t>2.1</w:t>
                          </w:r>
                        </w:sdtContent>
                      </w:sdt>
                      <w:r>
                        <w:t>. Transporto priemonė – priemonė žmonėms ir (arba) kroviniams, taip pat ant jos sumontuotai stacionariai įrangai vežti. Ši sąvoka taip pat apima traktorius, savaeiges mašinas ir eismui ne keliais skirtas transporto priemones.</w:t>
                      </w:r>
                    </w:p>
                  </w:sdtContent>
                </w:sdt>
                <w:sdt>
                  <w:sdtPr>
                    <w:alias w:val="7 pr. 2.2 p."/>
                    <w:tag w:val="part_35d9226dd33c41bea3ad9ad6965c0739"/>
                    <w:lock w:val="sdtLocked"/>
                    <w:richText/>
                  </w:sdtPr>
                  <w:sdtContent>
                    <w:p>
                      <w:pPr>
                        <w:ind w:firstLine="567"/>
                        <w:jc w:val="both"/>
                      </w:pPr>
                      <w:sdt>
                        <w:sdtPr>
                          <w:alias w:val="Numeris"/>
                          <w:tag w:val="nr_35d9226dd33c41bea3ad9ad6965c0739"/>
                          <w:lock w:val="sdtLocked"/>
                          <w:richText/>
                        </w:sdtPr>
                        <w:sdtContent>
                          <w:r>
                            <w:t>2.2</w:t>
                          </w:r>
                        </w:sdtContent>
                      </w:sdt>
                      <w:r>
                        <w:t>. Transporto priemonių vairuotojai, kurių kategorijos ir minimalus amžius, nuo kurio leidžiama įgyti teisę vairuoti, nurodyti 2 lentelėje, skirstomi į dvi grupes:</w:t>
                      </w:r>
                    </w:p>
                    <w:sdt>
                      <w:sdtPr>
                        <w:alias w:val="7 pr. 2.2.1 p."/>
                        <w:tag w:val="part_db0606159d2b43e186f6fc7f18c5aa54"/>
                        <w:lock w:val="sdtLocked"/>
                        <w:richText/>
                      </w:sdtPr>
                      <w:sdtContent>
                        <w:p>
                          <w:pPr>
                            <w:tabs>
                              <w:tab w:val="left" w:pos="142"/>
                              <w:tab w:val="left" w:pos="1832"/>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db0606159d2b43e186f6fc7f18c5aa54"/>
                              <w:lock w:val="sdtLocked"/>
                              <w:richText/>
                            </w:sdtPr>
                            <w:sdtContent>
                              <w:r>
                                <w:rPr>
                                  <w:szCs w:val="24"/>
                                </w:rPr>
                                <w:t>2.2.1</w:t>
                              </w:r>
                            </w:sdtContent>
                          </w:sdt>
                          <w:r>
                            <w:rPr>
                              <w:szCs w:val="24"/>
                            </w:rPr>
                            <w:t>. 1 grupė – AM, A1, A2, A, B1, B ir BE kategorijų transporto priemonių vairuotojai;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b7aa50bcfd11e4afdc866ec67ebcf3">
                            <w:r w:rsidRPr="00532B9F">
                              <w:rPr>
                                <w:rFonts w:ascii="Times New Roman" w:eastAsia="MS Mincho" w:hAnsi="Times New Roman"/>
                                <w:sz w:val="20"/>
                                <w:i/>
                                <w:iCs/>
                                <w:color w:val="0000FF" w:themeColor="hyperlink"/>
                                <w:u w:val="single"/>
                              </w:rPr>
                              <w:t>V-224</w:t>
                            </w:r>
                          </w:fldSimple>
                          <w:r>
                            <w:rPr>
                              <w:rFonts w:ascii="Times New Roman" w:eastAsia="MS Mincho" w:hAnsi="Times New Roman"/>
                              <w:sz w:val="20"/>
                              <w:i/>
                              <w:iCs/>
                            </w:rPr>
                            <w:t>,
2015-02-18,
paskelbta TAR 2015-02-26, i. k. 2015-02965            </w:t>
                          </w:r>
                        </w:p>
                        <w:p/>
                      </w:sdtContent>
                    </w:sdt>
                    <w:sdt>
                      <w:sdtPr>
                        <w:alias w:val="7 pr. 2.2.2 p."/>
                        <w:tag w:val="part_c87cc59b158843fb91aac81b118b160a"/>
                        <w:lock w:val="sdtLocked"/>
                        <w:richText/>
                      </w:sdtPr>
                      <w:sdtContent>
                        <w:p>
                          <w:pPr>
                            <w:ind w:firstLine="567"/>
                            <w:jc w:val="both"/>
                          </w:pPr>
                          <w:sdt>
                            <w:sdtPr>
                              <w:alias w:val="Numeris"/>
                              <w:tag w:val="nr_c87cc59b158843fb91aac81b118b160a"/>
                              <w:lock w:val="sdtLocked"/>
                              <w:richText/>
                            </w:sdtPr>
                            <w:sdtContent>
                              <w:r>
                                <w:t>2.2.2</w:t>
                              </w:r>
                            </w:sdtContent>
                          </w:sdt>
                          <w:r>
                            <w:t>. 2 grupė – C1, C1E, C, CE, D1, D1E, D, DE ir T kategorijų transporto priemonių vairuotojai.</w:t>
                          </w:r>
                        </w:p>
                      </w:sdtContent>
                    </w:sdt>
                  </w:sdtContent>
                </w:sdt>
              </w:sdtContent>
            </w:sdt>
            <w:sdt>
              <w:sdtPr>
                <w:alias w:val="7 pr. 3 p."/>
                <w:tag w:val="part_e6544a50f68e4892be957615aa6a6aa5"/>
                <w:lock w:val="sdtLocked"/>
                <w:richText/>
              </w:sdtPr>
              <w:sdtContent>
                <w:p>
                  <w:pPr>
                    <w:ind w:firstLine="567"/>
                    <w:jc w:val="both"/>
                  </w:pPr>
                  <w:sdt>
                    <w:sdtPr>
                      <w:alias w:val="Numeris"/>
                      <w:tag w:val="nr_e6544a50f68e4892be957615aa6a6aa5"/>
                      <w:lock w:val="sdtLocked"/>
                      <w:richText/>
                    </w:sdtPr>
                    <w:sdtContent>
                      <w:r>
                        <w:t>3</w:t>
                      </w:r>
                    </w:sdtContent>
                  </w:sdt>
                  <w:r>
                    <w:t>. Šio aprašo nuostatos, skirtos 2 grupės vairuotojams, yra taikomos B kategorijos transporto priemonių vairuotojams, naudojantiems vairuotojo pažymėjimą profesiniams tikslams (lengvieji taksi automobiliai, greitosios pagalbos automobiliai ir pan.), bei traktorių ir savaeigių mašinų vairuotojams, dirbantiems pagal darbo sutartis.</w:t>
                  </w:r>
                </w:p>
              </w:sdtContent>
            </w:sdt>
            <w:sdt>
              <w:sdtPr>
                <w:alias w:val="7 pr. 4 p."/>
                <w:tag w:val="part_a6fb048b03e14a64ab0323fde91ed2cd"/>
                <w:lock w:val="sdtLocked"/>
                <w:richText/>
              </w:sdtPr>
              <w:sdtContent>
                <w:p>
                  <w:pPr>
                    <w:ind w:firstLine="567"/>
                    <w:jc w:val="both"/>
                  </w:pPr>
                  <w:sdt>
                    <w:sdtPr>
                      <w:alias w:val="Numeris"/>
                      <w:tag w:val="nr_a6fb048b03e14a64ab0323fde91ed2cd"/>
                      <w:lock w:val="sdtLocked"/>
                      <w:richText/>
                    </w:sdtPr>
                    <w:sdtContent>
                      <w:r>
                        <w:t>4</w:t>
                      </w:r>
                    </w:sdtContent>
                  </w:sdt>
                  <w:r>
                    <w:t>. Asmenys, siekiantys mokytis vairuoti ir pirmą kartą įgyti teisę vairuoti tam tikros kategorijos transporto priemones (įgyti pirmąjį vairuotojo pažymėjimą), (toliau – kandidatai), arba vairuotojai, norintys atnaujinti vairuotojo pažymėjimą, priskiriami prie tos grupės, kuriai jie priklausys, kai jiems bus išduotas pirmasis ar atnaujintas vairuotojo pažymėjimas.</w:t>
                  </w:r>
                </w:p>
              </w:sdtContent>
            </w:sdt>
            <w:sdt>
              <w:sdtPr>
                <w:alias w:val="7 pr. 5 p."/>
                <w:tag w:val="part_3da51edbbb5747ab99447069970b2d51"/>
                <w:lock w:val="sdtLocked"/>
                <w:richText/>
              </w:sdtPr>
              <w:sdtContent>
                <w:p>
                  <w:pPr>
                    <w:ind w:firstLine="567"/>
                    <w:jc w:val="both"/>
                  </w:pPr>
                  <w:sdt>
                    <w:sdtPr>
                      <w:alias w:val="Numeris"/>
                      <w:tag w:val="nr_3da51edbbb5747ab99447069970b2d51"/>
                      <w:lock w:val="sdtLocked"/>
                      <w:richText/>
                    </w:sdtPr>
                    <w:sdtContent>
                      <w:r>
                        <w:t>5</w:t>
                      </w:r>
                    </w:sdtContent>
                  </w:sdt>
                  <w:r>
                    <w:t xml:space="preserve">. Kitos apraše vartojamos sąvokos atitinka Lietuvos Respublikos saugaus eismo automobilių keliais įstatyme (Žin., 2000, Nr. </w:t>
                  </w:r>
                  <w:hyperlink r:id="rId55" w:tgtFrame="_blank" w:history="1">
                    <w:r>
                      <w:rPr>
                        <w:color w:val="0000FF" w:themeColor="hyperlink"/>
                        <w:u w:val="single"/>
                      </w:rPr>
                      <w:t>92-2883</w:t>
                    </w:r>
                  </w:hyperlink>
                  <w:r>
                    <w:t xml:space="preserve">; 2007, Nr. </w:t>
                  </w:r>
                  <w:hyperlink r:id="rId56" w:tgtFrame="_blank" w:history="1">
                    <w:r>
                      <w:rPr>
                        <w:color w:val="0000FF" w:themeColor="hyperlink"/>
                        <w:u w:val="single"/>
                      </w:rPr>
                      <w:t>128-5213</w:t>
                    </w:r>
                  </w:hyperlink>
                  <w:r>
                    <w:t>) (toliau – Saugaus eismo įstatymas) ir kituose teisės aktuose, reglamentuojančiuose sveikatos priežiūrą, apibrėžtas sąvokas.</w:t>
                  </w:r>
                </w:p>
                <w:p>
                  <w:pPr>
                    <w:ind w:firstLine="567"/>
                    <w:jc w:val="both"/>
                  </w:pPr>
                </w:p>
              </w:sdtContent>
            </w:sdt>
          </w:sdtContent>
        </w:sdt>
        <w:sdt>
          <w:sdtPr>
            <w:alias w:val="skyrius"/>
            <w:tag w:val="part_c2d8a0d16550498da09ed6a216621212"/>
            <w:lock w:val="sdtLocked"/>
            <w:richText/>
          </w:sdtPr>
          <w:sdtContent>
            <w:p>
              <w:pPr>
                <w:jc w:val="center"/>
                <w:rPr>
                  <w:b/>
                  <w:bCs/>
                </w:rPr>
              </w:pPr>
              <w:sdt>
                <w:sdtPr>
                  <w:alias w:val="Numeris"/>
                  <w:tag w:val="nr_c2d8a0d16550498da09ed6a216621212"/>
                  <w:lock w:val="sdtLocked"/>
                  <w:richText/>
                </w:sdtPr>
                <w:sdtContent>
                  <w:r>
                    <w:rPr>
                      <w:b/>
                      <w:bCs/>
                    </w:rPr>
                    <w:t>II</w:t>
                  </w:r>
                </w:sdtContent>
              </w:sdt>
              <w:r>
                <w:rPr>
                  <w:b/>
                  <w:bCs/>
                </w:rPr>
                <w:t xml:space="preserve">. </w:t>
              </w:r>
              <w:sdt>
                <w:sdtPr>
                  <w:alias w:val="Pavadinimas"/>
                  <w:tag w:val="title_c2d8a0d16550498da09ed6a216621212"/>
                  <w:lock w:val="sdtLocked"/>
                  <w:richText/>
                </w:sdtPr>
                <w:sdtContent>
                  <w:r>
                    <w:rPr>
                      <w:b/>
                      <w:bCs/>
                    </w:rPr>
                    <w:t>SVEIKATOS TIKRINIMO REIKALAVIMAI IR TVARKA</w:t>
                  </w:r>
                </w:sdtContent>
              </w:sdt>
            </w:p>
            <w:p>
              <w:pPr>
                <w:ind w:firstLine="567"/>
                <w:jc w:val="both"/>
              </w:pPr>
            </w:p>
            <w:sdt>
              <w:sdtPr>
                <w:alias w:val="7 pr. 6 p."/>
                <w:tag w:val="part_41bd4442dc2042d0924be8867d07726f"/>
                <w:lock w:val="sdtLocked"/>
                <w:richText/>
              </w:sdtPr>
              <w:sdtContent>
                <w:p>
                  <w:pPr>
                    <w:ind w:firstLine="567"/>
                    <w:jc w:val="both"/>
                  </w:pPr>
                  <w:sdt>
                    <w:sdtPr>
                      <w:alias w:val="Numeris"/>
                      <w:tag w:val="nr_41bd4442dc2042d0924be8867d07726f"/>
                      <w:lock w:val="sdtLocked"/>
                      <w:richText/>
                    </w:sdtPr>
                    <w:sdtContent>
                      <w:r>
                        <w:t>6</w:t>
                      </w:r>
                    </w:sdtContent>
                  </w:sdt>
                  <w:r>
                    <w:t>. Visi kandidatai bei 1 ir 2 grupės ir joms prilyginti vairuotojai privalo tikrintis sveikatą prieš įgydami šią teisę bei vėliau periodiškai šiame Apraše nustatyta tvarka.</w:t>
                  </w:r>
                </w:p>
              </w:sdtContent>
            </w:sdt>
            <w:sdt>
              <w:sdtPr>
                <w:alias w:val="7 pr. 7 p."/>
                <w:tag w:val="part_f38e7c27065a4c7384024f370ebc8183"/>
                <w:lock w:val="sdtLocked"/>
                <w:richText/>
              </w:sdtPr>
              <w:sdtContent>
                <w:p>
                  <w:pPr>
                    <w:ind w:firstLine="567"/>
                    <w:jc w:val="both"/>
                  </w:pPr>
                  <w:sdt>
                    <w:sdtPr>
                      <w:alias w:val="Numeris"/>
                      <w:tag w:val="nr_f38e7c27065a4c7384024f370ebc8183"/>
                      <w:lock w:val="sdtLocked"/>
                      <w:richText/>
                    </w:sdtPr>
                    <w:sdtContent>
                      <w:r>
                        <w:t>7</w:t>
                      </w:r>
                    </w:sdtContent>
                  </w:sdt>
                  <w:r>
                    <w:t>. Vairuotojų sveikatos tikrinimas atliekamas įstaigoje, turinčioje licenciją teikti sveikatos priežiūros paslaugas.</w:t>
                  </w:r>
                </w:p>
              </w:sdtContent>
            </w:sdt>
            <w:sdt>
              <w:sdtPr>
                <w:alias w:val="7 pr. 8 p."/>
                <w:tag w:val="part_57dfaae7e9784acf91b510d6f97e41bf"/>
                <w:lock w:val="sdtLocked"/>
                <w:richText/>
              </w:sdtPr>
              <w:sdtContent>
                <w:p>
                  <w:pPr>
                    <w:ind w:firstLine="567"/>
                    <w:jc w:val="both"/>
                  </w:pPr>
                  <w:sdt>
                    <w:sdtPr>
                      <w:alias w:val="Numeris"/>
                      <w:tag w:val="nr_57dfaae7e9784acf91b510d6f97e41bf"/>
                      <w:lock w:val="sdtLocked"/>
                      <w:richText/>
                    </w:sdtPr>
                    <w:sdtContent>
                      <w:r>
                        <w:t>8</w:t>
                      </w:r>
                    </w:sdtContent>
                  </w:sdt>
                  <w:r>
                    <w:t>. Transporto priemonių vairuotojų sveikatos tikrinimo mastas ir periodiškumas nurodyti 1 lentelėje.</w:t>
                  </w:r>
                </w:p>
              </w:sdtContent>
            </w:sdt>
            <w:sdt>
              <w:sdtPr>
                <w:alias w:val="7 pr. 9 p."/>
                <w:tag w:val="part_6ec65ebd19bd4e34ac7bb2e0042864b0"/>
                <w:lock w:val="sdtLocked"/>
                <w:richText/>
              </w:sdtPr>
              <w:sdtContent>
                <w:p>
                  <w:pPr>
                    <w:ind w:firstLine="567"/>
                    <w:jc w:val="both"/>
                  </w:pPr>
                  <w:sdt>
                    <w:sdtPr>
                      <w:alias w:val="Numeris"/>
                      <w:tag w:val="nr_6ec65ebd19bd4e34ac7bb2e0042864b0"/>
                      <w:lock w:val="sdtLocked"/>
                      <w:richText/>
                    </w:sdtPr>
                    <w:sdtContent>
                      <w:r>
                        <w:t>9</w:t>
                      </w:r>
                    </w:sdtContent>
                  </w:sdt>
                  <w:r>
                    <w:t>. Kandidatai ir vairuotojai prieš sveikatos tikrinimą užpildo ir pasirašo Vairuotojo garbės deklaraciją (sveikatos patikrinimo klausimyną) (4 lentelė).</w:t>
                  </w:r>
                </w:p>
              </w:sdtContent>
            </w:sdt>
            <w:sdt>
              <w:sdtPr>
                <w:alias w:val="7 pr. 10 p."/>
                <w:tag w:val="part_8d4b76a4cf6b48af9d16eb68d2508932"/>
                <w:lock w:val="sdtLocked"/>
                <w:richText/>
              </w:sdtPr>
              <w:sdtContent>
                <w:p>
                  <w:pPr>
                    <w:ind w:firstLine="567"/>
                    <w:jc w:val="both"/>
                  </w:pPr>
                  <w:sdt>
                    <w:sdtPr>
                      <w:alias w:val="Numeris"/>
                      <w:tag w:val="nr_8d4b76a4cf6b48af9d16eb68d2508932"/>
                      <w:lock w:val="sdtLocked"/>
                      <w:richText/>
                    </w:sdtPr>
                    <w:sdtContent>
                      <w:r>
                        <w:rPr>
                          <w:szCs w:val="24"/>
                        </w:rPr>
                        <w:t>10</w:t>
                      </w:r>
                    </w:sdtContent>
                  </w:sdt>
                  <w:r>
                    <w:rPr>
                      <w:szCs w:val="24"/>
                    </w:rPr>
                    <w:t xml:space="preserve">. Kandidatų ir vairuotojų sveikatą tikrina šeimos gydytojas arba vidaus / vaikų ligų gydytojas, teikiantis pirminės sveikatos priežiūros paslaugas. Šie gydytojai įvertina paciento sveikatos duomenis </w:t>
                  </w:r>
                  <w:r>
                    <w:rPr>
                      <w:rFonts w:eastAsia="Calibri"/>
                      <w:szCs w:val="24"/>
                    </w:rPr>
                    <w:t>Elektroninės sveikatos paslaugų ir bendradarbiavimo infrastruktūros informacinėje sistemoje (toliau</w:t>
                  </w:r>
                  <w:r>
                    <w:rPr>
                      <w:szCs w:val="24"/>
                    </w:rPr>
                    <w:t xml:space="preserve"> </w:t>
                  </w:r>
                  <w:r>
                    <w:rPr>
                      <w:rFonts w:eastAsia="Calibri"/>
                      <w:szCs w:val="24"/>
                    </w:rPr>
                    <w:t>–</w:t>
                  </w:r>
                  <w:r>
                    <w:rPr>
                      <w:szCs w:val="24"/>
                    </w:rPr>
                    <w:t xml:space="preserve"> </w:t>
                  </w:r>
                  <w:r>
                    <w:rPr>
                      <w:rFonts w:eastAsia="Calibri"/>
                      <w:szCs w:val="24"/>
                    </w:rPr>
                    <w:t>ESPBI IS),</w:t>
                  </w:r>
                  <w:r>
                    <w:rPr>
                      <w:szCs w:val="24"/>
                    </w:rPr>
                    <w:t xml:space="preserve"> vadovaudamiesi šiuo įsakymu paskiria tyrimus, nustato jų dažnumą, bei atsako už sveikatos tikrinimo kokybę:</w:t>
                  </w:r>
                  <w:r>
                    <w:t xml:space="preserve"> </w:t>
                  </w:r>
                </w:p>
                <w:p>
                  <w:pPr>
                    <w:ind w:firstLine="567"/>
                    <w:jc w:val="both"/>
                  </w:pP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sdt>
                  <w:sdtPr>
                    <w:alias w:val="7 pr. 10.1 p."/>
                    <w:tag w:val="part_4498a09d396a4bbdb277dddbc201fdf6"/>
                    <w:lock w:val="sdtLocked"/>
                    <w:richText/>
                  </w:sdtPr>
                  <w:sdtContent>
                    <w:p>
                      <w:pPr>
                        <w:ind w:firstLine="567"/>
                        <w:jc w:val="both"/>
                      </w:pPr>
                      <w:sdt>
                        <w:sdtPr>
                          <w:alias w:val="Numeris"/>
                          <w:tag w:val="nr_4498a09d396a4bbdb277dddbc201fdf6"/>
                          <w:lock w:val="sdtLocked"/>
                          <w:richText/>
                        </w:sdtPr>
                        <w:sdtContent>
                          <w:r>
                            <w:t>10.1</w:t>
                          </w:r>
                        </w:sdtContent>
                      </w:sdt>
                      <w:r>
                        <w:t>. Šeimos gydytojas arba vidaus / vaikų ligų gydytojas, tikrinimo metu nustatęs, kad tikrinamas pacientas dėl medicininių priežasčių negali vairuoti visų kategorijų transporto priemonių, tikrinimo netęsia ir tikrinimo duomenis ir išvadas įrašo į Asmens sveikatos istoriją (ambulatorinę kortelę) (toliau – F Nr. 025/a), pasirašo ir patvirtina savo asmeniniu spaudu.</w:t>
                      </w:r>
                    </w:p>
                  </w:sdtContent>
                </w:sdt>
                <w:sdt>
                  <w:sdtPr>
                    <w:alias w:val="7 pr. 10.2 p."/>
                    <w:tag w:val="part_5bd25a06bc694c2d902c2753342070b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bd25a06bc694c2d902c2753342070b7"/>
                          <w:lock w:val="sdtLocked"/>
                          <w:richText/>
                        </w:sdtPr>
                        <w:sdtContent>
                          <w:r>
                            <w:rPr>
                              <w:szCs w:val="24"/>
                            </w:rPr>
                            <w:t>10.2</w:t>
                          </w:r>
                        </w:sdtContent>
                      </w:sdt>
                      <w:r>
                        <w:rPr>
                          <w:szCs w:val="24"/>
                        </w:rPr>
                        <w:t xml:space="preserve">. Paciento psichikos sveikatą tikrina </w:t>
                      </w:r>
                      <w:r>
                        <w:rPr>
                          <w:spacing w:val="2"/>
                          <w:szCs w:val="24"/>
                        </w:rPr>
                        <w:t xml:space="preserve">gydytojas psichiatras, dirbantis paciento pasirinktoje asmens sveikatos priežiūros įstaigoje, teikiančioje pirmines ambulatorines psichikos sveikatos priežiūros paslaugas (psichikos sveikatos centre, prie kurio jis yra prisirašęs arba kuriam, kaip aptarnaujančiam </w:t>
                      </w:r>
                      <w:r>
                        <w:rPr>
                          <w:szCs w:val="24"/>
                        </w:rPr>
                        <w:t xml:space="preserve">sveikatos priežiūros įstaigą (toliau – SPĮ), </w:t>
                      </w:r>
                      <w:r>
                        <w:rPr>
                          <w:spacing w:val="2"/>
                          <w:szCs w:val="24"/>
                        </w:rPr>
                        <w:t>prie kurios jis yra prisirašęs, yra priskirtas).</w:t>
                      </w:r>
                      <w:r>
                        <w:rPr>
                          <w:b/>
                          <w:bCs/>
                          <w:spacing w:val="2"/>
                          <w:szCs w:val="24"/>
                        </w:rPr>
                        <w:t xml:space="preserve"> </w:t>
                      </w:r>
                      <w:r>
                        <w:rPr>
                          <w:szCs w:val="24"/>
                        </w:rPr>
                        <w:t>Vaikų psichikos sveikatą tikrina gydytojas vaikų ir paauglių psichiatras, o jeigu toks gydytojas psichikos sveikatos centre nedirba – gydytojas psichiatras;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0.3 p."/>
                    <w:tag w:val="part_1a04e91de0784c36a5a6516fe48a0639"/>
                    <w:lock w:val="sdtLocked"/>
                    <w:richText/>
                  </w:sdtPr>
                  <w:sdtContent>
                    <w:p>
                      <w:pPr>
                        <w:tabs>
                          <w:tab w:val="left" w:pos="1560"/>
                        </w:tabs>
                        <w:ind w:firstLine="567"/>
                        <w:jc w:val="both"/>
                      </w:pPr>
                      <w:sdt>
                        <w:sdtPr>
                          <w:alias w:val="Numeris"/>
                          <w:tag w:val="nr_1a04e91de0784c36a5a6516fe48a0639"/>
                          <w:lock w:val="sdtLocked"/>
                          <w:richText/>
                        </w:sdtPr>
                        <w:sdtContent>
                          <w:r>
                            <w:rPr>
                              <w:szCs w:val="24"/>
                            </w:rPr>
                            <w:t>10.3</w:t>
                          </w:r>
                        </w:sdtContent>
                      </w:sdt>
                      <w:r>
                        <w:rPr>
                          <w:szCs w:val="24"/>
                        </w:rPr>
                        <w:t xml:space="preserve">. Kandidatas arba vairuotojas apsilankymo pas šeimos arba vidaus, arba vaikų ligų gydytoją metu užpildo, pasirašo ir pateikia gydytojui Klausimyną dėl obstrukcinės miego apnėjos ir </w:t>
                      </w:r>
                      <w:r>
                        <w:rPr>
                          <w:i/>
                          <w:szCs w:val="24"/>
                        </w:rPr>
                        <w:t>Epworth</w:t>
                      </w:r>
                      <w:r>
                        <w:rPr>
                          <w:szCs w:val="24"/>
                        </w:rPr>
                        <w:t xml:space="preserve"> mieguistumo skalę (Aprašo priedas). Gydytojas, įvertinęs atsakymus, naudodamasis Obstrukcinės miego apnėjos sindromo (toliau – OMA) klausimyno vertinimo metodika ir įtaręs šią ligą, siunčia kandidatą arba vairuotoją Aprašo 11 punkte nustatyta tvarka gydytojo neurologo arba gydytojo pulmonologo konsultacijos.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Content>
            </w:sdt>
            <w:sdt>
              <w:sdtPr>
                <w:alias w:val="10-1 p."/>
                <w:tag w:val="part_e34205f654ab48348d7793eedf67c27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e34205f654ab48348d7793eedf67c273"/>
                      <w:lock w:val="sdtLocked"/>
                      <w:richText/>
                    </w:sdtPr>
                    <w:sdtContent>
                      <w:r>
                        <w:rPr>
                          <w:szCs w:val="24"/>
                        </w:rPr>
                        <w:t>10</w:t>
                      </w:r>
                      <w:r>
                        <w:rPr>
                          <w:szCs w:val="24"/>
                          <w:vertAlign w:val="superscript"/>
                        </w:rPr>
                        <w:t>1</w:t>
                      </w:r>
                    </w:sdtContent>
                  </w:sdt>
                  <w:r>
                    <w:rPr>
                      <w:szCs w:val="24"/>
                    </w:rPr>
                    <w:t xml:space="preserve">. Sveikatą tikrinantys gydytojai turi teisę gauti informaciją apie tikrinamojo asmens sveikatos būklę iš kitų asmens sveikatos priežiūros įstaigų,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1 p."/>
                <w:tag w:val="part_388d3c90356a4152a5eca1cccf2c6546"/>
                <w:lock w:val="sdtLocked"/>
                <w:richText/>
              </w:sdtPr>
              <w:sdtContent>
                <w:p>
                  <w:pPr>
                    <w:pStyle w:val="PlainText"/>
                    <w:ind w:firstLine="567"/>
                    <w:jc w:val="both"/>
                    <w:rPr>
                      <w:rFonts w:ascii="Times New Roman" w:hAnsi="Times New Roman"/>
                      <w:b/>
                      <w:bCs/>
                      <w:sz w:val="22"/>
                    </w:rPr>
                  </w:pPr>
                  <w:r>
                    <w:rPr>
                      <w:rFonts w:ascii="Times New Roman" w:hAnsi="Times New Roman"/>
                      <w:sz w:val="22"/>
                    </w:rPr>
                    <w:t>11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2 p."/>
                <w:tag w:val="part_2405ca7a333647d299e25600c54e501a"/>
                <w:lock w:val="sdtLocked"/>
                <w:richText/>
              </w:sdtPr>
              <w:sdtContent>
                <w:p>
                  <w:pPr>
                    <w:ind w:firstLine="567"/>
                    <w:jc w:val="both"/>
                  </w:pPr>
                  <w:sdt>
                    <w:sdtPr>
                      <w:alias w:val="Numeris"/>
                      <w:tag w:val="nr_2405ca7a333647d299e25600c54e501a"/>
                      <w:lock w:val="sdtLocked"/>
                      <w:richText/>
                    </w:sdtPr>
                    <w:sdtContent>
                      <w:r>
                        <w:t>12</w:t>
                      </w:r>
                    </w:sdtContent>
                  </w:sdt>
                  <w:r>
                    <w:t>. Pacientai, norintys tikrintis sveikatą SPĮ, kurioje prisirašė:</w:t>
                  </w:r>
                </w:p>
                <w:sdt>
                  <w:sdtPr>
                    <w:alias w:val="7 pr. 12.1 p."/>
                    <w:tag w:val="part_1ba517bf78054483870e349dbb126eea"/>
                    <w:lock w:val="sdtLocked"/>
                    <w:richText/>
                  </w:sdtPr>
                  <w:sdtContent>
                    <w:p>
                      <w:pPr>
                        <w:ind w:firstLine="567"/>
                        <w:jc w:val="both"/>
                      </w:pPr>
                      <w:sdt>
                        <w:sdtPr>
                          <w:alias w:val="Numeris"/>
                          <w:tag w:val="nr_1ba517bf78054483870e349dbb126eea"/>
                          <w:lock w:val="sdtLocked"/>
                          <w:richText/>
                        </w:sdtPr>
                        <w:sdtContent>
                          <w:r>
                            <w:t>12.1</w:t>
                          </w:r>
                        </w:sdtContent>
                      </w:sdt>
                      <w:r>
                        <w:t>. nurodo, kokių kategorijų transporto priemones nori vairuoti, ir pateikia asmens tapatybę patvirtinantį dokumentą;</w:t>
                      </w:r>
                    </w:p>
                  </w:sdtContent>
                </w:sdt>
                <w:sdt>
                  <w:sdtPr>
                    <w:alias w:val="7 pr. 12.2 p."/>
                    <w:tag w:val="part_210c10e780aa4da1b659db7c42ab2573"/>
                    <w:lock w:val="sdtLocked"/>
                    <w:richText/>
                  </w:sdtPr>
                  <w:sdtContent>
                    <w:p>
                      <w:pPr>
                        <w:ind w:firstLine="567"/>
                        <w:jc w:val="both"/>
                      </w:pPr>
                      <w:sdt>
                        <w:sdtPr>
                          <w:alias w:val="Numeris"/>
                          <w:tag w:val="nr_210c10e780aa4da1b659db7c42ab2573"/>
                          <w:lock w:val="sdtLocked"/>
                          <w:richText/>
                        </w:sdtPr>
                        <w:sdtContent>
                          <w:r>
                            <w:t>12.2</w:t>
                          </w:r>
                        </w:sdtContent>
                      </w:sdt>
                      <w:r>
                        <w:t>. pateikia vairuotojo pažymėjimą (tikrinantis pakartotinai);</w:t>
                      </w:r>
                    </w:p>
                  </w:sdtContent>
                </w:sdt>
                <w:sdt>
                  <w:sdtPr>
                    <w:alias w:val="7 pr. 12.3 p."/>
                    <w:tag w:val="part_562699af85e14f77a0f95f960d914b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62699af85e14f77a0f95f960d914b32"/>
                          <w:lock w:val="sdtLocked"/>
                          <w:richText/>
                        </w:sdtPr>
                        <w:sdtContent>
                          <w:r>
                            <w:rPr>
                              <w:szCs w:val="24"/>
                            </w:rPr>
                            <w:t>12.3</w:t>
                          </w:r>
                        </w:sdtContent>
                      </w:sdt>
                      <w:r>
                        <w:rPr>
                          <w:szCs w:val="24"/>
                        </w:rPr>
                        <w:t>. pateikia Asmens medicininę knygelę (sveikatos pasą) (toliau – F 048/a) arba Privalomo sveikatos patikrinimo medicininę pažymą (toliau – F Nr. 047/a) – jei privalomai periodiškai sveikata tikrinama atitinkamai dirbant arba įsidarbinant vairuotoju pagal darbo sutartį. Tikrinant 2 grupės kategorijų transporto priemonių, traktorių ir savaeigių mašinų vairuotojų, dirbančių pagal darbo sutartis, sveikatą, vadovaujamasi ir Asmenų, dirbančių galimos profesinės rizikos sąlygomis (kenksmingų veiksnių poveikyje ir pavojingą darbą), privalomo sveikatos tikrinimo tvarka, patvirtinta Lietuvos Respublikos sveikatos apsaugos ministro 2000 m. gegužės 31 d. įsakymu Nr. 301</w:t>
                      </w:r>
                      <w:r>
                        <w:rPr>
                          <w:b/>
                          <w:bCs/>
                          <w:szCs w:val="24"/>
                        </w:rPr>
                        <w:t xml:space="preserve"> </w:t>
                      </w:r>
                      <w:r>
                        <w:rPr>
                          <w:szCs w:val="24"/>
                        </w:rPr>
                        <w:t>„</w:t>
                      </w:r>
                      <w:r>
                        <w:rPr>
                          <w:szCs w:val="24"/>
                          <w:lang w:eastAsia="lt-LT"/>
                        </w:rPr>
                        <w:t>Dėl profilaktinių sveikatos tikrinimų sveikatos priežiūros įstaigose“</w:t>
                      </w:r>
                      <w:r>
                        <w:rPr>
                          <w:szCs w:val="24"/>
                        </w:rPr>
                        <w:t xml:space="preserve">, o tikrinant vairuotojų, kurių darbas susijęs su keleivių vežimu (autobusų, mikroautobusų ir kt.), sveikatą, vadovaujamasi ir </w:t>
                      </w:r>
                      <w:r>
                        <w:rPr>
                          <w:szCs w:val="24"/>
                          <w:lang w:eastAsia="lt-LT"/>
                        </w:rPr>
                        <w:t xml:space="preserve">Darbuotojų, kuriems leidžiama dirbti tik iš anksto pasitikrinusiems ir vėliau periodiškai besitikrinantiems, ar neserga užkrečiamosiomis ligomis, sveikatos tikrinimosi tvarka, patvirtinta </w:t>
                      </w:r>
                      <w:r>
                        <w:rPr>
                          <w:szCs w:val="24"/>
                        </w:rPr>
                        <w:t xml:space="preserve">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7 pr. 13 p."/>
                <w:tag w:val="part_931cae19013d43a1867c589a3f30983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931cae19013d43a1867c589a3f30983e"/>
                      <w:lock w:val="sdtLocked"/>
                      <w:richText/>
                    </w:sdtPr>
                    <w:sdtContent>
                      <w:r>
                        <w:rPr>
                          <w:szCs w:val="24"/>
                        </w:rPr>
                        <w:t>13.</w:t>
                      </w:r>
                    </w:sdtContent>
                  </w:sdt>
                  <w:r>
                    <w:rPr>
                      <w:szCs w:val="24"/>
                    </w:rPr>
                    <w:t xml:space="preserve"> Pacientai, norintys tikrintis sveikatą SPĮ, kurioje jie neprisirašę, nurodo, kokių kategorijų transporto priemones nori vairuoti, ir pateikia 12 punkte nurodytus dokumentus bei F Nr. 027/a iš juos aptarnaujančio psichikos sveikatos centro gydytojo psichiatro ar vaikų ir paauglių psichiatro.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4 p."/>
                <w:tag w:val="part_7de7cb5508eb4487b95e24594c81804a"/>
                <w:lock w:val="sdtLocked"/>
                <w:richText/>
              </w:sdtPr>
              <w:sdtContent>
                <w:p>
                  <w:pPr>
                    <w:pStyle w:val="PlainText"/>
                    <w:ind w:firstLine="567"/>
                    <w:jc w:val="both"/>
                    <w:rPr>
                      <w:rFonts w:ascii="Times New Roman" w:hAnsi="Times New Roman"/>
                      <w:b/>
                      <w:bCs/>
                      <w:sz w:val="22"/>
                    </w:rPr>
                  </w:pPr>
                  <w:r>
                    <w:rPr>
                      <w:rFonts w:ascii="Times New Roman" w:hAnsi="Times New Roman"/>
                      <w:sz w:val="22"/>
                    </w:rPr>
                    <w:t>14</w:t>
                  </w:r>
                  <w:r>
                    <w:rPr>
                      <w:rFonts w:ascii="Times New Roman" w:hAnsi="Times New Roman"/>
                      <w:sz w:val="22"/>
                    </w:rPr>
                    <w:t>.</w:t>
                  </w:r>
                  <w:r>
                    <w:rPr>
                      <w:rFonts w:ascii="Times New Roman" w:eastAsia="MS Mincho" w:hAnsi="Times New Roman"/>
                      <w:sz w:val="20"/>
                      <w:i/>
                      <w:iCs/>
                    </w:rPr>
                    <w:t xml:space="preserve"> Neteko galios nuo 2019-04-17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sdtContent>
            </w:sdt>
            <w:sdt>
              <w:sdtPr>
                <w:alias w:val="7 pr. 15 p."/>
                <w:tag w:val="part_6843f5f8edff4ab88098bdab43be4992"/>
                <w:lock w:val="sdtLocked"/>
                <w:richText/>
              </w:sdtPr>
              <w:sdtContent>
                <w:p>
                  <w:pPr>
                    <w:ind w:firstLine="567"/>
                    <w:jc w:val="both"/>
                  </w:pPr>
                  <w:sdt>
                    <w:sdtPr>
                      <w:alias w:val="Numeris"/>
                      <w:tag w:val="nr_6843f5f8edff4ab88098bdab43be4992"/>
                      <w:lock w:val="sdtLocked"/>
                      <w:richText/>
                    </w:sdtPr>
                    <w:sdtContent>
                      <w:r>
                        <w:t>15</w:t>
                      </w:r>
                    </w:sdtContent>
                  </w:sdt>
                  <w:r>
                    <w:t>. Traktorių ir savaeigių mašinų vairuotojų, dirbančių pagal darbo sutartis, tikrinimo tvarka nurodyta Aprašo 1 lentelės 4 dalyje.</w:t>
                  </w:r>
                </w:p>
              </w:sdtContent>
            </w:sdt>
            <w:sdt>
              <w:sdtPr>
                <w:alias w:val="7 pr. 16 p."/>
                <w:tag w:val="part_ae8e397c11da4debaa4394c81e5ab18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ae8e397c11da4debaa4394c81e5ab18a"/>
                      <w:lock w:val="sdtLocked"/>
                      <w:richText/>
                    </w:sdtPr>
                    <w:sdtContent>
                      <w:r>
                        <w:rPr>
                          <w:szCs w:val="24"/>
                        </w:rPr>
                        <w:t>16</w:t>
                      </w:r>
                    </w:sdtContent>
                  </w:sdt>
                  <w:r>
                    <w:rPr>
                      <w:szCs w:val="24"/>
                    </w:rPr>
                    <w:t xml:space="preserve">. Atlikus profilaktinį tikrinimą, ESPBI IS užpildoma elektroninės statistinės apskaitos forma Nr. E083-1 „Vairuotojo sveikatos patikrinimo medicininė pažyma“ (toliau – F Nr. E083-1) arba išduodama forma Nr. 083-1/a „Vairuotojo sveikatos patikrinimo medicininė pažyma“, patvirtinta Lietuvos Respublikos sveikatos apsaugos ministro 1999 m. lapkričio 29 d. įsakymu Nr. 515 „Dėl sveikatos priežiūros įstaigų veiklos apskaitos ir atskaitomybės tvarkos“ (toliau </w:t>
                  </w:r>
                  <w:r>
                    <w:rPr>
                      <w:szCs w:val="24"/>
                      <w:lang w:eastAsia="lt-LT"/>
                    </w:rPr>
                    <w:t xml:space="preserve">– </w:t>
                  </w:r>
                  <w:r>
                    <w:rPr>
                      <w:rFonts w:eastAsia="Calibri"/>
                      <w:szCs w:val="24"/>
                    </w:rPr>
                    <w:t xml:space="preserve">F </w:t>
                  </w:r>
                  <w:r>
                    <w:rPr>
                      <w:szCs w:val="24"/>
                    </w:rPr>
                    <w:t xml:space="preserve">Nr. 083-1/a). </w:t>
                  </w:r>
                  <w:r>
                    <w:rPr>
                      <w:szCs w:val="24"/>
                      <w:lang w:eastAsia="lt-LT"/>
                    </w:rPr>
                    <w:t xml:space="preserve">Esant ESPBI IS arba SPĮ vidinių informacinės sistemos veikimo sutrikimų, </w:t>
                  </w:r>
                  <w:r>
                    <w:rPr>
                      <w:szCs w:val="24"/>
                    </w:rPr>
                    <w:t xml:space="preserve">F Nr. E083-1 </w:t>
                  </w:r>
                  <w:r>
                    <w:rPr>
                      <w:szCs w:val="24"/>
                      <w:lang w:eastAsia="lt-LT"/>
                    </w:rPr>
                    <w:t xml:space="preserve">užpildoma atkūrus sistemos / sistemų veiklą. </w:t>
                  </w:r>
                  <w:r>
                    <w:rPr>
                      <w:szCs w:val="24"/>
                    </w:rPr>
                    <w:t>F</w:t>
                  </w:r>
                  <w:r>
                    <w:rPr>
                      <w:szCs w:val="24"/>
                      <w:lang w:eastAsia="lt-LT"/>
                    </w:rPr>
                    <w:t> </w:t>
                  </w:r>
                  <w:r>
                    <w:rPr>
                      <w:szCs w:val="24"/>
                    </w:rPr>
                    <w:t>Nr. 083-1/a gali būti išduodama tik asmens kodo neturintiems trečiųjų šalių piliečiams, neketinantiems įsigyti ar keisti vairuotojo pažymėjimo, kuriems nėra galimybių ESPB IS užpildyti F Nr. E083-1.</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7 p."/>
                <w:tag w:val="part_8317bcfafaf44d5e81e9d994ae51a8a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317bcfafaf44d5e81e9d994ae51a8a9"/>
                      <w:lock w:val="sdtLocked"/>
                      <w:richText/>
                    </w:sdtPr>
                    <w:sdtContent>
                      <w:r>
                        <w:rPr>
                          <w:szCs w:val="24"/>
                        </w:rPr>
                        <w:t>17</w:t>
                      </w:r>
                    </w:sdtContent>
                  </w:sdt>
                  <w:r>
                    <w:rPr>
                      <w:szCs w:val="24"/>
                    </w:rPr>
                    <w:t>. Vairuotojo, turinčio galiojančią F Nr. E083-1 (ar</w:t>
                  </w:r>
                  <w:r>
                    <w:rPr>
                      <w:b/>
                      <w:bCs/>
                      <w:szCs w:val="24"/>
                    </w:rPr>
                    <w:t xml:space="preserve"> </w:t>
                  </w:r>
                  <w:r>
                    <w:rPr>
                      <w:szCs w:val="24"/>
                    </w:rPr>
                    <w:t>F Nr. 083-1/a</w:t>
                  </w:r>
                  <w:r>
                    <w:rPr>
                      <w:b/>
                      <w:bCs/>
                      <w:szCs w:val="24"/>
                    </w:rPr>
                    <w:t>)</w:t>
                  </w:r>
                  <w:r>
                    <w:rPr>
                      <w:szCs w:val="24"/>
                    </w:rPr>
                    <w:t>, sveikata gali būti tikrinama anksčiau šiais atvejais: asmens sveikatos priežiūros specialistui nurodžius, siunčiant policijai, darbovietės administracijai, nurodžius priešlaikinio tikrinimo priežastį arba asmeniui pageidaujant.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8 p."/>
                <w:tag w:val="part_729bcbe776ae4f58bbef1b219878c0d4"/>
                <w:lock w:val="sdtLocked"/>
                <w:richText/>
              </w:sdtPr>
              <w:sdtContent>
                <w:p>
                  <w:pPr>
                    <w:ind w:firstLine="567"/>
                    <w:jc w:val="both"/>
                  </w:pPr>
                  <w:sdt>
                    <w:sdtPr>
                      <w:alias w:val="Numeris"/>
                      <w:tag w:val="nr_729bcbe776ae4f58bbef1b219878c0d4"/>
                      <w:lock w:val="sdtLocked"/>
                      <w:richText/>
                    </w:sdtPr>
                    <w:sdtContent>
                      <w:r>
                        <w:t>18</w:t>
                      </w:r>
                    </w:sdtContent>
                  </w:sdt>
                  <w:r>
                    <w:t>. Tikrinimo duomenis ir išvadas apie tai, kokias transporto priemones ir kokiomis sąlygomis nurodant Bendrijoje taikomų apribojimų dėl medicininių priežasčių kodą (5 lentelė) (toliau – apribojimai) asmuo gali vairuoti, šeimos ar vidaus / vaikų ligų ir kiti tikrinantys gydytojai įrašo į F Nr. 025/a, pasirašo ir patvirtina savo asmeniniu spaudu.</w:t>
                  </w:r>
                </w:p>
              </w:sdtContent>
            </w:sdt>
            <w:sdt>
              <w:sdtPr>
                <w:alias w:val="7 pr. 19 p."/>
                <w:tag w:val="part_291e3e1437064e65bc5a9f72e49b9b1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91e3e1437064e65bc5a9f72e49b9b1a"/>
                      <w:lock w:val="sdtLocked"/>
                      <w:richText/>
                    </w:sdtPr>
                    <w:sdtContent>
                      <w:r>
                        <w:rPr>
                          <w:szCs w:val="24"/>
                        </w:rPr>
                        <w:t>19</w:t>
                      </w:r>
                    </w:sdtContent>
                  </w:sdt>
                  <w:r>
                    <w:rPr>
                      <w:szCs w:val="24"/>
                    </w:rPr>
                    <w:t>. Galutinę išvadą į F Nr. 025/a įrašo ir pasirašo SPĮ vadovo įsakymu įgaliotas asmuo.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0 p."/>
                <w:tag w:val="part_20ff8c034f334f6cbcc1e1ec243992b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0ff8c034f334f6cbcc1e1ec243992b1"/>
                      <w:lock w:val="sdtLocked"/>
                      <w:richText/>
                    </w:sdtPr>
                    <w:sdtContent>
                      <w:r>
                        <w:rPr>
                          <w:szCs w:val="24"/>
                        </w:rPr>
                        <w:t>20</w:t>
                      </w:r>
                    </w:sdtContent>
                  </w:sdt>
                  <w:r>
                    <w:rPr>
                      <w:szCs w:val="24"/>
                    </w:rPr>
                    <w:t>. Išvada apie tinkamumą vairuoti įrašoma į F Nr. E083-1 (ar F Nr. 083-1/a). F Nr. E083-1 elektroniniu parašu pasirašo SPĮ vadovo įgaliotas asmuo. F Nr. 083-1/a pasirašo ir patvirtina asmeniniais spaudais, Vairuotojų sveikatos tikrinimo arba gydytojų konsultacinės komisijos (toliau – GKK) antspaudu arba SPĮ įstaigos antspaudu komisijos pirmininkas ir sekretorius.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1 p."/>
                <w:tag w:val="part_1350d91d0243477fa5d67b631d2e08f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350d91d0243477fa5d67b631d2e08f3"/>
                      <w:lock w:val="sdtLocked"/>
                      <w:richText/>
                    </w:sdtPr>
                    <w:sdtContent>
                      <w:r>
                        <w:rPr>
                          <w:color w:val="000000"/>
                          <w:szCs w:val="24"/>
                        </w:rPr>
                        <w:t>21</w:t>
                      </w:r>
                    </w:sdtContent>
                  </w:sdt>
                  <w:r>
                    <w:rPr>
                      <w:color w:val="000000"/>
                      <w:szCs w:val="24"/>
                    </w:rPr>
                    <w:t>. Vairuotojams, dirbantiems galimos profesinės rizikos sąlygomis (kenksmingų veiksnių poveikis ir pavojingas darbas), išvada įrašoma ir į F Nr. 048/a, įsidarbinant – ir į F Nr. 047/a.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2 p."/>
                <w:tag w:val="part_b581a4aaa9bb4db2a27c331c8202e81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b581a4aaa9bb4db2a27c331c8202e819"/>
                      <w:lock w:val="sdtLocked"/>
                      <w:richText/>
                    </w:sdtPr>
                    <w:sdtContent>
                      <w:r>
                        <w:rPr>
                          <w:szCs w:val="24"/>
                          <w:lang w:eastAsia="lt-LT"/>
                        </w:rPr>
                        <w:t>22</w:t>
                      </w:r>
                    </w:sdtContent>
                  </w:sdt>
                  <w:r>
                    <w:rPr>
                      <w:szCs w:val="24"/>
                      <w:lang w:eastAsia="lt-LT"/>
                    </w:rPr>
                    <w:t>. Išvada apie tinkamumą vairuoti transporto priemones (nurodant kategoriją (-as) daroma, atsižvelgiant į Aprašo 3 lentelėje „Minimalios sveikatos tinkamumo normos, taikomos asmenims, siekiantiems vairuoti ir vairuojantiems variklio varomą transporto priemonę“ išvardytas ligas ir sveikatos problemas, dėl kurių ribojama teisė vairuoti transporto priemones, bei 5 lentelėje išvardytus apribojimus dėl medicininių priežasčių.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3 p."/>
                <w:tag w:val="part_6f0c3be17c09474ab4c47b98ddf462ec"/>
                <w:lock w:val="sdtLocked"/>
                <w:richText/>
              </w:sdtPr>
              <w:sdtContent>
                <w:p>
                  <w:pPr>
                    <w:ind w:firstLine="567"/>
                    <w:jc w:val="both"/>
                  </w:pPr>
                  <w:sdt>
                    <w:sdtPr>
                      <w:alias w:val="Numeris"/>
                      <w:tag w:val="nr_6f0c3be17c09474ab4c47b98ddf462ec"/>
                      <w:lock w:val="sdtLocked"/>
                      <w:richText/>
                    </w:sdtPr>
                    <w:sdtContent>
                      <w:r>
                        <w:t>23</w:t>
                      </w:r>
                    </w:sdtContent>
                  </w:sdt>
                  <w:r>
                    <w:t>. Sveikatos tikrinimo duomenys registruojami sveikatos tikrinimo žurnale (ambulatorinių ligonių registravimo žurnalas) (toliau – F Nr. 074/a) ir patvirtinami sekretoriaus vardiniu spaudu ir parašu.</w:t>
                  </w:r>
                </w:p>
              </w:sdtContent>
            </w:sdt>
            <w:sdt>
              <w:sdtPr>
                <w:alias w:val="7 pr. 24 p."/>
                <w:tag w:val="part_18496efe88f44834a6fe78ae8f69900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8496efe88f44834a6fe78ae8f699003"/>
                      <w:lock w:val="sdtLocked"/>
                      <w:richText/>
                    </w:sdtPr>
                    <w:sdtContent>
                      <w:r>
                        <w:rPr>
                          <w:szCs w:val="24"/>
                        </w:rPr>
                        <w:t>24</w:t>
                      </w:r>
                    </w:sdtContent>
                  </w:sdt>
                  <w:r>
                    <w:rPr>
                      <w:szCs w:val="24"/>
                    </w:rPr>
                    <w:t>. Mokymo įstaigų, kuriose papildomai mokoma vairuoti traktorius bei automobilius, moksleiviams, jaunesniems negu nurodyta šio Aprašo 2 lentelėje „Transporto priemonių kategorijos, minimalus vairuotojų amžius“, išduodama Stojančio į mokymo įstaigą ar įdarbinamo nepilnamečio medicininė pažyma (F Nr. 086/a), o vėliau, baigus mokyklą arba sulaukus atitinkamo amžiaus, po pakartotinio sveikatos tikrinimo – F Nr. E083-1.</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5 p."/>
                <w:tag w:val="part_52635baee99c47b3b1477af2fa2497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2635baee99c47b3b1477af2fa249763"/>
                      <w:lock w:val="sdtLocked"/>
                      <w:richText/>
                    </w:sdtPr>
                    <w:sdtContent>
                      <w:r>
                        <w:rPr>
                          <w:szCs w:val="24"/>
                        </w:rPr>
                        <w:t>25</w:t>
                      </w:r>
                    </w:sdtContent>
                  </w:sdt>
                  <w:r>
                    <w:rPr>
                      <w:szCs w:val="24"/>
                    </w:rPr>
                    <w:t>. F Nr. E083-1 gali būti išduodama asmenims, ne daugiau kaip vienais metais jaunesniems nei Saugaus eismo automobilių keliais įstatymo 23 straipsnio 2 dalyje nustatytas amžius, nuo kurio leidžiama vairuoti atitinkamos kategorijos transporto priemonę. Tais atvejais, kai minimalų vairuotojų amžių nustato ne šis įstatymas, o kiti teisės aktai, taikomos atitinkamų teisės aktų nuostatos.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6 p."/>
                <w:tag w:val="part_a8bb4113f2ab41e49594e8a53077714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a8bb4113f2ab41e49594e8a530777148"/>
                      <w:lock w:val="sdtLocked"/>
                      <w:richText/>
                    </w:sdtPr>
                    <w:sdtContent>
                      <w:r>
                        <w:rPr>
                          <w:color w:val="000000"/>
                          <w:szCs w:val="24"/>
                        </w:rPr>
                        <w:t>26</w:t>
                      </w:r>
                    </w:sdtContent>
                  </w:sdt>
                  <w:r>
                    <w:rPr>
                      <w:color w:val="000000"/>
                      <w:szCs w:val="24"/>
                    </w:rPr>
                    <w:t>. Bet kurios profesinės kvalifikacijos gydytojas, nustatęs, kad asmuo dėl sveikatos būklės vairuoti negali, raštu (arba elektroniniu būdu) informuoja savo sveikatos priežiūros įstaigos administraciją, o jos įgaliotas asmuo nedelsdamas elektroniniu būdu ir per 5</w:t>
                  </w:r>
                  <w:r>
                    <w:rPr>
                      <w:i/>
                      <w:iCs/>
                      <w:color w:val="000000"/>
                      <w:szCs w:val="24"/>
                    </w:rPr>
                    <w:t xml:space="preserve"> </w:t>
                  </w:r>
                  <w:r>
                    <w:rPr>
                      <w:color w:val="000000"/>
                      <w:szCs w:val="24"/>
                    </w:rPr>
                    <w:t xml:space="preserve">darbo dienas raštu informuoja policijos komisariatą pagal tikrinamojo gyvenamąją vietą ar Lietuvos kelių policijos tarnybą apie asmenis, kurie dėl sveikatos būklės negali vairuoti traktorių ir (arba) savaeigių mašinų, o apie asmenis, kurie  dėl sveikatos būklės negali vairuoti kitų transporto priemonių – valstybės įmonę „Regitra“. Informacija, kad asmuo dėl sveikatos būklės vairuoti negali, pateikiama nurodant tikrinamojo asmens kodą, vardą, pavardę, adresą ir kito sveikatos patikrinimo laiką.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7 p."/>
                <w:tag w:val="part_6e80d9179f874a6090207c5ee5bdf808"/>
                <w:lock w:val="sdtLocked"/>
                <w:richText/>
              </w:sdtPr>
              <w:sdtContent>
                <w:p>
                  <w:pPr>
                    <w:ind w:firstLine="567"/>
                    <w:jc w:val="both"/>
                  </w:pPr>
                  <w:sdt>
                    <w:sdtPr>
                      <w:alias w:val="Numeris"/>
                      <w:tag w:val="nr_6e80d9179f874a6090207c5ee5bdf808"/>
                      <w:lock w:val="sdtLocked"/>
                      <w:richText/>
                    </w:sdtPr>
                    <w:sdtContent>
                      <w:r>
                        <w:t>27</w:t>
                      </w:r>
                    </w:sdtContent>
                  </w:sdt>
                  <w:r>
                    <w:t>. Jei laminuojama, pažyma gali būti perpus mažesnė (10,5 cm x 14,8 cm). Medicininėje pažymoje įrašai turi būti įskaitomi, negalima jų taisyti.</w:t>
                  </w:r>
                </w:p>
                <w:p>
                  <w:pPr>
                    <w:ind w:firstLine="567"/>
                    <w:jc w:val="both"/>
                  </w:pPr>
                </w:p>
              </w:sdtContent>
            </w:sdt>
          </w:sdtContent>
        </w:sdt>
        <w:sdt>
          <w:sdtPr>
            <w:alias w:val="skyrius"/>
            <w:tag w:val="part_209eb8696082471f9039cd2ef495f97e"/>
            <w:lock w:val="sdtLocked"/>
            <w:richText/>
          </w:sdtPr>
          <w:sdtContent>
            <w:p>
              <w:pPr>
                <w:jc w:val="center"/>
                <w:rPr>
                  <w:b/>
                  <w:bCs/>
                </w:rPr>
              </w:pPr>
              <w:sdt>
                <w:sdtPr>
                  <w:alias w:val="Numeris"/>
                  <w:tag w:val="nr_209eb8696082471f9039cd2ef495f97e"/>
                  <w:lock w:val="sdtLocked"/>
                  <w:richText/>
                </w:sdtPr>
                <w:sdtContent>
                  <w:r>
                    <w:rPr>
                      <w:b/>
                      <w:bCs/>
                    </w:rPr>
                    <w:t>III</w:t>
                  </w:r>
                </w:sdtContent>
              </w:sdt>
              <w:r>
                <w:rPr>
                  <w:b/>
                  <w:bCs/>
                </w:rPr>
                <w:t xml:space="preserve">. </w:t>
              </w:r>
              <w:sdt>
                <w:sdtPr>
                  <w:alias w:val="Pavadinimas"/>
                  <w:tag w:val="title_209eb8696082471f9039cd2ef495f97e"/>
                  <w:lock w:val="sdtLocked"/>
                  <w:richText/>
                </w:sdtPr>
                <w:sdtContent>
                  <w:r>
                    <w:rPr>
                      <w:b/>
                      <w:bCs/>
                    </w:rPr>
                    <w:t>BAIGIAMOSIOS NUOSTATOS</w:t>
                  </w:r>
                </w:sdtContent>
              </w:sdt>
            </w:p>
            <w:p>
              <w:pPr>
                <w:ind w:firstLine="567"/>
                <w:jc w:val="both"/>
              </w:pPr>
            </w:p>
            <w:sdt>
              <w:sdtPr>
                <w:alias w:val="7 pr. 28 p."/>
                <w:tag w:val="part_cc769c43cc01423094aae7a4583f4f1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c769c43cc01423094aae7a4583f4f19"/>
                      <w:lock w:val="sdtLocked"/>
                      <w:richText/>
                    </w:sdtPr>
                    <w:sdtContent>
                      <w:r>
                        <w:rPr>
                          <w:szCs w:val="24"/>
                        </w:rPr>
                        <w:t>28</w:t>
                      </w:r>
                    </w:sdtContent>
                  </w:sdt>
                  <w:r>
                    <w:rPr>
                      <w:szCs w:val="24"/>
                    </w:rPr>
                    <w:t>. Atlikus profilaktinį sveikatos tikrinimą, F Nr. 086/a ir (arba) F Nr. 083-1/a išduodamos pacientui. U</w:t>
                  </w:r>
                  <w:r>
                    <w:rPr>
                      <w:szCs w:val="24"/>
                      <w:lang w:eastAsia="lt-LT"/>
                    </w:rPr>
                    <w:t xml:space="preserve">žpildytą </w:t>
                  </w:r>
                  <w:r>
                    <w:rPr>
                      <w:szCs w:val="24"/>
                    </w:rPr>
                    <w:t>F Nr. E083-1</w:t>
                  </w:r>
                  <w:r>
                    <w:rPr>
                      <w:szCs w:val="24"/>
                      <w:lang w:eastAsia="lt-LT"/>
                    </w:rPr>
                    <w:t xml:space="preserve"> vairuotojo pažymėjimą išduodanti įstaiga (valstybės įmonė „Regitra“) gauna tiesiogiai elektroninėmis priemonėmis. Pacientui pageidaujant, SPĮ nustatyta tvarka išduodama atspausdinta </w:t>
                  </w:r>
                  <w:r>
                    <w:rPr>
                      <w:szCs w:val="24"/>
                    </w:rPr>
                    <w:t xml:space="preserve">F Nr. E083-1 kopija.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9 p."/>
                <w:tag w:val="part_98968d0765a54fe59117478563d2cbf0"/>
                <w:lock w:val="sdtLocked"/>
                <w:richText/>
              </w:sdtPr>
              <w:sdtContent>
                <w:p>
                  <w:pPr>
                    <w:ind w:firstLine="567"/>
                    <w:jc w:val="both"/>
                  </w:pPr>
                  <w:sdt>
                    <w:sdtPr>
                      <w:alias w:val="Numeris"/>
                      <w:tag w:val="nr_98968d0765a54fe59117478563d2cbf0"/>
                      <w:lock w:val="sdtLocked"/>
                      <w:richText/>
                    </w:sdtPr>
                    <w:sdtContent>
                      <w:r>
                        <w:t>29</w:t>
                      </w:r>
                    </w:sdtContent>
                  </w:sdt>
                  <w:r>
                    <w:t>. Sudėtingais ir konfliktiniais (kai išvadai reikia priimti individualius sprendimus) atvejais apie tinkamumą vairuoti sprendžia Vairuotojų sveikatos tikrinimo komisija arba SPĮ GKK.</w:t>
                  </w:r>
                </w:p>
              </w:sdtContent>
            </w:sdt>
            <w:sdt>
              <w:sdtPr>
                <w:alias w:val="7 pr. 30 p."/>
                <w:tag w:val="part_d19d6ab5e37f4ea9bbf69d13e27ac2da"/>
                <w:lock w:val="sdtLocked"/>
                <w:richText/>
              </w:sdtPr>
              <w:sdtContent>
                <w:p>
                  <w:pPr>
                    <w:ind w:firstLine="567"/>
                    <w:jc w:val="both"/>
                  </w:pPr>
                  <w:sdt>
                    <w:sdtPr>
                      <w:alias w:val="Numeris"/>
                      <w:tag w:val="nr_d19d6ab5e37f4ea9bbf69d13e27ac2da"/>
                      <w:lock w:val="sdtLocked"/>
                      <w:richText/>
                    </w:sdtPr>
                    <w:sdtContent>
                      <w:r>
                        <w:t>30</w:t>
                      </w:r>
                    </w:sdtContent>
                  </w:sdt>
                  <w:r>
                    <w:t xml:space="preserve">. Pacientas, nesutinkantis su Vairuotojų sveikatos tikrinimo komisijos arba GKK sprendimu, per 5 darbo dienas gali apskųsti jį SPĮ vadovui, o įstaigos vadovo sprendimą – teismui Lietuvos Respublikos administracinių bylų teisenos įstatymo (Žin., 1999, Nr. </w:t>
                  </w:r>
                  <w:hyperlink r:id="rId57" w:tgtFrame="_blank" w:history="1">
                    <w:r>
                      <w:rPr>
                        <w:color w:val="0000FF" w:themeColor="hyperlink"/>
                        <w:u w:val="single"/>
                      </w:rPr>
                      <w:t>13-308</w:t>
                    </w:r>
                  </w:hyperlink>
                  <w:r>
                    <w:t xml:space="preserve">; 2000, Nr. </w:t>
                  </w:r>
                  <w:hyperlink r:id="rId58" w:tgtFrame="_blank" w:history="1">
                    <w:r>
                      <w:rPr>
                        <w:color w:val="0000FF" w:themeColor="hyperlink"/>
                        <w:u w:val="single"/>
                      </w:rPr>
                      <w:t>85-2566</w:t>
                    </w:r>
                  </w:hyperlink>
                  <w:r>
                    <w:t>) nustatyta tvarka.</w:t>
                  </w:r>
                </w:p>
                <w:p>
                  <w:pPr>
                    <w:jc w:val="both"/>
                  </w:pPr>
                </w:p>
                <w:p>
                  <w:pPr>
                    <w:jc w:val="center"/>
                  </w:pPr>
                  <w:r>
                    <w:t>_________________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da39e86e0365404c80191091e05e5124"/>
        <w:lock w:val="sdtLocked"/>
        <w:richText/>
      </w:sdtPr>
      <w:sdtContent>
        <w:p>
          <w:pPr>
            <w:tabs>
              <w:tab w:val="left" w:pos="8789"/>
            </w:tabs>
            <w:spacing w:line="276" w:lineRule="auto"/>
            <w:ind w:left="4895"/>
            <w:jc w:val="right"/>
            <w:sectPr>
              <w:pgSz w:w="11907" w:h="16840" w:code="9"/>
              <w:pgMar w:top="1134" w:right="1134" w:bottom="1134" w:left="1079" w:header="567" w:footer="567" w:gutter="0"/>
              <w:pgNumType w:start="1"/>
              <w:cols w:space="1296"/>
              <w:titlePg/>
              <w:docGrid w:linePitch="360"/>
            </w:sectPr>
          </w:pPr>
        </w:p>
        <w:p>
          <w:pPr>
            <w:tabs>
              <w:tab w:val="left" w:pos="8789"/>
            </w:tabs>
            <w:spacing w:line="276" w:lineRule="auto"/>
            <w:ind w:left="4895"/>
            <w:jc w:val="right"/>
            <w:rPr>
              <w:szCs w:val="24"/>
            </w:rPr>
          </w:pPr>
          <w:r>
            <w:rPr>
              <w:szCs w:val="24"/>
            </w:rPr>
            <w:t>1 lentelė</w:t>
          </w:r>
        </w:p>
        <w:p>
          <w:pPr>
            <w:rPr>
              <w:sz w:val="18"/>
              <w:szCs w:val="18"/>
            </w:rPr>
          </w:pPr>
        </w:p>
        <w:p>
          <w:pPr>
            <w:spacing w:line="276" w:lineRule="auto"/>
            <w:rPr>
              <w:szCs w:val="24"/>
            </w:rPr>
          </w:pPr>
        </w:p>
        <w:p>
          <w:pPr>
            <w:rPr>
              <w:sz w:val="18"/>
              <w:szCs w:val="18"/>
            </w:rPr>
          </w:pPr>
        </w:p>
        <w:p>
          <w:pPr>
            <w:spacing w:line="276" w:lineRule="auto"/>
            <w:jc w:val="center"/>
            <w:rPr>
              <w:b/>
              <w:bCs/>
              <w:szCs w:val="24"/>
            </w:rPr>
          </w:pPr>
          <w:r>
            <w:rPr>
              <w:b/>
              <w:bCs/>
              <w:szCs w:val="24"/>
            </w:rPr>
            <w:t>TRANSPORTO PRIEMONIŲ VAIRUOTOJŲ SVEIKATOS TIKRINIMO MASTAS IR PERIODIŠKUMAS</w:t>
          </w:r>
        </w:p>
        <w:p>
          <w:pPr>
            <w:rPr>
              <w:sz w:val="18"/>
              <w:szCs w:val="18"/>
            </w:rPr>
          </w:pPr>
        </w:p>
        <w:p>
          <w:pPr>
            <w:jc w:val="both"/>
            <w:rPr>
              <w:szCs w:val="24"/>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842"/>
            <w:gridCol w:w="1544"/>
            <w:gridCol w:w="1700"/>
            <w:gridCol w:w="1845"/>
            <w:gridCol w:w="2990"/>
          </w:tblGrid>
          <w:tr>
            <w:trPr>
              <w:trHeight w:val="20"/>
            </w:trPr>
            <w:tc>
              <w:tcPr>
                <w:tcW w:w="928" w:type="pct"/>
                <w:vMerge w:val="restart"/>
                <w:vAlign w:val="center"/>
              </w:tcPr>
              <w:p>
                <w:pPr>
                  <w:jc w:val="center"/>
                  <w:rPr>
                    <w:szCs w:val="24"/>
                  </w:rPr>
                </w:pPr>
                <w:r>
                  <w:rPr>
                    <w:szCs w:val="24"/>
                  </w:rPr>
                  <w:t>Tikrinamieji: kandidatai ir vairuotojai</w:t>
                </w:r>
              </w:p>
            </w:tc>
            <w:tc>
              <w:tcPr>
                <w:tcW w:w="778" w:type="pct"/>
                <w:vMerge w:val="restart"/>
                <w:vAlign w:val="center"/>
              </w:tcPr>
              <w:p>
                <w:pPr>
                  <w:jc w:val="center"/>
                  <w:rPr>
                    <w:szCs w:val="24"/>
                  </w:rPr>
                </w:pPr>
                <w:r>
                  <w:rPr>
                    <w:szCs w:val="24"/>
                  </w:rPr>
                  <w:t>Tikrinimų periodiškumas</w:t>
                </w:r>
              </w:p>
            </w:tc>
            <w:tc>
              <w:tcPr>
                <w:tcW w:w="1787" w:type="pct"/>
                <w:gridSpan w:val="2"/>
                <w:vAlign w:val="center"/>
              </w:tcPr>
              <w:p>
                <w:pPr>
                  <w:jc w:val="center"/>
                  <w:rPr>
                    <w:szCs w:val="24"/>
                  </w:rPr>
                </w:pPr>
                <w:r>
                  <w:rPr>
                    <w:szCs w:val="24"/>
                  </w:rPr>
                  <w:t>Sveikatos tikrintojai</w:t>
                </w:r>
              </w:p>
            </w:tc>
            <w:tc>
              <w:tcPr>
                <w:tcW w:w="1507" w:type="pct"/>
                <w:vMerge w:val="restart"/>
                <w:vAlign w:val="center"/>
              </w:tcPr>
              <w:p>
                <w:pPr>
                  <w:jc w:val="center"/>
                  <w:rPr>
                    <w:szCs w:val="24"/>
                  </w:rPr>
                </w:pPr>
                <w:r>
                  <w:rPr>
                    <w:szCs w:val="24"/>
                  </w:rPr>
                  <w:t>Tyrimai</w:t>
                </w:r>
              </w:p>
            </w:tc>
          </w:tr>
          <w:tr>
            <w:trPr>
              <w:trHeight w:val="20"/>
            </w:trPr>
            <w:tc>
              <w:tcPr>
                <w:tcW w:w="928" w:type="pct"/>
                <w:vMerge/>
                <w:vAlign w:val="center"/>
              </w:tcPr>
              <w:p>
                <w:pPr>
                  <w:rPr>
                    <w:szCs w:val="24"/>
                  </w:rPr>
                </w:pPr>
              </w:p>
            </w:tc>
            <w:tc>
              <w:tcPr>
                <w:tcW w:w="778" w:type="pct"/>
                <w:vMerge/>
                <w:vAlign w:val="center"/>
              </w:tcPr>
              <w:p>
                <w:pPr>
                  <w:rPr>
                    <w:szCs w:val="24"/>
                  </w:rPr>
                </w:pPr>
              </w:p>
            </w:tc>
            <w:tc>
              <w:tcPr>
                <w:tcW w:w="857" w:type="pct"/>
                <w:vAlign w:val="center"/>
              </w:tcPr>
              <w:p>
                <w:pPr>
                  <w:jc w:val="center"/>
                  <w:rPr>
                    <w:szCs w:val="24"/>
                  </w:rPr>
                </w:pPr>
                <w:r>
                  <w:rPr>
                    <w:szCs w:val="24"/>
                  </w:rPr>
                  <w:t>Pirminis lygis</w:t>
                </w:r>
              </w:p>
            </w:tc>
            <w:tc>
              <w:tcPr>
                <w:tcW w:w="930" w:type="pct"/>
                <w:vAlign w:val="center"/>
              </w:tcPr>
              <w:p>
                <w:pPr>
                  <w:jc w:val="center"/>
                  <w:rPr>
                    <w:szCs w:val="24"/>
                    <w:u w:val="single"/>
                  </w:rPr>
                </w:pPr>
                <w:r>
                  <w:rPr>
                    <w:szCs w:val="24"/>
                  </w:rPr>
                  <w:t>Kiti</w:t>
                </w:r>
              </w:p>
            </w:tc>
            <w:tc>
              <w:tcPr>
                <w:tcW w:w="1507" w:type="pct"/>
                <w:vMerge/>
                <w:vAlign w:val="center"/>
              </w:tcPr>
              <w:p>
                <w:pPr>
                  <w:rPr>
                    <w:szCs w:val="24"/>
                  </w:rPr>
                </w:pPr>
              </w:p>
            </w:tc>
          </w:tr>
          <w:tr>
            <w:trPr>
              <w:trHeight w:val="1919"/>
            </w:trPr>
            <w:tc>
              <w:tcPr>
                <w:tcW w:w="928" w:type="pct"/>
              </w:tcPr>
              <w:p>
                <w:pPr>
                  <w:rPr>
                    <w:szCs w:val="24"/>
                  </w:rPr>
                </w:pPr>
                <w:r>
                  <w:rPr>
                    <w:szCs w:val="24"/>
                  </w:rPr>
                  <w:t>1. 1 grupės:</w:t>
                </w:r>
              </w:p>
            </w:tc>
            <w:tc>
              <w:tcPr>
                <w:tcW w:w="778" w:type="pct"/>
              </w:tcPr>
              <w:p>
                <w:pPr>
                  <w:rPr>
                    <w:szCs w:val="24"/>
                  </w:rPr>
                </w:pPr>
              </w:p>
            </w:tc>
            <w:tc>
              <w:tcPr>
                <w:tcW w:w="857" w:type="pct"/>
                <w:vMerge w:val="restart"/>
              </w:tcPr>
              <w:p>
                <w:pPr>
                  <w:rPr>
                    <w:szCs w:val="24"/>
                  </w:rPr>
                </w:pPr>
                <w:r>
                  <w:rPr>
                    <w:szCs w:val="24"/>
                  </w:rPr>
                  <w:t>Šeimos gydytojas, psichiatras (pagal pasirinktą SPĮ) ar vidaus ligų gydytojas arba vaikų ligų gydytojas</w:t>
                </w:r>
              </w:p>
            </w:tc>
            <w:tc>
              <w:tcPr>
                <w:tcW w:w="930" w:type="pct"/>
                <w:vMerge w:val="restart"/>
              </w:tcPr>
              <w:p>
                <w:pPr>
                  <w:rPr>
                    <w:szCs w:val="24"/>
                  </w:rPr>
                </w:pPr>
                <w:r>
                  <w:rPr>
                    <w:szCs w:val="24"/>
                  </w:rPr>
                  <w:t>Oftalmologas, tikrinant kandidatą pirmą kartą, vėliau periodiškai – jei siunčia šeimos gydytojas.</w:t>
                </w:r>
              </w:p>
              <w:p>
                <w:pPr>
                  <w:rPr>
                    <w:szCs w:val="24"/>
                  </w:rPr>
                </w:pPr>
                <w:r>
                  <w:rPr>
                    <w:szCs w:val="24"/>
                  </w:rPr>
                  <w:t>Pulmonologas</w:t>
                </w:r>
                <w:r>
                  <w:rPr>
                    <w:szCs w:val="24"/>
                    <w:lang w:val="en-US"/>
                  </w:rPr>
                  <w:t>*</w:t>
                </w:r>
                <w:r>
                  <w:rPr>
                    <w:szCs w:val="24"/>
                  </w:rPr>
                  <w:t xml:space="preserve"> arba neurologas* tikrina, jei siunčia šeimos gydytojas, esant įtarimui dėl OMA. </w:t>
                </w:r>
              </w:p>
            </w:tc>
            <w:tc>
              <w:tcPr>
                <w:tcW w:w="1507" w:type="pct"/>
                <w:vMerge w:val="restart"/>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w:t>
                  </w:r>
                  <w:r>
                    <w:rPr>
                      <w:i/>
                      <w:szCs w:val="24"/>
                    </w:rPr>
                    <w:t xml:space="preserve"> </w:t>
                  </w:r>
                  <w:r>
                    <w:rPr>
                      <w:szCs w:val="24"/>
                    </w:rPr>
                    <w:t>m</w:t>
                  </w:r>
                </w:smartTag>
                <w:r>
                  <w:rPr>
                    <w:szCs w:val="24"/>
                  </w:rPr>
                  <w:t>.). Jei regėjimas neatitinka regėjimo lauko arba regėjimo aštrumo standarto – regėjimo prieblandoje, jautrumo ryškiai šviesai, kontrastinio jautrumo tyrimas.</w:t>
                </w:r>
              </w:p>
              <w:p>
                <w:pPr>
                  <w:rPr>
                    <w:szCs w:val="24"/>
                  </w:rPr>
                </w:pPr>
                <w:r>
                  <w:rPr>
                    <w:szCs w:val="24"/>
                  </w:rPr>
                  <w:t>Klausos</w:t>
                </w:r>
                <w:r>
                  <w:rPr>
                    <w:i/>
                    <w:szCs w:val="24"/>
                  </w:rPr>
                  <w:t xml:space="preserve"> </w:t>
                </w:r>
                <w:r>
                  <w:rPr>
                    <w:szCs w:val="24"/>
                  </w:rPr>
                  <w:t>– šnabždesiu abipus, vestibulinės funkcijos tyrimai. EKG, psichologinės atrankos, reakcijos ir kiti tyrimai (gydytojui skyrus).</w:t>
                </w:r>
              </w:p>
              <w:p>
                <w:pPr>
                  <w:rPr>
                    <w:sz w:val="18"/>
                    <w:szCs w:val="18"/>
                  </w:rPr>
                </w:pPr>
              </w:p>
              <w:p>
                <w:pPr>
                  <w:rPr>
                    <w:szCs w:val="24"/>
                  </w:rPr>
                </w:pPr>
                <w:r>
                  <w:rPr>
                    <w:szCs w:val="24"/>
                  </w:rPr>
                  <w:t xml:space="preserve">Viso nakties miego laikotarpio respiracinė poligrafija ir / ar polisomnografija ir kiti tyrimai (pulmonologui ar neurologui skyrus). </w:t>
                </w:r>
              </w:p>
            </w:tc>
          </w:tr>
          <w:tr>
            <w:trPr>
              <w:trHeight w:val="20"/>
            </w:trPr>
            <w:tc>
              <w:tcPr>
                <w:tcW w:w="928" w:type="pct"/>
              </w:tcPr>
              <w:p>
                <w:pPr>
                  <w:rPr>
                    <w:szCs w:val="24"/>
                  </w:rPr>
                </w:pPr>
                <w:r>
                  <w:rPr>
                    <w:szCs w:val="24"/>
                  </w:rPr>
                  <w:t>1.1. asmenys iki 55 metų</w:t>
                </w:r>
              </w:p>
            </w:tc>
            <w:tc>
              <w:tcPr>
                <w:tcW w:w="778" w:type="pct"/>
              </w:tcPr>
              <w:p>
                <w:pPr>
                  <w:rPr>
                    <w:szCs w:val="24"/>
                  </w:rPr>
                </w:pPr>
                <w:r>
                  <w:rPr>
                    <w:szCs w:val="24"/>
                  </w:rPr>
                  <w:t>1 kartą per 10 metų</w:t>
                </w:r>
              </w:p>
            </w:tc>
            <w:tc>
              <w:tcPr>
                <w:tcW w:w="857" w:type="pct"/>
                <w:vMerge/>
                <w:vAlign w:val="center"/>
              </w:tcPr>
              <w:p>
                <w:pPr>
                  <w:jc w:val="center"/>
                  <w:rPr>
                    <w:szCs w:val="24"/>
                  </w:rPr>
                </w:pPr>
              </w:p>
            </w:tc>
            <w:tc>
              <w:tcPr>
                <w:tcW w:w="930" w:type="pct"/>
                <w:vMerge/>
                <w:vAlign w:val="center"/>
              </w:tcPr>
              <w:p>
                <w:pPr>
                  <w:jc w:val="cente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1.2. asmenys nuo 56 iki 69 metų</w:t>
                </w:r>
              </w:p>
              <w:p>
                <w:pPr>
                  <w:rPr>
                    <w:sz w:val="18"/>
                    <w:szCs w:val="18"/>
                  </w:rPr>
                </w:pPr>
              </w:p>
              <w:p>
                <w:pPr>
                  <w:rPr>
                    <w:szCs w:val="24"/>
                  </w:rPr>
                </w:pPr>
              </w:p>
              <w:p>
                <w:pPr>
                  <w:rPr>
                    <w:sz w:val="18"/>
                    <w:szCs w:val="18"/>
                  </w:rPr>
                </w:pPr>
              </w:p>
              <w:p>
                <w:pPr>
                  <w:rPr>
                    <w:szCs w:val="24"/>
                  </w:rPr>
                </w:pPr>
              </w:p>
            </w:tc>
            <w:tc>
              <w:tcPr>
                <w:tcW w:w="778" w:type="pct"/>
              </w:tcPr>
              <w:p>
                <w:pPr>
                  <w:rPr>
                    <w:szCs w:val="24"/>
                  </w:rPr>
                </w:pPr>
                <w:r>
                  <w:rPr>
                    <w:szCs w:val="24"/>
                  </w:rPr>
                  <w:t>1 kartą per 5 metus</w:t>
                </w:r>
              </w:p>
              <w:p>
                <w:pPr>
                  <w:rPr>
                    <w:sz w:val="18"/>
                    <w:szCs w:val="18"/>
                  </w:rPr>
                </w:pPr>
              </w:p>
              <w:p>
                <w:pPr>
                  <w:rPr>
                    <w:szCs w:val="24"/>
                  </w:rPr>
                </w:pPr>
              </w:p>
              <w:p>
                <w:pPr>
                  <w:rPr>
                    <w:sz w:val="18"/>
                    <w:szCs w:val="18"/>
                  </w:rPr>
                </w:pPr>
              </w:p>
              <w:p>
                <w:pPr>
                  <w:rPr>
                    <w:szCs w:val="24"/>
                  </w:rPr>
                </w:pPr>
              </w:p>
            </w:tc>
            <w:tc>
              <w:tcPr>
                <w:tcW w:w="857" w:type="pct"/>
                <w:vMerge/>
                <w:vAlign w:val="center"/>
              </w:tcPr>
              <w:p>
                <w:pPr>
                  <w:jc w:val="center"/>
                  <w:rPr>
                    <w:szCs w:val="24"/>
                  </w:rPr>
                </w:pPr>
              </w:p>
            </w:tc>
            <w:tc>
              <w:tcPr>
                <w:tcW w:w="930" w:type="pct"/>
                <w:vMerge/>
                <w:vAlign w:val="center"/>
              </w:tcPr>
              <w:p>
                <w:pPr>
                  <w:jc w:val="cente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1.3. asmenys nuo 70 iki 79 metų</w:t>
                </w:r>
              </w:p>
            </w:tc>
            <w:tc>
              <w:tcPr>
                <w:tcW w:w="778" w:type="pct"/>
              </w:tcPr>
              <w:p>
                <w:pPr>
                  <w:rPr>
                    <w:szCs w:val="24"/>
                  </w:rPr>
                </w:pPr>
                <w:r>
                  <w:rPr>
                    <w:szCs w:val="24"/>
                  </w:rPr>
                  <w:t>1 kartą per 2 metus</w:t>
                </w:r>
              </w:p>
            </w:tc>
            <w:tc>
              <w:tcPr>
                <w:tcW w:w="857" w:type="pct"/>
                <w:vMerge/>
                <w:vAlign w:val="center"/>
              </w:tcPr>
              <w:p>
                <w:pPr>
                  <w:jc w:val="center"/>
                  <w:rPr>
                    <w:szCs w:val="24"/>
                  </w:rPr>
                </w:pPr>
              </w:p>
            </w:tc>
            <w:tc>
              <w:tcPr>
                <w:tcW w:w="930" w:type="pct"/>
                <w:vMerge w:val="restart"/>
                <w:vAlign w:val="center"/>
              </w:tcPr>
              <w:p>
                <w:pPr>
                  <w:rPr>
                    <w:szCs w:val="24"/>
                  </w:rPr>
                </w:pPr>
                <w:r>
                  <w:rPr>
                    <w:szCs w:val="24"/>
                  </w:rPr>
                  <w:t>Oftalmologas, otorinolaringolo-gas, neurologas.</w:t>
                </w:r>
              </w:p>
              <w:p>
                <w:pPr>
                  <w:jc w:val="both"/>
                  <w:rPr>
                    <w:szCs w:val="24"/>
                  </w:rPr>
                </w:pPr>
                <w:r>
                  <w:rPr>
                    <w:szCs w:val="24"/>
                  </w:rPr>
                  <w:t>Pulmonologas</w:t>
                </w:r>
                <w:r>
                  <w:rPr>
                    <w:szCs w:val="24"/>
                    <w:lang w:val="en-US"/>
                  </w:rPr>
                  <w:t>*</w:t>
                </w:r>
                <w:r>
                  <w:rPr>
                    <w:szCs w:val="24"/>
                  </w:rPr>
                  <w:t xml:space="preserve"> arba neurologas* tikrina, jei siunčia šeimos gydytojas, esant įtarimui dėl OMA.</w:t>
                </w:r>
              </w:p>
            </w:tc>
            <w:tc>
              <w:tcPr>
                <w:tcW w:w="1507" w:type="pct"/>
                <w:vMerge/>
                <w:vAlign w:val="center"/>
              </w:tcPr>
              <w:p>
                <w:pPr>
                  <w:rPr>
                    <w:szCs w:val="24"/>
                  </w:rPr>
                </w:pPr>
              </w:p>
            </w:tc>
          </w:tr>
          <w:tr>
            <w:trPr>
              <w:trHeight w:val="20"/>
            </w:trPr>
            <w:tc>
              <w:tcPr>
                <w:tcW w:w="928" w:type="pct"/>
                <w:vAlign w:val="center"/>
              </w:tcPr>
              <w:p>
                <w:pPr>
                  <w:rPr>
                    <w:szCs w:val="24"/>
                  </w:rPr>
                </w:pPr>
                <w:r>
                  <w:rPr>
                    <w:szCs w:val="24"/>
                  </w:rPr>
                  <w:t>1.4. asmenys nuo 80 metų</w:t>
                </w:r>
              </w:p>
            </w:tc>
            <w:tc>
              <w:tcPr>
                <w:tcW w:w="778" w:type="pct"/>
                <w:vAlign w:val="center"/>
              </w:tcPr>
              <w:p>
                <w:pPr>
                  <w:rPr>
                    <w:szCs w:val="24"/>
                  </w:rPr>
                </w:pPr>
                <w:r>
                  <w:rPr>
                    <w:szCs w:val="24"/>
                  </w:rPr>
                  <w:t>kasmet</w:t>
                </w:r>
              </w:p>
            </w:tc>
            <w:tc>
              <w:tcPr>
                <w:tcW w:w="857" w:type="pct"/>
                <w:vAlign w:val="center"/>
              </w:tcPr>
              <w:p>
                <w:pPr>
                  <w:jc w:val="center"/>
                  <w:rPr>
                    <w:szCs w:val="24"/>
                  </w:rPr>
                </w:pPr>
              </w:p>
            </w:tc>
            <w:tc>
              <w:tcPr>
                <w:tcW w:w="930" w:type="pct"/>
                <w:vMerge/>
                <w:vAlign w:val="center"/>
              </w:tcPr>
              <w:p>
                <w:pPr>
                  <w:jc w:val="cente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2. 2 grupės vairuotojai, dirbantys galimos profesinės rizikos sąlygomis (veikiami kenksmingų veiksnių)</w:t>
                </w:r>
              </w:p>
            </w:tc>
            <w:tc>
              <w:tcPr>
                <w:tcW w:w="778" w:type="pct"/>
                <w:vMerge w:val="restart"/>
              </w:tcPr>
              <w:p>
                <w:pPr>
                  <w:rPr>
                    <w:szCs w:val="24"/>
                  </w:rPr>
                </w:pPr>
                <w:r>
                  <w:rPr>
                    <w:szCs w:val="24"/>
                  </w:rPr>
                  <w:t>1 kartą per 2 metus</w:t>
                </w:r>
              </w:p>
            </w:tc>
            <w:tc>
              <w:tcPr>
                <w:tcW w:w="857" w:type="pct"/>
                <w:vMerge w:val="restart"/>
              </w:tcPr>
              <w:p>
                <w:pPr>
                  <w:rPr>
                    <w:szCs w:val="24"/>
                  </w:rPr>
                </w:pPr>
                <w:r>
                  <w:rPr>
                    <w:szCs w:val="24"/>
                  </w:rPr>
                  <w:t>Šeimos gydytojas, psichiatras (pagal pasirinktą SPĮ) ar vidaus ligų gydytojas, psichiatras (pagal pasirinktą SPĮ)</w:t>
                </w:r>
              </w:p>
            </w:tc>
            <w:tc>
              <w:tcPr>
                <w:tcW w:w="930" w:type="pct"/>
                <w:vMerge w:val="restar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tc>
            <w:tc>
              <w:tcPr>
                <w:tcW w:w="1507" w:type="pct"/>
                <w:vMerge w:val="restart"/>
                <w:vAlign w:val="center"/>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(spręsti individualiai).</w:t>
                </w:r>
              </w:p>
              <w:p>
                <w:pPr>
                  <w:rPr>
                    <w:szCs w:val="24"/>
                  </w:rPr>
                </w:pPr>
                <w:r>
                  <w:rPr>
                    <w:szCs w:val="24"/>
                  </w:rPr>
                  <w:t>Klausos – šnabždesiu abipus, audiograma, vestibulinės funkcijos tyrimai.</w:t>
                </w:r>
              </w:p>
              <w:p>
                <w:pPr>
                  <w:rPr>
                    <w:szCs w:val="24"/>
                  </w:rPr>
                </w:pPr>
                <w:r>
                  <w:rPr>
                    <w:szCs w:val="24"/>
                  </w:rPr>
                  <w:t>Krūtinės ląstos rentgenograma – jei nėra atlikta per dvejus metus, EKG, psichologinės atrankos, reakcijos ir kiti tyrimai (gydytojui skyrus).</w:t>
                </w:r>
              </w:p>
              <w:p>
                <w:pPr>
                  <w:rPr>
                    <w:szCs w:val="24"/>
                  </w:rPr>
                </w:pPr>
                <w:r>
                  <w:rPr>
                    <w:szCs w:val="24"/>
                  </w:rPr>
                  <w:t xml:space="preserve">Viso nakties miego laikotarpio respiracinė poligrafija ir / ar polisomnografija ir kiti tyrimai (pulmonologui arba neurologui skyrus).  </w:t>
                </w:r>
              </w:p>
              <w:p>
                <w:pPr>
                  <w:rPr>
                    <w:szCs w:val="24"/>
                  </w:rPr>
                </w:pPr>
                <w:r>
                  <w:rPr>
                    <w:szCs w:val="24"/>
                  </w:rPr>
                  <w:t xml:space="preserve">Kiti tyrimai ir konsultacijos atliekami vadovaujantis Asmenų, dirbančių aplinkoje, kurioje galima profesinė rizika (kenksmingų veiksnių poveikis ir (ar) pavojingas darbas), privalomo sveikatos tikrinimo tvarkos aprašu (13 priedas), patvirtintu Lietuvos Respublikоs sveikatos apsaugos ministro </w:t>
                </w:r>
                <w:smartTag w:uri="urn:schemas-microsoft-com:office:smarttags" w:element="metricconverter">
                  <w:smartTagPr>
                    <w:attr w:name="ProductID" w:val="2000 m"/>
                  </w:smartTagPr>
                  <w:r>
                    <w:rPr>
                      <w:szCs w:val="24"/>
                    </w:rPr>
                    <w:t>2000 m</w:t>
                  </w:r>
                </w:smartTag>
                <w:r>
                  <w:rPr>
                    <w:szCs w:val="24"/>
                  </w:rPr>
                  <w:t xml:space="preserve">. gegužės 31 d. įsakymu Nr. 301 „Dėl profilaktinių sveikatos tikrinimų sveikatos priežiūros įstaigose patvirtinimo“ (toliau –  13 priedas).</w:t>
                </w:r>
              </w:p>
            </w:tc>
          </w:tr>
          <w:tr>
            <w:trPr>
              <w:trHeight w:val="20"/>
            </w:trPr>
            <w:tc>
              <w:tcPr>
                <w:tcW w:w="928" w:type="pct"/>
              </w:tcPr>
              <w:p>
                <w:pPr>
                  <w:rPr>
                    <w:szCs w:val="24"/>
                  </w:rPr>
                </w:pPr>
                <w:r>
                  <w:rPr>
                    <w:szCs w:val="24"/>
                  </w:rPr>
                  <w:t>2.1. automobilių ir vikšrinių kranų kranininkai</w:t>
                </w:r>
              </w:p>
            </w:tc>
            <w:tc>
              <w:tcPr>
                <w:tcW w:w="778" w:type="pct"/>
                <w:vMerge/>
              </w:tcPr>
              <w:p>
                <w:pPr>
                  <w:rPr>
                    <w:szCs w:val="24"/>
                  </w:rPr>
                </w:pPr>
              </w:p>
            </w:tc>
            <w:tc>
              <w:tcPr>
                <w:tcW w:w="857" w:type="pct"/>
                <w:vMerge/>
              </w:tcPr>
              <w:p>
                <w:pPr>
                  <w:rPr>
                    <w:szCs w:val="24"/>
                  </w:rPr>
                </w:pPr>
              </w:p>
            </w:tc>
            <w:tc>
              <w:tcPr>
                <w:tcW w:w="930" w:type="pct"/>
                <w:vMerge/>
              </w:tcPr>
              <w:p>
                <w:pPr>
                  <w:rPr>
                    <w:szCs w:val="24"/>
                  </w:rPr>
                </w:pPr>
              </w:p>
            </w:tc>
            <w:tc>
              <w:tcPr>
                <w:tcW w:w="1507" w:type="pct"/>
                <w:vMerge/>
              </w:tcPr>
              <w:p>
                <w:pPr>
                  <w:rPr>
                    <w:szCs w:val="24"/>
                  </w:rPr>
                </w:pPr>
              </w:p>
            </w:tc>
          </w:tr>
          <w:tr>
            <w:trPr>
              <w:trHeight w:val="5930"/>
            </w:trPr>
            <w:tc>
              <w:tcPr>
                <w:tcW w:w="928" w:type="pct"/>
              </w:tcPr>
              <w:p>
                <w:pPr>
                  <w:rPr>
                    <w:szCs w:val="24"/>
                  </w:rPr>
                </w:pPr>
                <w:r>
                  <w:rPr>
                    <w:szCs w:val="24"/>
                  </w:rPr>
                  <w:t>2.2. dirbantieji kitomis kenksmingomis sveikatai sąlygomis (triukšmas, vibracija, oro ir darbo aplinkos temperatūra, kiti veiksniai)</w:t>
                </w:r>
              </w:p>
            </w:tc>
            <w:tc>
              <w:tcPr>
                <w:tcW w:w="778" w:type="pct"/>
                <w:vMerge/>
                <w:vAlign w:val="center"/>
              </w:tcPr>
              <w:p>
                <w:pPr>
                  <w:rPr>
                    <w:szCs w:val="24"/>
                  </w:rPr>
                </w:pP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r>
            <w:trPr>
              <w:trHeight w:val="2061"/>
            </w:trPr>
            <w:tc>
              <w:tcPr>
                <w:tcW w:w="928" w:type="pct"/>
                <w:tcBorders>
                  <w:top w:val="single" w:sz="4" w:space="0" w:color="auto"/>
                  <w:left w:val="single" w:sz="4" w:space="0" w:color="auto"/>
                </w:tcBorders>
              </w:tcPr>
              <w:p>
                <w:pPr>
                  <w:rPr>
                    <w:szCs w:val="24"/>
                  </w:rPr>
                </w:pPr>
                <w:r>
                  <w:rPr>
                    <w:szCs w:val="24"/>
                  </w:rPr>
                  <w:t>3. Vairuotojai, dirbantys didelės grėsmės žmonių sveikatai ir gyvybei sąlygomis:</w:t>
                </w:r>
              </w:p>
              <w:p>
                <w:pPr>
                  <w:rPr>
                    <w:sz w:val="18"/>
                    <w:szCs w:val="18"/>
                  </w:rPr>
                </w:pPr>
              </w:p>
              <w:p>
                <w:pPr>
                  <w:rPr>
                    <w:szCs w:val="24"/>
                  </w:rPr>
                </w:pPr>
                <w:r>
                  <w:rPr>
                    <w:szCs w:val="24"/>
                  </w:rPr>
                  <w:t>3.1. automobilių, skirtų keleiviams vežti – autobusų, mikroautobusų, autofurgonų su krovininių automobilių važiuokle ir turinčių daugiau kaip aštuonias sėdimas vietas (be vairuotojo) vairuotojai;</w:t>
                </w:r>
              </w:p>
              <w:p>
                <w:pPr>
                  <w:rPr>
                    <w:sz w:val="18"/>
                    <w:szCs w:val="18"/>
                  </w:rPr>
                </w:pPr>
              </w:p>
              <w:p>
                <w:pPr>
                  <w:rPr>
                    <w:szCs w:val="24"/>
                  </w:rPr>
                </w:pPr>
                <w:r>
                  <w:rPr>
                    <w:szCs w:val="24"/>
                  </w:rPr>
                  <w:t xml:space="preserve">3.2. automobilių, skirtų kroviniams vežti, šių transporto priemonių su priekabomis, kurių didžiausioji leidžiamoji masė didesnė kaip </w:t>
                </w:r>
                <w:smartTag w:uri="urn:schemas-microsoft-com:office:smarttags" w:element="metricconverter">
                  <w:smartTagPr>
                    <w:attr w:name="ProductID" w:val="750 kg"/>
                  </w:smartTagPr>
                  <w:r>
                    <w:rPr>
                      <w:szCs w:val="24"/>
                    </w:rPr>
                    <w:t>750 kg</w:t>
                  </w:r>
                </w:smartTag>
                <w:r>
                  <w:rPr>
                    <w:szCs w:val="24"/>
                  </w:rPr>
                  <w:t>, jų kategorijoms priskiriamų vilkikų vairuotojai;</w:t>
                </w:r>
              </w:p>
              <w:p>
                <w:pPr>
                  <w:rPr>
                    <w:sz w:val="18"/>
                    <w:szCs w:val="18"/>
                  </w:rPr>
                </w:pPr>
              </w:p>
              <w:p>
                <w:pPr>
                  <w:rPr>
                    <w:szCs w:val="24"/>
                  </w:rPr>
                </w:pPr>
                <w:r>
                  <w:rPr>
                    <w:szCs w:val="24"/>
                  </w:rPr>
                  <w:t>3.3. B kategorijos transporto priemonių ir naudojantys vairuotojo pažymėjimą profesiniams tikslams (lengvieji taksi automobiliai, greitosios pagalbos automobiliai ir pan.) vairuotojai;</w:t>
                </w:r>
              </w:p>
              <w:p>
                <w:pPr>
                  <w:rPr>
                    <w:sz w:val="18"/>
                    <w:szCs w:val="18"/>
                  </w:rPr>
                </w:pPr>
              </w:p>
              <w:p>
                <w:pPr>
                  <w:rPr>
                    <w:szCs w:val="24"/>
                  </w:rPr>
                </w:pPr>
                <w:r>
                  <w:rPr>
                    <w:szCs w:val="24"/>
                  </w:rPr>
                  <w:t>3.4. motorinių transporto priemonių (troleibusų – T) vairuotojai.</w:t>
                </w:r>
              </w:p>
              <w:p>
                <w:pPr>
                  <w:rPr>
                    <w:sz w:val="18"/>
                    <w:szCs w:val="18"/>
                  </w:rPr>
                </w:pPr>
              </w:p>
              <w:p>
                <w:pPr>
                  <w:rPr>
                    <w:szCs w:val="24"/>
                  </w:rPr>
                </w:pPr>
                <w:r>
                  <w:rPr>
                    <w:szCs w:val="24"/>
                  </w:rPr>
                  <w:t>4. Traktorių ir savaeigių mašinų vairuotojai, dirbantys pagal darbo sutartis.</w:t>
                </w:r>
              </w:p>
            </w:tc>
            <w:tc>
              <w:tcPr>
                <w:tcW w:w="778" w:type="pct"/>
              </w:tcPr>
              <w:p>
                <w:pPr>
                  <w:rPr>
                    <w:szCs w:val="24"/>
                  </w:rPr>
                </w:pPr>
                <w:r>
                  <w:rPr>
                    <w:szCs w:val="24"/>
                  </w:rPr>
                  <w:t>1 kartą per 2 metus</w:t>
                </w:r>
              </w:p>
              <w:p>
                <w:pPr>
                  <w:rPr>
                    <w:sz w:val="18"/>
                    <w:szCs w:val="18"/>
                  </w:rPr>
                </w:pPr>
              </w:p>
              <w:p>
                <w:pPr>
                  <w:rPr>
                    <w:szCs w:val="24"/>
                  </w:rPr>
                </w:pPr>
              </w:p>
            </w:tc>
            <w:tc>
              <w:tcPr>
                <w:tcW w:w="857" w:type="pct"/>
              </w:tcPr>
              <w:p>
                <w:pPr>
                  <w:rPr>
                    <w:szCs w:val="24"/>
                  </w:rPr>
                </w:pPr>
                <w:r>
                  <w:rPr>
                    <w:szCs w:val="24"/>
                  </w:rPr>
                  <w:t>Šeimos gydytojas, psichiatras (pagal pasirinktą SPĮ) ar vidaus ligų gydytojas, psichiatras (pagal pasirinktą SPĮ)</w:t>
                </w:r>
              </w:p>
            </w:tc>
            <w:tc>
              <w:tcPr>
                <w:tcW w:w="930" w:type="pc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p>
                <w:pPr>
                  <w:rPr>
                    <w:sz w:val="18"/>
                    <w:szCs w:val="18"/>
                  </w:rPr>
                </w:pPr>
              </w:p>
              <w:p>
                <w:pPr>
                  <w:ind w:firstLine="60"/>
                  <w:rPr>
                    <w:szCs w:val="24"/>
                  </w:rPr>
                </w:pPr>
              </w:p>
            </w:tc>
            <w:tc>
              <w:tcPr>
                <w:tcW w:w="1507" w:type="pct"/>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(spręsti individualiai). Klausos – šnabždesiu abipus, audiograma – esant indikacijų, vestibulinės funkcijos tyrimai.</w:t>
                </w:r>
              </w:p>
              <w:p>
                <w:pPr>
                  <w:rPr>
                    <w:sz w:val="18"/>
                    <w:szCs w:val="18"/>
                  </w:rPr>
                </w:pPr>
              </w:p>
              <w:p>
                <w:pPr>
                  <w:rPr>
                    <w:szCs w:val="24"/>
                  </w:rPr>
                </w:pPr>
                <w:r>
                  <w:rPr>
                    <w:szCs w:val="24"/>
                  </w:rPr>
                  <w:t>Krūtinės ląstos rentgenograma – jei nėra atlikta per dvejus metus, EKG, psichologinės atrankos ir kiti tyrimai (gydytojui skyrus).</w:t>
                </w:r>
              </w:p>
              <w:p>
                <w:pPr>
                  <w:rPr>
                    <w:sz w:val="18"/>
                    <w:szCs w:val="18"/>
                  </w:rPr>
                </w:pPr>
              </w:p>
              <w:p>
                <w:pPr>
                  <w:rPr>
                    <w:szCs w:val="24"/>
                  </w:rPr>
                </w:pPr>
                <w:r>
                  <w:rPr>
                    <w:szCs w:val="24"/>
                  </w:rPr>
                  <w:t xml:space="preserve">Viso nakties miego laikotarpio respiracinė poligrafija ir / ar polisomnografija ir kiti tyrimai (pulmonologui arba neurologui skyrus).  </w:t>
                </w:r>
              </w:p>
              <w:p>
                <w:pPr>
                  <w:rPr>
                    <w:sz w:val="18"/>
                    <w:szCs w:val="18"/>
                  </w:rPr>
                </w:pPr>
              </w:p>
              <w:p>
                <w:pPr>
                  <w:rPr>
                    <w:szCs w:val="24"/>
                  </w:rPr>
                </w:pPr>
                <w:r>
                  <w:rPr>
                    <w:szCs w:val="24"/>
                  </w:rPr>
                  <w:t xml:space="preserve">Kiti tyrimai ir konsultacijos atliekami vadovaujantis  13 priedu.</w:t>
                </w:r>
              </w:p>
            </w:tc>
          </w:tr>
          <w:tr>
            <w:trPr>
              <w:trHeight w:val="20"/>
            </w:trPr>
            <w:tc>
              <w:tcPr>
                <w:tcW w:w="928" w:type="pct"/>
              </w:tcPr>
              <w:p>
                <w:pPr>
                  <w:rPr>
                    <w:szCs w:val="24"/>
                  </w:rPr>
                </w:pPr>
                <w:r>
                  <w:rPr>
                    <w:szCs w:val="24"/>
                  </w:rPr>
                  <w:t>5. Traktorių ir savaeigių mašinų vairuotojai, nenumatyti 4 punkte:</w:t>
                </w:r>
              </w:p>
            </w:tc>
            <w:tc>
              <w:tcPr>
                <w:tcW w:w="778" w:type="pct"/>
              </w:tcPr>
              <w:p>
                <w:pPr>
                  <w:rPr>
                    <w:szCs w:val="24"/>
                  </w:rPr>
                </w:pPr>
              </w:p>
            </w:tc>
            <w:tc>
              <w:tcPr>
                <w:tcW w:w="857" w:type="pct"/>
                <w:vMerge w:val="restart"/>
              </w:tcPr>
              <w:p>
                <w:pPr>
                  <w:rPr>
                    <w:szCs w:val="24"/>
                  </w:rPr>
                </w:pPr>
                <w:r>
                  <w:rPr>
                    <w:szCs w:val="24"/>
                  </w:rPr>
                  <w:t>Šeimos gydytojas, psichiatras (pagal pasirinktą SPĮ) ar vidaus ligų gydytojas, psichiatras (pagal pasirinktą SPĮ)</w:t>
                </w:r>
              </w:p>
            </w:tc>
            <w:tc>
              <w:tcPr>
                <w:tcW w:w="930" w:type="pct"/>
                <w:vMerge w:val="restar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tc>
            <w:tc>
              <w:tcPr>
                <w:tcW w:w="1507" w:type="pct"/>
                <w:vMerge w:val="restart"/>
                <w:vAlign w:val="center"/>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tyrimai (spręsti individualiai).</w:t>
                </w:r>
              </w:p>
              <w:p>
                <w:pPr>
                  <w:rPr>
                    <w:szCs w:val="24"/>
                  </w:rPr>
                </w:pPr>
                <w:r>
                  <w:rPr>
                    <w:szCs w:val="24"/>
                  </w:rPr>
                  <w:t>Klausos – šnabždesiu abipus, audiograma, vestibulinės funkcijos tyrimai.</w:t>
                </w:r>
              </w:p>
              <w:p>
                <w:pPr>
                  <w:rPr>
                    <w:szCs w:val="24"/>
                  </w:rPr>
                </w:pPr>
                <w:r>
                  <w:rPr>
                    <w:szCs w:val="24"/>
                  </w:rPr>
                  <w:t>Krūtinės ląstos rentgenograma – jei nėra atlikta per dvejus metus, EKG.</w:t>
                </w:r>
              </w:p>
              <w:p>
                <w:pPr>
                  <w:rPr>
                    <w:szCs w:val="24"/>
                  </w:rPr>
                </w:pPr>
                <w:r>
                  <w:rPr>
                    <w:szCs w:val="24"/>
                  </w:rPr>
                  <w:t xml:space="preserve">Viso nakties miego laikotarpio respiracinė poligrafija ir / ar polisomnografija ir kiti tyrimai (pulmonologui arba neurologui skyrus). </w:t>
                </w:r>
              </w:p>
              <w:p>
                <w:pPr>
                  <w:rPr>
                    <w:szCs w:val="24"/>
                  </w:rPr>
                </w:pPr>
                <w:r>
                  <w:rPr>
                    <w:szCs w:val="24"/>
                  </w:rPr>
                  <w:t xml:space="preserve">Kiti tyrimai ir konsultacijos atliekami vadovaujantis 13 priedu. </w:t>
                </w:r>
              </w:p>
            </w:tc>
          </w:tr>
          <w:tr>
            <w:trPr>
              <w:trHeight w:val="20"/>
            </w:trPr>
            <w:tc>
              <w:tcPr>
                <w:tcW w:w="928" w:type="pct"/>
              </w:tcPr>
              <w:p>
                <w:pPr>
                  <w:rPr>
                    <w:szCs w:val="24"/>
                  </w:rPr>
                </w:pPr>
                <w:r>
                  <w:rPr>
                    <w:szCs w:val="24"/>
                  </w:rPr>
                  <w:t>5.1. asmenys iki 59 metų amžiaus</w:t>
                </w:r>
              </w:p>
            </w:tc>
            <w:tc>
              <w:tcPr>
                <w:tcW w:w="778" w:type="pct"/>
              </w:tcPr>
              <w:p>
                <w:pPr>
                  <w:rPr>
                    <w:szCs w:val="24"/>
                  </w:rPr>
                </w:pPr>
                <w:r>
                  <w:rPr>
                    <w:szCs w:val="24"/>
                  </w:rPr>
                  <w:t>1 kartą per 5 metus</w:t>
                </w:r>
              </w:p>
            </w:tc>
            <w:tc>
              <w:tcPr>
                <w:tcW w:w="857" w:type="pct"/>
                <w:vMerge/>
              </w:tcPr>
              <w:p>
                <w:pPr>
                  <w:rPr>
                    <w:szCs w:val="24"/>
                  </w:rPr>
                </w:pPr>
              </w:p>
            </w:tc>
            <w:tc>
              <w:tcPr>
                <w:tcW w:w="930" w:type="pct"/>
                <w:vMerge/>
              </w:tcPr>
              <w:p>
                <w:pPr>
                  <w:rPr>
                    <w:szCs w:val="24"/>
                  </w:rPr>
                </w:pPr>
              </w:p>
            </w:tc>
            <w:tc>
              <w:tcPr>
                <w:tcW w:w="1507" w:type="pct"/>
                <w:vMerge/>
              </w:tcPr>
              <w:p>
                <w:pPr>
                  <w:rPr>
                    <w:szCs w:val="24"/>
                  </w:rPr>
                </w:pPr>
              </w:p>
            </w:tc>
          </w:tr>
          <w:tr>
            <w:trPr>
              <w:trHeight w:val="20"/>
            </w:trPr>
            <w:tc>
              <w:tcPr>
                <w:tcW w:w="928" w:type="pct"/>
              </w:tcPr>
              <w:p>
                <w:pPr>
                  <w:rPr>
                    <w:szCs w:val="24"/>
                  </w:rPr>
                </w:pPr>
                <w:r>
                  <w:rPr>
                    <w:szCs w:val="24"/>
                  </w:rPr>
                  <w:t>5.2. asmenys nuo 60 iki 70 metų amžiaus</w:t>
                </w:r>
              </w:p>
            </w:tc>
            <w:tc>
              <w:tcPr>
                <w:tcW w:w="778" w:type="pct"/>
              </w:tcPr>
              <w:p>
                <w:pPr>
                  <w:rPr>
                    <w:szCs w:val="24"/>
                  </w:rPr>
                </w:pPr>
                <w:r>
                  <w:rPr>
                    <w:szCs w:val="24"/>
                  </w:rPr>
                  <w:t>1 kartą per 2 metus</w:t>
                </w:r>
              </w:p>
            </w:tc>
            <w:tc>
              <w:tcPr>
                <w:tcW w:w="857" w:type="pct"/>
                <w:vMerge/>
              </w:tcPr>
              <w:p>
                <w:pPr>
                  <w:rPr>
                    <w:szCs w:val="24"/>
                  </w:rPr>
                </w:pPr>
              </w:p>
            </w:tc>
            <w:tc>
              <w:tcPr>
                <w:tcW w:w="930" w:type="pct"/>
                <w:vMerge/>
              </w:tcPr>
              <w:p>
                <w:pP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5.3. asmenys nuo 70 metų amžiaus</w:t>
                </w:r>
              </w:p>
            </w:tc>
            <w:tc>
              <w:tcPr>
                <w:tcW w:w="778" w:type="pct"/>
              </w:tcPr>
              <w:p>
                <w:pPr>
                  <w:rPr>
                    <w:szCs w:val="24"/>
                  </w:rPr>
                </w:pPr>
                <w:r>
                  <w:rPr>
                    <w:szCs w:val="24"/>
                  </w:rPr>
                  <w:t>1 kartą per 1 metus</w:t>
                </w: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r>
            <w:trPr>
              <w:trHeight w:val="20"/>
            </w:trPr>
            <w:tc>
              <w:tcPr>
                <w:tcW w:w="928" w:type="pct"/>
              </w:tcPr>
              <w:p>
                <w:pPr>
                  <w:rPr>
                    <w:szCs w:val="24"/>
                  </w:rPr>
                </w:pPr>
              </w:p>
            </w:tc>
            <w:tc>
              <w:tcPr>
                <w:tcW w:w="778" w:type="pct"/>
              </w:tcPr>
              <w:p>
                <w:pPr>
                  <w:rPr>
                    <w:szCs w:val="24"/>
                  </w:rPr>
                </w:pP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bl>
        <w:p/>
        <w:p>
          <w:pPr>
            <w:spacing w:line="276" w:lineRule="auto"/>
            <w:jc w:val="both"/>
          </w:pPr>
          <w:r>
            <w:rPr>
              <w:szCs w:val="24"/>
            </w:rPr>
            <w:t>* įstaigose, kurios turi galimybę ir licenciją atlikti reikiamus tyrimus OMA diagnozei patvirtinti arba paneigti ir geba vertinti gydymo efektyvumą.</w:t>
          </w:r>
        </w:p>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
      <w:sdtPr>
        <w:alias w:val="lentele"/>
        <w:tag w:val="part_ddcc24f42f904bf2be6b0a71cb6b7ac0"/>
        <w:lock w:val="sdtLocked"/>
        <w:richText/>
      </w:sdtPr>
      <w:sdtContent>
        <w:p>
          <w:pPr>
            <w:jc w:val="right"/>
            <w:sectPr>
              <w:pgSz w:w="11907" w:h="16840" w:code="9"/>
              <w:pgMar w:top="1134" w:right="1134" w:bottom="1134" w:left="1079" w:header="567" w:footer="567" w:gutter="0"/>
              <w:pgNumType w:start="1"/>
              <w:cols w:space="1296"/>
              <w:titlePg/>
              <w:docGrid w:linePitch="360"/>
            </w:sectPr>
          </w:pPr>
        </w:p>
        <w:p>
          <w:pPr>
            <w:jc w:val="right"/>
          </w:pPr>
          <w:sdt>
            <w:sdtPr>
              <w:alias w:val="Numeris"/>
              <w:tag w:val="nr_ddcc24f42f904bf2be6b0a71cb6b7ac0"/>
              <w:lock w:val="sdtLocked"/>
              <w:richText/>
            </w:sdtPr>
            <w:sdtContent>
              <w:r>
                <w:rPr>
                  <w:bCs/>
                </w:rPr>
                <w:t>2</w:t>
              </w:r>
            </w:sdtContent>
          </w:sdt>
          <w:r>
            <w:rPr>
              <w:bCs/>
            </w:rPr>
            <w:t xml:space="preserve"> </w:t>
          </w:r>
          <w:r>
            <w:t>lentelė</w:t>
          </w:r>
        </w:p>
        <w:p>
          <w:pPr>
            <w:jc w:val="both"/>
            <w:rPr>
              <w:bCs/>
            </w:rPr>
          </w:pPr>
        </w:p>
        <w:p>
          <w:pPr>
            <w:jc w:val="center"/>
            <w:rPr>
              <w:b/>
              <w:bCs/>
            </w:rPr>
          </w:pPr>
          <w:sdt>
            <w:sdtPr>
              <w:alias w:val="Pavadinimas"/>
              <w:tag w:val="title_ddcc24f42f904bf2be6b0a71cb6b7ac0"/>
              <w:lock w:val="sdtLocked"/>
              <w:richText/>
            </w:sdtPr>
            <w:sdtContent>
              <w:r>
                <w:rPr>
                  <w:b/>
                  <w:bCs/>
                </w:rPr>
                <w:t>TRANSPORTO PRIEMONIŲ KATEGORIJOS, MINIMALUS VAIRUOTOJŲ AMŽIUS</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1510"/>
            <w:gridCol w:w="6139"/>
            <w:gridCol w:w="7091"/>
          </w:tblGrid>
          <w:tr>
            <w:trPr>
              <w:cantSplit/>
              <w:trHeight w:val="23"/>
              <w:tblHeader/>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Transporto priemonių kategorija</w:t>
                </w:r>
              </w:p>
            </w:tc>
            <w:tc>
              <w:tcPr>
                <w:tcW w:w="613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Pagrindiniai duomenys</w:t>
                </w:r>
              </w:p>
            </w:tc>
            <w:tc>
              <w:tcPr>
                <w:tcW w:w="70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Minimalus amžius, nuo kurio leidžiama įgyti teisę vairuoti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AM</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Mopedai ir lengvieji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kurių variklio darbinis tūris didesnis kaip 50 cm</w:t>
                </w:r>
                <w:r>
                  <w:rPr>
                    <w:sz w:val="22"/>
                    <w:vertAlign w:val="superscript"/>
                  </w:rPr>
                  <w:t>3</w:t>
                </w:r>
                <w:r>
                  <w:rPr>
                    <w:sz w:val="22"/>
                  </w:rPr>
                  <w:t>, bet ne didesnis kaip 125 cm</w:t>
                </w:r>
                <w:r>
                  <w:rPr>
                    <w:sz w:val="22"/>
                    <w:vertAlign w:val="superscript"/>
                  </w:rPr>
                  <w:t>3</w:t>
                </w:r>
                <w:r>
                  <w:rPr>
                    <w:sz w:val="22"/>
                  </w:rPr>
                  <w:t xml:space="preserve"> ir jų galia neviršija 11 kW</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su šonine priekaba arba be jos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(teisė vairuoti motociklus, kurių galia didesnė kaip 25 kW arba galios ir svorio santykis didesnis kaip 0,16 kW/kg, bei motociklus su šonine priekaba, kurių galios ir svorio santykis viršija 0,16 kW/kg, suteikiama tik turint ne trumpesnį kaip dvejų metų motociklų su žemesnėmis charakteristikomis vairavimo patirtį)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tabs>
                    <w:tab w:val="left" w:pos="916"/>
                  </w:tabs>
                  <w:spacing w:line="276" w:lineRule="auto"/>
                  <w:jc w:val="center"/>
                  <w:rPr>
                    <w:color w:val="000000"/>
                    <w:sz w:val="22"/>
                    <w:szCs w:val="22"/>
                    <w:lang w:eastAsia="lt-LT"/>
                  </w:rPr>
                </w:pPr>
                <w:r>
                  <w:rPr>
                    <w:color w:val="000000"/>
                    <w:sz w:val="22"/>
                    <w:szCs w:val="22"/>
                    <w:lang w:eastAsia="lt-LT"/>
                  </w:rPr>
                  <w:t>A2</w:t>
                </w:r>
              </w:p>
            </w:tc>
            <w:tc>
              <w:tcPr>
                <w:tcW w:w="6139"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color w:val="000000"/>
                    <w:sz w:val="22"/>
                    <w:szCs w:val="22"/>
                    <w:lang w:eastAsia="lt-LT"/>
                  </w:rPr>
                </w:pPr>
                <w:r>
                  <w:rPr>
                    <w:sz w:val="22"/>
                    <w:szCs w:val="22"/>
                  </w:rPr>
                  <w:t>Motociklai, kurių galia ne didesnė kaip 35 kW, galios ir svorio santykis ne didesnis kaip 0,2 kW/kg ir kurie nėra kilę iš daugiau kaip du kartus galingesnės transporto priemonės</w:t>
                </w:r>
              </w:p>
            </w:tc>
            <w:tc>
              <w:tcPr>
                <w:tcW w:w="7091"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strike/>
                    <w:color w:val="000000"/>
                    <w:sz w:val="22"/>
                    <w:szCs w:val="22"/>
                    <w:lang w:eastAsia="lt-LT"/>
                  </w:rPr>
                </w:pPr>
                <w:r>
                  <w:rPr>
                    <w:sz w:val="22"/>
                    <w:szCs w:val="22"/>
                    <w:lang w:eastAsia="lt-LT"/>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Triračiai ar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kurių didžiausia leidžiama masė ne didesnė kaip 3 500 kg ir kurie turi ne daugiau kaip aštuonias sėdimas vietas be vairuotojo vietos; šie automobiliai gali būti sujungti su priekaba, kurios didžiausia leidžiama masė ne didesnė kaip 750 kg; šie automobiliai taip pat gali būti sujungti su priekaba, kurios didžiausia leidžiama masė didesnė kaip 750 kg, tačiau junginio didžiausia leidžiama masė turi būti ne didesnė kaip 3 500 kg, o priekabos didžiausia leidžiama masė turi būti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B kategorijos automobilio ir priekabos, kurios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Cl</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Dl ir D kategorijoms ir kurių didžiausia leidžiama masė didesnė kaip 3 500 kg, bet ne didesnė kaip 7 500 kg;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Cl kategorijos automobilių ir priekabų, kurių didžiausia leidžiama masė didesnė kaip 750 kg, junginiai; šių junginių didžiausia leidžiama masė turi būti ne didesnė kaip 12 000 kg, o priekabos didžiausia leidžiama masė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D1 ir D kategorijoms ir kurių didžiausia leidžiama masė didesnė kaip 3 500 kg; šios kategorijos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bet ne daugiau kaip šešiolika sėdimų vietų be vairuotojo vietos;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Dl kategorijos automobilių ir priekabų, kurių didžiausia leidžiama masė didesnė kaip 750 kg, junginiai; šių junginių didžiausia leidžiama masė ne didesnė kaip 12 000 kg bei priekabos didžiausia leidžiama masė ne didesnė už automobilio masę be krovinio ir ji nenaudojama keleiviams vežti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sėdimas vietas be vairuotojo vietos; šie automobiliai gali būti sujungti su priekaba, kurios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Troleibusai, tai yra nebėginės transporto priemonės, sujungtos su išoriniu elektros šaltiniu</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1 kategorijos traktoriai</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iki 60 kW variklio galios traktoriai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w:t>
                </w:r>
                <w:r>
                  <w:rPr>
                    <w:i/>
                    <w:sz w:val="22"/>
                  </w:rPr>
                  <w:t xml:space="preserve"> </w:t>
                </w:r>
                <w:r>
                  <w:rPr>
                    <w:sz w:val="22"/>
                  </w:rPr>
                  <w:t>metų (be teisės važiuoti keliais, kol sukaks 16</w:t>
                </w:r>
                <w:r>
                  <w:rPr>
                    <w:i/>
                    <w:sz w:val="22"/>
                  </w:rPr>
                  <w:t xml:space="preserve"> </w:t>
                </w:r>
                <w:r>
                  <w:rPr>
                    <w:sz w:val="22"/>
                  </w:rPr>
                  <w:t>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2 kategorijos traktoriai ir savaeigės mašinos</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60 kW arba didesnės variklio galios traktoriai ir savaeigės mašinos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17 metų</w:t>
                </w:r>
              </w:p>
            </w:tc>
          </w:tr>
        </w:tbl>
        <w:p>
          <w:pPr>
            <w:jc w:val="both"/>
          </w:pPr>
        </w:p>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b7aa50bcfd11e4afdc866ec67ebcf3">
            <w:r w:rsidRPr="00532B9F">
              <w:rPr>
                <w:rFonts w:ascii="Times New Roman" w:eastAsia="MS Mincho" w:hAnsi="Times New Roman"/>
                <w:sz w:val="20"/>
                <w:i/>
                <w:iCs/>
                <w:color w:val="0000FF" w:themeColor="hyperlink"/>
                <w:u w:val="single"/>
              </w:rPr>
              <w:t>V-224</w:t>
            </w:r>
          </w:fldSimple>
          <w:r>
            <w:rPr>
              <w:rFonts w:ascii="Times New Roman" w:eastAsia="MS Mincho" w:hAnsi="Times New Roman"/>
              <w:sz w:val="20"/>
              <w:i/>
              <w:iCs/>
            </w:rPr>
            <w:t>,
2015-02-18,
paskelbta TAR 2015-02-26, i. k. 2015-02965            </w:t>
          </w:r>
        </w:p>
        <w:p/>
      </w:sdtContent>
    </w:sdt>
    <w:sdt>
      <w:sdtPr>
        <w:alias w:val="lentele"/>
        <w:tag w:val="part_e86ef2d821dc4b6fb53b68171fd86b65"/>
        <w:lock w:val="sdtLocked"/>
        <w:richText/>
      </w:sdtPr>
      <w:sdtContent>
        <w:p>
          <w:pPr>
            <w:jc w:val="right"/>
            <w:sectPr>
              <w:pgSz w:w="16840" w:h="11907" w:orient="landscape" w:code="9"/>
              <w:pgMar w:top="1079" w:right="1134" w:bottom="1134" w:left="1134" w:header="567" w:footer="567" w:gutter="0"/>
              <w:pgNumType w:start="1"/>
              <w:cols w:space="1296"/>
              <w:titlePg/>
              <w:docGrid w:linePitch="360"/>
            </w:sectPr>
          </w:pPr>
        </w:p>
        <w:p>
          <w:pPr>
            <w:jc w:val="right"/>
          </w:pPr>
          <w:sdt>
            <w:sdtPr>
              <w:alias w:val="Numeris"/>
              <w:tag w:val="nr_e86ef2d821dc4b6fb53b68171fd86b65"/>
              <w:lock w:val="sdtLocked"/>
              <w:richText/>
            </w:sdtPr>
            <w:sdtContent>
              <w:r>
                <w:t>3</w:t>
              </w:r>
            </w:sdtContent>
          </w:sdt>
          <w:r>
            <w:t xml:space="preserve"> lentelė</w:t>
          </w:r>
        </w:p>
        <w:p>
          <w:pPr>
            <w:jc w:val="both"/>
            <w:rPr>
              <w:bCs/>
            </w:rPr>
          </w:pPr>
        </w:p>
        <w:p>
          <w:pPr>
            <w:jc w:val="center"/>
            <w:rPr>
              <w:b/>
              <w:bCs/>
            </w:rPr>
          </w:pPr>
          <w:sdt>
            <w:sdtPr>
              <w:alias w:val="Pavadinimas"/>
              <w:tag w:val="title_e86ef2d821dc4b6fb53b68171fd86b65"/>
              <w:lock w:val="sdtLocked"/>
              <w:richText/>
            </w:sdtPr>
            <w:sdtContent>
              <w:r>
                <w:rPr>
                  <w:b/>
                  <w:szCs w:val="24"/>
                </w:rPr>
                <w:t>MINIMALIOS SVEIKATOS TINKAMUMO NORMOS, TAIKOMOS ASMENIMS, SIEKIANTIEMS VAIRUOTI IR VAIRUOJANTIEMS VARIKLIO VAROMĄ TRANSPORTO PRIEMONĘ</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891"/>
            <w:gridCol w:w="9109"/>
            <w:gridCol w:w="2370"/>
            <w:gridCol w:w="2370"/>
          </w:tblGrid>
          <w:tr>
            <w:trPr>
              <w:trHeight w:val="23"/>
              <w:tblHeader/>
            </w:trPr>
            <w:tc>
              <w:tcPr>
                <w:tcW w:w="891" w:type="dxa"/>
                <w:vMerge w:val="restart"/>
                <w:tcBorders>
                  <w:top w:val="single" w:sz="6" w:space="0" w:color="auto"/>
                  <w:left w:val="single" w:sz="6" w:space="0" w:color="auto"/>
                  <w:right w:val="single" w:sz="6" w:space="0" w:color="auto"/>
                </w:tcBorders>
              </w:tcPr>
              <w:p>
                <w:pPr>
                  <w:rPr>
                    <w:sz w:val="22"/>
                    <w:szCs w:val="22"/>
                  </w:rPr>
                </w:pPr>
                <w:r>
                  <w:rPr>
                    <w:sz w:val="22"/>
                    <w:szCs w:val="22"/>
                  </w:rPr>
                  <w:t>Eil. Nr.</w:t>
                </w:r>
              </w:p>
            </w:tc>
            <w:tc>
              <w:tcPr>
                <w:tcW w:w="9109" w:type="dxa"/>
                <w:vMerge w:val="restart"/>
                <w:tcBorders>
                  <w:top w:val="single" w:sz="6" w:space="0" w:color="auto"/>
                  <w:left w:val="single" w:sz="6" w:space="0" w:color="auto"/>
                  <w:right w:val="single" w:sz="6" w:space="0" w:color="auto"/>
                </w:tcBorders>
              </w:tcPr>
              <w:p>
                <w:pPr>
                  <w:jc w:val="center"/>
                  <w:rPr>
                    <w:sz w:val="22"/>
                    <w:szCs w:val="22"/>
                  </w:rPr>
                </w:pPr>
                <w:r>
                  <w:rPr>
                    <w:sz w:val="22"/>
                    <w:szCs w:val="22"/>
                  </w:rPr>
                  <w:t xml:space="preserve">Minimalios </w:t>
                </w:r>
                <w:r>
                  <w:rPr>
                    <w:color w:val="000000"/>
                    <w:sz w:val="22"/>
                    <w:szCs w:val="22"/>
                  </w:rPr>
                  <w:t xml:space="preserve">sveikatos </w:t>
                </w:r>
                <w:r>
                  <w:rPr>
                    <w:sz w:val="22"/>
                    <w:szCs w:val="22"/>
                  </w:rPr>
                  <w:t>tinkamumo normos, taikomos asmenims, siekiantiems vairuoti ir vairuojantiems variklio varomą transporto priemonę</w:t>
                </w:r>
              </w:p>
              <w:p>
                <w:pPr>
                  <w:jc w:val="center"/>
                  <w:rPr>
                    <w:sz w:val="22"/>
                    <w:szCs w:val="22"/>
                  </w:rPr>
                </w:pPr>
                <w:r>
                  <w:rPr>
                    <w:sz w:val="22"/>
                    <w:szCs w:val="22"/>
                  </w:rPr>
                  <w:t>(Ligos ir sveikatos problemos, dėl kurių ribojama teisė vairuoti transporto priemones)</w:t>
                </w:r>
              </w:p>
            </w:tc>
            <w:tc>
              <w:tcPr>
                <w:tcW w:w="4740" w:type="dxa"/>
                <w:gridSpan w:val="2"/>
                <w:tcBorders>
                  <w:top w:val="single" w:sz="6" w:space="0" w:color="auto"/>
                  <w:left w:val="single" w:sz="6" w:space="0" w:color="auto"/>
                  <w:bottom w:val="single" w:sz="6" w:space="0" w:color="auto"/>
                </w:tcBorders>
                <w:vAlign w:val="center"/>
              </w:tcPr>
              <w:p>
                <w:pPr>
                  <w:jc w:val="center"/>
                  <w:rPr>
                    <w:b/>
                    <w:sz w:val="22"/>
                    <w:szCs w:val="22"/>
                  </w:rPr>
                </w:pPr>
                <w:r>
                  <w:rPr>
                    <w:sz w:val="22"/>
                    <w:szCs w:val="22"/>
                  </w:rPr>
                  <w:t>Transporto priemonių, kurias vairuoti draudžiama, kategorijos bei apribojimų (žr. 5 lentelę) kodai</w:t>
                </w:r>
              </w:p>
            </w:tc>
          </w:tr>
          <w:tr>
            <w:trPr>
              <w:trHeight w:val="23"/>
              <w:tblHeader/>
            </w:trPr>
            <w:tc>
              <w:tcPr>
                <w:tcW w:w="891" w:type="dxa"/>
                <w:vMerge/>
                <w:tcBorders>
                  <w:left w:val="single" w:sz="6" w:space="0" w:color="auto"/>
                  <w:bottom w:val="single" w:sz="6" w:space="0" w:color="auto"/>
                  <w:right w:val="single" w:sz="6" w:space="0" w:color="auto"/>
                </w:tcBorders>
              </w:tcPr>
              <w:p>
                <w:pPr>
                  <w:jc w:val="center"/>
                  <w:rPr>
                    <w:sz w:val="22"/>
                  </w:rPr>
                </w:pPr>
              </w:p>
            </w:tc>
            <w:tc>
              <w:tcPr>
                <w:tcW w:w="9109" w:type="dxa"/>
                <w:vMerge/>
                <w:tcBorders>
                  <w:left w:val="single" w:sz="6" w:space="0" w:color="auto"/>
                  <w:bottom w:val="single" w:sz="6" w:space="0" w:color="auto"/>
                  <w:right w:val="single" w:sz="6" w:space="0" w:color="auto"/>
                </w:tcBorders>
              </w:tcPr>
              <w:p>
                <w:pPr>
                  <w:jc w:val="cente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1 grupė</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2 grupė</w:t>
                </w:r>
              </w:p>
            </w:tc>
          </w:tr>
          <w:tr>
            <w:trPr>
              <w:trHeight w:val="23"/>
              <w:tblHeader/>
            </w:trPr>
            <w:tc>
              <w:tcPr>
                <w:tcW w:w="8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1</w:t>
                </w:r>
              </w:p>
            </w:tc>
            <w:tc>
              <w:tcPr>
                <w:tcW w:w="910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3</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4</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REGĖJIMAS</w:t>
                </w:r>
              </w:p>
              <w:p>
                <w:pPr>
                  <w:widowControl w:val="0"/>
                  <w:suppressAutoHyphens/>
                  <w:rPr>
                    <w:caps/>
                    <w:color w:val="000000"/>
                    <w:sz w:val="22"/>
                  </w:rPr>
                </w:pPr>
                <w:r>
                  <w:rPr>
                    <w:color w:val="000000"/>
                    <w:sz w:val="22"/>
                  </w:rPr>
                  <w:t>Visi kandidatai vairuotojo pažymėjimui gauti šeimos gydytojo patikrinami, ar jų regėjimas yra pakankamai aštrus variklio varomoms transporto priemonėms vairuoti. Kilus pagrįstų abejonių dėl kandidato vairuotojo pažymėjimui gauti regėjimo, jį tikrina gydytojas oftalmologas. Patikrinimo metu dėmesys visų pirma kreipiamas į regėjimo aštrumą, regėjimo lauką, regėjimą prieblandoje, jautrumą ryškiai šviesai ir kontrastinį jautrumą, diplopiją (dvejinimasis) ir į kitas regėjimo funkcijas, kurios gali trukdyti saugiai vairuoti.</w:t>
                </w:r>
              </w:p>
              <w:p>
                <w:pPr>
                  <w:widowControl w:val="0"/>
                  <w:suppressAutoHyphens/>
                  <w:rPr>
                    <w:color w:val="000000"/>
                    <w:sz w:val="22"/>
                  </w:rPr>
                </w:pPr>
                <w:r>
                  <w:rPr>
                    <w:color w:val="000000"/>
                    <w:sz w:val="22"/>
                  </w:rPr>
                  <w:t>1</w:t>
                </w:r>
                <w:r>
                  <w:rPr>
                    <w:i/>
                    <w:color w:val="000000"/>
                    <w:sz w:val="22"/>
                  </w:rPr>
                  <w:t xml:space="preserve"> </w:t>
                </w:r>
                <w:r>
                  <w:rPr>
                    <w:color w:val="000000"/>
                    <w:sz w:val="22"/>
                  </w:rPr>
                  <w:t>grupės vairuotojams, kurių regėjimas neatitinka regėjimo lauko arba regėjimo aštrumo standarto, pažymėjimai gali būti išduodami išskirtiniais atvejais; tokiais atvejais gydytojas oftalmologas turėtų ištirti vairuotojo regėjimą ir nustatyti, ar jis neturi jokių kitų regėjimo funkcijos sutrikimų, įskaitant jautrumo ryškiai šviesai, kontrastinio jautrumo</w:t>
                </w:r>
                <w:r>
                  <w:rPr>
                    <w:b/>
                    <w:bCs/>
                    <w:color w:val="000000"/>
                    <w:sz w:val="22"/>
                  </w:rPr>
                  <w:t xml:space="preserve"> </w:t>
                </w:r>
                <w:r>
                  <w:rPr>
                    <w:color w:val="000000"/>
                    <w:sz w:val="22"/>
                  </w:rPr>
                  <w:t xml:space="preserve">ir regėjimo prieblandoje sutrikimus. Vairuotojas ar kandidatas vairuotojo pažymėjimui gauti taip pat turėtų būti išlaikęs kompetentingos valdžios institucijos organizuotą vairavimo egzaminą. </w:t>
                </w:r>
                <w:r>
                  <w:rPr>
                    <w:i/>
                    <w:iCs/>
                    <w:color w:val="000000"/>
                    <w:sz w:val="22"/>
                  </w:rPr>
                  <w:t>Šiame priede intraokuliniai lęšiai nelaikomi korekciniais lęšiais.</w:t>
                </w:r>
                <w:r>
                  <w:rPr>
                    <w:b/>
                    <w:bCs/>
                    <w:i/>
                    <w:iCs/>
                    <w:color w:val="000000"/>
                    <w:sz w:val="22"/>
                  </w:rPr>
                  <w:t xml:space="preserv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Kandidatų vairuotojo pažymėjimui gauti arba atnaujinti binokulinis regėjimas, jeigu reikia, su korekciniais lęšiais, žiūrint abiem akimis, turėtų būti ne mažesnis kaip 0,5.</w:t>
                </w:r>
              </w:p>
              <w:p>
                <w:pPr>
                  <w:widowControl w:val="0"/>
                  <w:suppressAutoHyphens/>
                  <w:rPr>
                    <w:caps/>
                    <w:color w:val="000000"/>
                    <w:sz w:val="22"/>
                  </w:rPr>
                </w:pPr>
                <w:r>
                  <w:rPr>
                    <w:color w:val="000000"/>
                    <w:sz w:val="22"/>
                  </w:rPr>
                  <w:t>Be to, regėjimo horizontalus laukas turėtų būti ne mažesnis kaip 120</w:t>
                </w:r>
                <w:r>
                  <w:rPr>
                    <w:i/>
                    <w:color w:val="000000"/>
                    <w:sz w:val="22"/>
                  </w:rPr>
                  <w:t xml:space="preserve"> </w:t>
                </w:r>
                <w:r>
                  <w:rPr>
                    <w:color w:val="000000"/>
                    <w:sz w:val="22"/>
                  </w:rPr>
                  <w:t>laipsnių, regėjimo lauko plotis</w:t>
                </w:r>
                <w:r>
                  <w:rPr>
                    <w:i/>
                    <w:color w:val="000000"/>
                    <w:sz w:val="22"/>
                  </w:rPr>
                  <w:t xml:space="preserve"> </w:t>
                </w:r>
                <w:r>
                  <w:rPr>
                    <w:color w:val="000000"/>
                    <w:sz w:val="22"/>
                  </w:rPr>
                  <w:t>– ne mažesnis kaip 50</w:t>
                </w:r>
                <w:r>
                  <w:rPr>
                    <w:i/>
                    <w:color w:val="000000"/>
                    <w:sz w:val="22"/>
                  </w:rPr>
                  <w:t xml:space="preserve"> </w:t>
                </w:r>
                <w:r>
                  <w:rPr>
                    <w:color w:val="000000"/>
                    <w:sz w:val="22"/>
                  </w:rPr>
                  <w:t>laipsnių į kairę ir į dešinę ir 20</w:t>
                </w:r>
                <w:r>
                  <w:rPr>
                    <w:i/>
                    <w:color w:val="000000"/>
                    <w:sz w:val="22"/>
                  </w:rPr>
                  <w:t xml:space="preserve"> </w:t>
                </w:r>
                <w:r>
                  <w:rPr>
                    <w:color w:val="000000"/>
                    <w:sz w:val="22"/>
                  </w:rPr>
                  <w:t>laipsnių į viršų ir žemyn. Centriniame 20</w:t>
                </w:r>
                <w:r>
                  <w:rPr>
                    <w:i/>
                    <w:color w:val="000000"/>
                    <w:sz w:val="22"/>
                  </w:rPr>
                  <w:t xml:space="preserve"> </w:t>
                </w:r>
                <w:r>
                  <w:rPr>
                    <w:color w:val="000000"/>
                    <w:sz w:val="22"/>
                  </w:rPr>
                  <w:t>laipsnių regėjimo spindulyje neturėtų būti jokių regėjimo defektų.</w:t>
                </w:r>
              </w:p>
              <w:p>
                <w:pPr>
                  <w:widowControl w:val="0"/>
                  <w:suppressAutoHyphens/>
                  <w:rPr>
                    <w:color w:val="000000"/>
                    <w:sz w:val="22"/>
                  </w:rPr>
                </w:pPr>
                <w:r>
                  <w:rPr>
                    <w:color w:val="000000"/>
                    <w:sz w:val="22"/>
                  </w:rPr>
                  <w:t>Jei kandidatui nustatoma ar konstatuojama progresuojanti akių liga, vairuotojo pažymėjimas jam gali būti išduotas ar atnaujintas su sąlyga, kad jis bus reguliariai tikrinamas gydytojo oftalmologo.</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taikant reikiamą apribojimą 01.01, 01.02, 01.05, 01.06, 01.07</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Kandidatų vairuotojo pažymėjimui gauti arba atnaujinti, visai nematančių viena akimi arba matančių tik viena akimi (diplopijos atveju), regėjimo aštrumas turėtų būti, jeigu reikia, su korekciniais lęšiais, ne mažesnis kaip 0,5. Gydytojas oftalmologas turėtų patvirtinti, kad tokia kandidato vairuotojo pažymėjimui gauti monokuliarinio regėjimo būklė tęsiasi pakankamai ilgai, kad prie jos būtų galima prisitaikyti, ir kad regėjimo ta akimi laukas atitinka 1.1</w:t>
                </w:r>
                <w:r>
                  <w:rPr>
                    <w:i/>
                    <w:color w:val="000000"/>
                    <w:sz w:val="22"/>
                  </w:rPr>
                  <w:t xml:space="preserve"> </w:t>
                </w:r>
                <w:r>
                  <w:rPr>
                    <w:color w:val="000000"/>
                    <w:sz w:val="22"/>
                  </w:rPr>
                  <w:t>punkte nustatytus reikalavimus.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Jeigu diplopija atsirado arba vienos akies regėjimas buvo prarastas neseniai, turėtų būti taikomas atitinkamas adaptacinis laikotarpis (pavyzdžiui, šešių mėnesių), per kurį vairuoti yra draudžiama. Pasibaigus šiam laikotarpiui, vairuoti leidžiama tik gavus gydytojo oftalmologo ir vairavimo specialistų sutikimą.</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Kandidatų vairuotojo pažymėjimui gauti arba atnaujinti sveikesnės akies regėjimo aštrumas, jeigu reikia, su korekciniais lęšiais, turėtų būti ne mažesnis kaip 0,8, o silpnesnės akies</w:t>
                </w:r>
                <w:r>
                  <w:rPr>
                    <w:i/>
                    <w:color w:val="000000"/>
                    <w:sz w:val="22"/>
                  </w:rPr>
                  <w:t xml:space="preserve"> </w:t>
                </w:r>
                <w:r>
                  <w:rPr>
                    <w:color w:val="000000"/>
                    <w:sz w:val="22"/>
                  </w:rPr>
                  <w:t>– ne mažesnis kaip 0,1. Jei korekciniai lęšiai naudojami tam, kad mažiausias regėjimo aštrumas būtų 0,8</w:t>
                </w:r>
                <w:r>
                  <w:rPr>
                    <w:i/>
                    <w:color w:val="000000"/>
                    <w:sz w:val="22"/>
                  </w:rPr>
                  <w:t xml:space="preserve"> </w:t>
                </w:r>
                <w:r>
                  <w:rPr>
                    <w:color w:val="000000"/>
                    <w:sz w:val="22"/>
                  </w:rPr>
                  <w:t>ir 0,1, toks regėjimo aštrumas privalo būti pasiektas nešiojant akinius, kurių stiprumas neturi būti didesnis kaip plius aštuonios dioptrijos, arba nešiojant kontaktinius lęšius. Korekcija turi būti gerai toleruojama.</w:t>
                </w:r>
              </w:p>
              <w:p>
                <w:pPr>
                  <w:widowControl w:val="0"/>
                  <w:suppressAutoHyphens/>
                  <w:rPr>
                    <w:caps/>
                    <w:color w:val="000000"/>
                    <w:sz w:val="22"/>
                  </w:rPr>
                </w:pPr>
                <w:r>
                  <w:rPr>
                    <w:color w:val="000000"/>
                    <w:sz w:val="22"/>
                  </w:rPr>
                  <w:t>Be to, regėjimo abiem akimis horizontalus laukas turėtų būti ne mažesnis kaip 160</w:t>
                </w:r>
                <w:r>
                  <w:rPr>
                    <w:i/>
                    <w:color w:val="000000"/>
                    <w:sz w:val="22"/>
                  </w:rPr>
                  <w:t xml:space="preserve"> </w:t>
                </w:r>
                <w:r>
                  <w:rPr>
                    <w:color w:val="000000"/>
                    <w:sz w:val="22"/>
                  </w:rPr>
                  <w:t>laipsnių, regėjimo lauko plotis turėtų būti ne mažesnis kaip 70</w:t>
                </w:r>
                <w:r>
                  <w:rPr>
                    <w:i/>
                    <w:color w:val="000000"/>
                    <w:sz w:val="22"/>
                  </w:rPr>
                  <w:t xml:space="preserve"> </w:t>
                </w:r>
                <w:r>
                  <w:rPr>
                    <w:color w:val="000000"/>
                    <w:sz w:val="22"/>
                  </w:rPr>
                  <w:t>laipsnių į kairę ir į dešinę ir 30</w:t>
                </w:r>
                <w:r>
                  <w:rPr>
                    <w:i/>
                    <w:color w:val="000000"/>
                    <w:sz w:val="22"/>
                  </w:rPr>
                  <w:t xml:space="preserve"> </w:t>
                </w:r>
                <w:r>
                  <w:rPr>
                    <w:color w:val="000000"/>
                    <w:sz w:val="22"/>
                  </w:rPr>
                  <w:t>laipsnių į viršų ir žemyn. Centriniame 30</w:t>
                </w:r>
                <w:r>
                  <w:rPr>
                    <w:i/>
                    <w:color w:val="000000"/>
                    <w:sz w:val="22"/>
                  </w:rPr>
                  <w:t xml:space="preserve"> </w:t>
                </w:r>
                <w:r>
                  <w:rPr>
                    <w:color w:val="000000"/>
                    <w:sz w:val="22"/>
                  </w:rPr>
                  <w:t>laipsnių regėjimo spindulyje neturėtų būti jokių regėjimo defektų.</w:t>
                </w:r>
              </w:p>
              <w:p>
                <w:pPr>
                  <w:widowControl w:val="0"/>
                  <w:suppressAutoHyphens/>
                  <w:rPr>
                    <w:caps/>
                    <w:color w:val="000000"/>
                    <w:sz w:val="22"/>
                  </w:rPr>
                </w:pPr>
                <w:r>
                  <w:rPr>
                    <w:color w:val="000000"/>
                    <w:sz w:val="22"/>
                  </w:rPr>
                  <w:t>Vairuotojo pažymėjimai neišduodami kandidatams vairuotojo pažymėjimui gauti ir neatnaujinami vairuotojams, kurių regėjimo kontrastinis jautrumas yra sumažėjęs arba nustatyta diplopija.</w:t>
                </w:r>
              </w:p>
              <w:p>
                <w:pPr>
                  <w:widowControl w:val="0"/>
                  <w:suppressAutoHyphens/>
                  <w:rPr>
                    <w:color w:val="000000"/>
                    <w:sz w:val="22"/>
                  </w:rPr>
                </w:pPr>
                <w:r>
                  <w:rPr>
                    <w:color w:val="000000"/>
                    <w:sz w:val="22"/>
                  </w:rPr>
                  <w:t>Smarkiai pablogėjus vienos akies regėjimui, turėtų būti taikomas atitinkamas adaptacinis laikotarpis (pavyzdžiui, šešių mėnesių), per kurį vairuoti draudžiama. Pasibaigus šiam laikotarpiui, vairuoti leidžiama tik gavus palankią gydytojo oftalmologo ir vairavimo specialistų išvadą.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taikant reikiamą apribojimą 01.01, 01.02, 01.05, 01.06, 01.07</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Diplopija ir žvairumas: H49–H50;</w:t>
                </w:r>
                <w:r>
                  <w:rPr>
                    <w:i/>
                    <w:iCs/>
                    <w:color w:val="000000"/>
                    <w:sz w:val="22"/>
                  </w:rPr>
                  <w:t xml:space="preserve"> </w:t>
                </w:r>
                <w:r>
                  <w:rPr>
                    <w:color w:val="000000"/>
                    <w:sz w:val="22"/>
                  </w:rPr>
                  <w:t>H53.0–H53.2. Jeigu po chirurginio gydymo rezultatai geri, vairuoti leidžiama.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Regėjimo susilpnėjimas dėl nuolatinio šviesos laužiamųjų skaidrių terpių drumstumo arba akių dugno pakitimų, refrakcijos anomalijų ir kitų organinio pobūdžio priežasčių: H 25–H 28, H30–H36. Minimalus regėjimo aštrumas (0,8</w:t>
                </w:r>
                <w:r>
                  <w:rPr>
                    <w:i/>
                    <w:color w:val="000000"/>
                    <w:sz w:val="22"/>
                  </w:rPr>
                  <w:t xml:space="preserve"> </w:t>
                </w:r>
                <w:r>
                  <w:rPr>
                    <w:color w:val="000000"/>
                    <w:sz w:val="22"/>
                  </w:rPr>
                  <w:t>ir 0,1) privalo būti pasiektas nešiojant akinius, kurių stiprumas neturi būti didesnis kaip plius ar minus aštuonios dioptrijos, arba nešiojant kontaktinius lęšius. H25–H28, H33</w:t>
                </w:r>
                <w:r>
                  <w:rPr>
                    <w:i/>
                    <w:color w:val="000000"/>
                    <w:sz w:val="22"/>
                  </w:rPr>
                  <w:t xml:space="preserve"> </w:t>
                </w:r>
                <w:r>
                  <w:rPr>
                    <w:color w:val="000000"/>
                    <w:sz w:val="22"/>
                  </w:rPr>
                  <w:t>atveju, jeigu po chirurginio gydymo rezultatai geri, vairuoti leidžiama.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Būklė po ragenos refrakcinių operacijų (keratotomijos, keratomilezės, keratokoaguliacijos, refrakcinės keratoplastikos).</w:t>
                </w:r>
              </w:p>
              <w:p>
                <w:pPr>
                  <w:widowControl w:val="0"/>
                  <w:suppressAutoHyphens/>
                  <w:rPr>
                    <w:color w:val="000000"/>
                    <w:sz w:val="22"/>
                  </w:rPr>
                </w:pPr>
                <w:r>
                  <w:rPr>
                    <w:color w:val="000000"/>
                    <w:sz w:val="22"/>
                  </w:rPr>
                  <w:t>Leidžiama vairuoti, jeigu po chirurginio gydymo rezultatai geri, kai regėjimas (su korekcija) ne silpnesnis kaip 0,8</w:t>
                </w:r>
                <w:r>
                  <w:rPr>
                    <w:i/>
                    <w:color w:val="000000"/>
                    <w:sz w:val="22"/>
                  </w:rPr>
                  <w:t xml:space="preserve"> </w:t>
                </w:r>
                <w:r>
                  <w:rPr>
                    <w:color w:val="000000"/>
                    <w:sz w:val="22"/>
                  </w:rPr>
                  <w:t>viena ir 0,1</w:t>
                </w:r>
                <w:r>
                  <w:rPr>
                    <w:i/>
                    <w:color w:val="000000"/>
                    <w:sz w:val="22"/>
                  </w:rPr>
                  <w:t xml:space="preserve"> </w:t>
                </w:r>
                <w:r>
                  <w:rPr>
                    <w:color w:val="000000"/>
                    <w:sz w:val="22"/>
                  </w:rPr>
                  <w:t>kita akimi (1</w:t>
                </w:r>
                <w:r>
                  <w:rPr>
                    <w:i/>
                    <w:color w:val="000000"/>
                    <w:sz w:val="22"/>
                  </w:rPr>
                  <w:t xml:space="preserve"> </w:t>
                </w:r>
                <w:r>
                  <w:rPr>
                    <w:color w:val="000000"/>
                    <w:sz w:val="22"/>
                  </w:rPr>
                  <w:t>grupės kategorijų vairuotojams</w:t>
                </w:r>
                <w:r>
                  <w:rPr>
                    <w:b/>
                    <w:bCs/>
                    <w:i/>
                    <w:color w:val="000000"/>
                    <w:sz w:val="22"/>
                  </w:rPr>
                  <w:t xml:space="preserve"> </w:t>
                </w:r>
                <w:r>
                  <w:rPr>
                    <w:color w:val="000000"/>
                    <w:sz w:val="22"/>
                  </w:rPr>
                  <w:t>– kai regėjimas ne silpnesnis kaip 0,5</w:t>
                </w:r>
                <w:r>
                  <w:rPr>
                    <w:i/>
                    <w:color w:val="000000"/>
                    <w:sz w:val="22"/>
                  </w:rPr>
                  <w:t xml:space="preserve"> </w:t>
                </w:r>
                <w:r>
                  <w:rPr>
                    <w:color w:val="000000"/>
                    <w:sz w:val="22"/>
                  </w:rPr>
                  <w:t>viena ir 0,1</w:t>
                </w:r>
                <w:r>
                  <w:rPr>
                    <w:i/>
                    <w:color w:val="000000"/>
                    <w:sz w:val="22"/>
                  </w:rPr>
                  <w:t xml:space="preserve"> </w:t>
                </w:r>
                <w:r>
                  <w:rPr>
                    <w:color w:val="000000"/>
                    <w:sz w:val="22"/>
                  </w:rPr>
                  <w:t>kita akimi).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Tinklainės ir regimojo nervo ligos (pigmentinis retinitas, regimųjų nervų atrofija, kitos progresuojančios tinklainės ir gyslainės ligos ir kt.): H30–H36, H47. (H30–H36</w:t>
                </w:r>
                <w:r>
                  <w:rPr>
                    <w:i/>
                    <w:color w:val="000000"/>
                    <w:sz w:val="22"/>
                  </w:rPr>
                  <w:t xml:space="preserve"> </w:t>
                </w:r>
                <w:r>
                  <w:rPr>
                    <w:color w:val="000000"/>
                    <w:sz w:val="22"/>
                  </w:rPr>
                  <w:t>atvejais leidžiama vairuoti 1</w:t>
                </w:r>
                <w:r>
                  <w:rPr>
                    <w:i/>
                    <w:color w:val="000000"/>
                    <w:sz w:val="22"/>
                  </w:rPr>
                  <w:t xml:space="preserve"> </w:t>
                </w:r>
                <w:r>
                  <w:rPr>
                    <w:color w:val="000000"/>
                    <w:sz w:val="22"/>
                  </w:rPr>
                  <w:t>gr. kategorijų transporto priemones, kai regėjimas ne silpnesnis kaip 0,5</w:t>
                </w:r>
                <w:r>
                  <w:rPr>
                    <w:i/>
                    <w:color w:val="000000"/>
                    <w:sz w:val="22"/>
                  </w:rPr>
                  <w:t xml:space="preserve"> </w:t>
                </w:r>
                <w:r>
                  <w:rPr>
                    <w:color w:val="000000"/>
                    <w:sz w:val="22"/>
                  </w:rPr>
                  <w:t>viena geriau matančia akimi).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Visos transporto priemonės</w:t>
                </w:r>
                <w:r>
                  <w:rPr>
                    <w:i/>
                    <w:color w:val="000000"/>
                    <w:sz w:val="22"/>
                  </w:rPr>
                  <w:t xml:space="preserve"> </w:t>
                </w:r>
                <w:r>
                  <w:rPr>
                    <w:color w:val="000000"/>
                    <w:sz w:val="22"/>
                  </w:rPr>
                  <w:t>– H30.1–H36</w:t>
                </w:r>
                <w:r>
                  <w:rPr>
                    <w:i/>
                    <w:color w:val="000000"/>
                    <w:sz w:val="22"/>
                  </w:rPr>
                  <w:t xml:space="preserve"> </w:t>
                </w:r>
                <w:r>
                  <w:rPr>
                    <w:color w:val="000000"/>
                    <w:sz w:val="22"/>
                  </w:rPr>
                  <w:t>H47</w:t>
                </w:r>
              </w:p>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Glaukoma: H40.1–H40.9, H42.</w:t>
                </w:r>
              </w:p>
              <w:p>
                <w:pPr>
                  <w:widowControl w:val="0"/>
                  <w:suppressAutoHyphens/>
                  <w:rPr>
                    <w:color w:val="000000"/>
                    <w:sz w:val="22"/>
                  </w:rPr>
                </w:pPr>
                <w:r>
                  <w:rPr>
                    <w:color w:val="000000"/>
                    <w:sz w:val="22"/>
                  </w:rPr>
                  <w:t>Esant pradinei nekompensuotai glaukomos stadijai, kai akies dugnas normalus, regėjimas ne silpnesnis (su korekcija) kaip 0,5</w:t>
                </w:r>
                <w:r>
                  <w:rPr>
                    <w:i/>
                    <w:color w:val="000000"/>
                    <w:sz w:val="22"/>
                  </w:rPr>
                  <w:t xml:space="preserve"> </w:t>
                </w:r>
                <w:r>
                  <w:rPr>
                    <w:color w:val="000000"/>
                    <w:sz w:val="22"/>
                  </w:rPr>
                  <w:t>viena ir 0,1</w:t>
                </w:r>
                <w:r>
                  <w:rPr>
                    <w:i/>
                    <w:color w:val="000000"/>
                    <w:sz w:val="22"/>
                  </w:rPr>
                  <w:t xml:space="preserve"> </w:t>
                </w:r>
                <w:r>
                  <w:rPr>
                    <w:color w:val="000000"/>
                    <w:sz w:val="22"/>
                  </w:rPr>
                  <w:t xml:space="preserve">kita akimi, gydytojas oftalmologas sprendžia individualiai dėl galimybės vairuoti bei tikrinimo periodiškumo.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w:t>
                </w:r>
                <w:r>
                  <w:rPr>
                    <w:i/>
                    <w:color w:val="000000"/>
                    <w:sz w:val="22"/>
                  </w:rPr>
                  <w:t>-</w:t>
                </w:r>
                <w:r>
                  <w:rPr>
                    <w:color w:val="000000"/>
                    <w:sz w:val="22"/>
                  </w:rPr>
                  <w:t xml:space="preserve"> 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KLAUSA</w:t>
                </w:r>
              </w:p>
              <w:p>
                <w:pPr>
                  <w:rPr>
                    <w:bCs/>
                    <w:sz w:val="22"/>
                    <w:szCs w:val="22"/>
                  </w:rPr>
                </w:pPr>
                <w:r>
                  <w:rPr>
                    <w:bCs/>
                    <w:sz w:val="22"/>
                    <w:szCs w:val="22"/>
                  </w:rPr>
                  <w:t xml:space="preserve">1 grupė: </w:t>
                </w:r>
              </w:p>
              <w:p>
                <w:pPr>
                  <w:rPr>
                    <w:sz w:val="22"/>
                    <w:szCs w:val="22"/>
                    <w:lang w:eastAsia="lt-LT"/>
                  </w:rPr>
                </w:pPr>
                <w:r>
                  <w:rPr>
                    <w:sz w:val="22"/>
                    <w:szCs w:val="22"/>
                    <w:lang w:eastAsia="lt-LT"/>
                  </w:rPr>
                  <w:t>Esant klausos susilpnėjimui (vienos arba abiejų ausų), kai kalba girdima mažesniu kaip 5 m atstumu, gydytojas otorinolaringologas atlieka audiogramą. Jeigu geriau girdinčios ausies klausos sutrikimo laipsnis, esant 500 ir 1000 Hz dažniui, viršija 40 dB, būtina naudoti klausos ir susikalbėjimo pagalbinę priemonę (taikomas apribojimas 02).</w:t>
                </w:r>
              </w:p>
              <w:p>
                <w:pPr>
                  <w:rPr>
                    <w:bCs/>
                    <w:sz w:val="22"/>
                    <w:szCs w:val="22"/>
                  </w:rPr>
                </w:pPr>
                <w:r>
                  <w:rPr>
                    <w:bCs/>
                    <w:sz w:val="22"/>
                    <w:szCs w:val="22"/>
                  </w:rPr>
                  <w:t>2 grupė:</w:t>
                </w:r>
              </w:p>
              <w:p>
                <w:pPr>
                  <w:rPr>
                    <w:sz w:val="22"/>
                    <w:szCs w:val="22"/>
                    <w:lang w:eastAsia="lt-LT"/>
                  </w:rPr>
                </w:pPr>
                <w:r>
                  <w:rPr>
                    <w:sz w:val="22"/>
                    <w:szCs w:val="22"/>
                    <w:lang w:eastAsia="lt-LT"/>
                  </w:rPr>
                  <w:t xml:space="preserve">Vairuotojo pažymėjimai gali būti išduoti klausos sutrikimų turintiems kandidatams į vairuotojus ar atnaujinti vairuotojams, atsižvelgiant į gydytojo otorinolaringologo išvadas; medicininių patikrinimų metu ypač atsižvelgiama į kurtumo laipsnį. </w:t>
                </w:r>
              </w:p>
              <w:p>
                <w:pPr>
                  <w:rPr>
                    <w:sz w:val="22"/>
                    <w:szCs w:val="22"/>
                    <w:lang w:eastAsia="lt-LT"/>
                  </w:rPr>
                </w:pPr>
                <w:r>
                  <w:rPr>
                    <w:sz w:val="22"/>
                    <w:szCs w:val="22"/>
                    <w:lang w:eastAsia="lt-LT"/>
                  </w:rPr>
                  <w:t>Jeigu geriau girdinčios ausies klausos sutrikimo laipsnis, esant 500 ir 1000 Hz dažniui, viršija 40 dB, būtina naudoti klausos ir susikalbėjimo pagalbinę priemonę (taikomas apribojimas 02).</w:t>
                </w:r>
              </w:p>
              <w:p>
                <w:pPr>
                  <w:rPr>
                    <w:b/>
                    <w:bCs/>
                    <w:sz w:val="22"/>
                    <w:szCs w:val="22"/>
                  </w:rPr>
                </w:pPr>
                <w:r>
                  <w:rPr>
                    <w:sz w:val="22"/>
                    <w:szCs w:val="22"/>
                    <w:lang w:eastAsia="lt-LT"/>
                  </w:rPr>
                  <w:t>Pakartotinis sveikatos tikrinimas skiriamas po 1 metų.</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 xml:space="preserve">Visiškas kurtumas, kurčnebylumas: H91.3, H91.9 </w:t>
                </w:r>
              </w:p>
              <w:p>
                <w:pPr>
                  <w:rPr>
                    <w:sz w:val="22"/>
                    <w:szCs w:val="22"/>
                    <w:lang w:eastAsia="lt-LT"/>
                  </w:rPr>
                </w:pPr>
                <w:r>
                  <w:rPr>
                    <w:b/>
                    <w:bCs/>
                    <w:sz w:val="22"/>
                    <w:szCs w:val="22"/>
                    <w:lang w:eastAsia="lt-LT"/>
                  </w:rPr>
                  <w:t>PASTABA:</w:t>
                </w:r>
              </w:p>
              <w:p>
                <w:pPr>
                  <w:rPr>
                    <w:sz w:val="22"/>
                    <w:szCs w:val="22"/>
                  </w:rPr>
                </w:pPr>
                <w:r>
                  <w:rPr>
                    <w:sz w:val="22"/>
                    <w:szCs w:val="22"/>
                    <w:lang w:eastAsia="lt-LT"/>
                  </w:rPr>
                  <w:t xml:space="preserve">Individualiu sprendimu gydytojų komisija gali leisti vairuoti A, A1, A2, AM, B, B1 ir BE kategorijų  transporto priemones.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Lėtinis vienos arba abiejų ausų uždegimas, komplikuotas cholestestomos, granuliacijų, polipų, labirinto fistulės, taip pat nesant efekto po operacijos: H66.1, H66.2, H66.3, H66.4</w:t>
                </w:r>
              </w:p>
              <w:p>
                <w:pPr>
                  <w:rPr>
                    <w:sz w:val="22"/>
                    <w:szCs w:val="22"/>
                    <w:lang w:eastAsia="lt-LT"/>
                  </w:rPr>
                </w:pPr>
                <w:r>
                  <w:rPr>
                    <w:b/>
                    <w:bCs/>
                    <w:sz w:val="22"/>
                    <w:szCs w:val="22"/>
                    <w:lang w:eastAsia="lt-LT"/>
                  </w:rPr>
                  <w:t>PASTABA:</w:t>
                </w:r>
              </w:p>
              <w:p>
                <w:pPr>
                  <w:rPr>
                    <w:sz w:val="22"/>
                    <w:szCs w:val="22"/>
                  </w:rPr>
                </w:pPr>
                <w:r>
                  <w:rPr>
                    <w:sz w:val="22"/>
                    <w:szCs w:val="22"/>
                    <w:lang w:eastAsia="lt-LT"/>
                  </w:rPr>
                  <w:t>Po chirurginio gydymo, kai rezultatai geri, nėra svaigimo ir kontraindikacijų, sprendžiama individualiai.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ASMENYS, TURINTYS JUDĖJIMO SUTRIKIMŲ</w:t>
                </w:r>
              </w:p>
              <w:p>
                <w:pPr>
                  <w:jc w:val="both"/>
                  <w:rPr>
                    <w:bCs/>
                    <w:sz w:val="22"/>
                    <w:szCs w:val="22"/>
                  </w:rPr>
                </w:pPr>
                <w:r>
                  <w:rPr>
                    <w:bCs/>
                    <w:sz w:val="22"/>
                    <w:szCs w:val="22"/>
                  </w:rPr>
                  <w:t>Vairuotojo pažymėjimai neišduodami kandidatams į vairuotojus ir neatnaujinami vairuotojams, kuriems nustatyti judėjimo sistemos sutrikimai, keliantys pavojų saugiam variklio varomos priemonės vairavimui.</w:t>
                </w:r>
              </w:p>
              <w:p>
                <w:pPr>
                  <w:jc w:val="both"/>
                  <w:rPr>
                    <w:bCs/>
                    <w:sz w:val="22"/>
                    <w:szCs w:val="22"/>
                  </w:rPr>
                </w:pPr>
                <w:r>
                  <w:rPr>
                    <w:bCs/>
                    <w:sz w:val="22"/>
                    <w:szCs w:val="22"/>
                  </w:rPr>
                  <w:t>1 grupė:</w:t>
                </w:r>
              </w:p>
              <w:p>
                <w:pPr>
                  <w:jc w:val="both"/>
                  <w:rPr>
                    <w:bCs/>
                    <w:sz w:val="22"/>
                    <w:szCs w:val="22"/>
                  </w:rPr>
                </w:pPr>
                <w:r>
                  <w:rPr>
                    <w:bCs/>
                    <w:sz w:val="22"/>
                    <w:szCs w:val="22"/>
                  </w:rPr>
                  <w:t xml:space="preserve">1. Vairuotojo pažymėjimai, kuriems taikomi tam tikri apribojimai, fiziškai neįgaliems kandidatams į vairuotojus ir vairuotojams išduodami atsižvelgiant į vairuotojų sveikatos tikrinimo arba asmens sveikatos priežiūros įstaigos gydytojų konsultacinės komisijos (toliau kartu – gydytojų komisija) išvadą. </w:t>
                </w:r>
              </w:p>
              <w:p>
                <w:pPr>
                  <w:jc w:val="both"/>
                  <w:rPr>
                    <w:bCs/>
                    <w:sz w:val="22"/>
                    <w:szCs w:val="22"/>
                  </w:rPr>
                </w:pPr>
                <w:r>
                  <w:rPr>
                    <w:bCs/>
                    <w:sz w:val="22"/>
                    <w:szCs w:val="22"/>
                  </w:rPr>
                  <w:t>Ši išvada turi remtis atitinkamo sutrikimo medicininiu įvertinimu ir, jei būtina, vairavimo gebėjimų ir elgsenos praktiniu patikrinimu. Išvadoje turi būti nurodyta, koks transporto priemonės pritaikymas reikalingas ir ar vairuotojui reikalinga ortopedijos techninė priemonė, kuria naudojantis, atsižvelgiant į vairavimo gebėjimų ir elgsenos patikrinimo rezultatus, vairavimas nekeltų pavojaus.</w:t>
                </w:r>
              </w:p>
              <w:p>
                <w:pPr>
                  <w:jc w:val="both"/>
                  <w:rPr>
                    <w:bCs/>
                    <w:sz w:val="22"/>
                    <w:szCs w:val="22"/>
                  </w:rPr>
                </w:pPr>
                <w:r>
                  <w:rPr>
                    <w:bCs/>
                    <w:sz w:val="22"/>
                    <w:szCs w:val="22"/>
                  </w:rPr>
                  <w:t>Gydytojų komisija gali iš karto priimti individualų sprendimą dėl asmenų, turinčių judėjimo sutrikimų, galimybės vairuoti, kai asmeniui saugiai vairuoti pakanka tik transporto priemonės su automatine pavarų dėže arba transporto priemonės su rankinio valdymo sistema.</w:t>
                </w:r>
              </w:p>
              <w:p>
                <w:pPr>
                  <w:jc w:val="both"/>
                  <w:rPr>
                    <w:bCs/>
                    <w:sz w:val="22"/>
                    <w:szCs w:val="22"/>
                  </w:rPr>
                </w:pPr>
                <w:r>
                  <w:rPr>
                    <w:bCs/>
                    <w:sz w:val="22"/>
                    <w:szCs w:val="22"/>
                  </w:rPr>
                  <w:t>Jeigu asmuo, turintis judėjimo sutrikimų, gali vairuoti tik transporto priemonę su automatine pavarų dėže, išvadoje įrašomas transporto priemonės pritaikymo kodas 10.02 (automatinis pavaros perdavimo skaičiaus parinkimas).</w:t>
                </w:r>
              </w:p>
              <w:p>
                <w:pPr>
                  <w:jc w:val="both"/>
                  <w:rPr>
                    <w:bCs/>
                    <w:sz w:val="22"/>
                    <w:szCs w:val="22"/>
                  </w:rPr>
                </w:pPr>
                <w:r>
                  <w:rPr>
                    <w:bCs/>
                    <w:sz w:val="22"/>
                    <w:szCs w:val="22"/>
                  </w:rPr>
                  <w:t>Jeigu asmuo, turintis judėjimo sutrikimų, gali vairuoti tik transporto priemonę su rankinio valdymo sistema, priklausomai nuo to, ar asmuo planuoja vairuoti automobilį su automatine ar mechanine pavarų dėžę, išvadoje įrašomi 3 transporto priemonės pritaikymo kodai:</w:t>
                </w:r>
              </w:p>
              <w:p>
                <w:pPr>
                  <w:jc w:val="both"/>
                  <w:rPr>
                    <w:bCs/>
                    <w:sz w:val="22"/>
                    <w:szCs w:val="22"/>
                  </w:rPr>
                </w:pPr>
                <w:r>
                  <w:rPr>
                    <w:bCs/>
                    <w:sz w:val="22"/>
                    <w:szCs w:val="22"/>
                  </w:rPr>
                  <w:t>a) 20.06 (ranka valdomas stabdys), 25.04 (ranka valdomas akseleratorius) ir 10.02 (automatinis pavaros perdavimo skaičiaus parinkimas) – transporto priemonei su automatine pavarų dėže;</w:t>
                </w:r>
              </w:p>
              <w:p>
                <w:pPr>
                  <w:jc w:val="both"/>
                  <w:rPr>
                    <w:bCs/>
                    <w:sz w:val="22"/>
                    <w:szCs w:val="22"/>
                  </w:rPr>
                </w:pPr>
                <w:r>
                  <w:rPr>
                    <w:bCs/>
                    <w:sz w:val="22"/>
                    <w:szCs w:val="22"/>
                  </w:rPr>
                  <w:t>b) 20.06 (ranka valdomas stabdys), 25.04 (ranka valdomas akseleratorius) ir 15.02 (ranka valdoma sankaba) – transporto priemonei su mechanine pavarų dėže (šią kodų kombinaciją rekomenduojama naudoti, kai asmens sveikata tikrinama ne pirmą kartą ir jis jau vairuoja automobilį su mechanine pavarų dėže).</w:t>
                </w:r>
              </w:p>
              <w:p>
                <w:pPr>
                  <w:jc w:val="both"/>
                  <w:rPr>
                    <w:bCs/>
                    <w:sz w:val="22"/>
                    <w:szCs w:val="22"/>
                  </w:rPr>
                </w:pPr>
                <w:r>
                  <w:rPr>
                    <w:bCs/>
                    <w:sz w:val="22"/>
                    <w:szCs w:val="22"/>
                  </w:rPr>
                  <w:t>Jeigu gydytojų komisija nusprendžia, kad išvadai dėl tikrinamo asmens sveikatos būklės tinkamumo vairuoti priimti nepakanka turimos informacijos, tikrinamas asmuo siunčiamas praktiškai patikrinti vairavimo gebėjimų į įstaigą, turinčią įrangą, leidžiančią įvertinti specifinius vairavimo gebėjimus (vairo pasukimo jėgą, ištvermę, rankinio akseleratoriaus stūmimo, traukimo jėgą, reakcijos greitį, pedalo paspaudimo jėgą ir kt.) ir galinčią pateikti rekomendacijas dėl asmens gebėjimo saugiai vairuoti ir tam būtino transporto priemonės pritaikymo (nurodant transporto priemonės pritaikymo kodus) ir (ar) ortopedijos techninės priemonės reikalingumo.</w:t>
                </w:r>
              </w:p>
              <w:p>
                <w:pPr>
                  <w:jc w:val="both"/>
                  <w:rPr>
                    <w:bCs/>
                    <w:sz w:val="22"/>
                    <w:szCs w:val="22"/>
                  </w:rPr>
                </w:pPr>
                <w:r>
                  <w:rPr>
                    <w:bCs/>
                    <w:sz w:val="22"/>
                    <w:szCs w:val="22"/>
                  </w:rPr>
                  <w:t>2 grupė:</w:t>
                </w:r>
              </w:p>
              <w:p>
                <w:pPr>
                  <w:jc w:val="both"/>
                  <w:rPr>
                    <w:bCs/>
                    <w:sz w:val="22"/>
                    <w:szCs w:val="22"/>
                  </w:rPr>
                </w:pPr>
                <w:r>
                  <w:rPr>
                    <w:bCs/>
                    <w:sz w:val="22"/>
                    <w:szCs w:val="22"/>
                  </w:rPr>
                  <w:t>2. Gydytojų komisija įvertina papildomą riziką ir pavojus, kurie kyla vairuojant prie šios grupės priskiriamas transporto priemones.</w:t>
                </w:r>
              </w:p>
              <w:p>
                <w:pPr>
                  <w:jc w:val="both"/>
                  <w:rPr>
                    <w:bCs/>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3.1.</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 xml:space="preserve">Rankos, kojos, plaštakos, pėdos ar abiejų plaštakų, pėdų trūkumas, žymios deformacijos, dėl kurių yra sutrikusi lokomotorinė funkcija: Z89.1, Z 89.2, Z 89.3, Z 89.4, Z 89.5, Z 89.6, Z 89.7, Z 89.8, Z 89.9 </w:t>
                </w:r>
              </w:p>
              <w:p>
                <w:pPr>
                  <w:jc w:val="both"/>
                  <w:rPr>
                    <w:bCs/>
                    <w:sz w:val="22"/>
                    <w:szCs w:val="22"/>
                  </w:rPr>
                </w:pPr>
                <w:r>
                  <w:rPr>
                    <w:bCs/>
                    <w:sz w:val="22"/>
                    <w:szCs w:val="22"/>
                  </w:rPr>
                  <w:t xml:space="preserve">PASTABA: </w:t>
                </w:r>
              </w:p>
              <w:p>
                <w:pPr>
                  <w:jc w:val="both"/>
                  <w:rPr>
                    <w:bCs/>
                    <w:sz w:val="22"/>
                    <w:szCs w:val="22"/>
                  </w:rPr>
                </w:pPr>
                <w:r>
                  <w:rPr>
                    <w:bCs/>
                    <w:sz w:val="22"/>
                    <w:szCs w:val="22"/>
                  </w:rPr>
                  <w:t>A; A1; A2; AM; B; B1 ir BE kategorijų vairuotojams turi būti nurodyta, koks transporto priemonės pritaikymas reikalingas ir ar vairuotojui reikalinga ortopedijos techninė priemonė, kuria naudojantis vairavimas nekeltų pavojaus.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 prireikus taikant reikiamą apribojimą</w:t>
                </w:r>
              </w:p>
              <w:p>
                <w:pPr>
                  <w:jc w:val="center"/>
                  <w:rPr>
                    <w:sz w:val="22"/>
                    <w:szCs w:val="22"/>
                  </w:rPr>
                </w:pPr>
                <w:r>
                  <w:rPr>
                    <w:sz w:val="22"/>
                    <w:szCs w:val="22"/>
                  </w:rPr>
                  <w:t>03.01, 03.02</w:t>
                </w:r>
              </w:p>
              <w:p>
                <w:pPr>
                  <w:jc w:val="center"/>
                  <w:rPr>
                    <w:sz w:val="22"/>
                    <w:szCs w:val="22"/>
                  </w:rPr>
                </w:pPr>
                <w:r>
                  <w:rPr>
                    <w:sz w:val="22"/>
                    <w:szCs w:val="22"/>
                  </w:rPr>
                  <w:t>bei nurodant reikalingą transporto priemonės pritaikymo kodą (nuo 10 iki 50), nurodytą 5 lentelėje</w:t>
                </w:r>
              </w:p>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3.2.</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 xml:space="preserve">Abiejų rankų trūkumas arba abiejų rankų plaštakų, pirštų kontraktūros, ankilozės, nejudrumas, trukdantys sugriebti ir išlaikyti daiktą, abiejų pečių, alkūnių, riešų sąnarių ankilozės, kontraktūros (net ir fiziologiškai patogios padėties): Z89.3, M24.5, M24.6 </w:t>
                </w:r>
              </w:p>
              <w:p>
                <w:pPr>
                  <w:jc w:val="both"/>
                  <w:rPr>
                    <w:b/>
                    <w:bCs/>
                    <w:sz w:val="22"/>
                    <w:szCs w:val="22"/>
                  </w:rPr>
                </w:pPr>
                <w:r>
                  <w:rPr>
                    <w:b/>
                    <w:bCs/>
                    <w:sz w:val="22"/>
                    <w:szCs w:val="22"/>
                  </w:rPr>
                  <w:t>PASTABA:</w:t>
                </w:r>
              </w:p>
              <w:p>
                <w:pPr>
                  <w:jc w:val="both"/>
                  <w:rPr>
                    <w:bCs/>
                    <w:sz w:val="22"/>
                    <w:szCs w:val="22"/>
                  </w:rPr>
                </w:pPr>
                <w:r>
                  <w:rPr>
                    <w:bCs/>
                    <w:sz w:val="22"/>
                    <w:szCs w:val="22"/>
                  </w:rPr>
                  <w:t>A; A1; A2; AM; B; B1 ir BE kategorijų vairuotojams turi būti nurodyta, koks transporto priemonės pritaikymas reikalingas ir ar vairuotojui reikalinga ortopedijos techninė priemonė, kuria naudojantis vairavimas nekeltų pavojaus. Apie galimybę vairuoti rankinio valdymo ar su automatine pavarų dėže automobilį sprendžiama individualiai.</w:t>
                </w:r>
              </w:p>
              <w:p>
                <w:pPr>
                  <w:jc w:val="both"/>
                  <w:rPr>
                    <w:b/>
                    <w:bCs/>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 prireikus taikant apribojimą 03.01</w:t>
                </w:r>
              </w:p>
              <w:p>
                <w:pPr>
                  <w:jc w:val="center"/>
                  <w:rPr>
                    <w:sz w:val="22"/>
                    <w:szCs w:val="22"/>
                  </w:rPr>
                </w:pPr>
                <w:r>
                  <w:rPr>
                    <w:sz w:val="22"/>
                    <w:szCs w:val="22"/>
                  </w:rPr>
                  <w:t>bei nurodant reikalingą transporto priemonės pritaikymo kodą (nuo 10 iki 50), nurodytą 5 lentelėje</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ŠIRDIES IR KRAUJAGYSLIŲ LIGOS</w:t>
                </w:r>
              </w:p>
              <w:p>
                <w:pPr>
                  <w:rPr>
                    <w:b/>
                    <w:bCs/>
                    <w:sz w:val="22"/>
                    <w:szCs w:val="22"/>
                  </w:rPr>
                </w:pPr>
                <w:r>
                  <w:rPr>
                    <w:sz w:val="22"/>
                    <w:szCs w:val="22"/>
                    <w:lang w:eastAsia="lt-LT"/>
                  </w:rPr>
                  <w:t>Dėl širdies ir kraujagyslių sistemos sutrikimų ar ligų gali staiga sutrikti cerebrinės funkcijos, o tai kelia pavojų kelių eismo saugumui. Atsižvelgiant į šiuos sutrikimus nustatomi šie laikini ar nuolatiniai vairavimo apribojimai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Vairuotojo pažymėjimai gali būti išduodami prie nurodytų grupių priskiriamiems kandidatams į vairuotojus arba atnaujinami vairuotojams, patyrusiems toliau išvardytus širdies ir kraujagyslių sistemų sutrikimus, tik po veiksmingo šių sutrikimų gydymo, jei tie asmenys turi atitinkamo gydytojo išvadą, kad gali vairuoti, ir jei atitinkamais atvejais reguliariai atliekamas tų asmenų sveikatos būklės vertinimas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(sinusinio mazgo disfunkciją ir laidumo sutrikimus) bei tachiaritmiją (prieširdžių ir skilvelinę aritmiją), kai dėl šių aritmijų patiriama sinkopė ar jos epizodai: I45.9, I45.3, I45.6, I49.0, I49.5, I47.0, I47.1, I47.2, I47.9</w:t>
                </w:r>
              </w:p>
              <w:p>
                <w:pPr>
                  <w:rPr>
                    <w:b/>
                    <w:sz w:val="22"/>
                    <w:szCs w:val="22"/>
                    <w:lang w:eastAsia="lt-LT"/>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tachiaritmiją (prieširdžių ir skilvelinę aritmiją), sergantiems struktūrine širdies liga ir pasireiškiančią ilgalaike skilveline tachikardija arba skilvelių tachisistolija: I47.0, I47.1, I47.2, I47.9, I48.2</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simptominę anginą:</w:t>
                </w:r>
                <w:r>
                  <w:rPr>
                    <w:sz w:val="22"/>
                    <w:szCs w:val="22"/>
                  </w:rPr>
                  <w:t xml:space="preserve"> I20</w:t>
                </w:r>
              </w:p>
              <w:p>
                <w:pPr>
                  <w:rPr>
                    <w:sz w:val="22"/>
                    <w:szCs w:val="22"/>
                  </w:rPr>
                </w:pPr>
                <w:r>
                  <w:rPr>
                    <w:sz w:val="22"/>
                    <w:szCs w:val="22"/>
                    <w:lang w:eastAsia="lt-LT"/>
                  </w:rPr>
                  <w:t xml:space="preserve">(I ir II funkcinės klasės atvejais 1 ir 2 grupės vairuotojams reikalingas šeimos gydytojo leidimas, o </w:t>
                </w:r>
                <w:r>
                  <w:rPr>
                    <w:sz w:val="22"/>
                    <w:szCs w:val="22"/>
                  </w:rPr>
                  <w:t xml:space="preserve">III ir IV funkcinės klasės atvejais </w:t>
                </w: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 xml:space="preserve">sinkopę </w:t>
                </w:r>
                <w:r>
                  <w:rPr>
                    <w:sz w:val="22"/>
                    <w:szCs w:val="22"/>
                    <w:lang w:eastAsia="lt-LT"/>
                  </w:rPr>
                  <w:t>–</w:t>
                </w:r>
                <w:r>
                  <w:rPr>
                    <w:sz w:val="22"/>
                    <w:szCs w:val="22"/>
                  </w:rPr>
                  <w:t xml:space="preserve"> trumpalaikį, greitai prasidedantį ir savaime praeinantį refleksinį sąmonės netekimą, kūno suglebimą, atsirandantį dėl nežinomų priežasčių, pablogėjus bendrajai smegenų kraujotakai, kai nėra duomenų, kad tokį sutrikimą lemtų širdies liga: </w:t>
                </w:r>
                <w:r>
                  <w:rPr>
                    <w:sz w:val="22"/>
                    <w:szCs w:val="22"/>
                    <w:lang w:eastAsia="lt-LT"/>
                  </w:rPr>
                  <w:t>R55</w:t>
                </w:r>
              </w:p>
              <w:p>
                <w:pPr>
                  <w:rPr>
                    <w:sz w:val="22"/>
                    <w:szCs w:val="22"/>
                  </w:rPr>
                </w:pPr>
                <w:r>
                  <w:rPr>
                    <w:sz w:val="22"/>
                    <w:szCs w:val="22"/>
                    <w:lang w:eastAsia="lt-LT"/>
                  </w:rPr>
                  <w:t>(1 ir 2 grupės vairuotojams reikalingas gydytojo kardiologo arba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ūmų koronarinį sindromą: I21, I22, I25.2</w:t>
                </w:r>
              </w:p>
              <w:p>
                <w:pPr>
                  <w:rPr>
                    <w:sz w:val="22"/>
                    <w:szCs w:val="22"/>
                    <w:lang w:eastAsia="lt-LT"/>
                  </w:rPr>
                </w:pPr>
                <w:r>
                  <w:rPr>
                    <w:sz w:val="22"/>
                    <w:szCs w:val="22"/>
                    <w:lang w:eastAsia="lt-LT"/>
                  </w:rPr>
                  <w:t>(I25.2 atveju – per vienų metų laikotarpį patirtas miokardo infarktas)</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stabiliąją krūtinės anginą, jei simptomai nepasireiškia atliekant lengvus pratimus (I ir II funkcinės klasės atvejais): I20</w:t>
                </w:r>
              </w:p>
              <w:p>
                <w:pPr>
                  <w:rPr>
                    <w:sz w:val="22"/>
                    <w:szCs w:val="22"/>
                  </w:rPr>
                </w:pPr>
                <w:r>
                  <w:rPr>
                    <w:sz w:val="22"/>
                    <w:szCs w:val="22"/>
                    <w:lang w:eastAsia="lt-LT"/>
                  </w:rPr>
                  <w:t>(1 ir 2 grupės vairuotojams 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perkutaninė koronarinė intervencija: Z95.5</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atliktas koronarinių arterijų šuntavimas: Z95.1</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ūminį/praeinantį (tranzitinį) smegenų išemijos priepuolį</w:t>
                </w:r>
                <w:r>
                  <w:rPr>
                    <w:sz w:val="22"/>
                    <w:szCs w:val="22"/>
                    <w:lang w:eastAsia="lt-LT"/>
                  </w:rPr>
                  <w:t>:</w:t>
                </w:r>
                <w:r>
                  <w:rPr>
                    <w:sz w:val="22"/>
                    <w:szCs w:val="22"/>
                  </w:rPr>
                  <w:t xml:space="preserve"> G45, I63</w:t>
                </w:r>
              </w:p>
              <w:p>
                <w:pPr>
                  <w:rPr>
                    <w:sz w:val="22"/>
                    <w:szCs w:val="22"/>
                  </w:rPr>
                </w:pPr>
                <w:r>
                  <w:rPr>
                    <w:sz w:val="22"/>
                    <w:szCs w:val="22"/>
                    <w:lang w:eastAsia="lt-LT"/>
                  </w:rPr>
                  <w:t>(1 ir 2 grupės vairuotojams 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transplantacija: Z94.1</w:t>
                </w:r>
              </w:p>
              <w:p>
                <w:pPr>
                  <w:rPr>
                    <w:sz w:val="22"/>
                    <w:szCs w:val="22"/>
                  </w:rPr>
                </w:pPr>
                <w:r>
                  <w:rPr>
                    <w:sz w:val="22"/>
                    <w:szCs w:val="22"/>
                    <w:lang w:eastAsia="lt-LT"/>
                  </w:rPr>
                  <w:t xml:space="preserve">(1 ir 2 grupės vairuotojams reikalingas gydytojo kardiologo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vožtuvo operacija: Z95.2, Z95.4</w:t>
                </w:r>
              </w:p>
              <w:p>
                <w:pPr>
                  <w:rPr>
                    <w:sz w:val="22"/>
                    <w:szCs w:val="22"/>
                  </w:rPr>
                </w:pPr>
                <w:r>
                  <w:rPr>
                    <w:sz w:val="22"/>
                    <w:szCs w:val="22"/>
                    <w:lang w:eastAsia="lt-LT"/>
                  </w:rPr>
                  <w:t xml:space="preserve">(1 ir 2 grupės vairuotojams pirmus metus po operacijos reikalingas gydytojo kardiologo leidimas, vėliau – šeimos gydytojo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piktybinę hipertenziją, pasireiškiančią pakilusiu sistoliniu kraujospūdžiu (≥ 180 mmHg) arba diastoliniu kraujospūdžiu (≥ 110 mmHg) ir gręsiančiu ar laipsnišku organų pažeidimu: I10, I15</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turi įgimtą širdies ydą: Q20, Q21, Q24</w:t>
                </w:r>
              </w:p>
              <w:p>
                <w:pPr>
                  <w:rPr>
                    <w:sz w:val="22"/>
                    <w:szCs w:val="22"/>
                  </w:rPr>
                </w:pPr>
                <w:r>
                  <w:rPr>
                    <w:sz w:val="22"/>
                    <w:szCs w:val="22"/>
                    <w:lang w:eastAsia="lt-LT"/>
                  </w:rPr>
                  <w:t>(jeigu įgimta širdies yda yra hemodinamiškai reikšminga, 1 ir 2 grupės vairuotojams reikalingas gydytojo kardiologo leidimas, kitais atvejais –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 pakeistas defibriliatorius arba kurie patyrė tinkamą ar netinkamą defibriliatoriaus iškrovą: Z95.0</w:t>
                </w:r>
              </w:p>
              <w:p>
                <w:pPr>
                  <w:rPr>
                    <w:sz w:val="22"/>
                    <w:szCs w:val="22"/>
                    <w:lang w:eastAsia="lt-LT"/>
                  </w:rPr>
                </w:pPr>
                <w:r>
                  <w:rPr>
                    <w:sz w:val="22"/>
                    <w:szCs w:val="22"/>
                    <w:lang w:eastAsia="lt-LT"/>
                  </w:rPr>
                  <w:t>(jeigu defibriliatorius implantuotas pirminei prevencijai, draudžiama vairuoti 4 sav. po implantacijos, o jeigu antrinei prevencijai – 3 mėn. po implantacijos. Po tikslingos</w:t>
                </w:r>
                <w:r>
                  <w:rPr>
                    <w:sz w:val="22"/>
                    <w:szCs w:val="22"/>
                  </w:rPr>
                  <w:t xml:space="preserve"> </w:t>
                </w:r>
                <w:r>
                  <w:rPr>
                    <w:sz w:val="22"/>
                    <w:szCs w:val="22"/>
                    <w:lang w:eastAsia="lt-LT"/>
                  </w:rPr>
                  <w:t>defibriliatoriaus iškrovos draudžiama vairuoti 3 mėn., po netikslingos iškrovos draudžiama vairuoti, kol nebus pašalinta ją sukėlusi priežastis. Po defibriliatoriaus pakeitimo draudžiama vairuoti 1 sav., po laidų pakeitimo draudžiama vairuoti 4 sav.)</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II, III klasių pagal Niujorko širdies asociacijos (toliau – NYHA) klasifikaciją: I50</w:t>
                </w:r>
              </w:p>
              <w:p>
                <w:pPr>
                  <w:rPr>
                    <w:sz w:val="22"/>
                    <w:szCs w:val="22"/>
                  </w:rPr>
                </w:pPr>
                <w:r>
                  <w:rPr>
                    <w:sz w:val="22"/>
                    <w:szCs w:val="22"/>
                    <w:lang w:eastAsia="lt-LT"/>
                  </w:rPr>
                  <w:t xml:space="preserve">(I ir II funkcinės klasės atvejais reikalingas šeimos gydytojo leidimas, o </w:t>
                </w:r>
                <w:r>
                  <w:rPr>
                    <w:sz w:val="22"/>
                    <w:szCs w:val="22"/>
                  </w:rPr>
                  <w:t xml:space="preserve">III funkcinės klasės atveju </w:t>
                </w:r>
                <w:r>
                  <w:rPr>
                    <w:sz w:val="22"/>
                    <w:szCs w:val="22"/>
                    <w:lang w:eastAsia="lt-LT"/>
                  </w:rPr>
                  <w:t>–</w:t>
                </w:r>
                <w:r>
                  <w:rPr>
                    <w:sz w:val="22"/>
                    <w:szCs w:val="22"/>
                  </w:rPr>
                  <w:t xml:space="preserve"> </w:t>
                </w:r>
                <w:r>
                  <w:rPr>
                    <w:sz w:val="22"/>
                    <w:szCs w:val="22"/>
                    <w:lang w:eastAsia="lt-LT"/>
                  </w:rPr>
                  <w:t>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naudoja širdies veiklą palaikančią priemonę (prietaisą) (dirbtinį skilvelį ilgalaikei mechaninei asistuojančiai kraujotakai palaikyti): Z95.8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hipertrofinę kardiomiopatiją, jei nepasireiškia sinkopė: I42, I42.1, I42.2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arba didesniu kaip 500 ms QTc: I49.8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4.1.19.</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simptominę sinusinio mazgo disfunkciją ir laidumo sutrikimus su antrojo laipsnio Mobico II tipo atrioventrikuline (AV) blokada, trečiojo laipsnio AV blokada arba intermituojančia Hiso pluošto kojyčių blokada: I44.1, I44.2, I44.7, I49.5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pavojingą tachiaritmiją (polimorfinę trumpalaikę skilvelinę tachikardiją ar ilgalaikę skilvelinę tachikardiją) arba būklę, kai rekomenduojamas defibriliatoriaus implantavimas: I47.0, I47.2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arba pakeistas nuolatinis širdies stimuliatorius: Z95.0</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didelę miego arterijos stenozę: I65.2</w:t>
                </w:r>
              </w:p>
              <w:p>
                <w:pPr>
                  <w:rPr>
                    <w:sz w:val="22"/>
                    <w:szCs w:val="22"/>
                  </w:rPr>
                </w:pPr>
                <w:r>
                  <w:rPr>
                    <w:sz w:val="22"/>
                    <w:szCs w:val="22"/>
                    <w:lang w:eastAsia="lt-LT"/>
                  </w:rPr>
                  <w:t>(reikalingas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4.1.23.</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kurių didžiausias kylančiosios aortos skersmuo didesnis kaip 5,5 cm: I71.2</w:t>
                </w:r>
              </w:p>
              <w:tbl>
                <w:tblPr>
                  <w:tblW w:w="5000" w:type="pct"/>
                  <w:tblCellSpacing w:w="0" w:type="dxa"/>
                  <w:tblLayout w:type="fixed"/>
                  <w:tblCellMar>
                    <w:left w:w="0" w:type="dxa"/>
                    <w:right w:w="0" w:type="dxa"/>
                  </w:tblCellMar>
                  <w:tblLook w:val="04A0" w:firstRow="1" w:lastRow="0" w:firstColumn="1" w:lastColumn="0" w:noHBand="0" w:noVBand="1"/>
                </w:tblPr>
                <w:tblGrid>
                  <w:gridCol w:w="20"/>
                  <w:gridCol w:w="9009"/>
                </w:tblGrid>
                <w:tr>
                  <w:trPr>
                    <w:tblCellSpacing w:w="0" w:type="dxa"/>
                  </w:trPr>
                  <w:tc>
                    <w:tcPr>
                      <w:tcW w:w="14" w:type="dxa"/>
                      <w:hideMark/>
                    </w:tcPr>
                    <w:p>
                      <w:pPr>
                        <w:rPr>
                          <w:sz w:val="22"/>
                          <w:szCs w:val="22"/>
                          <w:lang w:eastAsia="lt-LT"/>
                        </w:rPr>
                      </w:pPr>
                    </w:p>
                  </w:tc>
                  <w:tc>
                    <w:tcPr>
                      <w:tcW w:w="9958" w:type="dxa"/>
                      <w:hideMark/>
                    </w:tcPr>
                    <w:p>
                      <w:pPr>
                        <w:rPr>
                          <w:sz w:val="22"/>
                          <w:szCs w:val="22"/>
                          <w:lang w:eastAsia="lt-LT"/>
                        </w:rPr>
                      </w:pPr>
                      <w:r>
                        <w:rPr>
                          <w:sz w:val="22"/>
                          <w:szCs w:val="22"/>
                          <w:lang w:eastAsia="lt-LT"/>
                        </w:rPr>
                        <w:t>(reikalingas gydytojo kardiologo leidimas)</w:t>
                      </w:r>
                    </w:p>
                  </w:tc>
                </w:tr>
              </w:tbl>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ir II klasių pagal NYHA klasifikaciją, jei kairiojo skilvelio išstūmimo frakcija ne mažiau kaip 35 % : I50</w:t>
                </w:r>
              </w:p>
              <w:p>
                <w:pPr>
                  <w:rPr>
                    <w:sz w:val="22"/>
                    <w:szCs w:val="22"/>
                  </w:rPr>
                </w:pPr>
                <w:r>
                  <w:rPr>
                    <w:sz w:val="22"/>
                    <w:szCs w:val="22"/>
                    <w:lang w:eastAsia="lt-LT"/>
                  </w:rPr>
                  <w:t>(reikalingas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nustatytas III laipsnio kraujospūdis: diastolinis kraujospūdis – ≥ 110 mmHg ir (arba) sistolinis kraujospūdis – ≥ 180 mmHg: I10–I15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 </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Vairuotojo pažymėjimai neišduodami prie nurodytų grupių priskiriamiems kandidatams į vairuotojus arba neatnaujinami vairuotojams, patiriantiems šiuos širdies ir kraujagyslių sistemų sutrikimus:</w:t>
                </w:r>
              </w:p>
              <w:p>
                <w:pPr>
                  <w:ind w:left="50"/>
                  <w:rPr>
                    <w:sz w:val="22"/>
                    <w:szCs w:val="22"/>
                  </w:rPr>
                </w:pPr>
                <w:r>
                  <w:rPr>
                    <w:b/>
                    <w:sz w:val="22"/>
                    <w:szCs w:val="22"/>
                    <w:lang w:eastAsia="lt-LT"/>
                  </w:rPr>
                  <w:t>PASTABA.</w:t>
                </w:r>
                <w:r>
                  <w:rPr>
                    <w:sz w:val="22"/>
                    <w:szCs w:val="22"/>
                    <w:lang w:eastAsia="lt-LT"/>
                  </w:rPr>
                  <w:t xml:space="preserve"> Vairuotojo pažymėjimai gali būti išduodami ar atnaujinami tik šiame punkte nurodytais atvejais „Spręsti individualiai“, kai gydytojas kardiologas išvadoje pagrindžia asmens gebėjimą saugiai vairuoti, ir jei reguliariai atliekamas sveikatos būklės vertinimas, kurio duomenys, atsižvelgiant į sveikatos sutrikimų poveikį, leistų užtikrinti asmens gebėjimą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periferinių arterijų liga – krūtinės ir pilvo aortos dalies aneurizma, kuriai esant didžiausias aortos skersmuo yra toks, kad kyla didelis staigaus plyšimo, galinčio sukelti ūmią negalią, pavojus: I71.2, I71.4, I71.6</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4.2.2.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Brugados sindromą, pasireiškiantį sinkope arba asmenims, išgyvenusiems staigią kardialinę mirtį: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IV klasės pagal NYHA klasifikaciją: I50</w:t>
                </w:r>
              </w:p>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val="en-US"/>
                  </w:rPr>
                </w:pPr>
                <w:r>
                  <w:rPr>
                    <w:sz w:val="22"/>
                    <w:szCs w:val="22"/>
                    <w:lang w:eastAsia="lt-LT"/>
                  </w:rPr>
                  <w:t>sergantiems širdies vožtuvų liga, jei yra regurgitacija per aortos vožtuvą, aortos stenozė, regurgitacija per mitralinį vožtuvą arba mitralinio vožtuvo stenozė, jei pagal NYHA klasifikaciją įvertinus funkcinį pajėgumą nustatytas IV klasės širdies nepakankamumas arba buvo sinkopės epizodų: I</w:t>
                </w:r>
                <w:r>
                  <w:rPr>
                    <w:sz w:val="22"/>
                    <w:szCs w:val="22"/>
                    <w:lang w:val="en-US" w:eastAsia="lt-LT"/>
                  </w:rPr>
                  <w:t>05, I06, I08, I34, I35, I39.0,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2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4.2.5.</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kuriems implantuotas defibriliatorius: Z95.0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4.2.6.</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širdies nepakankamumą III klasės pagal NYHA klasifikaciją: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4.2.7.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 naudoja širdies veiklą palaikančias priemones (prietaisus) (dirbtinį skilvelį ilgalaikei mechaninei asistuojančiai kraujotakai palaikyti): Z95.8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4.2.8.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širdies vožtuvų liga, per kurią pasireiškė III arba IV klasės (pagal NYHA klasifikaciją) širdies nepakankamumas arba išstūmimo frakcija mažesnė kaip 35 %, mitralinio vožtuvo stenozė ir sunki plaučių hipertenzija arba sunki aortos stenozė, kuri įvertinta atliekant echokardiografinį tyrimą, arba sinkopę sukelianti aortos stenozė, išskyrus visiškai besimptomę sunkią aortos stenozę, jei įvykdomi fizinio krūvio toleravimo reikalavimai: I</w:t>
                </w:r>
                <w:r>
                  <w:rPr>
                    <w:sz w:val="22"/>
                    <w:szCs w:val="22"/>
                    <w:lang w:val="en-US" w:eastAsia="lt-LT"/>
                  </w:rPr>
                  <w:t>05.0, I05.2, I06.0, I06.2, I08, I34.2, I35.0, I35.2, I39.0, I39.1, I27.2,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4.2.9.</w:t>
                </w:r>
              </w:p>
            </w:tc>
            <w:tc>
              <w:tcPr>
                <w:tcW w:w="9109" w:type="dxa"/>
                <w:tcBorders>
                  <w:top w:val="single" w:sz="6" w:space="0" w:color="auto"/>
                  <w:left w:val="single" w:sz="6" w:space="0" w:color="auto"/>
                  <w:bottom w:val="single" w:sz="6" w:space="0" w:color="auto"/>
                  <w:right w:val="single" w:sz="6" w:space="0" w:color="auto"/>
                </w:tcBorders>
              </w:tcPr>
              <w:p>
                <w:pPr>
                  <w:ind w:left="50"/>
                  <w:rPr>
                    <w:sz w:val="22"/>
                    <w:szCs w:val="22"/>
                  </w:rPr>
                </w:pPr>
                <w:r>
                  <w:rPr>
                    <w:sz w:val="22"/>
                    <w:szCs w:val="22"/>
                    <w:lang w:eastAsia="lt-LT"/>
                  </w:rPr>
                  <w:t>struktūriniais pokyčiais ar elektrine disfunkcija pasireiškiančią kardiomiopatiją – hipertrofinę kardiomiopatiją, per kurią pasireiškia sinkopė arba patiriami du ar daugiau iš šių sutrikimų: kairiojo skilvelio sienelės storis – &gt; 3 cm, trumpalaikė skilvelinė tachikardija, šeimoje (tarp pirmos eilės giminaičių) būta staigios mirties atvejų, krūvio mėginių AKS nepadidėja: I42.1, I42.2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4.2.10.</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ir didesniu kaip 500 ms QTc: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Kitos kardiomiopatijos: I42</w:t>
                </w:r>
              </w:p>
              <w:p>
                <w:pPr>
                  <w:rPr>
                    <w:sz w:val="22"/>
                    <w:szCs w:val="22"/>
                  </w:rPr>
                </w:pPr>
                <w:r>
                  <w:rPr>
                    <w:sz w:val="22"/>
                    <w:szCs w:val="22"/>
                    <w:lang w:eastAsia="lt-LT"/>
                  </w:rPr>
                  <w:t>Turi būti įvertinamas staigių kardiovaskulinių įvykių, sukeliančių gebėjimo vairuoti praradimą, poveikis kandidatams į vairuotojus arba vairuotojams, sergantiems kardiomiopatijomis (pvz., aritmogenine dešiniojo skilvelio kardiomiopatija, nekompaktinio kairiojo skilvelio miokardo sukeliama kardiomiopatija, katecholaminergine polimorfine skilveline tachikardija ir turintiems trumpo QT sindromą). Reikalingas išsamus gydytojo kardiologo vertinimas. Turi būti atsižvelgiama į konkrečią kardiomiopatiją pranašaujančius požymius.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CUKRINIS DIABETAS: E10, E11, E12, E13, E14</w:t>
                </w:r>
              </w:p>
              <w:p>
                <w:pPr>
                  <w:widowControl w:val="0"/>
                  <w:suppressAutoHyphens/>
                  <w:rPr>
                    <w:color w:val="000000"/>
                    <w:sz w:val="22"/>
                  </w:rPr>
                </w:pPr>
                <w:r>
                  <w:rPr>
                    <w:color w:val="000000"/>
                    <w:sz w:val="22"/>
                  </w:rPr>
                  <w:t>Tolesniuose punktuose sunki hipoglikemija reiškia, kad ją patiriančiam asmeniui reikalinga kito asmens pagalba, o pasikartojanti hipoglikemija apibūdinama kaip antrą kartą per dvylika mėnesių pasireiškusi sunki hipoglikemija..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Vairuotojo pažymėjimai gali būti išduodami cukriniu diabetu sergantiems kandidatams vairuotojo pažymėjimui gauti arba atnaujinami ja sergantiems vairuotojams. Jei tokie asmenys gydomi hipoglikemizuojančiais vaistais, apie jų būklę turėtų būti pateikiama gydytojo endokrinologo išvada, o jų sveikata turėtų būti periodiškai, tačiau ne rečiau kaip kartą kas penkerius metus, tikrinama.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5.2.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Cukriniu diabetu sergantis kandidatas į vairuotojus arba vairuotojas, gydomas vaistais, sukeliančiais hipoglikemijos riziką, turi įrodyti, kad jis suvokia hipoglikemijos keliamus pavojus ir geba tinkamai kontroliuoti savo sveikatos būklę, kad jam nepasireikštų hipoglikemija.</w:t>
                </w:r>
              </w:p>
              <w:p>
                <w:pPr>
                  <w:rPr>
                    <w:sz w:val="22"/>
                    <w:szCs w:val="22"/>
                    <w:lang w:eastAsia="lt-LT"/>
                  </w:rPr>
                </w:pPr>
                <w:r>
                  <w:rPr>
                    <w:sz w:val="22"/>
                    <w:szCs w:val="22"/>
                    <w:lang w:eastAsia="lt-LT"/>
                  </w:rPr>
                  <w:t>Vairuotojo pažymėjimai neišduodami kandidatams į vairuotojus arba neatnaujinami vairuotojams, kurie nepakankamai aiškiai suvokia hipoglikemijos keliamus pavojus.</w:t>
                </w:r>
              </w:p>
              <w:p>
                <w:pPr>
                  <w:rPr>
                    <w:sz w:val="22"/>
                    <w:szCs w:val="22"/>
                    <w:lang w:eastAsia="lt-LT"/>
                  </w:rPr>
                </w:pPr>
                <w:r>
                  <w:rPr>
                    <w:sz w:val="22"/>
                    <w:szCs w:val="22"/>
                    <w:lang w:eastAsia="lt-LT"/>
                  </w:rPr>
                  <w:t xml:space="preserve">Vairuotojo pažymėjimai neišduodami kandidatams į vairuotojus arba neatnaujinami vairuotojams, kuriems pasireiškia pasikartojanti sunki hipoglikemija, išskyrus atvejus, kai pateikiama gydytojo endokrinologo išvada ir atliekamas sveikatos būklės vertinimas vadovaujantis Lietuvos Respublikos sveikatos apsaugos ministro 2012 m. vasario 28 d. įsakymo Nr. V-159 „Dėl Cukrinio </w:t>
                </w:r>
                <w:r>
                  <w:rPr>
                    <w:color w:val="000000"/>
                    <w:sz w:val="22"/>
                    <w:szCs w:val="22"/>
                    <w:lang w:eastAsia="lt-LT"/>
                  </w:rPr>
                  <w:t>diabeto ambulatorinio gydymo</w:t>
                </w:r>
                <w:r>
                  <w:rPr>
                    <w:b/>
                    <w:bCs/>
                    <w:color w:val="000000"/>
                    <w:sz w:val="22"/>
                    <w:szCs w:val="22"/>
                    <w:lang w:eastAsia="lt-LT"/>
                  </w:rPr>
                  <w:t xml:space="preserve"> </w:t>
                </w:r>
                <w:r>
                  <w:rPr>
                    <w:color w:val="000000"/>
                    <w:sz w:val="22"/>
                    <w:szCs w:val="22"/>
                    <w:lang w:eastAsia="lt-LT"/>
                  </w:rPr>
                  <w:t xml:space="preserve">kompensuojamaisiais vaistais tvarkos aprašo patvirtinimo“ (toliau </w:t>
                </w:r>
                <w:r>
                  <w:rPr>
                    <w:sz w:val="22"/>
                    <w:szCs w:val="22"/>
                    <w:lang w:eastAsia="lt-LT"/>
                  </w:rPr>
                  <w:t>– įsakymas Nr. V-159)</w:t>
                </w:r>
                <w:r>
                  <w:rPr>
                    <w:color w:val="000000"/>
                    <w:sz w:val="22"/>
                    <w:szCs w:val="22"/>
                    <w:lang w:eastAsia="lt-LT"/>
                  </w:rPr>
                  <w:t xml:space="preserve"> nustatyta tvarka</w:t>
                </w:r>
                <w:r>
                  <w:rPr>
                    <w:sz w:val="22"/>
                    <w:szCs w:val="22"/>
                    <w:lang w:eastAsia="lt-LT"/>
                  </w:rPr>
                  <w:t>. Jei sunki hipoglikemija kartojasi ne miego metu, vairuotojo pažymėjimas neišduodamas ar neatnaujinamas tris mėnesius po paskutinio tokios hipoglikemijos atvejo.</w:t>
                </w:r>
              </w:p>
              <w:p>
                <w:pPr>
                  <w:rPr>
                    <w:sz w:val="22"/>
                    <w:szCs w:val="22"/>
                    <w:lang w:eastAsia="lt-LT"/>
                  </w:rPr>
                </w:pPr>
                <w:r>
                  <w:rPr>
                    <w:sz w:val="22"/>
                    <w:szCs w:val="22"/>
                    <w:lang w:eastAsia="lt-LT"/>
                  </w:rPr>
                  <w:t xml:space="preserve">Vairuotojo pažymėjimai gali būti išduodami ar atnaujinami išskirtiniais atvejais, kai gydytojas endokrinologas išvadoje pagrindžia asmens gebėjimą saugiai  vairuoti  ir  jei  vadovaujantis  įsakymu  Nr.     V-159, atliekamas sveikatos būklės vertinimas, kuriuo, atsižvelgiant į sveikatos sutrikimų poveikį, užtikrinamas asmens gebėjimas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r>
                  <w:rPr>
                    <w:i/>
                    <w:iCs/>
                    <w:color w:val="000000"/>
                    <w:sz w:val="22"/>
                  </w:rPr>
                  <w:t>:</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Gali būti svarstoma galimybė išduoti ir (arba) atnaujinti 2</w:t>
                </w:r>
                <w:r>
                  <w:rPr>
                    <w:i/>
                    <w:color w:val="000000"/>
                    <w:sz w:val="22"/>
                  </w:rPr>
                  <w:t xml:space="preserve"> </w:t>
                </w:r>
                <w:r>
                  <w:rPr>
                    <w:color w:val="000000"/>
                    <w:sz w:val="22"/>
                  </w:rPr>
                  <w:t>grupės vairuotojų pažymėjimus cukriniu diabetu sergantiems vairuotojams. Jei asmuo gydomas vaistais, sukeliančiais hipoglikemijos padidėjimo riziką, t. y. insulinu ir kai kuriomis tabletėmis (sulfanilkarbamidais ar glinidais arba insulino ir sulfanilkarbamidų ar glinidų deriniais), jam turėtų būti taikomi šie reikalavimai:</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per praėjusius dvylika mėnesių neturėti sunkios hipoglikemijos pasireiškimo atvejų;</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visapusiškai suvokti hipoglikemijos keliamus pavojus;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tinkamai kontroliuoti savo būklę nuolat (mažiausiai du kartus per dieną ir prieš vairavimą) tikrinant gliukozės kiekį kraujyje;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įrodyti, kad suvokia hipoglikemijos sukeliamą riziką;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neturėti jokių kitų vairuoti trukdančių cukrinio diabeto komplikacijų.</w:t>
                </w:r>
              </w:p>
              <w:p>
                <w:pPr>
                  <w:widowControl w:val="0"/>
                  <w:suppressAutoHyphens/>
                  <w:rPr>
                    <w:color w:val="000000"/>
                    <w:sz w:val="22"/>
                  </w:rPr>
                </w:pPr>
                <w:r>
                  <w:rPr>
                    <w:color w:val="000000"/>
                    <w:sz w:val="22"/>
                  </w:rPr>
                  <w:t>Be to, šiais atvejais atitinkami vairuotojo pažymėjimai turėtų būti išduodami atsižvelgiant į gydytojo endokrinologo išvadą ir reguliariai atliekamo medicininio patikrinimo, atliekamo ne rečiau kaip kas treji metai, rezultatus.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 asmeniui ne miego metu, net jei jis nevairavo, pasireiškia sunki hipoglikemija, apie tai turėtų būti pranešama ir tokiu atveju turėtų būti naujai vertinama tokio asmens teisė gauti arba turėti vairuotojo pažymėjimą.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NEUROLOGINĖS LIGOS IR OBSTRUKCINĖS MIEGO APNĖJOS SINDROMAS</w:t>
                </w:r>
              </w:p>
              <w:p>
                <w:pPr>
                  <w:rPr>
                    <w:sz w:val="22"/>
                  </w:rPr>
                </w:pPr>
                <w:r>
                  <w:rPr>
                    <w:sz w:val="22"/>
                  </w:rPr>
                  <w:t>Vairuotojo pažymėjimai neišduodami kandidatams į vairuotojus ar neatnaujinami vairuotojams, sergantiems sunkiomis nervų ligomis, išskyrus atvejus, kai prie prašymo pridedama gydytojo neurologo išvada.</w:t>
                </w:r>
              </w:p>
              <w:p>
                <w:pPr>
                  <w:rPr>
                    <w:sz w:val="22"/>
                  </w:rPr>
                </w:pPr>
                <w:r>
                  <w:rPr>
                    <w:sz w:val="22"/>
                  </w:rPr>
                  <w:t>Neurologiniai sutrikimai, susiję su turinčiomis įtakos centrinei ar periferinei nervų sistemai ligomis ar chirurgine intervencija, dėl kurių atsiranda sensoriniai ar motoriniai sutrikimai, darantys poveikį pusiausvyrai bei koordinacijai, privalo būti tinkamai įvertinti atsižvelgiant į jų funkcinius padarinius ir progresavimo riziką. Jei yra ligos progresavimo rizika, vairuotojo pažymėjimai gali būti išduodami ar atnaujinami tik periodiškai įvertinant sveikatos būklę. Epilepsijos priepuoliai ar kiti staigūs sąmonės sutrikimai kelia rimtą pavojų kelių eismo saugumui, jei jie ištinka asmenį vairuojant variklio varomą transporto priemonę.</w:t>
                </w:r>
              </w:p>
              <w:p>
                <w:pPr>
                  <w:rPr>
                    <w:sz w:val="22"/>
                  </w:rPr>
                </w:pPr>
                <w:r>
                  <w:rPr>
                    <w:sz w:val="22"/>
                  </w:rPr>
                  <w:t>1 grupė:</w:t>
                </w:r>
              </w:p>
              <w:p>
                <w:pPr>
                  <w:rPr>
                    <w:sz w:val="22"/>
                  </w:rPr>
                </w:pPr>
                <w:r>
                  <w:rPr>
                    <w:sz w:val="22"/>
                  </w:rPr>
                  <w:t>Vairuotojo pažymėjimai gali būti išduodami ar atnaujinami gydytojui neurologui atlikus patikrinimą ir reguliariai atliekant medicinines apžiūras. Gydytojas neurologas įvertina epilepsijos ar kitų sąmonės sutrikimų būklę, klinikinę formą ir progresavimą pavyzdžiui, jei pastaruosius dvejus metus nebuvo priepuolių, atliktą gydymą ir jo rezultatus.</w:t>
                </w:r>
              </w:p>
              <w:p>
                <w:pPr>
                  <w:rPr>
                    <w:sz w:val="22"/>
                  </w:rPr>
                </w:pPr>
                <w:r>
                  <w:rPr>
                    <w:sz w:val="22"/>
                  </w:rPr>
                  <w:t>2 grupė:</w:t>
                </w:r>
              </w:p>
              <w:p>
                <w:pPr>
                  <w:rPr>
                    <w:sz w:val="22"/>
                  </w:rPr>
                </w:pPr>
                <w:r>
                  <w:rPr>
                    <w:sz w:val="22"/>
                  </w:rPr>
                  <w:t>Vairuotojo pažymėjimai neišduodami kandidatams į vairuotojus ar neatnaujinami vairuotojams, kuriuos ištinka ar gali ištikti epilepsijos priepuoliai ar kiti staigūs sąmonės sutrikimai.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Epilepsijos priepuoliai ar kiti staigūs sąmonės būsenos pakitimai kelia rimtą pavojų kelių eismo saugumui, jei jie ištinka asmenį, vairuojantį varikliu varomą transporto priemonę.</w:t>
                </w:r>
              </w:p>
              <w:p>
                <w:pPr>
                  <w:widowControl w:val="0"/>
                  <w:suppressAutoHyphens/>
                  <w:rPr>
                    <w:color w:val="000000"/>
                    <w:sz w:val="22"/>
                  </w:rPr>
                </w:pPr>
                <w:r>
                  <w:rPr>
                    <w:color w:val="000000"/>
                    <w:sz w:val="22"/>
                  </w:rPr>
                  <w:t>Epilepsija sergantis asmuo</w:t>
                </w:r>
                <w:r>
                  <w:rPr>
                    <w:i/>
                    <w:color w:val="000000"/>
                    <w:sz w:val="22"/>
                  </w:rPr>
                  <w:t xml:space="preserve"> </w:t>
                </w:r>
                <w:r>
                  <w:rPr>
                    <w:color w:val="000000"/>
                    <w:sz w:val="22"/>
                  </w:rPr>
                  <w:t>– asmuo, kuris per mažiau nei penkerius metus patyrė du ar daugiau epilepsijos priepuolių. Sukeltas epilepsijos priepuolis</w:t>
                </w:r>
                <w:r>
                  <w:rPr>
                    <w:i/>
                    <w:color w:val="000000"/>
                    <w:sz w:val="22"/>
                  </w:rPr>
                  <w:t xml:space="preserve"> </w:t>
                </w:r>
                <w:r>
                  <w:rPr>
                    <w:color w:val="000000"/>
                    <w:sz w:val="22"/>
                  </w:rPr>
                  <w:t>– atpažįstamo veiksnio, kurio galima išvengti, sukeltas priepuolis.</w:t>
                </w:r>
              </w:p>
              <w:p>
                <w:pPr>
                  <w:widowControl w:val="0"/>
                  <w:suppressAutoHyphens/>
                  <w:rPr>
                    <w:color w:val="000000"/>
                    <w:sz w:val="22"/>
                  </w:rPr>
                </w:pPr>
                <w:r>
                  <w:rPr>
                    <w:color w:val="000000"/>
                    <w:sz w:val="22"/>
                  </w:rPr>
                  <w:t>Asmeniui, kuris patyrė priepuolį pirmą kartą arba kurio patirtas priepuolis yra pavienis, arba kuris buvo praradęs sąmonę, rekomenduojama nevairuoti. Gydytojo neurologo pranešime (žr. Aprašo 26</w:t>
                </w:r>
                <w:r>
                  <w:rPr>
                    <w:i/>
                    <w:color w:val="000000"/>
                    <w:sz w:val="22"/>
                  </w:rPr>
                  <w:t xml:space="preserve"> </w:t>
                </w:r>
                <w:r>
                  <w:rPr>
                    <w:color w:val="000000"/>
                    <w:sz w:val="22"/>
                  </w:rPr>
                  <w:t>punktą) turėtų būti nurodytas draudimo vairuoti laikotarpis ir reikalaujamos paskesnės priemonės.</w:t>
                </w:r>
              </w:p>
              <w:p>
                <w:pPr>
                  <w:widowControl w:val="0"/>
                  <w:suppressAutoHyphens/>
                  <w:rPr>
                    <w:color w:val="000000"/>
                    <w:sz w:val="22"/>
                  </w:rPr>
                </w:pPr>
                <w:r>
                  <w:rPr>
                    <w:color w:val="000000"/>
                    <w:sz w:val="22"/>
                  </w:rPr>
                  <w:t>Labai svarbu, kad būtų nustatytas konkretus asmens epilepsijos sindromas ir priepuolio tipas, kad būtų tinkamai įvertintas jo vairavimo saugumas (įskaitant tolesnių priepuolių riziką) ir paskirtas reikiamas gydymas. Tai turėtų padaryti gydytojas neurologas.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1</w:t>
                </w:r>
                <w:r>
                  <w:rPr>
                    <w:i/>
                    <w:color w:val="000000"/>
                    <w:sz w:val="22"/>
                  </w:rPr>
                  <w:t xml:space="preserve"> </w:t>
                </w:r>
                <w:r>
                  <w:rPr>
                    <w:color w:val="000000"/>
                    <w:sz w:val="22"/>
                  </w:rPr>
                  <w:t>grupės kategorijoms priskirtų epilepsija sergančių vairuotojų teisė turėti vairuotojo pažymėjimą nuolat (ne rečiau kaip kartą per metus) persvarstoma tol, kol jie nebūna išbuvę be priepuolių bent jau penkerius metus.</w:t>
                </w:r>
              </w:p>
              <w:p>
                <w:pPr>
                  <w:widowControl w:val="0"/>
                  <w:suppressAutoHyphens/>
                  <w:rPr>
                    <w:color w:val="000000"/>
                    <w:sz w:val="22"/>
                  </w:rPr>
                </w:pPr>
                <w:r>
                  <w:rPr>
                    <w:color w:val="000000"/>
                    <w:sz w:val="22"/>
                  </w:rPr>
                  <w:t>Jei asmuo serga epilepsija, jis neatitinka kriterijų vairuotojo pažymėjimui, kuriam netaikomos jokios sąlygos, gauti ir apie tai turi būti pateiktas pranešimas Aprašo 26</w:t>
                </w:r>
                <w:r>
                  <w:rPr>
                    <w:i/>
                    <w:color w:val="000000"/>
                    <w:sz w:val="22"/>
                  </w:rPr>
                  <w:t xml:space="preserve"> </w:t>
                </w:r>
                <w:r>
                  <w:rPr>
                    <w:color w:val="000000"/>
                    <w:sz w:val="22"/>
                  </w:rPr>
                  <w:t>punkte nustatyta tvarka.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patyręs žinomo provokuojamo veiksnio sukeltą epilepsijos priepuolį ir panašu, kad tas veiksnys nepasireikš vairuojant, atskirais atvejais toks asmuo gali būti pripažįstamas tinkamu vairuoti, atsižvelgiant į gydytojo neurologo išvadą (vertinimas, jei jo reikėtų, turėtų būti atliktas atsižvelgiant į kitas 3</w:t>
                </w:r>
                <w:r>
                  <w:rPr>
                    <w:i/>
                    <w:color w:val="000000"/>
                    <w:sz w:val="22"/>
                  </w:rPr>
                  <w:t xml:space="preserve"> </w:t>
                </w:r>
                <w:r>
                  <w:rPr>
                    <w:color w:val="000000"/>
                    <w:sz w:val="22"/>
                  </w:rPr>
                  <w:t>lentelės dalis (pavyzdžiui, poveikį išgėrus alkoholio arba sergant kitomis ligomis).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Kandidatas vairuotojo pažymėjimui gauti, turėjęs pirmą arba vienintelį neišprovokuotą epilepsijos priepuolį, gali būti laikomas tinkamu vairuoti, jei per šešių mėnesių laikotarpį daugiau priepuolių neturėjo ir jei atliktas atitinkamas medicininis įvertinimas. Vairuotojams, kurių ligos prognozė gera, nacionalinės valdžios institucijos gali leisti vairuoti po trumpesnio laikotarpio.</w:t>
                </w:r>
              </w:p>
              <w:p>
                <w:pPr>
                  <w:widowControl w:val="0"/>
                  <w:suppressAutoHyphens/>
                  <w:rPr>
                    <w:caps/>
                    <w:color w:val="000000"/>
                    <w:sz w:val="22"/>
                  </w:rPr>
                </w:pPr>
                <w:r>
                  <w:rPr>
                    <w:color w:val="000000"/>
                    <w:sz w:val="22"/>
                  </w:rPr>
                  <w:t>Didieji priepuoliai, nepatikslinti (su ar be mažųjų priepuolių) G</w:t>
                </w:r>
                <w:r>
                  <w:rPr>
                    <w:caps/>
                    <w:color w:val="000000"/>
                    <w:sz w:val="22"/>
                  </w:rPr>
                  <w:t xml:space="preserve">40.6; </w:t>
                </w:r>
                <w:r>
                  <w:rPr>
                    <w:color w:val="000000"/>
                    <w:sz w:val="22"/>
                  </w:rPr>
                  <w:t xml:space="preserve">Epilepsija, nepatikslinta </w:t>
                </w:r>
                <w:r>
                  <w:rPr>
                    <w:caps/>
                    <w:color w:val="000000"/>
                    <w:sz w:val="22"/>
                  </w:rPr>
                  <w:t>g40.9.</w:t>
                </w:r>
              </w:p>
              <w:p>
                <w:pPr>
                  <w:widowControl w:val="0"/>
                  <w:suppressAutoHyphens/>
                  <w:rPr>
                    <w:color w:val="000000"/>
                    <w:sz w:val="22"/>
                  </w:rPr>
                </w:pPr>
                <w:r>
                  <w:rPr>
                    <w:color w:val="000000"/>
                    <w:sz w:val="22"/>
                  </w:rPr>
                  <w:t xml:space="preserve">Išsamus neurologinis patikrinimas turi patvirtinti, kad nėra jokios susijusios smegenų patologijos, o elektroencefalogramoje neužfiksuota jokia epileptiforminė veikla.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w:t>
                </w:r>
              </w:p>
              <w:p>
                <w:pPr>
                  <w:widowControl w:val="0"/>
                  <w:suppressAutoHyphens/>
                  <w:rPr>
                    <w:color w:val="000000"/>
                    <w:sz w:val="22"/>
                  </w:rPr>
                </w:pPr>
                <w:r>
                  <w:rPr>
                    <w:color w:val="000000"/>
                    <w:sz w:val="22"/>
                  </w:rPr>
                  <w:t>Kiti ir nepatikslinti priepuoliai R56.8, jei lydimi sąmonės sutrikimo; Dažni alpimai ir kolapsai R55; Idiopatinė periferinė autonominė (vegetacinė) neuropatija G90.0</w:t>
                </w:r>
                <w:r>
                  <w:rPr>
                    <w:i/>
                    <w:color w:val="000000"/>
                    <w:sz w:val="22"/>
                  </w:rPr>
                  <w:t xml:space="preserve"> </w:t>
                </w:r>
                <w:r>
                  <w:rPr>
                    <w:color w:val="000000"/>
                    <w:sz w:val="22"/>
                  </w:rPr>
                  <w:t>– būtina neurologo išvada.</w:t>
                </w:r>
              </w:p>
              <w:p>
                <w:pPr>
                  <w:widowControl w:val="0"/>
                  <w:suppressAutoHyphens/>
                  <w:rPr>
                    <w:color w:val="000000"/>
                    <w:sz w:val="22"/>
                  </w:rPr>
                </w:pPr>
                <w:r>
                  <w:rPr>
                    <w:color w:val="000000"/>
                    <w:sz w:val="22"/>
                  </w:rPr>
                  <w:t>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Vairuotojai arba kandidatai vairuotojo pažymėjimui gauti gali būti laikomi tinkamais vairuoti, jei jie vienų metų laikotarpiu daugiau priepuolių neturėjo.</w:t>
                </w:r>
              </w:p>
              <w:p>
                <w:pPr>
                  <w:widowControl w:val="0"/>
                  <w:suppressAutoHyphens/>
                  <w:rPr>
                    <w:color w:val="000000"/>
                    <w:sz w:val="22"/>
                  </w:rPr>
                </w:pPr>
                <w:r>
                  <w:rPr>
                    <w:color w:val="000000"/>
                    <w:sz w:val="22"/>
                  </w:rPr>
                  <w:t xml:space="preserve">Nuo smegenų pažeidimo lokalizacijos priklausanti (židininė, dalinė) idiopatinė epilepsija ir epilepsiniai sindromai, kai priepuolių pradžia lokalizuota, G40.0; Nuo smegenų pažeidimo lokalizacijos priklausanti (židininė, dalinė) simptominė epilepsija ir epilepsiniai sindromai su paprastais daliniais priepuoliais G40.1; Nuo smegenų pažeidimo lokalizacijos priklausanti (židininė, dalinė) simptominė epilepsija ir epilepsiniai sindromai su sudėtiniais (kompleksiniais) daliniais priepuoliais G40.2; Išplitusi (generalizuota) idiopatinė epilepsija ir epilepsiniai sindromai G40.3; Kitokia išplitusi (generalizuota) epilepsija ir epilepsiniai sindromai G40.4; Didieji priepuoliai, nepatikslinti (su ar be mažųjų priepuolių) G40.6; Mažieji priepuoliai, nepatikslinti, be didžiųjų priepuolių G40.7; Kitokia epilepsija G40.8; Epilepsinė būklė G41.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Tik miegant ištinkantys priepuoliai. Kandidatas vairuotojo pažymėjimui gauti arba vairuotojas, kurį priepuoliai ištinka tik miegant, gali būti laikomas tinkamu vairuoti, jei nustatyta, kad toks jį ištinkančių priepuolių pobūdis trunka ne trumpiau, nei nustatytas laikotarpis, per kurį neturi būti jokių epilepsijos priepuolių. Jei epilepsijos priepuolių būna ne miego metu,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Sąmonei arba gebėjimui veikti poveikio neturintys priepuoliai. Kandidatas vairuotojo pažymėjimui gauti arba vairuotojas, kuris niekada neturėjo priepuolių, išskyrus priepuolius, kurie neturi poveikio sąmonei ir nesukelia funkcinių sutrikimų, gali būti laikomas tinkamu vairuoti, jei nustatyta, kad toks jį ištinkančių priepuolių pobūdis trunka ne trumpiau nei laikotarpį, per kurį neturi būti jokių epilepsijos priepuolių. Jei jį ištinka kitokie priepuoliai,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Priepuoliai, atsiradę dėl gydytojo nurodymo pakeisti epilepsijos gydymą. Pacientui gali būti patariama nevairuoti nuo gydymo nutraukimo pradžios ir vėliau, šešis mėnesius po gydymo nutraukimo. Jei priepuoliai atsirado gydytojo nurodymu pakeitus vaistus arba nutraukus jų vartojimą ir jei vėl pradėtas taikyti ankstesnis veiksmingas gydymas, tris mėnesius negalima vairuoti.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Po epilepsijos gydymo tikslais atliktos operacijos (žr. „6.1.5. 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6.1.10.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Kandidatas vairuotojo pažymėjimui gauti per reikalaujamą epilepsijos priepuolių nebuvimo laikotarpį turėtų nevartoti vaistų nuo epilepsijos. Turi būti atliktas atitinkamas medicininis patikrinimas. Išsamus neurologinis patikrinimas turi patvirtinti, kad nėra jokios susijusios smegenų patologijos, o elektroencefalogramoje neužfiksuota jokia epileptiforminė veikla. Po smarkaus epilepsijos požymių pasireiškimo turi būti atlikta elektroencefalograma ir atitinkamas neurologinis įvertinimas.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turėjęs žinomo provokuojamo veiksnio sukeltą epilepsijos priepuolį ir panašu, kad tas veiksnys nepasireikš vairuojant, toks asmuo atskirais atvejais, atsižvelgiant į gydytojo neurologo išvadą, gali būti pripažįstamas tinkamu vairuoti. Po smarkaus epilepsijos požymių pasireiškimo turi būti atliekama elektroencefalograma ir atitinkamas neurologinis įvertinimas.</w:t>
                </w:r>
              </w:p>
              <w:p>
                <w:pPr>
                  <w:widowControl w:val="0"/>
                  <w:suppressAutoHyphens/>
                  <w:rPr>
                    <w:color w:val="000000"/>
                    <w:sz w:val="22"/>
                  </w:rPr>
                </w:pPr>
                <w:r>
                  <w:rPr>
                    <w:color w:val="000000"/>
                    <w:sz w:val="22"/>
                  </w:rPr>
                  <w:t>Struktūrinį intracerebrinį sužeidimą turinčiam asmeniui su didele priepuolių rizika neturėtų būti leidžiama vairuoti 2</w:t>
                </w:r>
                <w:r>
                  <w:rPr>
                    <w:i/>
                    <w:color w:val="000000"/>
                    <w:sz w:val="22"/>
                  </w:rPr>
                  <w:t xml:space="preserve"> </w:t>
                </w:r>
                <w:r>
                  <w:rPr>
                    <w:color w:val="000000"/>
                    <w:sz w:val="22"/>
                  </w:rPr>
                  <w:t>grupės transporto priemonių tol, kol epilepsijos rizika sumažės bent iki 2</w:t>
                </w:r>
                <w:r>
                  <w:rPr>
                    <w:i/>
                    <w:color w:val="000000"/>
                    <w:sz w:val="22"/>
                  </w:rPr>
                  <w:t xml:space="preserve"> </w:t>
                </w:r>
                <w:r>
                  <w:rPr>
                    <w:color w:val="000000"/>
                    <w:sz w:val="22"/>
                  </w:rPr>
                  <w:t>proc. per metus. Prireikus vertinimas turėtų būti atliekamas atsižvelgiant į kitas susijusias 3</w:t>
                </w:r>
                <w:r>
                  <w:rPr>
                    <w:i/>
                    <w:color w:val="000000"/>
                    <w:sz w:val="22"/>
                  </w:rPr>
                  <w:t xml:space="preserve"> </w:t>
                </w:r>
                <w:r>
                  <w:rPr>
                    <w:color w:val="000000"/>
                    <w:sz w:val="22"/>
                  </w:rPr>
                  <w:t>lentelės dalis (pavyzdžiui, alkoholio vartojimo atveju).</w:t>
                </w:r>
              </w:p>
              <w:p>
                <w:pPr>
                  <w:widowControl w:val="0"/>
                  <w:suppressAutoHyphens/>
                  <w:rPr>
                    <w:color w:val="000000"/>
                    <w:sz w:val="22"/>
                  </w:rPr>
                </w:pPr>
                <w:r>
                  <w:rPr>
                    <w:color w:val="000000"/>
                    <w:sz w:val="22"/>
                  </w:rPr>
                  <w:t>Specialieji epilepsijos sindromai G40.5. Kandidatas vairuotojo pažymėjimui gauti arba atnaujinti, turėjęs pirmą sukeltą epilepsijos priepuolį, gali būti laikomas tinkamu vairuoti, jei jam atliktas atitinkamas medicininis įvertinimas ir pripažinta, kad jo ligos prognozė yra gera. 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Po atitinkamo gydytojo neurologo įvertinimo pirmą neišprovokuotą epilepsijos priepuolį patyręs kandidatas vairuotojo pažymėjimui gauti gali būti laikomas tinkamu vairuoti, jei per penkerius metus neturėjo daugiau priepuolių ir to pasiekė nevartodamas vaistų nuo epilepsijos. Vairuotojams, kurių ligos prognozė yra gera, nacionalinės valdžios institucijos gali leisti vairuoti po trumpesnio laikotarpio.</w:t>
                </w:r>
              </w:p>
              <w:p>
                <w:pPr>
                  <w:widowControl w:val="0"/>
                  <w:suppressAutoHyphens/>
                  <w:rPr>
                    <w:color w:val="000000"/>
                    <w:sz w:val="22"/>
                  </w:rPr>
                </w:pPr>
                <w:r>
                  <w:rPr>
                    <w:color w:val="000000"/>
                    <w:sz w:val="22"/>
                  </w:rPr>
                  <w:t xml:space="preserve">Didieji priepuoliai, nepatikslinti (su ar be mažųjų priepuolių) G40.6; Epilepsija, nepatikslinta, </w:t>
                </w:r>
                <w:r>
                  <w:rPr>
                    <w:caps/>
                    <w:color w:val="000000"/>
                    <w:sz w:val="22"/>
                  </w:rPr>
                  <w:t xml:space="preserve">g40.9. </w:t>
                </w: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 Sąmonės netekimo rizika turėtų būti 2</w:t>
                </w:r>
                <w:r>
                  <w:rPr>
                    <w:i/>
                    <w:color w:val="000000"/>
                    <w:sz w:val="22"/>
                  </w:rPr>
                  <w:t xml:space="preserve"> </w:t>
                </w:r>
                <w:r>
                  <w:rPr>
                    <w:color w:val="000000"/>
                    <w:sz w:val="22"/>
                  </w:rPr>
                  <w:t>proc. per metus arba mažesnė.</w:t>
                </w:r>
              </w:p>
              <w:p>
                <w:pPr>
                  <w:widowControl w:val="0"/>
                  <w:suppressAutoHyphens/>
                  <w:rPr>
                    <w:color w:val="000000"/>
                    <w:sz w:val="22"/>
                  </w:rPr>
                </w:pPr>
                <w:r>
                  <w:rPr>
                    <w:color w:val="000000"/>
                    <w:sz w:val="22"/>
                  </w:rPr>
                  <w:t>Koma, nepatikslinta R40.2; Kiti ir nepatikslinti priepuoliai R56.8, jei lydimi sąmonės sutrikimo; Alpimas ir kolapsas R55; Idiopatinė periferinė autonominė (vegetacinė) neuropatija G90.0.</w:t>
                </w:r>
              </w:p>
              <w:p>
                <w:pPr>
                  <w:widowControl w:val="0"/>
                  <w:suppressAutoHyphens/>
                  <w:rPr>
                    <w:color w:val="000000"/>
                    <w:sz w:val="22"/>
                  </w:rPr>
                </w:pP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Reikia per 10</w:t>
                </w:r>
                <w:r>
                  <w:rPr>
                    <w:i/>
                    <w:color w:val="000000"/>
                    <w:sz w:val="22"/>
                  </w:rPr>
                  <w:t xml:space="preserve"> </w:t>
                </w:r>
                <w:r>
                  <w:rPr>
                    <w:color w:val="000000"/>
                    <w:sz w:val="22"/>
                  </w:rPr>
                  <w:t>metų neturėti daugiau priepuolių ir tokia būklė turi būti pasiekta nevartojant vaistų nuo epilepsijos. Nacionalinės valdžios institucijos vairuotojams, kurių ligos prognozė gera, gali leisti vairuoti po trumpesnio laikotarpio. Tai taikoma ir jaunuolių epilepsijos atveju.</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Tam tikri sutrikimai (pavyzdžiui, arterijų ir venų ydingas susiformavimas arba intracerebrinė hemoragija I67.1) padidina priepuolių riziką, net jei jie dar nebuvo ištikę. Tokiu atveju būklę turėtų vertinti gydytojas neurologas, vairuotojo pažymėjimas gali būti išduodamas tik tada, jei priepuolio rizika yra 2</w:t>
                </w:r>
                <w:r>
                  <w:rPr>
                    <w:i/>
                    <w:color w:val="000000"/>
                    <w:sz w:val="22"/>
                  </w:rPr>
                  <w:t xml:space="preserve"> </w:t>
                </w:r>
                <w:r>
                  <w:rPr>
                    <w:color w:val="000000"/>
                    <w:sz w:val="22"/>
                  </w:rPr>
                  <w:t>proc. per metus arba mažesnė.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6.4.</w:t>
                </w:r>
              </w:p>
            </w:tc>
            <w:tc>
              <w:tcPr>
                <w:tcW w:w="9109" w:type="dxa"/>
                <w:tcBorders>
                  <w:top w:val="single" w:sz="6" w:space="0" w:color="auto"/>
                  <w:left w:val="single" w:sz="6" w:space="0" w:color="auto"/>
                  <w:bottom w:val="single" w:sz="6" w:space="0" w:color="auto"/>
                  <w:right w:val="single" w:sz="6" w:space="0" w:color="auto"/>
                </w:tcBorders>
              </w:tcPr>
              <w:p>
                <w:pPr>
                  <w:outlineLvl w:val="3"/>
                  <w:rPr>
                    <w:b/>
                    <w:bCs/>
                    <w:szCs w:val="24"/>
                    <w:lang w:eastAsia="lt-LT"/>
                  </w:rPr>
                </w:pPr>
                <w:r>
                  <w:rPr>
                    <w:b/>
                    <w:bCs/>
                    <w:szCs w:val="24"/>
                    <w:lang w:eastAsia="lt-LT"/>
                  </w:rPr>
                  <w:t>OBSTRUKCINĖS MIEGO APNĖJOS SINDROMAS G47.32</w:t>
                </w:r>
              </w:p>
              <w:p>
                <w:pPr>
                  <w:rPr>
                    <w:sz w:val="2"/>
                    <w:szCs w:val="2"/>
                  </w:rPr>
                </w:pPr>
              </w:p>
              <w:p>
                <w:pPr>
                  <w:suppressAutoHyphens/>
                  <w:ind w:left="24"/>
                  <w:jc w:val="both"/>
                  <w:rPr>
                    <w:szCs w:val="24"/>
                  </w:rPr>
                </w:pPr>
                <w:r>
                  <w:rPr>
                    <w:szCs w:val="24"/>
                  </w:rPr>
                  <w:t>Gydytojas neurologas arba gydytojas pulmonologas turi nustatyti OMA sunkumo laipsnį, kad tinkamai įvertintų paciento gebėjimą saugiai vairuoti ir paskirtų reikiamą gydymą bei nurodytų galimas pagalbos priemones ar taikomų apribojimų dėl medicininių priežasčių kodus. Tai turėtų padaryti gydytojas pulmonologas ar gydytojas neurologas asmens sveikatos priežiūros įstaigoje, kuri turi galimybę ir licenciją atlikti reikiamus tyrimus OMA diagnozei patvirtinti arba paneigti ir geba įvertinti gydymo efektyvumą.</w:t>
                </w:r>
              </w:p>
              <w:p>
                <w:pPr>
                  <w:suppressAutoHyphens/>
                  <w:ind w:left="24"/>
                  <w:jc w:val="both"/>
                  <w:rPr>
                    <w:szCs w:val="24"/>
                  </w:rPr>
                </w:pPr>
                <w:r>
                  <w:rPr>
                    <w:szCs w:val="24"/>
                  </w:rPr>
                  <w:t>Kandidatus į vairuotojus arba atnaujinančius vairuotojo pažymėjimą asmenis, kuriems įtariama vidutinio sunkumo ir sunki OMA, reikia informuoti, kad iki patikslintos diagnozės nustatymo jie turi nevairuoti.</w:t>
                </w:r>
              </w:p>
              <w:p>
                <w:pPr>
                  <w:suppressAutoHyphens/>
                  <w:ind w:left="24" w:firstLine="142"/>
                  <w:jc w:val="both"/>
                  <w:rPr>
                    <w:szCs w:val="24"/>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p>
                <w:pPr>
                  <w:suppressAutoHyphens/>
                  <w:ind w:left="24"/>
                  <w:jc w:val="both"/>
                  <w:rPr>
                    <w:szCs w:val="24"/>
                  </w:rPr>
                </w:pPr>
                <w:r>
                  <w:rPr>
                    <w:szCs w:val="24"/>
                  </w:rPr>
                  <w:t>nevairuoti.</w:t>
                </w:r>
              </w:p>
              <w:p>
                <w:pPr>
                  <w:widowControl w:val="0"/>
                  <w:suppressAutoHyphens/>
                  <w:rPr>
                    <w:color w:val="000000"/>
                    <w:sz w:val="22"/>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6.4.1.</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i/>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trejus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lang w:val="en-US"/>
                  </w:rPr>
                  <w:t xml:space="preserve">2 </w:t>
                </w:r>
                <w:r>
                  <w:rPr>
                    <w:szCs w:val="24"/>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6.4.2.</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vienus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Visų etiologijų demencijos F00–F03</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Organiniai ir simptominiai psichikos sutrikimai F04; F05; F06. </w:t>
                </w:r>
              </w:p>
              <w:p>
                <w:pPr>
                  <w:rPr>
                    <w:sz w:val="22"/>
                  </w:rPr>
                </w:pPr>
                <w:r>
                  <w:rPr>
                    <w:sz w:val="22"/>
                  </w:rPr>
                  <w:t>Sprendžiama individualiai, įvertinus kompleksinio tyrimo duomenis, kompensacijos stabilumą, skiriamą medikamentinį gydymą ar pasveikus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7.3.</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Organiniai asmenybės ir elgesio sutrikimai F07, F09.</w:t>
                </w:r>
              </w:p>
              <w:p>
                <w:pPr>
                  <w:rPr>
                    <w:sz w:val="22"/>
                  </w:rPr>
                </w:pPr>
                <w:r>
                  <w:rPr>
                    <w:sz w:val="22"/>
                  </w:rPr>
                  <w:t>Sprendžiama individualiai, įvertinus kompleksinio tyrimo duomenis, kompensacijos stabilumą, adaptacijos kokybę,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r>
                  <w:rPr>
                    <w:sz w:val="22"/>
                  </w:rPr>
                  <w:t>Spręsti individualiai</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7.4.</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vartojant psichotropines medžiagas</w:t>
                </w:r>
              </w:p>
              <w:p>
                <w:pPr>
                  <w:rPr>
                    <w:sz w:val="22"/>
                  </w:rPr>
                </w:pPr>
                <w:r>
                  <w:rPr>
                    <w:sz w:val="22"/>
                  </w:rPr>
                  <w:t>F1X.1–F1X.9 (remisijų metu sprendžiama individualiai, atsižvelgiant į remisijų trukmę, stabilumą, adaptaciją, skiriamą medikamentinį gydymą)</w:t>
                </w:r>
              </w:p>
              <w:p>
                <w:pPr>
                  <w:rPr>
                    <w:sz w:val="22"/>
                  </w:rPr>
                </w:pPr>
                <w:r>
                  <w:rPr>
                    <w:sz w:val="22"/>
                  </w:rPr>
                  <w:t>(X – bet kuris skaičius nuo 1 iki 9, išskyrus 7).</w:t>
                </w:r>
              </w:p>
              <w:p>
                <w:pPr>
                  <w:rPr>
                    <w:sz w:val="22"/>
                  </w:rPr>
                </w:pPr>
                <w:r>
                  <w:rPr>
                    <w:sz w:val="22"/>
                  </w:rPr>
                  <w:t xml:space="preserve">Praėjus abstinencijos laikotarpiui ir pateikus gydytojo psichiatro išvadą bei reguliariai (gydytojo nustatytu dažnumu) atliekant medicinines apžiūras, vairuotojo pažymėjimai gali būti išduodami kandidatams į vairuotojus ar atnaujinami vairuotojams, kurie praeityje buvo priklausomi nuo alkoholio. </w:t>
                </w:r>
              </w:p>
              <w:p>
                <w:pPr>
                  <w:rPr>
                    <w:sz w:val="22"/>
                  </w:rPr>
                </w:pPr>
                <w:r>
                  <w:rPr>
                    <w:sz w:val="22"/>
                  </w:rPr>
                  <w:t>Vairuotojo pažymėjimai neišduodami kandidatams į vairuotojus ar neatnaujinami vairuotojams, kurie reguliariai bet kokia forma vartoja psichotropines medžiagas, galinčias trukdyti saugiai vairuoti, kai suvartotas kiekis gali turėti neigiamą poveikį vairavimui. Tai taikoma ir visiems kitiems vaistams ar vaistų deriniams, turintiems poveikį gebėjimui vairuoti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p>
              <w:p>
                <w:pPr>
                  <w:jc w:val="center"/>
                  <w:rPr>
                    <w:sz w:val="22"/>
                  </w:rPr>
                </w:pPr>
                <w:r>
                  <w:rPr>
                    <w:sz w:val="22"/>
                  </w:rPr>
                  <w:t>Spręsti individualiai</w:t>
                </w:r>
              </w:p>
              <w:p>
                <w:pPr>
                  <w:jc w:val="center"/>
                  <w:rPr>
                    <w:sz w:val="22"/>
                  </w:rPr>
                </w:pPr>
                <w:r>
                  <w:rPr>
                    <w:sz w:val="22"/>
                  </w:rPr>
                  <w:t>Esant F10.1–F10.9 taikyti apribojimą 68</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r>
                  <w:rPr>
                    <w:sz w:val="22"/>
                  </w:rPr>
                  <w:t xml:space="preserve">Esant F10.1–F10.9 taikyti apribojimą 68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7.5.</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Šizofrenija, šizotipinis ir kliedesiniai sutrikimai F20–29</w:t>
                </w:r>
              </w:p>
              <w:p>
                <w:pPr>
                  <w:rPr>
                    <w:sz w:val="22"/>
                  </w:rPr>
                </w:pPr>
                <w:r>
                  <w:rPr>
                    <w:sz w:val="22"/>
                  </w:rPr>
                  <w:t>(esant remisijai ar ribinio lygio rezidualinei simptomatikai, galimybės vairuoti klausimas sprendžiamas individualiai, atsižvelgiant į kompleksinio tyrimo duomenis – remisijos trukmę, kokybę, rezidualinę simptomatiką, adaptacijos kokybę, skiriamą medikamentinį gydymą).</w:t>
                </w:r>
              </w:p>
              <w:p>
                <w:pPr>
                  <w:rPr>
                    <w:sz w:val="22"/>
                  </w:rPr>
                </w:pPr>
                <w:r>
                  <w:rPr>
                    <w:sz w:val="22"/>
                  </w:rPr>
                  <w:t>Psichozinio lygio sutrikimų atveju kokybiška remisija turėtų trukti ne trumpiau kaip 1 metus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Visos transporto priemonės, išskyrus F21 ir F23, – spręsti individualiai </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7.6.</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Afektiniai sutrikimai esant psichozės simptomams F30.2, F31.2, F31.5, F32.3, F33.3 (remisijų metu klausimas sprendžiamas individualiai, atsižvelgiant į remisijos trukmę, stabilumą, adaptaciją,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Suaugusiųjų asmenybės ir elgesio sutrikimai F60, F61, F62 –sprendžiama individualiai, atsižvelgiant į dekompensacijų dažnumą, laipsnį, adaptacijos kokybę, ilgalaikio psichotropinių vaistų vartojimo būtinumą. Vairuotojo pažymėjimai neišduodami kandidatams į vairuotojus ar neatnaujinami vairuotojams, turintiems </w:t>
                </w:r>
              </w:p>
              <w:p>
                <w:pPr>
                  <w:rPr>
                    <w:sz w:val="22"/>
                  </w:rPr>
                </w:pPr>
                <w:r>
                  <w:rPr>
                    <w:sz w:val="22"/>
                  </w:rPr>
                  <w:t>asmenybės sutrikimų, kurie labai trikdo nuovoką, elgesį ar sugebėjimą prisitaikyti, išskyrus atvejus, kai pateikiama gydytojo psichiatro išvada ir prireikus reguliariai atliekant medicinines apžiūras</w:t>
                </w:r>
              </w:p>
              <w:p>
                <w:pP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7.8.</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Protinis atsilikimas </w:t>
                </w:r>
              </w:p>
              <w:p>
                <w:pPr>
                  <w:rPr>
                    <w:sz w:val="22"/>
                  </w:rPr>
                </w:pPr>
                <w:r>
                  <w:rPr>
                    <w:sz w:val="22"/>
                  </w:rPr>
                  <w:t xml:space="preserve">F70.0, F70.8, F70.9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7.9.</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Protinis atsilikimas F 70.1, F71, F72–F79</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7.10.</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Psichologinės raidos sutrikimai F83, F84</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Elgesio ir emocijų sutrikimai, prasidedantys vaikystėje ir paauglystėje F95.2 ir F90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8.</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414"/>
            </w:trPr>
            <w:tc>
              <w:tcPr>
                <w:tcW w:w="891" w:type="dxa"/>
                <w:tcBorders>
                  <w:top w:val="single" w:sz="6" w:space="0" w:color="auto"/>
                  <w:left w:val="single" w:sz="6" w:space="0" w:color="auto"/>
                  <w:right w:val="single" w:sz="6" w:space="0" w:color="auto"/>
                </w:tcBorders>
              </w:tcPr>
              <w:p>
                <w:pPr>
                  <w:rPr>
                    <w:sz w:val="22"/>
                  </w:rPr>
                </w:pPr>
                <w:r>
                  <w:rPr>
                    <w:sz w:val="22"/>
                  </w:rPr>
                  <w:t>10.</w:t>
                </w:r>
              </w:p>
            </w:tc>
            <w:tc>
              <w:tcPr>
                <w:tcW w:w="9109" w:type="dxa"/>
                <w:tcBorders>
                  <w:top w:val="single" w:sz="6" w:space="0" w:color="auto"/>
                  <w:left w:val="single" w:sz="6" w:space="0" w:color="auto"/>
                  <w:right w:val="single" w:sz="6" w:space="0" w:color="auto"/>
                </w:tcBorders>
              </w:tcPr>
              <w:p>
                <w:pPr>
                  <w:rPr>
                    <w:b/>
                    <w:bCs/>
                    <w:sz w:val="22"/>
                  </w:rPr>
                </w:pPr>
                <w:r>
                  <w:rPr>
                    <w:b/>
                    <w:bCs/>
                    <w:sz w:val="22"/>
                  </w:rPr>
                  <w:t>INKSTŲ SUTRIKIMAI:</w:t>
                </w:r>
              </w:p>
              <w:p>
                <w:pPr>
                  <w:rPr>
                    <w:sz w:val="22"/>
                  </w:rPr>
                </w:pPr>
                <w:r>
                  <w:rPr>
                    <w:sz w:val="22"/>
                  </w:rPr>
                  <w:t>1 grupė:</w:t>
                </w:r>
              </w:p>
              <w:p>
                <w:pPr>
                  <w:rPr>
                    <w:sz w:val="22"/>
                  </w:rPr>
                </w:pPr>
                <w:r>
                  <w:rPr>
                    <w:sz w:val="22"/>
                  </w:rPr>
                  <w:t>Vairuotojo pažymėjimai gali būti išduodami kandidatams į vairuotojus ar atnaujinami vairuotojams, sergantiems sunkiu inkstų nepakankamumu, pateikus gydytojo nefrologo išvadą ir reguliariai atliekant medicinines apžiūras.</w:t>
                </w:r>
              </w:p>
              <w:p>
                <w:pPr>
                  <w:rPr>
                    <w:sz w:val="22"/>
                  </w:rPr>
                </w:pPr>
                <w:r>
                  <w:rPr>
                    <w:sz w:val="22"/>
                  </w:rPr>
                  <w:t>2 grupė:</w:t>
                </w:r>
              </w:p>
              <w:p>
                <w:pPr>
                  <w:rPr>
                    <w:sz w:val="22"/>
                  </w:rPr>
                </w:pPr>
                <w:r>
                  <w:rPr>
                    <w:sz w:val="22"/>
                  </w:rPr>
                  <w:t xml:space="preserve">Išskyrus išskirtinius atvejus, kurie tinkamai pagrindžiami gydytojo nefrologo išvada ir reguliariai atliekant medicinines apžiūras, vairuotojo pažymėjimai neišduodami kandidatams į vairuotojus ar neatnaujinami vairuotojams, sergantiems sunkiu ir nepagydomu inkstų nepakankamumu. Lėtinis inkstų nepakankamumas </w:t>
                </w:r>
                <w:r>
                  <w:rPr>
                    <w:bCs/>
                    <w:sz w:val="22"/>
                  </w:rPr>
                  <w:t xml:space="preserve">N </w:t>
                </w:r>
                <w:r>
                  <w:rPr>
                    <w:sz w:val="22"/>
                  </w:rPr>
                  <w:t>18</w:t>
                </w:r>
              </w:p>
            </w:tc>
            <w:tc>
              <w:tcPr>
                <w:tcW w:w="2370" w:type="dxa"/>
                <w:tcBorders>
                  <w:top w:val="single" w:sz="6" w:space="0" w:color="auto"/>
                  <w:left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KITOS NUOSTATOS</w:t>
                </w:r>
              </w:p>
              <w:p>
                <w:pPr>
                  <w:rPr>
                    <w:sz w:val="22"/>
                  </w:rPr>
                </w:pPr>
                <w:r>
                  <w:rPr>
                    <w:sz w:val="22"/>
                  </w:rPr>
                  <w:t>1 grupė:</w:t>
                </w:r>
              </w:p>
              <w:p>
                <w:pPr>
                  <w:rPr>
                    <w:sz w:val="22"/>
                  </w:rPr>
                </w:pPr>
                <w:r>
                  <w:rPr>
                    <w:sz w:val="22"/>
                  </w:rPr>
                  <w:t>Pateikus atitinkamos profesinės kvalifikacijos gydytojo išvadą ir prireikus reguliariai atliekant medicinines apžiūras, vairuotojo pažymėjimai gali būti išduodami kandidatams į vairuotojus ar atnaujinami vairuotojams, kuriems buvo persodinti organai ar įdėtas dirbtinis organas, darantys poveikį gebėjimui vairuoti.</w:t>
                </w:r>
              </w:p>
              <w:p>
                <w:pPr>
                  <w:rPr>
                    <w:sz w:val="22"/>
                  </w:rPr>
                </w:pPr>
                <w:r>
                  <w:rPr>
                    <w:sz w:val="22"/>
                  </w:rPr>
                  <w:t>2 grupė:</w:t>
                </w:r>
              </w:p>
              <w:p>
                <w:pPr>
                  <w:rPr>
                    <w:sz w:val="22"/>
                  </w:rPr>
                </w:pPr>
                <w:r>
                  <w:rPr>
                    <w:sz w:val="22"/>
                  </w:rPr>
                  <w:t>Atitinkamos profesinės kvalifikacijos gydytojas tinkamai įvertina papildomą riziką ir pavojus, kurie kylą kai vairuojamos šiai grupei priskiriamos transporto priemonės.</w:t>
                </w:r>
              </w:p>
              <w:p>
                <w:pPr>
                  <w:rPr>
                    <w:sz w:val="22"/>
                  </w:rPr>
                </w:pPr>
                <w:r>
                  <w:rPr>
                    <w:sz w:val="22"/>
                  </w:rPr>
                  <w:t>Paprastai tais atvejais, kai kandidatai į vairuotojus ar vairuotojai turi bet kokių kitų sutrikimų, neišvardytų pirmesniame punkte, bet tikėtina, kad galinčių sukelti funkcinių sutrikimų, keliančių pavojų saugiam vairavimui, vairuotojo pažymėjimai neišduodami ar neatnaujinami, išskyrus atvejus, kai kartu su prašymu pateikiama atitinkamos profesinės kvalifikacijos gydytojo išvada ir prireikus reguliariai atliekamos medicininės apžiūros.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Kitos ligos ar būklės, kurių nėra šiame sąraše, tačiau dėl kurių, gydytojų komisijos sprendimu, asmuo negali vairuoti atitinkamos transporto priemonės. Sprendimą priima įstaigos gydytojų konsultacinė komisija, jį būtina argumentuoti.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bl>
        <w:p>
          <w:pPr>
            <w:jc w:val="both"/>
          </w:pPr>
        </w:p>
        <w:sdt>
          <w:sdtPr>
            <w:alias w:val="pastraipa"/>
            <w:tag w:val="part_874c01c931ed4bfa90191f10468b06b7"/>
            <w:lock w:val="sdtLocked"/>
            <w:richText/>
          </w:sdtPr>
          <w:sdtContent>
            <w:p>
              <w:pPr>
                <w:jc w:val="both"/>
                <w:rPr>
                  <w:sz w:val="22"/>
                </w:rPr>
              </w:pPr>
              <w:r>
                <w:rPr>
                  <w:sz w:val="22"/>
                </w:rPr>
                <w:t>Pastabos:</w:t>
              </w:r>
            </w:p>
          </w:sdtContent>
        </w:sdt>
        <w:sdt>
          <w:sdtPr>
            <w:alias w:val="1 p."/>
            <w:tag w:val="part_f60fd4a010b04d948a3953d359043d8d"/>
            <w:lock w:val="sdtLocked"/>
            <w:richText/>
          </w:sdtPr>
          <w:sdtContent>
            <w:p>
              <w:pPr>
                <w:jc w:val="both"/>
                <w:rPr>
                  <w:sz w:val="22"/>
                </w:rPr>
              </w:pPr>
              <w:sdt>
                <w:sdtPr>
                  <w:alias w:val="Numeris"/>
                  <w:tag w:val="nr_f60fd4a010b04d948a3953d359043d8d"/>
                  <w:lock w:val="sdtLocked"/>
                  <w:richText/>
                </w:sdtPr>
                <w:sdtContent>
                  <w:r>
                    <w:rPr>
                      <w:sz w:val="22"/>
                    </w:rPr>
                    <w:t>1</w:t>
                  </w:r>
                </w:sdtContent>
              </w:sdt>
              <w:r>
                <w:rPr>
                  <w:sz w:val="22"/>
                </w:rPr>
                <w:t xml:space="preserve">. </w:t>
              </w:r>
              <w:r>
                <w:rPr>
                  <w:i/>
                  <w:sz w:val="22"/>
                </w:rPr>
                <w:t>Neteko galios nuo 2018-09-14</w:t>
              </w:r>
              <w:r>
                <w:rPr>
                  <w:sz w:val="22"/>
                </w:rPr>
                <w:t>.</w:t>
              </w:r>
            </w:p>
          </w:sdtContent>
        </w:sdt>
        <w:sdt>
          <w:sdtPr>
            <w:alias w:val="2 p."/>
            <w:tag w:val="part_7482125af98845bd973f92efd0decbbb"/>
            <w:lock w:val="sdtLocked"/>
            <w:richText/>
          </w:sdtPr>
          <w:sdtContent>
            <w:p>
              <w:pPr>
                <w:jc w:val="both"/>
                <w:rPr>
                  <w:sz w:val="22"/>
                </w:rPr>
              </w:pPr>
              <w:sdt>
                <w:sdtPr>
                  <w:alias w:val="Numeris"/>
                  <w:tag w:val="nr_7482125af98845bd973f92efd0decbbb"/>
                  <w:lock w:val="sdtLocked"/>
                  <w:richText/>
                </w:sdtPr>
                <w:sdtContent>
                  <w:r>
                    <w:rPr>
                      <w:sz w:val="22"/>
                    </w:rPr>
                    <w:t>2</w:t>
                  </w:r>
                </w:sdtContent>
              </w:sdt>
              <w:r>
                <w:rPr>
                  <w:sz w:val="22"/>
                </w:rPr>
                <w:t xml:space="preserve">. </w:t>
              </w:r>
              <w:r>
                <w:rPr>
                  <w:color w:val="000000"/>
                  <w:szCs w:val="24"/>
                </w:rPr>
                <w:t>Spręsti individualiai“, „individualiu sprendimu“ reiškia, kad asmuo, atsakingas už vairuotojų sveikatos tikrinimus, o 29 punkte nurodytais atvejais – gydytojų konsultacinė komisija gali priimti individualų sprendimą, leidžiantį asmeniui vairuoti atitinkamos kategorijos transporto priemonę, atsižvelgdami į susirgimą, kompensaciją, adaptacijos kokybę</w:t>
              </w:r>
              <w:r>
                <w:rPr>
                  <w:bCs/>
                  <w:color w:val="000000"/>
                  <w:szCs w:val="24"/>
                </w:rPr>
                <w:t>,</w:t>
              </w:r>
              <w:r>
                <w:rPr>
                  <w:color w:val="000000"/>
                  <w:szCs w:val="24"/>
                </w:rPr>
                <w:t xml:space="preserve"> patologinio proceso grįžtamumą, jo progresavimą, tęsiant vairuotojo, dirbančio pagal darbo sutartis (atsižvelgiant į darbo krūvį, konkrečias pareigas), darbą, tiriamojo psichikos ir charakterio ypatumus, vadovaudamiesi ir specializuotų gydymo įstaigų, specialistų išvadomis ir rekomendacijomis. </w:t>
              </w:r>
              <w:r>
                <w:rPr>
                  <w:szCs w:val="24"/>
                </w:rPr>
                <w:t>Sprendžiant individualiai dėl psichikos ir elgesio sutrikimų galima skirti trumpesnį pakartotinio sveikatos tikrinimo laikotarpį</w:t>
              </w:r>
              <w:r>
                <w:rPr>
                  <w:sz w:val="22"/>
                </w:rPr>
                <w:t>.</w:t>
              </w:r>
            </w:p>
          </w:sdtContent>
        </w:sdt>
        <w:sdt>
          <w:sdtPr>
            <w:alias w:val="3 p."/>
            <w:tag w:val="part_e209fa6e25c54340a99c1b0765f3b7e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pPr>
              <w:sdt>
                <w:sdtPr>
                  <w:alias w:val="Numeris"/>
                  <w:tag w:val="nr_e209fa6e25c54340a99c1b0765f3b7e5"/>
                  <w:lock w:val="sdtLocked"/>
                  <w:richText/>
                </w:sdtPr>
                <w:sdtContent>
                  <w:r>
                    <w:rPr>
                      <w:szCs w:val="24"/>
                    </w:rPr>
                    <w:t>3</w:t>
                  </w:r>
                </w:sdtContent>
              </w:sdt>
              <w:r>
                <w:rPr>
                  <w:szCs w:val="24"/>
                </w:rPr>
                <w:t xml:space="preserve">. Apie būtinybę vairuoti su akiniais, kontaktiniais lęšiais, klausos aparatu, protezu ir apie draudimą dirbti vairuotoju (užsiimti transporto ūkine veikla) privaloma įrašyti F Nr. E083-1 (ar </w:t>
              </w:r>
              <w:r>
                <w:rPr>
                  <w:rFonts w:eastAsia="Calibri"/>
                  <w:szCs w:val="24"/>
                </w:rPr>
                <w:t xml:space="preserve">F </w:t>
              </w:r>
              <w:r>
                <w:rPr>
                  <w:szCs w:val="24"/>
                </w:rPr>
                <w:t>Nr. 083-1/a). Čia įrašomi ir vairuotojų profesinės atrankos („D“ kategorijos, troleibuso, traktorių ir savaeigių mašinų) metu vykdyto psichologinio tyrimo rezultatai (blogai ir gerai atliktų užduočių santykis).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45be9f0398911e881f2ba995b003ed2">
            <w:r w:rsidRPr="00532B9F">
              <w:rPr>
                <w:rFonts w:ascii="Times New Roman" w:eastAsia="MS Mincho" w:hAnsi="Times New Roman"/>
                <w:sz w:val="20"/>
                <w:i/>
                <w:iCs/>
                <w:color w:val="0000FF" w:themeColor="hyperlink"/>
                <w:u w:val="single"/>
              </w:rPr>
              <w:t>V-381</w:t>
            </w:r>
          </w:fldSimple>
          <w:r>
            <w:rPr>
              <w:rFonts w:ascii="Times New Roman" w:eastAsia="MS Mincho" w:hAnsi="Times New Roman"/>
              <w:sz w:val="20"/>
              <w:i/>
              <w:iCs/>
            </w:rPr>
            <w:t>,
2018-04-06,
paskelbta TAR 2018-04-09, i. k. 2018-05598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6786370499811eb8d9fe110e148c770">
            <w:r w:rsidRPr="00532B9F">
              <w:rPr>
                <w:rFonts w:ascii="Times New Roman" w:eastAsia="MS Mincho" w:hAnsi="Times New Roman"/>
                <w:sz w:val="20"/>
                <w:i/>
                <w:iCs/>
                <w:color w:val="0000FF" w:themeColor="hyperlink"/>
                <w:u w:val="single"/>
              </w:rPr>
              <w:t>V-3037</w:t>
            </w:r>
          </w:fldSimple>
          <w:r>
            <w:rPr>
              <w:rFonts w:ascii="Times New Roman" w:eastAsia="MS Mincho" w:hAnsi="Times New Roman"/>
              <w:sz w:val="20"/>
              <w:i/>
              <w:iCs/>
            </w:rPr>
            <w:t>,
2020-12-28,
paskelbta TAR 2020-12-29, i. k. 2020-28848            </w:t>
          </w:r>
        </w:p>
        <w:p/>
      </w:sdtContent>
    </w:sdt>
    <w:sdt>
      <w:sdtPr>
        <w:alias w:val="lentele"/>
        <w:tag w:val="part_53a20ffc4e7c45359dbc9cc855e70581"/>
        <w:lock w:val="sdtLocked"/>
        <w:richText/>
      </w:sdtPr>
      <w:sdtContent>
        <w:p>
          <w:pPr>
            <w:jc w:val="both"/>
          </w:pPr>
        </w:p>
        <w:p>
          <w:pPr>
            <w:ind w:firstLine="567"/>
            <w:jc w:val="both"/>
            <w:sectPr>
              <w:pgSz w:w="16840" w:h="11907" w:orient="landscape" w:code="9"/>
              <w:pgMar w:top="1079" w:right="1134" w:bottom="1134" w:left="1134" w:header="567" w:footer="567" w:gutter="0"/>
              <w:pgNumType w:start="1"/>
              <w:cols w:space="1296"/>
              <w:titlePg/>
              <w:docGrid w:linePitch="360"/>
            </w:sectPr>
          </w:pPr>
        </w:p>
        <w:p>
          <w:pPr>
            <w:jc w:val="both"/>
          </w:pPr>
        </w:p>
        <w:p>
          <w:pPr>
            <w:ind w:firstLine="567"/>
            <w:jc w:val="right"/>
          </w:pPr>
          <w:r>
            <w:t>4 lentelė</w:t>
          </w:r>
        </w:p>
        <w:p>
          <w:pPr>
            <w:jc w:val="both"/>
            <w:rPr>
              <w:bCs/>
            </w:rPr>
          </w:pPr>
        </w:p>
        <w:sdt>
          <w:sdtPr>
            <w:alias w:val="Pavadinimas"/>
            <w:tag w:val="title_53a20ffc4e7c45359dbc9cc855e70581"/>
            <w:lock w:val="sdtLocked"/>
            <w:richText/>
          </w:sdtPr>
          <w:sdtContent>
            <w:p>
              <w:pPr>
                <w:jc w:val="center"/>
                <w:rPr>
                  <w:b/>
                  <w:bCs/>
                </w:rPr>
              </w:pPr>
              <w:r>
                <w:rPr>
                  <w:b/>
                  <w:bCs/>
                </w:rPr>
                <w:t>VAIRUOTOJO GARBĖS DEKLARACIJA (SVEIKATOS PATIKRINIMO KLAUSIMYNAS)</w:t>
              </w:r>
            </w:p>
          </w:sdtContent>
        </w:sdt>
        <w:p>
          <w:pPr>
            <w:rPr>
              <w:b/>
              <w:bCs/>
            </w:rPr>
          </w:pPr>
        </w:p>
        <w:sdt>
          <w:sdtPr>
            <w:alias w:val="pastraipa"/>
            <w:tag w:val="part_51369210f9af477681cc066f76328b85"/>
            <w:lock w:val="sdtLocked"/>
            <w:richText/>
          </w:sdtPr>
          <w:sdtContent>
            <w:p>
              <w:pPr>
                <w:jc w:val="center"/>
              </w:pPr>
              <w:r>
                <w:t>___________________</w:t>
              </w:r>
            </w:p>
          </w:sdtContent>
        </w:sdt>
        <w:sdt>
          <w:sdtPr>
            <w:alias w:val="pastraipa"/>
            <w:tag w:val="part_af818a00d0df4e698754cd2fe96b1764"/>
            <w:lock w:val="sdtLocked"/>
            <w:richText/>
          </w:sdtPr>
          <w:sdtContent>
            <w:p>
              <w:pPr>
                <w:jc w:val="center"/>
              </w:pPr>
              <w:r>
                <w:t>(data)</w:t>
              </w:r>
            </w:p>
          </w:sdtContent>
        </w:sdt>
        <w:sdt>
          <w:sdtPr>
            <w:alias w:val="pastraipa"/>
            <w:tag w:val="part_35488bc148c942c6a8626b0be5add652"/>
            <w:lock w:val="sdtLocked"/>
            <w:richText/>
          </w:sdtPr>
          <w:sdtContent>
            <w:p>
              <w:pPr>
                <w:jc w:val="center"/>
              </w:pPr>
              <w:r>
                <w:t>______________________________________</w:t>
              </w:r>
            </w:p>
          </w:sdtContent>
        </w:sdt>
        <w:sdt>
          <w:sdtPr>
            <w:alias w:val="pastraipa"/>
            <w:tag w:val="part_19d556ee372e4a5a89c6928b2a1364a8"/>
            <w:lock w:val="sdtLocked"/>
            <w:richText/>
          </w:sdtPr>
          <w:sdtContent>
            <w:p>
              <w:pPr>
                <w:jc w:val="center"/>
              </w:pPr>
              <w:r>
                <w:t>(sudarymo vieta)</w:t>
              </w:r>
            </w:p>
            <w:p>
              <w:pPr>
                <w:jc w:val="both"/>
              </w:pPr>
            </w:p>
          </w:sdtContent>
        </w:sdt>
        <w:sdt>
          <w:sdtPr>
            <w:alias w:val="lentele"/>
            <w:tag w:val="part_65fdfe09273c4e8b9e23097ad860a8d8"/>
            <w:lock w:val="sdtLocked"/>
            <w:richText/>
          </w:sdtPr>
          <w:sdtContent>
            <w:tbl>
              <w:tblPr>
                <w:tblW w:w="9070" w:type="dxa"/>
                <w:tblLayout w:type="fixed"/>
                <w:tblCellMar>
                  <w:left w:w="40" w:type="dxa"/>
                  <w:right w:w="40" w:type="dxa"/>
                </w:tblCellMar>
                <w:tblLook w:val="0000" w:firstRow="0" w:lastRow="0" w:firstColumn="0" w:lastColumn="0" w:noHBand="0" w:noVBand="0"/>
              </w:tblPr>
              <w:tblGrid>
                <w:gridCol w:w="650"/>
                <w:gridCol w:w="7070"/>
                <w:gridCol w:w="675"/>
                <w:gridCol w:w="675"/>
              </w:tblGrid>
              <w:tr>
                <w:trPr>
                  <w:cantSplit/>
                  <w:trHeight w:val="23"/>
                  <w:tblHeader/>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Eil. Nr. </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Klausimai, į kuriuos prašome atsakyti (tinkamą atsakymą „taip“ arba „ne“ lentelėje pažymėti </w:t>
                      <w:sym w:font="Wingdings" w:char="F0FC"/>
                    </w:r>
                    <w:r>
                      <w:rPr>
                        <w:vanish/>
                        <w:sz w:val="22"/>
                      </w:rPr>
                      <w:t>v</w:t>
                    </w:r>
                    <w:r>
                      <w:rPr>
                        <w:iCs/>
                        <w:sz w:val="22"/>
                      </w:rPr>
                      <w:t>)</w:t>
                    </w:r>
                    <w:r>
                      <w:rPr>
                        <w:i/>
                        <w:iCs/>
                        <w:sz w:val="22"/>
                      </w:rPr>
                      <w:t xml:space="preserve"> </w:t>
                    </w:r>
                    <w:r>
                      <w:rPr>
                        <w:sz w:val="22"/>
                      </w:rPr>
                      <w:t>lankantis pas gydytoją dėl vairuotojo pažymėjimo įsigijimo arba jo galiojimo pratęsimo (priežastį pabraukti)</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Taip</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Ne</w:t>
                    </w: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A.</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kokia nors liga arba gal turite kokią negalią ar kitų medicininių nusiskundimų, galinčių paveikti Jūsų gebėjimą vairuoti motorinę transporto priemonę?</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regėjimo sutrikimų, tokių kaip: </w:t>
                    </w:r>
                  </w:p>
                  <w:p>
                    <w:pPr>
                      <w:rPr>
                        <w:sz w:val="22"/>
                      </w:rPr>
                    </w:pPr>
                    <w:r>
                      <w:rPr>
                        <w:sz w:val="22"/>
                      </w:rPr>
                      <w:t>1.1. pablogėjęs matymas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 nevalingi akių judesiai (nistagmas)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1.3. regėjimo lauko defektai (pvz., ribotas matymas į šonus)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1.4. dvigubinimasis (dvejinimasis)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1.5. akivaizdus matymo pablogėjimas prieblandoje ar tamsoje (vištakumas)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1.6. pablogėjęs akių judrumas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1.7. jautrumas akinimui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1.8. pablogėjęs atstumo įvertinimas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1.9. kiti sutrikimai (akių skausmai, staigus matymo sutrikimas, buvo / yra nustatytas padidėjęs akispūdis ar kt.)</w:t>
                    </w:r>
                  </w:p>
                  <w:p>
                    <w:pPr>
                      <w:rPr>
                        <w:sz w:val="22"/>
                      </w:rPr>
                    </w:pPr>
                    <w:r>
                      <w:rPr>
                        <w:sz w:val="22"/>
                      </w:rPr>
                      <w:t>(Jei „taip“, tinkamą atsakymą pabraukti arba įrašyti):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Jums svaigo / svaigsta galva?</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pablogėjusia klausa, ar sirgote ausų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yra galūnių judesių funkcijos sutrikimų arba gal sergate kokia nors su tuo susijusia liga?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širdies ir / ar širdies ir kraujagyslių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5.1. insultas (paralyžius)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5.2. širdies ritmo sutrikimai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5.3. širdies infarktas ar krūtinės angina (stenokardija)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5.4. širdies įgimta ar įgyta liga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5.5. kita širdies ar širdies ir kraujagyslių liga (reumatas ar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cukriniu diabetu?</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turėjote galvos smegenų traumą?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epilepsija?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Jums būna / kada nors buvo ištikę ženklūs pusiausvyros sutrikimai?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alpote / alpstate arba turėjote / turite kitų sąmonės sutrikimų?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 skundėtės anksčiau šlapinimosi sutrikimais, inkstų veiklos pablogėjimu?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dėmesio, pastabumo, mąstymo arba atminties sutrikimais?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miego sutrikimais:</w:t>
                    </w:r>
                  </w:p>
                  <w:p>
                    <w:pPr>
                      <w:rPr>
                        <w:sz w:val="22"/>
                      </w:rPr>
                    </w:pPr>
                    <w:r>
                      <w:rPr>
                        <w:sz w:val="22"/>
                      </w:rPr>
                      <w:t>12.1. Ar būnate pavargęs ar mieguistas dieną?</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12.2. Ar Jus ištinka nevalingi miego priepuoliai?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piktnaudžiaujate / piktnaudžiavote 5 metų laikotarpiu alkoholiu, rūkalais, narkotikais arba vaistais?</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 turėjote 5 metų laikotarpiu kokių nors psichikos sutrikimų arba gal sirgote kokia nors psichikos liga, ar dėl to buvote gydomas (-a) psichiatro?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B.</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Klausimai apie gydymą, vaistų vartojimą ir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buvote gydomas (-a) ligoninėje arba kreipėtės į gydytoją dėl anksčiau minėtų priežasčių (A 1–15)?</w:t>
                    </w:r>
                  </w:p>
                  <w:p>
                    <w:pPr>
                      <w:rPr>
                        <w:sz w:val="22"/>
                      </w:rPr>
                    </w:pPr>
                    <w:r>
                      <w:rPr>
                        <w:sz w:val="22"/>
                      </w:rPr>
                      <w:t>Jei „taip“, tinkamą atsakymą pabraukti, nurodyti, kada ir įstaigos, kurioje gydėtės, pavadinimą, adresą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šiuo metu vartojate gydytojo paskirtus vaistus (raminamuosius, migdomuosius, nuskausminamuosius ar kitus)?</w:t>
                    </w:r>
                  </w:p>
                  <w:p>
                    <w:pPr>
                      <w:rPr>
                        <w:sz w:val="22"/>
                      </w:rPr>
                    </w:pPr>
                    <w:r>
                      <w:rPr>
                        <w:sz w:val="22"/>
                      </w:rPr>
                      <w:t>Jei „taip“, tinkamą atsakymą pabraukti, nurodyti, kokius vaistus: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Gal Jums dėl kurios nors anksčiau minėtos ligos (A 1–13) paskirti kokie nors vaistai, kurie turi būti reguliariai vartojami ilgą laiką? </w:t>
                    </w:r>
                  </w:p>
                  <w:p>
                    <w:pPr>
                      <w:rPr>
                        <w:sz w:val="22"/>
                      </w:rPr>
                    </w:pPr>
                    <w:r>
                      <w:rPr>
                        <w:sz w:val="22"/>
                      </w:rPr>
                      <w:t>Jei atsakymas „taip“, nurodyti, kokie vaistai: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anksčiau buvo tikrinta Jūsų sveikata, norint gauti vairuotojo pažymėjimą? </w:t>
                    </w:r>
                  </w:p>
                  <w:p>
                    <w:pPr>
                      <w:rPr>
                        <w:sz w:val="22"/>
                      </w:rPr>
                    </w:pPr>
                    <w:r>
                      <w:rPr>
                        <w:sz w:val="22"/>
                      </w:rPr>
                      <w:t>Jei atsakymas „taip“, nurodyti kada: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turite darbingumo apribojimų dėl ligos ar sveikatos problemos?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manote, kad dabar esate visiškai sveikas (-a)? </w:t>
                    </w:r>
                  </w:p>
                  <w:p>
                    <w:pPr>
                      <w:rPr>
                        <w:sz w:val="22"/>
                      </w:rPr>
                    </w:pPr>
                    <w:r>
                      <w:rPr>
                        <w:sz w:val="22"/>
                      </w:rPr>
                      <w:t>Jei atsakymas „ne“, įrašyti priežastis: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bl>
            <w:p>
              <w:pPr>
                <w:jc w:val="both"/>
              </w:pPr>
            </w:p>
          </w:sdtContent>
        </w:sdt>
        <w:sdt>
          <w:sdtPr>
            <w:alias w:val="pastraipa"/>
            <w:tag w:val="part_61aa1e37ce2c47429d4bf57df7472b4e"/>
            <w:lock w:val="sdtLocked"/>
            <w:richText/>
          </w:sdtPr>
          <w:sdtContent>
            <w:p>
              <w:pPr>
                <w:ind w:firstLine="567"/>
                <w:jc w:val="both"/>
              </w:pPr>
              <w:r>
                <w:t>Užtikrinu, kad visa mano pateikta informacija yra visiškai teisinga, ir suprantu, kad, pablogėjus sveikatos būklei, turiu nedelsdamas (-a) kreiptis į gydytoją.</w:t>
              </w:r>
            </w:p>
            <w:p>
              <w:pPr>
                <w:jc w:val="both"/>
              </w:pPr>
            </w:p>
          </w:sdtContent>
        </w:sdt>
        <w:sdt>
          <w:sdtPr>
            <w:alias w:val="pastraipa"/>
            <w:tag w:val="part_9776c0303d3b47179565bf5dde4bbedc"/>
            <w:lock w:val="sdtLocked"/>
            <w:richText/>
          </w:sdtPr>
          <w:sdtContent>
            <w:p>
              <w:pPr>
                <w:tabs>
                  <w:tab w:val="left" w:pos="6480"/>
                </w:tabs>
                <w:ind w:firstLine="3000"/>
                <w:jc w:val="both"/>
              </w:pPr>
              <w:r>
                <w:t>_________________</w:t>
                <w:tab/>
                <w:t>_____________________</w:t>
              </w:r>
            </w:p>
            <w:p>
              <w:pPr>
                <w:tabs>
                  <w:tab w:val="left" w:pos="7080"/>
                </w:tabs>
                <w:ind w:firstLine="3600"/>
                <w:jc w:val="both"/>
              </w:pPr>
              <w:r>
                <w:t xml:space="preserve">(parašas) </w:t>
                <w:tab/>
                <w:t>(vardas, pavardė)</w:t>
              </w:r>
            </w:p>
            <w:p>
              <w:pPr>
                <w:jc w:val="both"/>
                <w:rPr>
                  <w:bCs/>
                </w:rPr>
              </w:pPr>
            </w:p>
          </w:sdtContent>
        </w:sdt>
        <w:sdt>
          <w:sdtPr>
            <w:alias w:val="pastraipa"/>
            <w:tag w:val="part_2cf9a4c47a7b440990c24ec6951f82fd"/>
            <w:lock w:val="sdtLocked"/>
            <w:richText/>
          </w:sdtPr>
          <w:sdtContent>
            <w:p>
              <w:pPr>
                <w:jc w:val="both"/>
                <w:rPr>
                  <w:color w:val="000000"/>
                </w:rPr>
              </w:pPr>
              <w:r>
                <w:rPr>
                  <w:b/>
                  <w:bCs/>
                </w:rPr>
                <w:t xml:space="preserve">Pastaba: </w:t>
              </w:r>
              <w:r>
                <w:t>Įdedamas į Asmens sveikatos istoriją – F 025/a</w:t>
              </w:r>
            </w:p>
          </w:sdtContent>
        </w:sdt>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f99f630dd4494ea8a0278039b27fdecd"/>
        <w:lock w:val="sdtLocked"/>
        <w:richText/>
      </w:sdtPr>
      <w:sdtContent>
        <w:p>
          <w:pPr>
            <w:suppressAutoHyphens/>
            <w:ind w:left="1134"/>
            <w:jc w:val="right"/>
            <w:textAlignment w:val="center"/>
            <w:sectPr>
              <w:pgSz w:w="11906" w:h="16838"/>
              <w:pgMar w:top="1134" w:right="1134" w:bottom="1134" w:left="1701" w:header="567" w:footer="567" w:gutter="0"/>
              <w:pgNumType w:start="1"/>
              <w:cols w:space="1296"/>
              <w:noEndnote/>
              <w:titlePg/>
              <w:docGrid w:linePitch="326"/>
            </w:sectPr>
          </w:pPr>
        </w:p>
        <w:p>
          <w:pPr>
            <w:suppressAutoHyphens/>
            <w:ind w:left="1134"/>
            <w:jc w:val="right"/>
            <w:textAlignment w:val="center"/>
            <w:rPr>
              <w:bCs/>
              <w:szCs w:val="24"/>
              <w:lang w:eastAsia="lt-LT"/>
            </w:rPr>
          </w:pPr>
          <w:sdt>
            <w:sdtPr>
              <w:alias w:val="Numeris"/>
              <w:tag w:val="nr_f99f630dd4494ea8a0278039b27fdecd"/>
              <w:lock w:val="sdtLocked"/>
              <w:richText/>
            </w:sdtPr>
            <w:sdtContent>
              <w:r>
                <w:rPr>
                  <w:bCs/>
                  <w:szCs w:val="24"/>
                  <w:lang w:eastAsia="lt-LT"/>
                </w:rPr>
                <w:t>5</w:t>
              </w:r>
            </w:sdtContent>
          </w:sdt>
          <w:r>
            <w:rPr>
              <w:bCs/>
              <w:szCs w:val="24"/>
              <w:lang w:eastAsia="lt-LT"/>
            </w:rPr>
            <w:t xml:space="preserve"> lentelė</w:t>
          </w:r>
        </w:p>
        <w:p>
          <w:pPr>
            <w:suppressAutoHyphens/>
            <w:ind w:left="1134"/>
            <w:jc w:val="center"/>
            <w:textAlignment w:val="center"/>
            <w:rPr>
              <w:b/>
              <w:bCs/>
              <w:szCs w:val="24"/>
              <w:lang w:eastAsia="lt-LT"/>
            </w:rPr>
          </w:pPr>
          <w:sdt>
            <w:sdtPr>
              <w:alias w:val="Pavadinimas"/>
              <w:tag w:val="title_f99f630dd4494ea8a0278039b27fdecd"/>
              <w:lock w:val="sdtLocked"/>
              <w:richText/>
            </w:sdtPr>
            <w:sdtContent>
              <w:r>
                <w:rPr>
                  <w:b/>
                  <w:bCs/>
                  <w:szCs w:val="24"/>
                  <w:lang w:eastAsia="lt-LT"/>
                </w:rPr>
                <w:t>VAIRUOTOJUI TAIKOMŲ APRIBOJIMŲ KODAI</w:t>
              </w:r>
            </w:sdtContent>
          </w:sdt>
        </w:p>
        <w:p>
          <w:pPr>
            <w:suppressAutoHyphens/>
            <w:jc w:val="center"/>
            <w:textAlignment w:val="center"/>
            <w:rPr>
              <w:szCs w:val="24"/>
              <w:lang w:eastAsia="lt-LT"/>
            </w:rPr>
          </w:pPr>
        </w:p>
        <w:tbl>
          <w:tblPr>
            <w:tblW w:w="9356" w:type="dxa"/>
            <w:tblInd w:w="40" w:type="dxa"/>
            <w:tblLayout w:type="fixed"/>
            <w:tblCellMar>
              <w:left w:w="0" w:type="dxa"/>
              <w:right w:w="0" w:type="dxa"/>
            </w:tblCellMar>
            <w:tblLook w:val="04A0" w:firstRow="1" w:lastRow="0" w:firstColumn="1" w:lastColumn="0" w:noHBand="0" w:noVBand="1"/>
          </w:tblPr>
          <w:tblGrid>
            <w:gridCol w:w="1703"/>
            <w:gridCol w:w="7653"/>
          </w:tblGrid>
          <w:tr>
            <w:trPr>
              <w:trHeight w:val="23"/>
            </w:trPr>
            <w:tc>
              <w:tcPr>
                <w:tcW w:w="910" w:type="pct"/>
                <w:tcBorders>
                  <w:top w:val="single" w:sz="8" w:space="0" w:color="auto"/>
                  <w:left w:val="single" w:sz="8" w:space="0" w:color="auto"/>
                  <w:bottom w:val="single" w:sz="8" w:space="0" w:color="auto"/>
                  <w:right w:val="single" w:sz="8" w:space="0" w:color="auto"/>
                </w:tcBorders>
                <w:tcMar>
                  <w:top w:w="0" w:type="dxa"/>
                  <w:left w:w="40" w:type="dxa"/>
                  <w:bottom w:w="0" w:type="dxa"/>
                  <w:right w:w="40" w:type="dxa"/>
                </w:tcMar>
                <w:hideMark/>
              </w:tcPr>
              <w:p>
                <w:pPr>
                  <w:ind w:firstLine="62"/>
                  <w:jc w:val="both"/>
                  <w:rPr>
                    <w:b/>
                    <w:szCs w:val="24"/>
                    <w:lang w:eastAsia="lt-LT"/>
                  </w:rPr>
                </w:pPr>
                <w:r>
                  <w:rPr>
                    <w:b/>
                    <w:bCs/>
                    <w:szCs w:val="24"/>
                    <w:lang w:eastAsia="lt-LT"/>
                  </w:rPr>
                  <w:t>Kodas</w:t>
                </w:r>
              </w:p>
            </w:tc>
            <w:tc>
              <w:tcPr>
                <w:tcW w:w="4090" w:type="pct"/>
                <w:tcBorders>
                  <w:top w:val="single" w:sz="8" w:space="0" w:color="auto"/>
                  <w:left w:val="nil"/>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Vairuotojui taikomas apribojimas</w:t>
                </w:r>
                <w:r>
                  <w:rPr>
                    <w:b/>
                    <w:bCs/>
                    <w:szCs w:val="24"/>
                    <w:vertAlign w:val="superscript"/>
                    <w:lang w:eastAsia="lt-LT"/>
                  </w:rPr>
                  <w:t>*</w:t>
                </w:r>
                <w:r>
                  <w:rPr>
                    <w:b/>
                    <w:bCs/>
                    <w:szCs w:val="24"/>
                    <w:lang w:eastAsia="lt-LT"/>
                  </w:rPr>
                  <w:t xml:space="preserve"> </w:t>
                </w:r>
              </w:p>
              <w:p>
                <w:pPr>
                  <w:jc w:val="center"/>
                  <w:rPr>
                    <w:b/>
                    <w:szCs w:val="24"/>
                    <w:lang w:eastAsia="lt-LT"/>
                  </w:rPr>
                </w:pP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szCs w:val="24"/>
                    <w:lang w:eastAsia="lt-LT"/>
                  </w:rPr>
                </w:pPr>
                <w:r>
                  <w:rPr>
                    <w:b/>
                    <w:bCs/>
                    <w:szCs w:val="24"/>
                    <w:lang w:eastAsia="lt-LT"/>
                  </w:rPr>
                  <w:t>Dėl medicininių priežasčių</w:t>
                </w:r>
              </w:p>
              <w:p>
                <w:pPr>
                  <w:jc w:val="center"/>
                  <w:rPr>
                    <w:szCs w:val="24"/>
                    <w:lang w:eastAsia="lt-LT"/>
                  </w:rPr>
                </w:pPr>
                <w:r>
                  <w:rPr>
                    <w:szCs w:val="24"/>
                    <w:lang w:eastAsia="lt-LT"/>
                  </w:rPr>
                  <w:t>(Išvadą pateikia sveikatos priežiūros įstaiga)</w:t>
                </w:r>
              </w:p>
              <w:p>
                <w:pPr>
                  <w:jc w:val="center"/>
                  <w:rPr>
                    <w:szCs w:val="24"/>
                    <w:lang w:eastAsia="lt-LT"/>
                  </w:rPr>
                </w:pP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Regos korekcija ir (arba) apsauga</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Akiniai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Kontaktinis (-iai) lęšis (-iai)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01.05</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Akies raištis (papildomai nurodoma reikiama raidė a arba b)</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01.06</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Akiniai arba kontaktiniai lęšiai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01.07</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Speciali optinė pagalbinė priemonė</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Klausos ir susikalbėjimo pagalbinė priemonė (papildomai nurodoma reikiama raidė a arba b)</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Galūnių protezai arba korekcijos įtaisai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Viršutinės galūnės protezas arba korekcijos įtaisas (papildomai nurodomos reikiamos raidės a, b, c, f, g)</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Apatinės galūnės protezas arba korekcijos įtaisas (papildomai nurodomos reikiamos raidės a, b, d)</w:t>
                </w: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Transporto priemonės pritaikymas</w:t>
                </w:r>
              </w:p>
              <w:p>
                <w:pPr>
                  <w:jc w:val="center"/>
                  <w:rPr>
                    <w:b/>
                    <w:szCs w:val="24"/>
                    <w:lang w:eastAsia="lt-LT"/>
                  </w:rPr>
                </w:pP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Nuo 10 iki 50</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 xml:space="preserve">Transporto priemonės pritaikymas – išvadą pateikia gydytojų komisija, atsižvelgdama į  asmens sveikatos priežiūros įstaigos, kurioje buvo atliekamas praktinis vairavimo gebėjimų patikrinimas, rekomendacijas (jei toks patikrinimas buvo atliekamas) (žymima kodu, vadovaujantis Lietuvos Respublikos vidaus reikalų ministro 2005 m. birželio 14 d. įsakymu Nr. 1V-186 „Dėl Vairuotojo pažymėjimo blanko aprašymo ir privalomosios formos patvirtinimo“)</w:t>
                </w: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Transporto priemonės naudojimo ribojimo kodai</w:t>
                </w:r>
              </w:p>
              <w:p>
                <w:pPr>
                  <w:jc w:val="center"/>
                  <w:rPr>
                    <w:b/>
                    <w:szCs w:val="24"/>
                    <w:lang w:eastAsia="lt-LT"/>
                  </w:rPr>
                </w:pPr>
              </w:p>
            </w:tc>
          </w:tr>
          <w:tr>
            <w:trPr>
              <w:trHeight w:val="23"/>
            </w:trPr>
            <w:tc>
              <w:tcPr>
                <w:tcW w:w="910" w:type="pct"/>
                <w:tcBorders>
                  <w:top w:val="nil"/>
                  <w:left w:val="single" w:sz="8" w:space="0" w:color="auto"/>
                  <w:bottom w:val="single" w:sz="4"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68</w:t>
                </w:r>
              </w:p>
            </w:tc>
            <w:tc>
              <w:tcPr>
                <w:tcW w:w="4090" w:type="pct"/>
                <w:tcBorders>
                  <w:top w:val="nil"/>
                  <w:left w:val="nil"/>
                  <w:bottom w:val="single" w:sz="4" w:space="0" w:color="auto"/>
                  <w:right w:val="single" w:sz="8" w:space="0" w:color="auto"/>
                </w:tcBorders>
                <w:tcMar>
                  <w:top w:w="0" w:type="dxa"/>
                  <w:left w:w="40" w:type="dxa"/>
                  <w:bottom w:w="0" w:type="dxa"/>
                  <w:right w:w="40" w:type="dxa"/>
                </w:tcMar>
                <w:hideMark/>
              </w:tcPr>
              <w:p>
                <w:pPr>
                  <w:jc w:val="both"/>
                  <w:rPr>
                    <w:szCs w:val="24"/>
                    <w:lang w:eastAsia="lt-LT"/>
                  </w:rPr>
                </w:pPr>
                <w:r>
                  <w:rPr>
                    <w:szCs w:val="24"/>
                    <w:lang w:eastAsia="lt-LT"/>
                  </w:rPr>
                  <w:t>Draudžiama vairuoti išgėrus alkoholio</w:t>
                </w:r>
              </w:p>
            </w:tc>
          </w:tr>
        </w:tbl>
        <w:p>
          <w:pPr>
            <w:ind w:firstLine="1296"/>
            <w:rPr>
              <w:szCs w:val="24"/>
              <w:lang w:eastAsia="lt-LT"/>
            </w:rPr>
          </w:pPr>
        </w:p>
        <w:p>
          <w:pPr>
            <w:suppressAutoHyphens/>
            <w:ind w:left="1134"/>
            <w:textAlignment w:val="center"/>
            <w:rPr>
              <w:szCs w:val="24"/>
              <w:lang w:eastAsia="lt-LT"/>
            </w:rPr>
          </w:pPr>
          <w:r>
            <w:rPr>
              <w:szCs w:val="24"/>
              <w:vertAlign w:val="superscript"/>
              <w:lang w:eastAsia="lt-LT"/>
            </w:rPr>
            <w:t>*</w:t>
          </w:r>
          <w:r>
            <w:rPr>
              <w:szCs w:val="24"/>
              <w:lang w:eastAsia="lt-LT"/>
            </w:rPr>
            <w:t>Lentelėje naudojamų raidžių reikšmės:</w:t>
          </w:r>
        </w:p>
        <w:p>
          <w:pPr>
            <w:suppressAutoHyphens/>
            <w:ind w:left="1134"/>
            <w:textAlignment w:val="center"/>
            <w:rPr>
              <w:szCs w:val="24"/>
              <w:lang w:eastAsia="lt-LT"/>
            </w:rPr>
          </w:pPr>
          <w:r>
            <w:rPr>
              <w:szCs w:val="24"/>
              <w:lang w:eastAsia="lt-LT"/>
            </w:rPr>
            <w:t>a – kairė</w:t>
          </w:r>
        </w:p>
        <w:p>
          <w:pPr>
            <w:suppressAutoHyphens/>
            <w:ind w:left="1134"/>
            <w:textAlignment w:val="center"/>
            <w:rPr>
              <w:szCs w:val="24"/>
              <w:lang w:eastAsia="lt-LT"/>
            </w:rPr>
          </w:pPr>
          <w:r>
            <w:rPr>
              <w:szCs w:val="24"/>
              <w:lang w:eastAsia="lt-LT"/>
            </w:rPr>
            <w:t>b – dešinė</w:t>
          </w:r>
        </w:p>
        <w:p>
          <w:pPr>
            <w:suppressAutoHyphens/>
            <w:ind w:left="1134"/>
            <w:textAlignment w:val="center"/>
            <w:rPr>
              <w:szCs w:val="24"/>
              <w:lang w:eastAsia="lt-LT"/>
            </w:rPr>
          </w:pPr>
          <w:r>
            <w:rPr>
              <w:szCs w:val="24"/>
              <w:lang w:eastAsia="lt-LT"/>
            </w:rPr>
            <w:t>c – plaštaka</w:t>
          </w:r>
        </w:p>
        <w:p>
          <w:pPr>
            <w:suppressAutoHyphens/>
            <w:ind w:left="1134"/>
            <w:textAlignment w:val="center"/>
            <w:rPr>
              <w:szCs w:val="24"/>
              <w:lang w:eastAsia="lt-LT"/>
            </w:rPr>
          </w:pPr>
          <w:r>
            <w:rPr>
              <w:szCs w:val="24"/>
              <w:lang w:eastAsia="lt-LT"/>
            </w:rPr>
            <w:t>d – pėda</w:t>
          </w:r>
        </w:p>
        <w:p>
          <w:pPr>
            <w:suppressAutoHyphens/>
            <w:ind w:left="1134"/>
            <w:textAlignment w:val="center"/>
            <w:rPr>
              <w:szCs w:val="24"/>
              <w:lang w:eastAsia="lt-LT"/>
            </w:rPr>
          </w:pPr>
          <w:r>
            <w:rPr>
              <w:szCs w:val="24"/>
              <w:lang w:eastAsia="lt-LT"/>
            </w:rPr>
            <w:t>f – ranka</w:t>
          </w:r>
        </w:p>
        <w:p>
          <w:pPr>
            <w:suppressAutoHyphens/>
            <w:ind w:left="1134"/>
            <w:textAlignment w:val="center"/>
          </w:pPr>
          <w:r>
            <w:rPr>
              <w:szCs w:val="24"/>
              <w:lang w:eastAsia="lt-LT"/>
            </w:rPr>
            <w:t>g – nykštys</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sdtContent>
    </w:sdt>
    <w:sdt>
      <w:sdtPr>
        <w:alias w:val="priedas"/>
        <w:tag w:val="part_cacbc32b0b034471ad3812d97292a3b6"/>
        <w:lock w:val="sdtLocked"/>
        <w:richText/>
      </w:sdtPr>
      <w:sdtContent>
        <w:p>
          <w:pPr>
            <w:spacing w:line="276" w:lineRule="auto"/>
            <w:sectPr>
              <w:pgSz w:w="11906" w:h="16838"/>
              <w:pgMar w:top="1134" w:right="1134" w:bottom="1134" w:left="1701" w:header="567" w:footer="567" w:gutter="0"/>
              <w:pgNumType w:start="1"/>
              <w:cols w:space="1296"/>
              <w:noEndnote/>
              <w:titlePg/>
              <w:docGrid w:linePitch="326"/>
            </w:sectPr>
          </w:pPr>
        </w:p>
        <w:p>
          <w:pPr>
            <w:tabs>
              <w:tab w:val="left" w:pos="6379"/>
              <w:tab w:val="right" w:pos="9356"/>
            </w:tabs>
            <w:spacing w:line="276" w:lineRule="auto"/>
            <w:ind w:left="5192"/>
            <w:rPr>
              <w:szCs w:val="24"/>
            </w:rPr>
          </w:pPr>
          <w:r>
            <w:rPr>
              <w:szCs w:val="24"/>
            </w:rPr>
            <w:t>Vairuotojų sveikatos tikrinimo</w:t>
          </w:r>
        </w:p>
        <w:p>
          <w:pPr>
            <w:tabs>
              <w:tab w:val="left" w:pos="2293"/>
              <w:tab w:val="left" w:pos="6379"/>
              <w:tab w:val="right" w:pos="9356"/>
            </w:tabs>
            <w:spacing w:line="276" w:lineRule="auto"/>
            <w:ind w:left="5192"/>
            <w:rPr>
              <w:szCs w:val="24"/>
            </w:rPr>
          </w:pPr>
          <w:r>
            <w:rPr>
              <w:szCs w:val="24"/>
            </w:rPr>
            <w:t>reikalavimų ir tvarkos aprašo</w:t>
          </w:r>
        </w:p>
        <w:p>
          <w:pPr>
            <w:tabs>
              <w:tab w:val="left" w:pos="2293"/>
              <w:tab w:val="left" w:pos="6379"/>
              <w:tab w:val="left" w:pos="8529"/>
              <w:tab w:val="right" w:pos="9356"/>
            </w:tabs>
            <w:spacing w:line="276" w:lineRule="auto"/>
            <w:ind w:left="5192"/>
            <w:rPr>
              <w:szCs w:val="24"/>
            </w:rPr>
          </w:pPr>
          <w:r>
            <w:rPr>
              <w:szCs w:val="24"/>
            </w:rPr>
            <w:t>priedas</w:t>
          </w: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r>
            <w:rPr>
              <w:b/>
              <w:szCs w:val="24"/>
            </w:rPr>
            <w:t>KLAUSIMYNAS DĖL OBSTRUKCINĖS MIEGO APNĖJOS</w:t>
          </w:r>
        </w:p>
        <w:p>
          <w:pPr>
            <w:rPr>
              <w:sz w:val="18"/>
              <w:szCs w:val="18"/>
            </w:rPr>
          </w:pPr>
        </w:p>
        <w:p>
          <w:pPr>
            <w:tabs>
              <w:tab w:val="left" w:pos="2293"/>
              <w:tab w:val="right" w:pos="9356"/>
            </w:tabs>
            <w:spacing w:line="276" w:lineRule="auto"/>
            <w:jc w:val="center"/>
            <w:rPr>
              <w:szCs w:val="24"/>
            </w:rPr>
          </w:pPr>
          <w:r>
            <w:rPr>
              <w:szCs w:val="24"/>
            </w:rPr>
            <w:t>_____________________</w:t>
          </w:r>
        </w:p>
        <w:p>
          <w:pPr>
            <w:tabs>
              <w:tab w:val="left" w:pos="2293"/>
              <w:tab w:val="right" w:pos="9356"/>
            </w:tabs>
            <w:spacing w:line="276" w:lineRule="auto"/>
            <w:jc w:val="center"/>
            <w:rPr>
              <w:szCs w:val="24"/>
            </w:rPr>
          </w:pPr>
          <w:r>
            <w:rPr>
              <w:szCs w:val="24"/>
            </w:rPr>
            <w:t>(pildymo data)</w:t>
          </w:r>
        </w:p>
        <w:p>
          <w:pPr>
            <w:tabs>
              <w:tab w:val="left" w:pos="2293"/>
              <w:tab w:val="right" w:pos="9356"/>
            </w:tabs>
            <w:spacing w:line="276" w:lineRule="auto"/>
            <w:jc w:val="center"/>
            <w:rPr>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5769"/>
            <w:gridCol w:w="3402"/>
          </w:tblGrid>
          <w:tr>
            <w:tc>
              <w:tcPr>
                <w:tcW w:w="576" w:type="dxa"/>
              </w:tcPr>
              <w:p>
                <w:pPr>
                  <w:spacing w:line="276" w:lineRule="auto"/>
                  <w:jc w:val="center"/>
                  <w:rPr>
                    <w:sz w:val="22"/>
                    <w:szCs w:val="22"/>
                  </w:rPr>
                </w:pPr>
                <w:r>
                  <w:rPr>
                    <w:sz w:val="22"/>
                    <w:szCs w:val="22"/>
                  </w:rPr>
                  <w:t>1.</w:t>
                </w:r>
              </w:p>
            </w:tc>
            <w:tc>
              <w:tcPr>
                <w:tcW w:w="5769" w:type="dxa"/>
              </w:tcPr>
              <w:p>
                <w:pPr>
                  <w:spacing w:line="276" w:lineRule="auto"/>
                  <w:rPr>
                    <w:sz w:val="22"/>
                    <w:szCs w:val="22"/>
                  </w:rPr>
                </w:pPr>
                <w:r>
                  <w:rPr>
                    <w:sz w:val="22"/>
                    <w:szCs w:val="24"/>
                  </w:rPr>
                  <w:t xml:space="preserve">Lytis </w:t>
                </w:r>
              </w:p>
            </w:tc>
            <w:tc>
              <w:tcPr>
                <w:tcW w:w="3402" w:type="dxa"/>
              </w:tcPr>
              <w:p>
                <w:pPr>
                  <w:spacing w:line="276" w:lineRule="auto"/>
                  <w:rPr>
                    <w:sz w:val="22"/>
                    <w:szCs w:val="22"/>
                  </w:rPr>
                </w:pPr>
                <w:r>
                  <w:rPr>
                    <w:sz w:val="22"/>
                    <w:szCs w:val="24"/>
                  </w:rPr>
                  <w:t xml:space="preserve">Vyras </w:t>
                </w:r>
                <w:r>
                  <w:rPr>
                    <w:rFonts w:ascii="MS Mincho" w:eastAsia="MS Mincho" w:hAnsi="MS Mincho" w:cs="MS Mincho"/>
                    <w:sz w:val="22"/>
                    <w:szCs w:val="24"/>
                  </w:rPr>
                  <w:t>☐</w:t>
                </w:r>
                <w:r>
                  <w:rPr>
                    <w:sz w:val="22"/>
                    <w:szCs w:val="24"/>
                  </w:rPr>
                  <w:t xml:space="preserve"> Moteris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2.</w:t>
                </w:r>
              </w:p>
            </w:tc>
            <w:tc>
              <w:tcPr>
                <w:tcW w:w="5769" w:type="dxa"/>
              </w:tcPr>
              <w:p>
                <w:pPr>
                  <w:spacing w:line="276" w:lineRule="auto"/>
                  <w:rPr>
                    <w:sz w:val="22"/>
                    <w:szCs w:val="22"/>
                  </w:rPr>
                </w:pPr>
                <w:r>
                  <w:rPr>
                    <w:sz w:val="22"/>
                    <w:szCs w:val="24"/>
                  </w:rPr>
                  <w:t xml:space="preserve">Amžius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3.</w:t>
                </w:r>
              </w:p>
            </w:tc>
            <w:tc>
              <w:tcPr>
                <w:tcW w:w="5769" w:type="dxa"/>
              </w:tcPr>
              <w:p>
                <w:pPr>
                  <w:spacing w:line="276" w:lineRule="auto"/>
                  <w:rPr>
                    <w:sz w:val="22"/>
                    <w:szCs w:val="22"/>
                  </w:rPr>
                </w:pPr>
                <w:r>
                  <w:rPr>
                    <w:sz w:val="22"/>
                    <w:szCs w:val="24"/>
                  </w:rPr>
                  <w:t xml:space="preserve">Svoris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4.</w:t>
                </w:r>
              </w:p>
            </w:tc>
            <w:tc>
              <w:tcPr>
                <w:tcW w:w="5769" w:type="dxa"/>
              </w:tcPr>
              <w:p>
                <w:pPr>
                  <w:spacing w:line="276" w:lineRule="auto"/>
                  <w:rPr>
                    <w:sz w:val="22"/>
                    <w:szCs w:val="22"/>
                  </w:rPr>
                </w:pPr>
                <w:r>
                  <w:rPr>
                    <w:sz w:val="22"/>
                    <w:szCs w:val="22"/>
                  </w:rPr>
                  <w:t xml:space="preserve">Ūgis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5.</w:t>
                </w:r>
              </w:p>
            </w:tc>
            <w:tc>
              <w:tcPr>
                <w:tcW w:w="5769" w:type="dxa"/>
              </w:tcPr>
              <w:p>
                <w:pPr>
                  <w:spacing w:line="276" w:lineRule="auto"/>
                  <w:rPr>
                    <w:sz w:val="22"/>
                    <w:szCs w:val="22"/>
                  </w:rPr>
                </w:pPr>
                <w:r>
                  <w:rPr>
                    <w:sz w:val="22"/>
                    <w:szCs w:val="24"/>
                  </w:rPr>
                  <w:t xml:space="preserve">Ar vairuodamas buvote užsnūdęs?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6.</w:t>
                </w:r>
              </w:p>
            </w:tc>
            <w:tc>
              <w:tcPr>
                <w:tcW w:w="5769" w:type="dxa"/>
              </w:tcPr>
              <w:p>
                <w:pPr>
                  <w:tabs>
                    <w:tab w:val="left" w:pos="580"/>
                  </w:tabs>
                  <w:spacing w:line="276" w:lineRule="auto"/>
                  <w:rPr>
                    <w:sz w:val="22"/>
                    <w:szCs w:val="22"/>
                  </w:rPr>
                </w:pPr>
                <w:r>
                  <w:rPr>
                    <w:sz w:val="22"/>
                    <w:szCs w:val="24"/>
                  </w:rPr>
                  <w:t xml:space="preserve">Ar buvote patekęs į rimtą autoįvykį (buvote sužeistas ar buvo sudaužyta transporto priemonė) dėl mieguistumo per pastaruosius 3 metus?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7.</w:t>
                </w:r>
              </w:p>
            </w:tc>
            <w:tc>
              <w:tcPr>
                <w:tcW w:w="5769" w:type="dxa"/>
              </w:tcPr>
              <w:p>
                <w:pPr>
                  <w:spacing w:line="276" w:lineRule="auto"/>
                  <w:rPr>
                    <w:sz w:val="22"/>
                    <w:szCs w:val="22"/>
                  </w:rPr>
                </w:pPr>
                <w:r>
                  <w:rPr>
                    <w:sz w:val="22"/>
                    <w:szCs w:val="24"/>
                  </w:rPr>
                  <w:t xml:space="preserve">Ar Jūs knarkiate beveik kiekvieną naktį?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8.</w:t>
                </w:r>
              </w:p>
            </w:tc>
            <w:tc>
              <w:tcPr>
                <w:tcW w:w="5769" w:type="dxa"/>
              </w:tcPr>
              <w:p>
                <w:pPr>
                  <w:tabs>
                    <w:tab w:val="left" w:pos="573"/>
                  </w:tabs>
                  <w:spacing w:line="276" w:lineRule="auto"/>
                  <w:rPr>
                    <w:sz w:val="22"/>
                    <w:szCs w:val="22"/>
                  </w:rPr>
                </w:pPr>
                <w:r>
                  <w:rPr>
                    <w:sz w:val="22"/>
                    <w:szCs w:val="24"/>
                  </w:rPr>
                  <w:t xml:space="preserve">Ar kas nors Jums yra sakęs, kad nustojate kvėpuoti miego metu? </w:t>
                </w:r>
              </w:p>
            </w:tc>
            <w:tc>
              <w:tcPr>
                <w:tcW w:w="3402" w:type="dxa"/>
              </w:tcPr>
              <w:p>
                <w:pPr>
                  <w:tabs>
                    <w:tab w:val="left" w:pos="573"/>
                  </w:tabs>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9.</w:t>
                </w:r>
              </w:p>
            </w:tc>
            <w:tc>
              <w:tcPr>
                <w:tcW w:w="5769" w:type="dxa"/>
              </w:tcPr>
              <w:p>
                <w:pPr>
                  <w:tabs>
                    <w:tab w:val="left" w:pos="573"/>
                  </w:tabs>
                  <w:spacing w:line="276" w:lineRule="auto"/>
                  <w:rPr>
                    <w:sz w:val="22"/>
                    <w:szCs w:val="24"/>
                  </w:rPr>
                </w:pPr>
                <w:r>
                  <w:rPr>
                    <w:sz w:val="22"/>
                    <w:szCs w:val="24"/>
                  </w:rPr>
                  <w:t xml:space="preserve">Ar atsibundate pailsėjęs po nakties miego?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10.</w:t>
                </w:r>
              </w:p>
            </w:tc>
            <w:tc>
              <w:tcPr>
                <w:tcW w:w="5769" w:type="dxa"/>
              </w:tcPr>
              <w:p>
                <w:pPr>
                  <w:tabs>
                    <w:tab w:val="left" w:pos="573"/>
                  </w:tabs>
                  <w:spacing w:line="276" w:lineRule="auto"/>
                  <w:rPr>
                    <w:sz w:val="22"/>
                    <w:szCs w:val="24"/>
                  </w:rPr>
                </w:pPr>
                <w:r>
                  <w:rPr>
                    <w:sz w:val="22"/>
                    <w:szCs w:val="24"/>
                  </w:rPr>
                  <w:t xml:space="preserve">Ar Jūsų kraujo spaudimas būna padidėjęs arba vartojate vaistus, skirtus kraujo spaudimui mažinti?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bl>
        <w:p>
          <w:pPr>
            <w:spacing w:line="360" w:lineRule="auto"/>
            <w:ind w:firstLine="720"/>
            <w:jc w:val="both"/>
            <w:rPr>
              <w:szCs w:val="24"/>
            </w:rPr>
          </w:pPr>
          <w:r>
            <w:rPr>
              <w:szCs w:val="24"/>
              <w:lang w:val="en-US"/>
            </w:rPr>
            <w:t xml:space="preserve">* </w:t>
          </w:r>
          <w:r>
            <w:rPr>
              <w:szCs w:val="24"/>
            </w:rPr>
            <w:t>Klausimynas</w:t>
          </w:r>
          <w:r>
            <w:rPr>
              <w:szCs w:val="24"/>
              <w:lang w:val="en-US"/>
            </w:rPr>
            <w:t xml:space="preserve"> </w:t>
          </w:r>
          <w:r>
            <w:rPr>
              <w:szCs w:val="24"/>
            </w:rPr>
            <w:t xml:space="preserve">dėl obstrukcinės miego apnėjos ir </w:t>
          </w:r>
          <w:r>
            <w:rPr>
              <w:i/>
              <w:szCs w:val="24"/>
            </w:rPr>
            <w:t>Epworth</w:t>
          </w:r>
          <w:r>
            <w:rPr>
              <w:szCs w:val="24"/>
            </w:rPr>
            <w:t xml:space="preserve"> mieguistumo skalė turi būti atspausdinta ant vieno lapo iš abiejų pusių.</w:t>
          </w:r>
        </w:p>
        <w:p>
          <w:pPr>
            <w:spacing w:line="360" w:lineRule="auto"/>
            <w:ind w:left="714"/>
            <w:jc w:val="both"/>
            <w:rPr>
              <w:szCs w:val="24"/>
            </w:rPr>
          </w:pPr>
          <w:r>
            <w:rPr>
              <w:szCs w:val="24"/>
            </w:rPr>
            <w:t xml:space="preserve">Prašome užpildyti </w:t>
          </w:r>
          <w:r>
            <w:rPr>
              <w:i/>
              <w:szCs w:val="24"/>
            </w:rPr>
            <w:t>Epworth</w:t>
          </w:r>
          <w:r>
            <w:rPr>
              <w:szCs w:val="24"/>
            </w:rPr>
            <w:t xml:space="preserve"> mieguistumo skalę kitoje lapo pusėje</w:t>
          </w:r>
          <w:r>
            <w:rPr>
              <w:b/>
              <w:sz w:val="22"/>
              <w:szCs w:val="24"/>
            </w:rPr>
            <w:t>*</w:t>
          </w:r>
          <w:r>
            <w:rPr>
              <w:szCs w:val="24"/>
            </w:rPr>
            <w:t>.</w:t>
          </w:r>
        </w:p>
        <w:p>
          <w:pPr>
            <w:spacing w:line="276" w:lineRule="auto"/>
            <w:rPr>
              <w:b/>
              <w:szCs w:val="24"/>
            </w:rPr>
          </w:pPr>
          <w:r>
            <w:rPr>
              <w:b/>
              <w:szCs w:val="24"/>
            </w:rPr>
            <w:br w:type="page"/>
          </w:r>
        </w:p>
        <w:p>
          <w:pPr>
            <w:tabs>
              <w:tab w:val="left" w:pos="0"/>
              <w:tab w:val="left" w:pos="2703"/>
              <w:tab w:val="center" w:pos="4858"/>
              <w:tab w:val="left" w:pos="6804"/>
            </w:tabs>
            <w:spacing w:line="276" w:lineRule="auto"/>
            <w:jc w:val="center"/>
            <w:rPr>
              <w:b/>
              <w:szCs w:val="24"/>
            </w:rPr>
          </w:pPr>
          <w:r>
            <w:rPr>
              <w:b/>
              <w:i/>
              <w:szCs w:val="24"/>
            </w:rPr>
            <w:t>EPWORTH</w:t>
          </w:r>
          <w:r>
            <w:rPr>
              <w:b/>
              <w:szCs w:val="24"/>
            </w:rPr>
            <w:t xml:space="preserve"> MIEGUISTUMO SKALĖ</w:t>
          </w:r>
        </w:p>
        <w:p>
          <w:pPr>
            <w:rPr>
              <w:sz w:val="18"/>
              <w:szCs w:val="18"/>
            </w:rPr>
          </w:pPr>
        </w:p>
        <w:p>
          <w:pPr>
            <w:tabs>
              <w:tab w:val="left" w:pos="426"/>
              <w:tab w:val="left" w:pos="6804"/>
            </w:tabs>
            <w:spacing w:line="276" w:lineRule="auto"/>
            <w:ind w:firstLine="709"/>
            <w:jc w:val="both"/>
            <w:rPr>
              <w:szCs w:val="24"/>
            </w:rPr>
          </w:pPr>
          <w:r>
            <w:rPr>
              <w:szCs w:val="24"/>
            </w:rPr>
            <w:t xml:space="preserve">Prašome užpildyti </w:t>
          </w:r>
          <w:r>
            <w:rPr>
              <w:i/>
              <w:szCs w:val="24"/>
            </w:rPr>
            <w:t>Epworth</w:t>
          </w:r>
          <w:r>
            <w:rPr>
              <w:szCs w:val="24"/>
            </w:rPr>
            <w:t xml:space="preserve"> mieguistumo skalę, skirtą tikimybei, kad Jūs užsnūsite ar užmigsite, esant situacijoms, pateiktoms toliau esančioje lentelėje, neatsižvelgiant į nuovargį, įvertinti. Atsakymai turi apibūdinti Jūsų šių dienų gyvenimo būdą. Jeigu Jūs paskutiniu laiku nebuvote tokiose situacijose, pabandykite įsivaizduoti, kaip jose jaustumėtės. Į lentelės balų skiltį įrašykite vieną iš skalėje pateiktų labiausiai kiekvienai situacijai tinkančių skaičių: </w:t>
          </w:r>
        </w:p>
        <w:p>
          <w:pPr>
            <w:rPr>
              <w:sz w:val="10"/>
              <w:szCs w:val="10"/>
            </w:rPr>
          </w:pPr>
        </w:p>
        <w:p>
          <w:pPr>
            <w:tabs>
              <w:tab w:val="left" w:pos="426"/>
              <w:tab w:val="left" w:pos="709"/>
            </w:tabs>
            <w:spacing w:line="276" w:lineRule="auto"/>
            <w:ind w:firstLine="709"/>
            <w:jc w:val="both"/>
            <w:rPr>
              <w:szCs w:val="24"/>
            </w:rPr>
          </w:pPr>
          <w:r>
            <w:rPr>
              <w:szCs w:val="24"/>
            </w:rPr>
            <w:t xml:space="preserve">0 = niekada nesnaudžiu </w:t>
          </w:r>
        </w:p>
        <w:p>
          <w:pPr>
            <w:tabs>
              <w:tab w:val="left" w:pos="426"/>
              <w:tab w:val="left" w:pos="709"/>
            </w:tabs>
            <w:spacing w:line="276" w:lineRule="auto"/>
            <w:ind w:left="360" w:firstLine="349"/>
            <w:jc w:val="both"/>
            <w:rPr>
              <w:szCs w:val="24"/>
            </w:rPr>
          </w:pPr>
          <w:r>
            <w:rPr>
              <w:szCs w:val="24"/>
            </w:rPr>
            <w:t xml:space="preserve">1 = nedidelė galimybė užsnūsti </w:t>
          </w:r>
        </w:p>
        <w:p>
          <w:pPr>
            <w:tabs>
              <w:tab w:val="left" w:pos="426"/>
              <w:tab w:val="left" w:pos="709"/>
            </w:tabs>
            <w:spacing w:line="276" w:lineRule="auto"/>
            <w:ind w:left="360" w:firstLine="349"/>
            <w:jc w:val="both"/>
            <w:rPr>
              <w:szCs w:val="24"/>
            </w:rPr>
          </w:pPr>
          <w:r>
            <w:rPr>
              <w:szCs w:val="24"/>
            </w:rPr>
            <w:t>2 = vidutinė galimybė užsnūsti</w:t>
          </w:r>
        </w:p>
        <w:p>
          <w:pPr>
            <w:tabs>
              <w:tab w:val="left" w:pos="426"/>
              <w:tab w:val="left" w:pos="709"/>
            </w:tabs>
            <w:spacing w:line="276" w:lineRule="auto"/>
            <w:ind w:left="360" w:firstLine="349"/>
            <w:jc w:val="both"/>
            <w:rPr>
              <w:szCs w:val="24"/>
            </w:rPr>
          </w:pPr>
          <w:r>
            <w:rPr>
              <w:szCs w:val="24"/>
            </w:rPr>
            <w:t>3 = didelė galimybė užsnūsti</w:t>
          </w:r>
        </w:p>
        <w:p>
          <w:pPr>
            <w:rPr>
              <w:sz w:val="10"/>
              <w:szCs w:val="10"/>
            </w:rPr>
          </w:pPr>
        </w:p>
        <w:p>
          <w:pPr>
            <w:tabs>
              <w:tab w:val="left" w:pos="426"/>
              <w:tab w:val="left" w:pos="1843"/>
              <w:tab w:val="left" w:pos="6804"/>
            </w:tabs>
            <w:spacing w:line="276" w:lineRule="auto"/>
            <w:ind w:left="360" w:firstLine="349"/>
            <w:jc w:val="both"/>
            <w:rPr>
              <w:szCs w:val="24"/>
            </w:rPr>
          </w:pPr>
          <w:r>
            <w:rPr>
              <w:szCs w:val="24"/>
            </w:rPr>
            <w:t>Svarbu įvertinti situaciją kuo tiksliau.</w:t>
          </w:r>
        </w:p>
        <w:tbl>
          <w:tblPr>
            <w:tblW w:w="808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6946"/>
            <w:gridCol w:w="1134"/>
          </w:tblGrid>
          <w:tr>
            <w:tc>
              <w:tcPr>
                <w:tcW w:w="6946" w:type="dxa"/>
              </w:tcPr>
              <w:p>
                <w:pPr>
                  <w:tabs>
                    <w:tab w:val="left" w:pos="426"/>
                    <w:tab w:val="left" w:pos="1843"/>
                    <w:tab w:val="left" w:pos="6804"/>
                  </w:tabs>
                  <w:spacing w:line="276" w:lineRule="auto"/>
                  <w:jc w:val="center"/>
                  <w:rPr>
                    <w:b/>
                    <w:spacing w:val="2"/>
                    <w:position w:val="2"/>
                    <w:szCs w:val="24"/>
                  </w:rPr>
                </w:pPr>
                <w:r>
                  <w:rPr>
                    <w:b/>
                    <w:spacing w:val="2"/>
                    <w:position w:val="2"/>
                    <w:szCs w:val="24"/>
                  </w:rPr>
                  <w:t>Situacija</w:t>
                </w:r>
              </w:p>
            </w:tc>
            <w:tc>
              <w:tcPr>
                <w:tcW w:w="1134" w:type="dxa"/>
              </w:tcPr>
              <w:p>
                <w:pPr>
                  <w:tabs>
                    <w:tab w:val="left" w:pos="426"/>
                    <w:tab w:val="left" w:pos="1843"/>
                    <w:tab w:val="left" w:pos="6804"/>
                  </w:tabs>
                  <w:spacing w:line="276" w:lineRule="auto"/>
                  <w:jc w:val="center"/>
                  <w:rPr>
                    <w:b/>
                    <w:spacing w:val="2"/>
                    <w:position w:val="2"/>
                    <w:szCs w:val="24"/>
                  </w:rPr>
                </w:pPr>
                <w:r>
                  <w:rPr>
                    <w:b/>
                    <w:spacing w:val="2"/>
                    <w:position w:val="2"/>
                    <w:szCs w:val="24"/>
                  </w:rPr>
                  <w:t>Balai</w:t>
                </w: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Sėdint ir skaitant</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Žiūrint televizorių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viešoje vietoje (pvz., teatre ar susirinkime)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Valandą laiko be pertraukos keliaujant automobiliu keleivio vietoje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Atsigulus pailsėti pietų metu, kai leidžia aplinkybės</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 xml:space="preserve">Sėdint ir su kuo nors kalbantis </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papietavus, negėrus alkoholinių gėrimų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s>
                  <w:spacing w:line="276" w:lineRule="auto"/>
                  <w:rPr>
                    <w:spacing w:val="2"/>
                    <w:position w:val="2"/>
                    <w:szCs w:val="24"/>
                  </w:rPr>
                </w:pPr>
                <w:r>
                  <w:rPr>
                    <w:spacing w:val="2"/>
                    <w:position w:val="2"/>
                    <w:szCs w:val="24"/>
                  </w:rPr>
                  <w:t>Vairuojant automobilį, stabtelėjus kelioms minutėms spūsties metu</w:t>
                </w:r>
              </w:p>
            </w:tc>
            <w:tc>
              <w:tcPr>
                <w:tcW w:w="1134" w:type="dxa"/>
              </w:tcPr>
              <w:p>
                <w:pPr>
                  <w:tabs>
                    <w:tab w:val="left" w:pos="426"/>
                    <w:tab w:val="left" w:pos="1843"/>
                    <w:tab w:val="left" w:pos="6804"/>
                  </w:tabs>
                  <w:spacing w:line="276" w:lineRule="auto"/>
                  <w:jc w:val="both"/>
                  <w:rPr>
                    <w:spacing w:val="2"/>
                    <w:position w:val="2"/>
                    <w:szCs w:val="24"/>
                  </w:rPr>
                </w:pPr>
              </w:p>
            </w:tc>
          </w:tr>
        </w:tbl>
        <w:p>
          <w:pPr>
            <w:spacing w:line="276" w:lineRule="auto"/>
            <w:jc w:val="both"/>
            <w:rPr>
              <w:szCs w:val="24"/>
            </w:rPr>
          </w:pPr>
        </w:p>
        <w:p>
          <w:pPr>
            <w:rPr>
              <w:sz w:val="18"/>
              <w:szCs w:val="18"/>
            </w:rPr>
          </w:pPr>
        </w:p>
        <w:p>
          <w:pPr>
            <w:spacing w:line="276" w:lineRule="auto"/>
            <w:ind w:firstLine="709"/>
            <w:jc w:val="both"/>
            <w:rPr>
              <w:szCs w:val="24"/>
            </w:rPr>
          </w:pPr>
          <w:r>
            <w:rPr>
              <w:szCs w:val="24"/>
            </w:rPr>
            <w:t>Užtikrinu, kad mano pateikta informacija yra teisinga, ir suprantu, kad pablogėjus sveikatos būklei turiu nedelsdamas (-a) kreiptis į gydytoją.</w:t>
          </w:r>
        </w:p>
        <w:p>
          <w:pPr>
            <w:rPr>
              <w:sz w:val="18"/>
              <w:szCs w:val="18"/>
            </w:rPr>
          </w:pPr>
        </w:p>
        <w:p>
          <w:pPr>
            <w:tabs>
              <w:tab w:val="left" w:pos="6480"/>
            </w:tabs>
            <w:spacing w:line="276" w:lineRule="auto"/>
            <w:jc w:val="both"/>
            <w:rPr>
              <w:szCs w:val="24"/>
            </w:rPr>
          </w:pPr>
          <w:r>
            <w:rPr>
              <w:szCs w:val="24"/>
            </w:rPr>
            <w:t>_________________</w:t>
            <w:tab/>
            <w:t>_____________________</w:t>
          </w:r>
        </w:p>
        <w:p>
          <w:pPr>
            <w:rPr>
              <w:sz w:val="18"/>
              <w:szCs w:val="18"/>
            </w:rPr>
          </w:pPr>
        </w:p>
        <w:p>
          <w:pPr>
            <w:tabs>
              <w:tab w:val="left" w:pos="1122"/>
              <w:tab w:val="left" w:pos="6900"/>
            </w:tabs>
            <w:spacing w:line="276" w:lineRule="auto"/>
            <w:ind w:firstLine="1122"/>
            <w:jc w:val="both"/>
            <w:rPr>
              <w:szCs w:val="24"/>
            </w:rPr>
          </w:pPr>
          <w:r>
            <w:rPr>
              <w:szCs w:val="24"/>
            </w:rPr>
            <w:t>(parašas)</w:t>
            <w:tab/>
            <w:t>(vardas, pavardė)</w:t>
          </w:r>
        </w:p>
        <w:p>
          <w:pPr>
            <w:rPr>
              <w:sz w:val="18"/>
              <w:szCs w:val="18"/>
            </w:rPr>
          </w:pPr>
        </w:p>
        <w:p>
          <w:pPr>
            <w:spacing w:line="276" w:lineRule="auto"/>
            <w:jc w:val="both"/>
            <w:rPr>
              <w:szCs w:val="24"/>
            </w:rPr>
          </w:pPr>
          <w:r>
            <w:rPr>
              <w:b/>
              <w:bCs/>
              <w:szCs w:val="24"/>
            </w:rPr>
            <w:t xml:space="preserve">Pastaba. </w:t>
          </w:r>
          <w:r>
            <w:rPr>
              <w:szCs w:val="24"/>
            </w:rPr>
            <w:t>Klausimynas įdedamas į Asmens sveikatos istoriją „F 025/a</w:t>
          </w:r>
        </w:p>
        <w:p>
          <w:pPr>
            <w:rPr>
              <w:sz w:val="18"/>
              <w:szCs w:val="18"/>
            </w:rPr>
          </w:pPr>
        </w:p>
        <w:p/>
        <w:p>
          <w:pPr>
            <w:tabs>
              <w:tab w:val="left" w:pos="1134"/>
            </w:tabs>
            <w:spacing w:after="200"/>
            <w:ind w:left="851"/>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
      <w:sdtPr>
        <w:alias w:val="8 pr."/>
        <w:tag w:val="part_55fd7fe9e33046209ea3009aeaa8b7b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pgNumType w:start="1"/>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ind w:left="5462"/>
            <w:rPr>
              <w:color w:val="000000"/>
            </w:rPr>
          </w:pPr>
        </w:p>
        <w:p>
          <w:pPr>
            <w:tabs>
              <w:tab w:val="left" w:pos="1304"/>
              <w:tab w:val="left" w:pos="1457"/>
              <w:tab w:val="left" w:pos="1604"/>
              <w:tab w:val="left" w:pos="1757"/>
            </w:tabs>
            <w:ind w:left="5102"/>
            <w:rPr>
              <w:color w:val="000000"/>
            </w:rPr>
          </w:pPr>
          <w:sdt>
            <w:sdtPr>
              <w:alias w:val="Numeris"/>
              <w:tag w:val="nr_55fd7fe9e33046209ea3009aeaa8b7b7"/>
              <w:lock w:val="sdtLocked"/>
              <w:richText/>
            </w:sdtPr>
            <w:sdtContent>
              <w:r>
                <w:rPr>
                  <w:color w:val="000000"/>
                </w:rPr>
                <w:t>8</w:t>
              </w:r>
            </w:sdtContent>
          </w:sdt>
          <w:r>
            <w:rPr>
              <w:color w:val="000000"/>
            </w:rPr>
            <w:t xml:space="preserve"> priedas</w:t>
          </w:r>
        </w:p>
        <w:p>
          <w:pPr>
            <w:widowControl w:val="0"/>
            <w:ind w:left="5462"/>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0"/>
            <w:gridCol w:w="2763"/>
            <w:gridCol w:w="4824"/>
          </w:tblGrid>
          <w:tr>
            <w:tc>
              <w:tcPr>
                <w:tcW w:w="4813" w:type="dxa"/>
                <w:gridSpan w:val="2"/>
                <w:shd w:val="clear" w:color="auto" w:fill="auto"/>
              </w:tcPr>
              <w:p>
                <w:pPr>
                  <w:widowControl w:val="0"/>
                  <w:ind w:left="360"/>
                  <w:jc w:val="center"/>
                  <w:rPr>
                    <w:sz w:val="14"/>
                  </w:rPr>
                </w:pPr>
                <w:r>
                  <w:rPr>
                    <w:sz w:val="14"/>
                  </w:rPr>
                  <w:t>Sveikatos tikrintojas</w:t>
                </w:r>
              </w:p>
            </w:tc>
            <w:tc>
              <w:tcPr>
                <w:tcW w:w="4824" w:type="dxa"/>
                <w:vMerge w:val="restart"/>
                <w:shd w:val="clear" w:color="auto" w:fill="auto"/>
              </w:tcPr>
              <w:p>
                <w:pPr>
                  <w:widowControl w:val="0"/>
                  <w:ind w:left="360"/>
                  <w:jc w:val="center"/>
                  <w:rPr>
                    <w:sz w:val="14"/>
                  </w:rPr>
                </w:pPr>
                <w:r>
                  <w:rPr>
                    <w:sz w:val="14"/>
                  </w:rPr>
                  <w:t>Sveikatos tikrinimų tvarką reglamentuojantys teisės aktai</w:t>
                </w:r>
              </w:p>
            </w:tc>
          </w:tr>
          <w:tr>
            <w:trPr>
              <w:trHeight w:val="905"/>
            </w:trPr>
            <w:tc>
              <w:tcPr>
                <w:tcW w:w="2050" w:type="dxa"/>
                <w:tcBorders>
                  <w:bottom w:val="single" w:sz="4" w:space="0" w:color="auto"/>
                </w:tcBorders>
                <w:shd w:val="clear" w:color="auto" w:fill="auto"/>
              </w:tcPr>
              <w:p>
                <w:pPr>
                  <w:widowControl w:val="0"/>
                  <w:ind w:left="360"/>
                  <w:jc w:val="center"/>
                  <w:rPr>
                    <w:sz w:val="14"/>
                  </w:rPr>
                </w:pPr>
                <w:r>
                  <w:rPr>
                    <w:sz w:val="14"/>
                  </w:rPr>
                  <w:t>Pirminio lygio asmens sveikatos priežiūros paslaugas teikiantys gydytojai</w:t>
                </w:r>
              </w:p>
            </w:tc>
            <w:tc>
              <w:tcPr>
                <w:tcW w:w="2763" w:type="dxa"/>
                <w:tcBorders>
                  <w:bottom w:val="single" w:sz="4" w:space="0" w:color="auto"/>
                </w:tcBorders>
                <w:shd w:val="clear" w:color="auto" w:fill="auto"/>
              </w:tcPr>
              <w:p>
                <w:pPr>
                  <w:widowControl w:val="0"/>
                  <w:ind w:left="360"/>
                  <w:jc w:val="center"/>
                  <w:rPr>
                    <w:sz w:val="14"/>
                  </w:rPr>
                </w:pPr>
                <w:r>
                  <w:rPr>
                    <w:sz w:val="14"/>
                  </w:rPr>
                  <w:t>Antrinio lygio asmens sveikatos priežiūros paslaugas teikiantys gydytojai</w:t>
                </w:r>
              </w:p>
            </w:tc>
            <w:tc>
              <w:tcPr>
                <w:tcW w:w="4824" w:type="dxa"/>
                <w:vMerge/>
                <w:tcBorders>
                  <w:bottom w:val="single" w:sz="4" w:space="0" w:color="auto"/>
                </w:tcBorders>
                <w:shd w:val="clear" w:color="auto" w:fill="auto"/>
              </w:tcPr>
              <w:p>
                <w:pPr>
                  <w:widowControl w:val="0"/>
                  <w:ind w:left="360"/>
                  <w:jc w:val="center"/>
                  <w:rPr>
                    <w:sz w:val="14"/>
                  </w:rPr>
                </w:pPr>
              </w:p>
            </w:tc>
          </w:tr>
          <w:tr>
            <w:tc>
              <w:tcPr>
                <w:tcW w:w="2050" w:type="dxa"/>
                <w:shd w:val="clear" w:color="auto" w:fill="auto"/>
              </w:tcPr>
              <w:p>
                <w:pPr>
                  <w:widowControl w:val="0"/>
                  <w:ind w:left="360"/>
                  <w:rPr>
                    <w:sz w:val="14"/>
                  </w:rPr>
                </w:pPr>
                <w:r>
                  <w:rPr>
                    <w:sz w:val="14"/>
                  </w:rPr>
                  <w:t>Bendrosios praktikos gydytojas,</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r>
                  <w:rPr>
                    <w:sz w:val="14"/>
                  </w:rPr>
                  <w:t>Sveikatos apsaugos ministerijos 1997 04 24 įsakymas Nr. 221 „Dėl ligų ir sveikatos</w:t>
                </w: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problemų, dėl kurių negalima tinkamai naudotis civiliniais ginklais, sąrašo ir asmenų,</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norinčių įsigyti civilinį ginklą, medicininio tikrinimo tvarkos patvirtinimo“ (Žin., 1997, Nr. </w:t>
                </w:r>
                <w:hyperlink r:id="rId45" w:tgtFrame="_blank" w:history="1">
                  <w:r>
                    <w:rPr>
                      <w:color w:val="0000FF" w:themeColor="hyperlink"/>
                      <w:sz w:val="14"/>
                      <w:u w:val="single"/>
                    </w:rPr>
                    <w:t>42-1039</w:t>
                  </w:r>
                </w:hyperlink>
                <w:r>
                  <w:rPr>
                    <w:sz w:val="14"/>
                  </w:rPr>
                  <w:t>)</w:t>
                </w:r>
              </w:p>
            </w:tc>
          </w:tr>
          <w:tr>
            <w:tc>
              <w:tcPr>
                <w:tcW w:w="2050" w:type="dxa"/>
                <w:shd w:val="clear" w:color="auto" w:fill="auto"/>
              </w:tcPr>
              <w:p>
                <w:pPr>
                  <w:widowControl w:val="0"/>
                  <w:ind w:left="360"/>
                  <w:rPr>
                    <w:sz w:val="14"/>
                  </w:rPr>
                </w:pPr>
                <w:r>
                  <w:rPr>
                    <w:sz w:val="14"/>
                  </w:rPr>
                  <w:t xml:space="preserve">Apylinkės terapeutas, </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Sveikatos apsaugos ministerijos 1998 03 02 įsakymas Nr. 107 „Dėl asmenų, norinčių įsigyti</w:t>
                </w:r>
              </w:p>
            </w:tc>
          </w:tr>
          <w:tr>
            <w:tc>
              <w:tcPr>
                <w:tcW w:w="2050" w:type="dxa"/>
                <w:shd w:val="clear" w:color="auto" w:fill="auto"/>
              </w:tcPr>
              <w:p>
                <w:pPr>
                  <w:widowControl w:val="0"/>
                  <w:ind w:left="360"/>
                  <w:rPr>
                    <w:sz w:val="14"/>
                  </w:rPr>
                </w:pPr>
                <w:r>
                  <w:rPr>
                    <w:sz w:val="14"/>
                  </w:rPr>
                  <w:t>chirurgas</w:t>
                </w: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civilinį ginklą, medicininio patikrinimo tvarkos (Žin., 1998, Nr. </w:t>
                </w:r>
                <w:hyperlink r:id="rId46" w:history="1">
                  <w:r>
                    <w:rPr>
                      <w:sz w:val="14"/>
                    </w:rPr>
                    <w:t>25-654</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Lietuvos Respublikos ginklų ir šaudmenų kontrolės įstatymas (Žin., 1996, Nr. </w:t>
                </w:r>
                <w:hyperlink r:id="rId47" w:tgtFrame="_blank" w:history="1">
                  <w:r>
                    <w:rPr>
                      <w:color w:val="0000FF" w:themeColor="hyperlink"/>
                      <w:sz w:val="14"/>
                      <w:u w:val="single"/>
                    </w:rPr>
                    <w:t>69-1665</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Sveikatos apsaugos ministerijos 1998 12 17 įsakymas Nr. 751 „Dėl asmenų, norinčių įsigyti</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civilinį ginklą, schematizuotos apžiūros ir psichikos būklės įvertinimo metodikos</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patvirtinimo“ (Žin., 1998, Nr. </w:t>
                </w:r>
                <w:hyperlink r:id="rId48" w:history="1">
                  <w:r>
                    <w:rPr>
                      <w:sz w:val="14"/>
                    </w:rPr>
                    <w:t>112-3118</w:t>
                  </w:r>
                </w:hyperlink>
                <w:r>
                  <w:rPr>
                    <w:sz w:val="14"/>
                  </w:rPr>
                  <w:t>)</w:t>
                </w:r>
              </w:p>
            </w:tc>
          </w:tr>
        </w:tbl>
        <w:p>
          <w:pPr>
            <w:tabs>
              <w:tab w:val="left" w:pos="1304"/>
              <w:tab w:val="left" w:pos="1457"/>
              <w:tab w:val="left" w:pos="1604"/>
              <w:tab w:val="left" w:pos="1757"/>
            </w:tabs>
            <w:jc w:val="center"/>
            <w:rPr>
              <w:color w:val="000000"/>
            </w:rPr>
          </w:pPr>
          <w:r>
            <w:rPr>
              <w:color w:val="000000"/>
            </w:rPr>
            <w:t>______________</w:t>
          </w:r>
        </w:p>
      </w:sdtContent>
    </w:sdt>
    <w:sdt>
      <w:sdtPr>
        <w:alias w:val="9 pr."/>
        <w:tag w:val="part_d06b380f6ba04718b98617c9e8e6996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d06b380f6ba04718b98617c9e8e69967"/>
              <w:lock w:val="sdtLocked"/>
              <w:richText/>
            </w:sdtPr>
            <w:sdtContent>
              <w:r>
                <w:rPr>
                  <w:color w:val="000000"/>
                </w:rPr>
                <w:t>9</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d06b380f6ba04718b98617c9e8e69967"/>
              <w:lock w:val="sdtLocked"/>
              <w:richText/>
            </w:sdtPr>
            <w:sdtContent>
              <w:r>
                <w:rPr>
                  <w:b/>
                  <w:caps/>
                  <w:color w:val="000000"/>
                </w:rPr>
                <w:t>VYKSTANČIŲJŲ Į UŽSIENĮ SVEIKATOS TIKRINIMO TVARKA</w:t>
              </w:r>
            </w:sdtContent>
          </w:sdt>
        </w:p>
        <w:p>
          <w:pPr>
            <w:widowControl w:val="0"/>
            <w:ind w:left="1069"/>
            <w:jc w:val="both"/>
            <w:rPr>
              <w:color w:val="000000"/>
            </w:rPr>
          </w:pPr>
        </w:p>
        <w:p>
          <w:pPr>
            <w:widowControl w:val="0"/>
            <w:ind w:firstLine="720"/>
            <w:jc w:val="both"/>
            <w:rPr>
              <w:color w:val="000000"/>
            </w:rPr>
          </w:pPr>
          <w:r>
            <w:rPr>
              <w:color w:val="000000"/>
            </w:rPr>
            <w:t>Tikrinimo tikslas – nustatyti ir įvertinti asmens, vykstančio į užsienį, sveikatos būklę.</w:t>
          </w:r>
        </w:p>
        <w:p>
          <w:pPr>
            <w:widowControl w:val="0"/>
            <w:ind w:firstLine="720"/>
            <w:jc w:val="both"/>
            <w:rPr>
              <w:color w:val="000000"/>
            </w:rPr>
          </w:pPr>
        </w:p>
        <w:sdt>
          <w:sdtPr>
            <w:alias w:val="skyrius"/>
            <w:tag w:val="part_1e0067e1fbe24e8491d576eadb5d0fdc"/>
            <w:lock w:val="sdtLocked"/>
            <w:richText/>
          </w:sdtPr>
          <w:sdtContent>
            <w:p>
              <w:pPr>
                <w:jc w:val="center"/>
                <w:rPr>
                  <w:b/>
                  <w:caps/>
                  <w:color w:val="000000"/>
                </w:rPr>
              </w:pPr>
              <w:sdt>
                <w:sdtPr>
                  <w:alias w:val="Numeris"/>
                  <w:tag w:val="nr_1e0067e1fbe24e8491d576eadb5d0fdc"/>
                  <w:lock w:val="sdtLocked"/>
                  <w:richText/>
                </w:sdtPr>
                <w:sdtContent>
                  <w:r>
                    <w:rPr>
                      <w:b/>
                      <w:caps/>
                      <w:color w:val="000000"/>
                    </w:rPr>
                    <w:t>I</w:t>
                  </w:r>
                </w:sdtContent>
              </w:sdt>
              <w:r>
                <w:rPr>
                  <w:b/>
                  <w:caps/>
                  <w:color w:val="000000"/>
                </w:rPr>
                <w:t xml:space="preserve">. </w:t>
              </w:r>
              <w:sdt>
                <w:sdtPr>
                  <w:alias w:val="Pavadinimas"/>
                  <w:tag w:val="title_1e0067e1fbe24e8491d576eadb5d0fdc"/>
                  <w:lock w:val="sdtLocked"/>
                  <w:richText/>
                </w:sdtPr>
                <w:sdtContent>
                  <w:r>
                    <w:rPr>
                      <w:b/>
                      <w:caps/>
                      <w:color w:val="000000"/>
                    </w:rPr>
                    <w:t>BENDROSIOS NUOSTATOS</w:t>
                  </w:r>
                </w:sdtContent>
              </w:sdt>
            </w:p>
            <w:p>
              <w:pPr>
                <w:widowControl w:val="0"/>
                <w:ind w:left="1069"/>
                <w:jc w:val="both"/>
                <w:rPr>
                  <w:color w:val="000000"/>
                </w:rPr>
              </w:pPr>
            </w:p>
            <w:sdt>
              <w:sdtPr>
                <w:alias w:val="9 pr. 1 p."/>
                <w:tag w:val="part_3105c62ba46e48ca882a40ab919bac7d"/>
                <w:lock w:val="sdtLocked"/>
                <w:richText/>
              </w:sdtPr>
              <w:sdtContent>
                <w:p>
                  <w:pPr>
                    <w:widowControl w:val="0"/>
                    <w:ind w:firstLine="720"/>
                    <w:jc w:val="both"/>
                    <w:rPr>
                      <w:color w:val="000000"/>
                    </w:rPr>
                  </w:pPr>
                  <w:sdt>
                    <w:sdtPr>
                      <w:alias w:val="Numeris"/>
                      <w:tag w:val="nr_3105c62ba46e48ca882a40ab919bac7d"/>
                      <w:lock w:val="sdtLocked"/>
                      <w:richText/>
                    </w:sdtPr>
                    <w:sdtContent>
                      <w:r>
                        <w:rPr>
                          <w:color w:val="000000"/>
                        </w:rPr>
                        <w:t>1</w:t>
                      </w:r>
                    </w:sdtContent>
                  </w:sdt>
                  <w:r>
                    <w:rPr>
                      <w:color w:val="000000"/>
                    </w:rPr>
                    <w:t>. Asmenys, vykstantys į užsienį dirbti ar mokytis, privalo tikrintis sveikatą atsižvelgdami į šalies, į kurią išvykstama, ar išvykos organizatorių keliamus reikalavimus. Vykstantieji gyventi ar turistiniais tikslais sveikatą tikrinasi, jeigu reikalauja šalis, į kurią vykstama, ar kelionės organizatoriai.</w:t>
                  </w:r>
                </w:p>
              </w:sdtContent>
            </w:sdt>
            <w:sdt>
              <w:sdtPr>
                <w:alias w:val="9 pr. 2 p."/>
                <w:tag w:val="part_fb032c2e61b643a7804a07274024791f"/>
                <w:lock w:val="sdtLocked"/>
                <w:richText/>
              </w:sdtPr>
              <w:sdtContent>
                <w:p>
                  <w:pPr>
                    <w:widowControl w:val="0"/>
                    <w:ind w:firstLine="720"/>
                    <w:jc w:val="both"/>
                    <w:rPr>
                      <w:color w:val="000000"/>
                    </w:rPr>
                  </w:pPr>
                  <w:sdt>
                    <w:sdtPr>
                      <w:alias w:val="Numeris"/>
                      <w:tag w:val="nr_fb032c2e61b643a7804a07274024791f"/>
                      <w:lock w:val="sdtLocked"/>
                      <w:richText/>
                    </w:sdtPr>
                    <w:sdtContent>
                      <w:r>
                        <w:rPr>
                          <w:color w:val="000000"/>
                        </w:rPr>
                        <w:t>2</w:t>
                      </w:r>
                    </w:sdtContent>
                  </w:sdt>
                  <w:r>
                    <w:rPr>
                      <w:color w:val="000000"/>
                    </w:rPr>
                    <w:t>. Sveikatos tikrinimą organizuoja bendrosios praktikos gydytojas (BPG) arba apylinkės terapeutas (pediatras).</w:t>
                  </w:r>
                </w:p>
              </w:sdtContent>
            </w:sdt>
            <w:sdt>
              <w:sdtPr>
                <w:alias w:val="9 pr. 3 p."/>
                <w:tag w:val="part_cfc180eacc254d9ea5c8a44e4ea12c7f"/>
                <w:lock w:val="sdtLocked"/>
                <w:richText/>
              </w:sdtPr>
              <w:sdtContent>
                <w:p>
                  <w:pPr>
                    <w:widowControl w:val="0"/>
                    <w:ind w:firstLine="720"/>
                    <w:jc w:val="both"/>
                    <w:rPr>
                      <w:color w:val="000000"/>
                    </w:rPr>
                  </w:pPr>
                  <w:sdt>
                    <w:sdtPr>
                      <w:alias w:val="Numeris"/>
                      <w:tag w:val="nr_cfc180eacc254d9ea5c8a44e4ea12c7f"/>
                      <w:lock w:val="sdtLocked"/>
                      <w:richText/>
                    </w:sdtPr>
                    <w:sdtContent>
                      <w:r>
                        <w:rPr>
                          <w:color w:val="000000"/>
                        </w:rPr>
                        <w:t>3</w:t>
                      </w:r>
                    </w:sdtContent>
                  </w:sdt>
                  <w:r>
                    <w:rPr>
                      <w:color w:val="000000"/>
                    </w:rPr>
                    <w:t>. Vykstantysis gydytojui pateikia dokumentus, gautus iš Užsienio reikalų ministerijos, užsienio šalies ambasados ar išvykos organizatorių, į kuriuos reikia įrašyti duomenis apie išvykstančiojo sveikatos būklę, atliktus tyrimus ir skiepijimus.</w:t>
                  </w:r>
                </w:p>
              </w:sdtContent>
            </w:sdt>
            <w:sdt>
              <w:sdtPr>
                <w:alias w:val="9 pr. 4 p."/>
                <w:tag w:val="part_f9550c9b81cb47c39ce672c935b38276"/>
                <w:lock w:val="sdtLocked"/>
                <w:richText/>
              </w:sdtPr>
              <w:sdtContent>
                <w:p>
                  <w:pPr>
                    <w:widowControl w:val="0"/>
                    <w:ind w:firstLine="720"/>
                    <w:jc w:val="both"/>
                    <w:rPr>
                      <w:color w:val="000000"/>
                    </w:rPr>
                  </w:pPr>
                  <w:sdt>
                    <w:sdtPr>
                      <w:alias w:val="Numeris"/>
                      <w:tag w:val="nr_f9550c9b81cb47c39ce672c935b38276"/>
                      <w:lock w:val="sdtLocked"/>
                      <w:richText/>
                    </w:sdtPr>
                    <w:sdtContent>
                      <w:r>
                        <w:rPr>
                          <w:color w:val="000000"/>
                        </w:rPr>
                        <w:t>4</w:t>
                      </w:r>
                    </w:sdtContent>
                  </w:sdt>
                  <w:r>
                    <w:rPr>
                      <w:color w:val="000000"/>
                    </w:rPr>
                    <w:t>. Įvedus vykstančių į užsienį privalomą sveikatos draudimą, tikrinant išvykstančiųjų sveikatą reikia vadovautis draudimo dokumentais nustatyta tvarka.</w:t>
                  </w:r>
                </w:p>
              </w:sdtContent>
            </w:sdt>
            <w:sdt>
              <w:sdtPr>
                <w:alias w:val="9 pr. 5 p."/>
                <w:tag w:val="part_b28b5c9227244489b3b669692b42b830"/>
                <w:lock w:val="sdtLocked"/>
                <w:richText/>
              </w:sdtPr>
              <w:sdtContent>
                <w:p>
                  <w:pPr>
                    <w:widowControl w:val="0"/>
                    <w:ind w:firstLine="720"/>
                    <w:jc w:val="both"/>
                    <w:rPr>
                      <w:color w:val="000000"/>
                    </w:rPr>
                  </w:pPr>
                  <w:sdt>
                    <w:sdtPr>
                      <w:alias w:val="Numeris"/>
                      <w:tag w:val="nr_b28b5c9227244489b3b669692b42b830"/>
                      <w:lock w:val="sdtLocked"/>
                      <w:richText/>
                    </w:sdtPr>
                    <w:sdtContent>
                      <w:r>
                        <w:rPr>
                          <w:color w:val="000000"/>
                        </w:rPr>
                        <w:t>5</w:t>
                      </w:r>
                    </w:sdtContent>
                  </w:sdt>
                  <w:r>
                    <w:rPr>
                      <w:color w:val="000000"/>
                    </w:rPr>
                    <w:t>. Tikrinantis sveikatą, reikia turėti asmens dokumentą su fotonuotrauka.</w:t>
                  </w:r>
                </w:p>
              </w:sdtContent>
            </w:sdt>
            <w:sdt>
              <w:sdtPr>
                <w:alias w:val="9 pr. 6 p."/>
                <w:tag w:val="part_8bc8f654a006472e864f9ce463518658"/>
                <w:lock w:val="sdtLocked"/>
                <w:richText/>
              </w:sdtPr>
              <w:sdtContent>
                <w:p>
                  <w:pPr>
                    <w:widowControl w:val="0"/>
                    <w:ind w:firstLine="720"/>
                    <w:jc w:val="both"/>
                    <w:rPr>
                      <w:color w:val="000000"/>
                    </w:rPr>
                  </w:pPr>
                  <w:sdt>
                    <w:sdtPr>
                      <w:alias w:val="Numeris"/>
                      <w:tag w:val="nr_8bc8f654a006472e864f9ce463518658"/>
                      <w:lock w:val="sdtLocked"/>
                      <w:richText/>
                    </w:sdtPr>
                    <w:sdtContent>
                      <w:r>
                        <w:rPr>
                          <w:color w:val="000000"/>
                        </w:rPr>
                        <w:t>6</w:t>
                      </w:r>
                    </w:sdtContent>
                  </w:sdt>
                  <w:r>
                    <w:rPr>
                      <w:color w:val="000000"/>
                    </w:rPr>
                    <w:t>. Tikrinant sveikatą atsižvelgiant į šalies, į kurią vykstama, keliamus reikalavimus ir medicinines indikacijas arba darbą, kurį rengiamasi dirbti, gali būti atliekami tyrimai, imunoprofilaktikos ir kitos sveikatinimo priemonės (žr. lentelę).</w:t>
                  </w:r>
                </w:p>
              </w:sdtContent>
            </w:sdt>
            <w:sdt>
              <w:sdtPr>
                <w:alias w:val="9 pr. 7 p."/>
                <w:tag w:val="part_6a340326c0b241bc84916f08cea6858a"/>
                <w:lock w:val="sdtLocked"/>
                <w:richText/>
              </w:sdtPr>
              <w:sdtContent>
                <w:p>
                  <w:pPr>
                    <w:widowControl w:val="0"/>
                    <w:ind w:firstLine="720"/>
                    <w:jc w:val="both"/>
                    <w:rPr>
                      <w:color w:val="000000"/>
                    </w:rPr>
                  </w:pPr>
                  <w:sdt>
                    <w:sdtPr>
                      <w:alias w:val="Numeris"/>
                      <w:tag w:val="nr_6a340326c0b241bc84916f08cea6858a"/>
                      <w:lock w:val="sdtLocked"/>
                      <w:richText/>
                    </w:sdtPr>
                    <w:sdtContent>
                      <w:r>
                        <w:rPr>
                          <w:color w:val="000000"/>
                        </w:rPr>
                        <w:t>7</w:t>
                      </w:r>
                    </w:sdtContent>
                  </w:sdt>
                  <w:r>
                    <w:rPr>
                      <w:color w:val="000000"/>
                    </w:rPr>
                    <w:t>. Bendrosios praktikos gydytojas, apylinkės terapeutas ar pediatras, esant indikacijų, gali siųsti pas kitus specialistus.</w:t>
                  </w:r>
                </w:p>
              </w:sdtContent>
            </w:sdt>
            <w:sdt>
              <w:sdtPr>
                <w:alias w:val="9 pr. 8 p."/>
                <w:tag w:val="part_290f910a086c4955b523b414c882cfe6"/>
                <w:lock w:val="sdtLocked"/>
                <w:richText/>
              </w:sdtPr>
              <w:sdtContent>
                <w:p>
                  <w:pPr>
                    <w:widowControl w:val="0"/>
                    <w:ind w:firstLine="720"/>
                    <w:jc w:val="both"/>
                    <w:rPr>
                      <w:color w:val="000000"/>
                    </w:rPr>
                  </w:pPr>
                  <w:sdt>
                    <w:sdtPr>
                      <w:alias w:val="Numeris"/>
                      <w:tag w:val="nr_290f910a086c4955b523b414c882cfe6"/>
                      <w:lock w:val="sdtLocked"/>
                      <w:richText/>
                    </w:sdtPr>
                    <w:sdtContent>
                      <w:r>
                        <w:rPr>
                          <w:color w:val="000000"/>
                        </w:rPr>
                        <w:t>8</w:t>
                      </w:r>
                    </w:sdtContent>
                  </w:sdt>
                  <w:r>
                    <w:rPr>
                      <w:color w:val="000000"/>
                    </w:rPr>
                    <w:t>. Sveikatą tikrinantis gydytojas turi teisę gauti informaciją iš kitų sveikatos priežiūros įstaigų, o šios privalo tokią informaciją teikti.</w:t>
                  </w:r>
                </w:p>
              </w:sdtContent>
            </w:sdt>
            <w:sdt>
              <w:sdtPr>
                <w:alias w:val="9 pr. 9 p."/>
                <w:tag w:val="part_6e01b5da4ae84645be8638db0c1d920b"/>
                <w:lock w:val="sdtLocked"/>
                <w:richText/>
              </w:sdtPr>
              <w:sdtContent>
                <w:p>
                  <w:pPr>
                    <w:widowControl w:val="0"/>
                    <w:ind w:firstLine="720"/>
                    <w:jc w:val="both"/>
                    <w:rPr>
                      <w:color w:val="000000"/>
                    </w:rPr>
                  </w:pPr>
                  <w:sdt>
                    <w:sdtPr>
                      <w:alias w:val="Numeris"/>
                      <w:tag w:val="nr_6e01b5da4ae84645be8638db0c1d920b"/>
                      <w:lock w:val="sdtLocked"/>
                      <w:richText/>
                    </w:sdtPr>
                    <w:sdtContent>
                      <w:r>
                        <w:rPr>
                          <w:color w:val="000000"/>
                        </w:rPr>
                        <w:t>9</w:t>
                      </w:r>
                    </w:sdtContent>
                  </w:sdt>
                  <w:r>
                    <w:rPr>
                      <w:color w:val="000000"/>
                    </w:rPr>
                    <w:t>. Prireikus vadovaujamasi vairuotojų, geležinkelininkų, jūreivių ir kt. sveikatos tikrinimo tvarka.</w:t>
                  </w:r>
                </w:p>
              </w:sdtContent>
            </w:sdt>
            <w:sdt>
              <w:sdtPr>
                <w:alias w:val="9 pr. 10 p."/>
                <w:tag w:val="part_844e64cd658c4f3f8da904f9c59a1d2c"/>
                <w:lock w:val="sdtLocked"/>
                <w:richText/>
              </w:sdtPr>
              <w:sdtContent>
                <w:p>
                  <w:pPr>
                    <w:widowControl w:val="0"/>
                    <w:ind w:firstLine="720"/>
                    <w:jc w:val="both"/>
                    <w:rPr>
                      <w:color w:val="000000"/>
                    </w:rPr>
                  </w:pPr>
                  <w:sdt>
                    <w:sdtPr>
                      <w:alias w:val="Numeris"/>
                      <w:tag w:val="nr_844e64cd658c4f3f8da904f9c59a1d2c"/>
                      <w:lock w:val="sdtLocked"/>
                      <w:richText/>
                    </w:sdtPr>
                    <w:sdtContent>
                      <w:r>
                        <w:rPr>
                          <w:color w:val="000000"/>
                        </w:rPr>
                        <w:t>10</w:t>
                      </w:r>
                    </w:sdtContent>
                  </w:sdt>
                  <w:r>
                    <w:rPr>
                      <w:color w:val="000000"/>
                    </w:rPr>
                    <w:t>. Vykstant į epidemiologiškai pavojingas šalis, reikalingas sertifikatas (pažyma) apie skiepus. Siuntimą skiepyti (F 027/a), būtinai nurodant, kad nėra kontraindikacijų, išduoda sveikatą tikrinantis gydytojas.</w:t>
                  </w:r>
                </w:p>
              </w:sdtContent>
            </w:sdt>
            <w:sdt>
              <w:sdtPr>
                <w:alias w:val="9 pr. 11 p."/>
                <w:tag w:val="part_824637e270684d09a8c9af6401811b02"/>
                <w:lock w:val="sdtLocked"/>
                <w:richText/>
              </w:sdtPr>
              <w:sdtContent>
                <w:p>
                  <w:pPr>
                    <w:widowControl w:val="0"/>
                    <w:ind w:firstLine="720"/>
                    <w:jc w:val="both"/>
                    <w:rPr>
                      <w:color w:val="000000"/>
                    </w:rPr>
                  </w:pPr>
                  <w:sdt>
                    <w:sdtPr>
                      <w:alias w:val="Numeris"/>
                      <w:tag w:val="nr_824637e270684d09a8c9af6401811b02"/>
                      <w:lock w:val="sdtLocked"/>
                      <w:richText/>
                    </w:sdtPr>
                    <w:sdtContent>
                      <w:r>
                        <w:rPr>
                          <w:color w:val="000000"/>
                        </w:rPr>
                        <w:t>11</w:t>
                      </w:r>
                    </w:sdtContent>
                  </w:sdt>
                  <w:r>
                    <w:rPr>
                      <w:color w:val="000000"/>
                    </w:rPr>
                    <w:t>. Vykstant į kai kurias užsienio šalis, būtina turėti ŽIV antikūnų tyrimo sertifikatą, kurį išduoda Lietuvos AIDS profilaktikos centras (Liubarto g. 20, Vilnius, tel. 75 12 49) ar kitos šiuos tyrimus atliekančios laboratorijos.</w:t>
                  </w:r>
                </w:p>
              </w:sdtContent>
            </w:sdt>
            <w:sdt>
              <w:sdtPr>
                <w:alias w:val="9 pr. 12 p."/>
                <w:tag w:val="part_603e139e68b94d8a80fbceb990348967"/>
                <w:lock w:val="sdtLocked"/>
                <w:richText/>
              </w:sdtPr>
              <w:sdtContent>
                <w:p>
                  <w:pPr>
                    <w:widowControl w:val="0"/>
                    <w:ind w:firstLine="720"/>
                    <w:jc w:val="both"/>
                    <w:rPr>
                      <w:color w:val="000000"/>
                    </w:rPr>
                  </w:pPr>
                  <w:sdt>
                    <w:sdtPr>
                      <w:alias w:val="Numeris"/>
                      <w:tag w:val="nr_603e139e68b94d8a80fbceb990348967"/>
                      <w:lock w:val="sdtLocked"/>
                      <w:richText/>
                    </w:sdtPr>
                    <w:sdtContent>
                      <w:r>
                        <w:rPr>
                          <w:color w:val="000000"/>
                        </w:rPr>
                        <w:t>12</w:t>
                      </w:r>
                    </w:sdtContent>
                  </w:sdt>
                  <w:r>
                    <w:rPr>
                      <w:color w:val="000000"/>
                    </w:rPr>
                    <w:t>. Tikrinimų duomenys įrašomi į asmens sveikatos istoriją (ambulatorinę kortelę) (F 025/a). Galutinę išvadą pateikia sveikatą tikrinantis bendrosios praktikos gydytojas, apylinkės terapeutas ar pediatras ir įrašo į vykstančiojo į užsienį medicininę pažymą (F 082/a). Išduotos pažymos registruojamos.</w:t>
                  </w:r>
                </w:p>
              </w:sdtContent>
            </w:sdt>
            <w:sdt>
              <w:sdtPr>
                <w:alias w:val="9 pr. 13 p."/>
                <w:tag w:val="part_47b67b54582b40878252629db9230767"/>
                <w:lock w:val="sdtLocked"/>
                <w:richText/>
              </w:sdtPr>
              <w:sdtContent>
                <w:p>
                  <w:pPr>
                    <w:widowControl w:val="0"/>
                    <w:ind w:firstLine="720"/>
                    <w:jc w:val="both"/>
                    <w:rPr>
                      <w:color w:val="000000"/>
                    </w:rPr>
                  </w:pPr>
                  <w:sdt>
                    <w:sdtPr>
                      <w:alias w:val="Numeris"/>
                      <w:tag w:val="nr_47b67b54582b40878252629db9230767"/>
                      <w:lock w:val="sdtLocked"/>
                      <w:richText/>
                    </w:sdtPr>
                    <w:sdtContent>
                      <w:r>
                        <w:rPr>
                          <w:color w:val="000000"/>
                        </w:rPr>
                        <w:t>13</w:t>
                      </w:r>
                    </w:sdtContent>
                  </w:sdt>
                  <w:r>
                    <w:rPr>
                      <w:color w:val="000000"/>
                    </w:rPr>
                    <w:t>. Gali būti užpildomi ir kiti dokumentai, pateikti užsienio šalies ambasados, Lietuvos darbo biržos, draudimo ar kitų įstaigų.</w:t>
                  </w:r>
                </w:p>
              </w:sdtContent>
            </w:sdt>
            <w:sdt>
              <w:sdtPr>
                <w:alias w:val="9 pr. 14 p."/>
                <w:tag w:val="part_b63e22f1f03a493f9216a58fe10faa4b"/>
                <w:lock w:val="sdtLocked"/>
                <w:richText/>
              </w:sdtPr>
              <w:sdtContent>
                <w:p>
                  <w:pPr>
                    <w:widowControl w:val="0"/>
                    <w:ind w:firstLine="720"/>
                    <w:jc w:val="both"/>
                    <w:rPr>
                      <w:color w:val="000000"/>
                    </w:rPr>
                  </w:pPr>
                  <w:sdt>
                    <w:sdtPr>
                      <w:alias w:val="Numeris"/>
                      <w:tag w:val="nr_b63e22f1f03a493f9216a58fe10faa4b"/>
                      <w:lock w:val="sdtLocked"/>
                      <w:richText/>
                    </w:sdtPr>
                    <w:sdtContent>
                      <w:r>
                        <w:rPr>
                          <w:color w:val="000000"/>
                        </w:rPr>
                        <w:t>14</w:t>
                      </w:r>
                    </w:sdtContent>
                  </w:sdt>
                  <w:r>
                    <w:rPr>
                      <w:color w:val="000000"/>
                    </w:rPr>
                    <w:t>. Išduotą pažymą-sertifikatą ar kitą dokumentą, kuriame pateikti duomenys apie išvykstančiojo sveikatos būklę (diagnozuotas ligas, atliktus tyrimus ir skiepijimus) gydytojas tvirtina asmeniniu antspaudu, parašu ir gydymo įstaigos antspaudu.</w:t>
                  </w:r>
                </w:p>
              </w:sdtContent>
            </w:sdt>
            <w:sdt>
              <w:sdtPr>
                <w:alias w:val="9 pr. 15 p."/>
                <w:tag w:val="part_c40fae31faf4447989763ec25dad274b"/>
                <w:lock w:val="sdtLocked"/>
                <w:richText/>
              </w:sdtPr>
              <w:sdtContent>
                <w:p>
                  <w:pPr>
                    <w:widowControl w:val="0"/>
                    <w:ind w:firstLine="720"/>
                    <w:jc w:val="both"/>
                    <w:rPr>
                      <w:color w:val="000000"/>
                    </w:rPr>
                  </w:pPr>
                  <w:sdt>
                    <w:sdtPr>
                      <w:alias w:val="Numeris"/>
                      <w:tag w:val="nr_c40fae31faf4447989763ec25dad274b"/>
                      <w:lock w:val="sdtLocked"/>
                      <w:richText/>
                    </w:sdtPr>
                    <w:sdtContent>
                      <w:r>
                        <w:rPr>
                          <w:color w:val="000000"/>
                        </w:rPr>
                        <w:t>15</w:t>
                      </w:r>
                    </w:sdtContent>
                  </w:sdt>
                  <w:r>
                    <w:rPr>
                      <w:color w:val="000000"/>
                    </w:rPr>
                    <w:t>. Pažymos (sertifikato) galiojimo terminas priklauso nuo šalies, į kurią išvykstama, reikalavimų.</w:t>
                  </w:r>
                </w:p>
                <w:p>
                  <w:pPr>
                    <w:widowControl w:val="0"/>
                    <w:ind w:firstLine="720"/>
                    <w:jc w:val="both"/>
                    <w:rPr>
                      <w:color w:val="000000"/>
                    </w:rPr>
                  </w:pPr>
                  <w:r>
                    <w:rPr>
                      <w:color w:val="000000"/>
                    </w:rPr>
                    <w:t>Pažymos konsuliniam jų legalizavimui, išduodamos asmenims, vykstantiems į užsienį, privalo būti patvirtintos žodžiu „tvirtinu“, įgalioto asmens parašu ir įstaigos antspaudu tvirtinamojo dokumento apatiniame kairiajame kampe (kiekvienas pažymos lapas tvirtinamas atskirai).</w:t>
                  </w:r>
                </w:p>
              </w:sdtContent>
            </w:sdt>
            <w:sdt>
              <w:sdtPr>
                <w:alias w:val="9 pr. 16 p."/>
                <w:tag w:val="part_3619143c651944cc95abf309b6174c4e"/>
                <w:lock w:val="sdtLocked"/>
                <w:richText/>
              </w:sdtPr>
              <w:sdtContent>
                <w:p>
                  <w:pPr>
                    <w:widowControl w:val="0"/>
                    <w:ind w:firstLine="720"/>
                    <w:jc w:val="both"/>
                    <w:rPr>
                      <w:color w:val="000000"/>
                    </w:rPr>
                  </w:pPr>
                  <w:sdt>
                    <w:sdtPr>
                      <w:alias w:val="Numeris"/>
                      <w:tag w:val="nr_3619143c651944cc95abf309b6174c4e"/>
                      <w:lock w:val="sdtLocked"/>
                      <w:richText/>
                    </w:sdtPr>
                    <w:sdtContent>
                      <w:r>
                        <w:rPr>
                          <w:color w:val="000000"/>
                        </w:rPr>
                        <w:t>16</w:t>
                      </w:r>
                    </w:sdtContent>
                  </w:sdt>
                  <w:r>
                    <w:rPr>
                      <w:color w:val="000000"/>
                    </w:rPr>
                    <w:t>. Asmenų, sergančių ūmiomis, užkrečiamosiomis infekcinėmis, venerinėmis ar odos ligomis, užkrečiamuoju laikotarpiu sveikata dėl išvykimo į užsienį netikrinama.</w:t>
                  </w:r>
                </w:p>
              </w:sdtContent>
            </w:sdt>
            <w:sdt>
              <w:sdtPr>
                <w:alias w:val="9 pr. 17 p."/>
                <w:tag w:val="part_787a781a95274489953e83c97959b70d"/>
                <w:lock w:val="sdtLocked"/>
                <w:richText/>
              </w:sdtPr>
              <w:sdtContent>
                <w:p>
                  <w:pPr>
                    <w:widowControl w:val="0"/>
                    <w:ind w:firstLine="720"/>
                    <w:jc w:val="both"/>
                    <w:rPr>
                      <w:color w:val="000000"/>
                    </w:rPr>
                  </w:pPr>
                  <w:sdt>
                    <w:sdtPr>
                      <w:alias w:val="Numeris"/>
                      <w:tag w:val="nr_787a781a95274489953e83c97959b70d"/>
                      <w:lock w:val="sdtLocked"/>
                      <w:richText/>
                    </w:sdtPr>
                    <w:sdtContent>
                      <w:r>
                        <w:rPr>
                          <w:color w:val="000000"/>
                        </w:rPr>
                        <w:t>17</w:t>
                      </w:r>
                    </w:sdtContent>
                  </w:sdt>
                  <w:r>
                    <w:rPr>
                      <w:color w:val="000000"/>
                    </w:rPr>
                    <w:t>. Asmenims, kuriems dėl sveikatos būklės pagal nurodytą specialybę dirbti negalima, vykstančiojo į užsienį medicininė pažyma neišduodama.</w:t>
                  </w:r>
                </w:p>
                <w:p>
                  <w:pPr>
                    <w:widowControl w:val="0"/>
                    <w:ind w:firstLine="720"/>
                    <w:jc w:val="both"/>
                    <w:rPr>
                      <w:color w:val="000000"/>
                    </w:rPr>
                  </w:pPr>
                  <w:r>
                    <w:rPr>
                      <w:color w:val="000000"/>
                    </w:rPr>
                    <w:t>Sudėtingus ir neaiškius sveikatos tikrinimo klausimus sprendžia bei galutinę išvadą konfliktinių situacijų atveju pateikia asmens sveikatos įstaigos gydytojų konsultacinė komisija (GKK).</w:t>
                  </w:r>
                </w:p>
              </w:sdtContent>
            </w:sdt>
            <w:sdt>
              <w:sdtPr>
                <w:alias w:val="9 pr. 18 p."/>
                <w:tag w:val="part_86719377bbe842c280b5d4fe50dcac9d"/>
                <w:lock w:val="sdtLocked"/>
                <w:richText/>
              </w:sdtPr>
              <w:sdtContent>
                <w:p>
                  <w:pPr>
                    <w:widowControl w:val="0"/>
                    <w:ind w:firstLine="720"/>
                    <w:jc w:val="both"/>
                    <w:rPr>
                      <w:color w:val="000000"/>
                    </w:rPr>
                  </w:pPr>
                  <w:sdt>
                    <w:sdtPr>
                      <w:alias w:val="Numeris"/>
                      <w:tag w:val="nr_86719377bbe842c280b5d4fe50dcac9d"/>
                      <w:lock w:val="sdtLocked"/>
                      <w:richText/>
                    </w:sdtPr>
                    <w:sdtContent>
                      <w:r>
                        <w:rPr>
                          <w:color w:val="000000"/>
                        </w:rPr>
                        <w:t>18</w:t>
                      </w:r>
                    </w:sdtContent>
                  </w:sdt>
                  <w:r>
                    <w:rPr>
                      <w:color w:val="000000"/>
                    </w:rPr>
                    <w:t>. Informacija apie ligas, nuo kurių reikia pasiskiepyti išvykstant į užsienio šalį, teikiama:</w:t>
                  </w:r>
                </w:p>
                <w:p>
                  <w:pPr>
                    <w:widowControl w:val="0"/>
                    <w:ind w:firstLine="720"/>
                    <w:jc w:val="both"/>
                    <w:rPr>
                      <w:color w:val="000000"/>
                    </w:rPr>
                  </w:pPr>
                  <w:r>
                    <w:rPr>
                      <w:color w:val="000000"/>
                    </w:rPr>
                    <w:t>Sveikatos apsaugos ministerijos Sveikatos aplinkos skyriuje (Vilniaus g. 33, Vilnius, tel. (8 22) 61 07 59);</w:t>
                  </w:r>
                </w:p>
                <w:p>
                  <w:pPr>
                    <w:widowControl w:val="0"/>
                    <w:ind w:firstLine="720"/>
                    <w:jc w:val="both"/>
                    <w:rPr>
                      <w:color w:val="000000"/>
                    </w:rPr>
                  </w:pPr>
                  <w:r>
                    <w:rPr>
                      <w:color w:val="000000"/>
                    </w:rPr>
                    <w:t>Užkrečiamųjų ligų profilaktikos ir kontrolės centre (Rožių al. 4a, Vilnius, tel.: (8 22) 22 73 63, 22 76 73);</w:t>
                  </w:r>
                </w:p>
                <w:p>
                  <w:pPr>
                    <w:widowControl w:val="0"/>
                    <w:ind w:firstLine="720"/>
                    <w:jc w:val="both"/>
                    <w:rPr>
                      <w:color w:val="000000"/>
                    </w:rPr>
                  </w:pPr>
                  <w:r>
                    <w:rPr>
                      <w:color w:val="000000"/>
                    </w:rPr>
                    <w:t>Alytaus visuomenės sveikatos centre (Savanorių g. 4, Alytus, tel. (8 235) 5 11 82);</w:t>
                  </w:r>
                </w:p>
                <w:p>
                  <w:pPr>
                    <w:widowControl w:val="0"/>
                    <w:ind w:firstLine="720"/>
                    <w:jc w:val="both"/>
                    <w:rPr>
                      <w:color w:val="000000"/>
                    </w:rPr>
                  </w:pPr>
                  <w:r>
                    <w:rPr>
                      <w:color w:val="000000"/>
                    </w:rPr>
                    <w:t>Kauno visuomenės sveikatos centre (K. Petrausko g. 24, Kaunas, tel. (8 27) 73 44 03);</w:t>
                  </w:r>
                </w:p>
                <w:p>
                  <w:pPr>
                    <w:widowControl w:val="0"/>
                    <w:ind w:firstLine="720"/>
                    <w:jc w:val="both"/>
                    <w:rPr>
                      <w:color w:val="000000"/>
                    </w:rPr>
                  </w:pPr>
                  <w:r>
                    <w:rPr>
                      <w:color w:val="000000"/>
                    </w:rPr>
                    <w:t>Klaipėdos visuomenės sveikatos centre (Liepų g. 17, Klaipėda, tel. (8 26) 21 22 22);</w:t>
                  </w:r>
                </w:p>
                <w:p>
                  <w:pPr>
                    <w:widowControl w:val="0"/>
                    <w:ind w:firstLine="720"/>
                    <w:jc w:val="both"/>
                    <w:rPr>
                      <w:color w:val="000000"/>
                    </w:rPr>
                  </w:pPr>
                  <w:r>
                    <w:rPr>
                      <w:color w:val="000000"/>
                    </w:rPr>
                    <w:t>Marijampolės visuomenės sveikatos centre (Žemaitės g. 14, Marijampolė, tel. (8 243) 5 05 15);</w:t>
                  </w:r>
                </w:p>
                <w:p>
                  <w:pPr>
                    <w:widowControl w:val="0"/>
                    <w:ind w:firstLine="720"/>
                    <w:jc w:val="both"/>
                    <w:rPr>
                      <w:color w:val="000000"/>
                    </w:rPr>
                  </w:pPr>
                  <w:r>
                    <w:rPr>
                      <w:color w:val="000000"/>
                    </w:rPr>
                    <w:t>Panevėžio visuomenės sveikatos centre (Respublikos g. 13, Panevėžys, tel. (8 25) 46 10 81);</w:t>
                  </w:r>
                </w:p>
                <w:p>
                  <w:pPr>
                    <w:widowControl w:val="0"/>
                    <w:ind w:firstLine="720"/>
                    <w:jc w:val="both"/>
                    <w:rPr>
                      <w:color w:val="000000"/>
                    </w:rPr>
                  </w:pPr>
                  <w:r>
                    <w:rPr>
                      <w:color w:val="000000"/>
                    </w:rPr>
                    <w:t>Šiaulių visuomenės sveikatos centre (Vilniaus g. 229, Šiauliai, tel. (8 21) 42 09 03);</w:t>
                  </w:r>
                </w:p>
                <w:p>
                  <w:pPr>
                    <w:widowControl w:val="0"/>
                    <w:ind w:firstLine="720"/>
                    <w:jc w:val="both"/>
                    <w:rPr>
                      <w:color w:val="000000"/>
                    </w:rPr>
                  </w:pPr>
                  <w:r>
                    <w:rPr>
                      <w:color w:val="000000"/>
                    </w:rPr>
                    <w:t>Tauragės visuomenės sveikatos centre (Prezidento g. 38, Tauragė, tel. (8 246) 5 24 54);</w:t>
                  </w:r>
                </w:p>
                <w:p>
                  <w:pPr>
                    <w:widowControl w:val="0"/>
                    <w:ind w:firstLine="720"/>
                    <w:jc w:val="both"/>
                    <w:rPr>
                      <w:color w:val="000000"/>
                    </w:rPr>
                  </w:pPr>
                  <w:r>
                    <w:rPr>
                      <w:color w:val="000000"/>
                    </w:rPr>
                    <w:t>Utenos visuomenės sveikatos centre (S. Dariaus ir S. Girėno g. 12, Utena, tel. (8 239) 5149);</w:t>
                  </w:r>
                </w:p>
                <w:p>
                  <w:pPr>
                    <w:widowControl w:val="0"/>
                    <w:ind w:firstLine="720"/>
                    <w:jc w:val="both"/>
                    <w:rPr>
                      <w:color w:val="000000"/>
                    </w:rPr>
                  </w:pPr>
                  <w:r>
                    <w:rPr>
                      <w:color w:val="000000"/>
                    </w:rPr>
                    <w:t>Trakų visuomenės sveikatos priežiūros ir specialistų tobulinimo centre (Vytauto g. 87, Trakai, tel. (8 238) 5 25 73);</w:t>
                  </w:r>
                </w:p>
                <w:p>
                  <w:pPr>
                    <w:widowControl w:val="0"/>
                    <w:ind w:firstLine="720"/>
                    <w:jc w:val="both"/>
                    <w:rPr>
                      <w:color w:val="000000"/>
                    </w:rPr>
                  </w:pPr>
                  <w:r>
                    <w:rPr>
                      <w:color w:val="000000"/>
                    </w:rPr>
                    <w:t>Vilniaus visuomenės sveikatos centre (Vilniaus g. 16, Vilnius, tel. (8 22) 22 40 98).</w:t>
                  </w:r>
                </w:p>
                <w:p>
                  <w:pPr>
                    <w:widowControl w:val="0"/>
                    <w:ind w:firstLine="720"/>
                    <w:jc w:val="both"/>
                    <w:rPr>
                      <w:color w:val="000000"/>
                    </w:rPr>
                  </w:pPr>
                </w:p>
                <w:p>
                  <w:pPr>
                    <w:tabs>
                      <w:tab w:val="left" w:pos="1304"/>
                      <w:tab w:val="left" w:pos="1457"/>
                      <w:tab w:val="left" w:pos="1604"/>
                      <w:tab w:val="left" w:pos="1757"/>
                    </w:tabs>
                    <w:jc w:val="center"/>
                    <w:rPr>
                      <w:color w:val="000000"/>
                    </w:rPr>
                  </w:pPr>
                  <w:r>
                    <w:rPr>
                      <w:color w:val="000000"/>
                    </w:rPr>
                    <w:t>Lentelė</w:t>
                  </w:r>
                </w:p>
                <w:p>
                  <w:pPr>
                    <w:widowControl w:val="0"/>
                    <w:ind w:left="1069"/>
                    <w:jc w:val="both"/>
                    <w:rPr>
                      <w:color w:val="000000"/>
                    </w:rPr>
                  </w:pPr>
                </w:p>
              </w:sdtContent>
            </w:sdt>
          </w:sdtContent>
        </w:sdt>
        <w:sdt>
          <w:sdtPr>
            <w:alias w:val="skyrius"/>
            <w:tag w:val="part_6720eac7dd8449b998fe7b36e2aaae53"/>
            <w:lock w:val="sdtLocked"/>
            <w:richText/>
          </w:sdtPr>
          <w:sdtContent>
            <w:p>
              <w:pPr>
                <w:jc w:val="center"/>
                <w:rPr>
                  <w:caps/>
                  <w:color w:val="000000"/>
                </w:rPr>
              </w:pPr>
              <w:sdt>
                <w:sdtPr>
                  <w:alias w:val="Numeris"/>
                  <w:tag w:val="nr_6720eac7dd8449b998fe7b36e2aaae53"/>
                  <w:lock w:val="sdtLocked"/>
                  <w:richText/>
                </w:sdtPr>
                <w:sdtContent>
                  <w:r>
                    <w:rPr>
                      <w:b/>
                      <w:caps/>
                      <w:color w:val="000000"/>
                    </w:rPr>
                    <w:t>II</w:t>
                  </w:r>
                </w:sdtContent>
              </w:sdt>
              <w:r>
                <w:rPr>
                  <w:b/>
                  <w:caps/>
                  <w:color w:val="000000"/>
                </w:rPr>
                <w:t xml:space="preserve">. </w:t>
              </w:r>
              <w:sdt>
                <w:sdtPr>
                  <w:alias w:val="Pavadinimas"/>
                  <w:tag w:val="title_6720eac7dd8449b998fe7b36e2aaae53"/>
                  <w:lock w:val="sdtLocked"/>
                  <w:richText/>
                </w:sdtPr>
                <w:sdtContent>
                  <w:r>
                    <w:rPr>
                      <w:b/>
                      <w:caps/>
                      <w:color w:val="000000"/>
                    </w:rPr>
                    <w:t>SVEIKATOS TIKRINIMAS VYKSTANT Į UŽSIENĮ</w:t>
                  </w:r>
                </w:sdtContent>
              </w:sdt>
            </w:p>
            <w:p>
              <w:pPr>
                <w:widowControl w:val="0"/>
                <w:tabs>
                  <w:tab w:val="left" w:pos="2098"/>
                  <w:tab w:val="left" w:pos="4649"/>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2420"/>
                <w:gridCol w:w="5177"/>
              </w:tblGrid>
              <w:tr>
                <w:tc>
                  <w:tcPr>
                    <w:tcW w:w="4460" w:type="dxa"/>
                    <w:gridSpan w:val="2"/>
                    <w:shd w:val="clear" w:color="auto" w:fill="auto"/>
                  </w:tcPr>
                  <w:p>
                    <w:pPr>
                      <w:widowControl w:val="0"/>
                      <w:ind w:left="360"/>
                      <w:jc w:val="center"/>
                      <w:rPr>
                        <w:sz w:val="14"/>
                      </w:rPr>
                    </w:pPr>
                    <w:r>
                      <w:rPr>
                        <w:sz w:val="14"/>
                      </w:rPr>
                      <w:t>Sveikatos tikrintojas</w:t>
                    </w:r>
                  </w:p>
                </w:tc>
                <w:tc>
                  <w:tcPr>
                    <w:tcW w:w="5177" w:type="dxa"/>
                    <w:vMerge w:val="restart"/>
                    <w:shd w:val="clear" w:color="auto" w:fill="auto"/>
                  </w:tcPr>
                  <w:p>
                    <w:pPr>
                      <w:widowControl w:val="0"/>
                      <w:ind w:left="360"/>
                      <w:jc w:val="center"/>
                      <w:rPr>
                        <w:sz w:val="14"/>
                      </w:rPr>
                    </w:pPr>
                    <w:r>
                      <w:rPr>
                        <w:sz w:val="14"/>
                      </w:rPr>
                      <w:t>Tyrimai</w:t>
                    </w:r>
                  </w:p>
                </w:tc>
              </w:tr>
              <w:tr>
                <w:trPr>
                  <w:trHeight w:val="1175"/>
                </w:trPr>
                <w:tc>
                  <w:tcPr>
                    <w:tcW w:w="2040" w:type="dxa"/>
                    <w:shd w:val="clear" w:color="auto" w:fill="auto"/>
                  </w:tcPr>
                  <w:p>
                    <w:pPr>
                      <w:widowControl w:val="0"/>
                      <w:ind w:left="360"/>
                      <w:jc w:val="center"/>
                      <w:rPr>
                        <w:sz w:val="14"/>
                      </w:rPr>
                    </w:pPr>
                    <w:r>
                      <w:rPr>
                        <w:sz w:val="14"/>
                      </w:rPr>
                      <w:t>Pirminio lygio asmens sveikatos priežiūros paslaugas teikiantys gydytojai</w:t>
                    </w:r>
                  </w:p>
                </w:tc>
                <w:tc>
                  <w:tcPr>
                    <w:tcW w:w="2420" w:type="dxa"/>
                    <w:shd w:val="clear" w:color="auto" w:fill="auto"/>
                  </w:tcPr>
                  <w:p>
                    <w:pPr>
                      <w:widowControl w:val="0"/>
                      <w:ind w:left="360"/>
                      <w:jc w:val="center"/>
                      <w:rPr>
                        <w:sz w:val="14"/>
                      </w:rPr>
                    </w:pPr>
                    <w:r>
                      <w:rPr>
                        <w:sz w:val="14"/>
                      </w:rPr>
                      <w:t>Antrinio lygio asmens sveikatos priežiūros paslaugas teikiantys gydytojai</w:t>
                    </w:r>
                  </w:p>
                </w:tc>
                <w:tc>
                  <w:tcPr>
                    <w:tcW w:w="5177" w:type="dxa"/>
                    <w:vMerge/>
                    <w:shd w:val="clear" w:color="auto" w:fill="auto"/>
                  </w:tcPr>
                  <w:p>
                    <w:pPr>
                      <w:widowControl w:val="0"/>
                      <w:ind w:left="360"/>
                      <w:jc w:val="center"/>
                      <w:rPr>
                        <w:sz w:val="14"/>
                      </w:rPr>
                    </w:pPr>
                  </w:p>
                </w:tc>
              </w:tr>
              <w:tr>
                <w:trPr>
                  <w:trHeight w:val="1870"/>
                </w:trPr>
                <w:tc>
                  <w:tcPr>
                    <w:tcW w:w="2040" w:type="dxa"/>
                    <w:shd w:val="clear" w:color="auto" w:fill="auto"/>
                  </w:tcPr>
                  <w:p>
                    <w:pPr>
                      <w:widowControl w:val="0"/>
                      <w:ind w:left="360"/>
                      <w:rPr>
                        <w:sz w:val="14"/>
                      </w:rPr>
                    </w:pPr>
                    <w:r>
                      <w:rPr>
                        <w:sz w:val="14"/>
                      </w:rPr>
                      <w:t>Bendrosios praktikos gydytojas,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Bendras (klinikinis) kraujo tyrimas pagal šalies, į kurią vykstama, reikalavimus bei medicinines indikacijas</w:t>
                    </w:r>
                  </w:p>
                  <w:p>
                    <w:pPr>
                      <w:widowControl w:val="0"/>
                      <w:ind w:left="360"/>
                      <w:rPr>
                        <w:sz w:val="14"/>
                      </w:rPr>
                    </w:pPr>
                    <w:r>
                      <w:rPr>
                        <w:sz w:val="14"/>
                      </w:rPr>
                      <w:t>Kraujo tyrimas dėl ŽIV infekcijos (žmogaus imunodeficito viruso) tik tada, kai to reikalauja šalis, į kurią vykstama (sertifikatas apie neigiamą tyrimo rezultatą galioja ne ilgiau kaip 30 dienų nuo jo išdavimo dienos)</w:t>
                    </w:r>
                  </w:p>
                </w:tc>
              </w:tr>
              <w:tr>
                <w:trPr>
                  <w:trHeight w:val="1865"/>
                </w:trPr>
                <w:tc>
                  <w:tcPr>
                    <w:tcW w:w="2040" w:type="dxa"/>
                    <w:shd w:val="clear" w:color="auto" w:fill="auto"/>
                  </w:tcPr>
                  <w:p>
                    <w:pPr>
                      <w:widowControl w:val="0"/>
                      <w:ind w:left="360"/>
                      <w:rPr>
                        <w:sz w:val="14"/>
                      </w:rPr>
                    </w:pPr>
                    <w:r>
                      <w:rPr>
                        <w:sz w:val="14"/>
                      </w:rPr>
                      <w:t>Apylinkės terapeutas,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Kraujo grupės ir Rh faktoriaus nustatymas, jei nėra žymos pase.</w:t>
                    </w:r>
                  </w:p>
                  <w:p>
                    <w:pPr>
                      <w:widowControl w:val="0"/>
                      <w:ind w:left="360"/>
                      <w:rPr>
                        <w:sz w:val="14"/>
                      </w:rPr>
                    </w:pPr>
                    <w:r>
                      <w:rPr>
                        <w:sz w:val="14"/>
                      </w:rPr>
                      <w:t>Kraujo tyrimas dėl sifilio (sertifikatas apie neigiamą tyrimo rezultatą galioja ne ilgiau kaip 30 dienų nuo jo išdavimo dienos) Šlapimo tyrimas</w:t>
                    </w:r>
                  </w:p>
                  <w:p>
                    <w:pPr>
                      <w:widowControl w:val="0"/>
                      <w:ind w:left="360"/>
                      <w:rPr>
                        <w:sz w:val="14"/>
                      </w:rPr>
                    </w:pPr>
                    <w:r>
                      <w:rPr>
                        <w:sz w:val="14"/>
                      </w:rPr>
                      <w:t>Krūtinės ląstos rentgenologinis tyrimas pagal šalies, į kurią vykstama, reikalavimus ar medicinines indikacijas</w:t>
                    </w:r>
                  </w:p>
                  <w:p>
                    <w:pPr>
                      <w:widowControl w:val="0"/>
                      <w:ind w:left="360"/>
                      <w:rPr>
                        <w:sz w:val="14"/>
                      </w:rPr>
                    </w:pPr>
                    <w:r>
                      <w:rPr>
                        <w:sz w:val="14"/>
                      </w:rPr>
                      <w:t>EKG pagal medicinines indikacijas</w:t>
                    </w:r>
                  </w:p>
                </w:tc>
              </w:tr>
            </w:tbl>
            <w:p>
              <w:pPr>
                <w:widowControl w:val="0"/>
                <w:tabs>
                  <w:tab w:val="left" w:pos="2098"/>
                  <w:tab w:val="left" w:pos="4649"/>
                </w:tabs>
                <w:ind w:left="360"/>
                <w:jc w:val="center"/>
              </w:pPr>
              <w:r>
                <w:t>______________</w:t>
              </w:r>
            </w:p>
          </w:sdtContent>
        </w:sdt>
      </w:sdtContent>
    </w:sdt>
    <w:sdt>
      <w:sdtPr>
        <w:alias w:val="10 pr."/>
        <w:tag w:val="part_82810ee2ef564b7490b94db71340776a"/>
        <w:lock w:val="sdtLocked"/>
        <w:richText/>
      </w:sdtPr>
      <w:sdtContent>
        <w:p>
          <w:pPr>
            <w:tabs>
              <w:tab w:val="left" w:pos="1304"/>
              <w:tab w:val="left" w:pos="1457"/>
              <w:tab w:val="left" w:pos="1604"/>
              <w:tab w:val="left" w:pos="1757"/>
            </w:tabs>
            <w:ind w:left="5102"/>
            <w:sectPr>
              <w:headerReference w:type="even" r:id="rId49"/>
              <w:headerReference w:type="default" r:id="rId50"/>
              <w:footerReference w:type="even" r:id="rId51"/>
              <w:footerReference w:type="default" r:id="rId52"/>
              <w:headerReference w:type="first" r:id="rId53"/>
              <w:footerReference w:type="first" r:id="rId54"/>
              <w:pgSz w:w="11906" w:h="16838" w:code="9"/>
              <w:pgMar w:top="992" w:right="567" w:bottom="851" w:left="1701" w:header="340" w:footer="510" w:gutter="0"/>
              <w:pgNumType w:start="1"/>
              <w:cols w:space="1296"/>
              <w:titlePg/>
              <w:docGrid w:linePitch="360"/>
            </w:sectPr>
          </w:pPr>
        </w:p>
        <w:p>
          <w:pPr>
            <w:tabs>
              <w:tab w:val="left" w:pos="1304"/>
              <w:tab w:val="left" w:pos="1457"/>
              <w:tab w:val="left" w:pos="1604"/>
              <w:tab w:val="left" w:pos="1757"/>
            </w:tabs>
            <w:ind w:left="5102"/>
            <w:rPr>
              <w:color w:val="000000"/>
              <w:szCs w:val="24"/>
            </w:rPr>
          </w:pPr>
          <w:r>
            <w:rPr>
              <w:color w:val="000000"/>
              <w:szCs w:val="24"/>
            </w:rPr>
            <w:t>PATVIRTINTA</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smartTag w:uri="urn:schemas-microsoft-com:office:smarttags" w:element="metricconverter">
            <w:smartTagPr>
              <w:attr w:name="ProductID" w:val="2000 m"/>
            </w:smartTagPr>
            <w:r>
              <w:rPr>
                <w:color w:val="000000"/>
                <w:szCs w:val="24"/>
              </w:rPr>
              <w:t>2000 m</w:t>
            </w:r>
          </w:smartTag>
          <w:r>
            <w:rPr>
              <w:color w:val="000000"/>
              <w:szCs w:val="24"/>
            </w:rPr>
            <w:t>. gegužės 31 d. įsakymu Nr. 301</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r>
            <w:rPr>
              <w:color w:val="000000"/>
              <w:szCs w:val="24"/>
            </w:rPr>
            <w:t xml:space="preserve">2019 m. sausio 3 d. įsakymo </w:t>
          </w:r>
        </w:p>
        <w:p>
          <w:pPr>
            <w:tabs>
              <w:tab w:val="left" w:pos="1304"/>
              <w:tab w:val="left" w:pos="1457"/>
              <w:tab w:val="left" w:pos="1604"/>
              <w:tab w:val="left" w:pos="1757"/>
            </w:tabs>
            <w:ind w:left="5102"/>
            <w:rPr>
              <w:color w:val="000000"/>
              <w:szCs w:val="24"/>
            </w:rPr>
          </w:pPr>
          <w:r>
            <w:rPr>
              <w:color w:val="000000"/>
              <w:szCs w:val="24"/>
            </w:rPr>
            <w:t>Nr. V-12 redakcija)</w:t>
          </w:r>
        </w:p>
        <w:p>
          <w:pPr>
            <w:tabs>
              <w:tab w:val="left" w:pos="1304"/>
              <w:tab w:val="left" w:pos="1457"/>
              <w:tab w:val="left" w:pos="1604"/>
              <w:tab w:val="left" w:pos="1757"/>
            </w:tabs>
            <w:ind w:left="5102"/>
            <w:rPr>
              <w:color w:val="000000"/>
              <w:szCs w:val="24"/>
            </w:rPr>
          </w:pPr>
          <w:sdt>
            <w:sdtPr>
              <w:alias w:val="Numeris"/>
              <w:tag w:val="nr_82810ee2ef564b7490b94db71340776a"/>
              <w:lock w:val="sdtLocked"/>
              <w:richText/>
            </w:sdtPr>
            <w:sdtContent>
              <w:r>
                <w:rPr>
                  <w:color w:val="000000"/>
                  <w:szCs w:val="24"/>
                </w:rPr>
                <w:t>10</w:t>
              </w:r>
            </w:sdtContent>
          </w:sdt>
          <w:r>
            <w:rPr>
              <w:color w:val="000000"/>
              <w:szCs w:val="24"/>
            </w:rPr>
            <w:t xml:space="preserve"> priedas</w:t>
          </w:r>
        </w:p>
        <w:p>
          <w:pPr>
            <w:widowControl w:val="0"/>
            <w:ind w:left="5462"/>
            <w:rPr>
              <w:color w:val="000000"/>
              <w:szCs w:val="24"/>
            </w:rPr>
          </w:pPr>
        </w:p>
        <w:p>
          <w:pPr>
            <w:jc w:val="center"/>
            <w:rPr>
              <w:b/>
              <w:bCs/>
              <w:szCs w:val="24"/>
            </w:rPr>
          </w:pPr>
          <w:sdt>
            <w:sdtPr>
              <w:alias w:val="Pavadinimas"/>
              <w:tag w:val="title_82810ee2ef564b7490b94db71340776a"/>
              <w:lock w:val="sdtLocked"/>
              <w:richText/>
            </w:sdtPr>
            <w:sdtContent>
              <w:r>
                <w:rPr>
                  <w:b/>
                  <w:bCs/>
                  <w:szCs w:val="24"/>
                </w:rPr>
                <w:t>LICENCIJUOJAMŲ CIVILINĖS AVIACIJOS SPECIALISTŲ SVEIKATOS BŪKLĖS TIKRINIMO TVARKOS APRAŠAS</w:t>
              </w:r>
            </w:sdtContent>
          </w:sdt>
        </w:p>
        <w:p>
          <w:pPr>
            <w:ind w:firstLine="62"/>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
          <w:sdtPr>
            <w:alias w:val="10 pr. 1 p."/>
            <w:tag w:val="part_227f06e3adef4b738850f2cd86922c73"/>
            <w:lock w:val="sdtLocked"/>
            <w:richText/>
          </w:sdtPr>
          <w:sdtContent>
            <w:p>
              <w:pPr>
                <w:widowControl w:val="0"/>
                <w:ind w:firstLine="1069"/>
                <w:jc w:val="both"/>
                <w:rPr>
                  <w:color w:val="000000"/>
                  <w:szCs w:val="24"/>
                </w:rPr>
              </w:pPr>
              <w:sdt>
                <w:sdtPr>
                  <w:alias w:val="Numeris"/>
                  <w:tag w:val="nr_227f06e3adef4b738850f2cd86922c73"/>
                  <w:lock w:val="sdtLocked"/>
                  <w:richText/>
                </w:sdtPr>
                <w:sdtContent>
                  <w:r>
                    <w:rPr>
                      <w:bCs/>
                      <w:szCs w:val="24"/>
                    </w:rPr>
                    <w:t>1</w:t>
                  </w:r>
                </w:sdtContent>
              </w:sdt>
              <w:r>
                <w:rPr>
                  <w:bCs/>
                  <w:szCs w:val="24"/>
                </w:rPr>
                <w:t>. Licencijuojamų civilinės aviacijos specialistų (toliau – aviacijos specialistai) sveikatos būklės tikrinimo t</w:t>
              </w:r>
              <w:r>
                <w:rPr>
                  <w:color w:val="000000"/>
                  <w:szCs w:val="24"/>
                </w:rPr>
                <w:t>ikslas – nustatyti, ar aviacijos specialistas pagal savo sveikatos būklę gali siekti gauti (mokytis) ar naudotis teisėmis, nurodytomis licencijoje, ir atlikti joje nurodytas pareigas.</w:t>
              </w:r>
            </w:p>
          </w:sdtContent>
        </w:sdt>
        <w:sdt>
          <w:sdtPr>
            <w:alias w:val="10 pr. 2 p."/>
            <w:tag w:val="part_6089dc0c6f214efabb500ce1c34465a7"/>
            <w:lock w:val="sdtLocked"/>
            <w:richText/>
          </w:sdtPr>
          <w:sdtContent>
            <w:p>
              <w:pPr>
                <w:widowControl w:val="0"/>
                <w:ind w:firstLine="1069"/>
                <w:jc w:val="both"/>
                <w:rPr>
                  <w:bCs/>
                  <w:szCs w:val="24"/>
                </w:rPr>
              </w:pPr>
              <w:sdt>
                <w:sdtPr>
                  <w:alias w:val="Numeris"/>
                  <w:tag w:val="nr_6089dc0c6f214efabb500ce1c34465a7"/>
                  <w:lock w:val="sdtLocked"/>
                  <w:richText/>
                </w:sdtPr>
                <w:sdtContent>
                  <w:r>
                    <w:rPr>
                      <w:color w:val="000000"/>
                      <w:szCs w:val="24"/>
                    </w:rPr>
                    <w:t>2</w:t>
                  </w:r>
                </w:sdtContent>
              </w:sdt>
              <w:r>
                <w:rPr>
                  <w:color w:val="000000"/>
                  <w:szCs w:val="24"/>
                </w:rPr>
                <w:t>. A</w:t>
              </w:r>
              <w:r>
                <w:rPr>
                  <w:bCs/>
                  <w:szCs w:val="24"/>
                </w:rPr>
                <w:t>viacijos specialistų sveikatos būklės tikrinimas atliekamas įstaigoje, turinčioje licenciją teikti asmens sveikatos priežiūros paslaugas.</w:t>
              </w:r>
            </w:p>
          </w:sdtContent>
        </w:sdt>
        <w:sdt>
          <w:sdtPr>
            <w:alias w:val="10 pr. 3 p."/>
            <w:tag w:val="part_f0be24370f7e464588fd33216931977f"/>
            <w:lock w:val="sdtLocked"/>
            <w:richText/>
          </w:sdtPr>
          <w:sdtContent>
            <w:p>
              <w:pPr>
                <w:widowControl w:val="0"/>
                <w:ind w:firstLine="1069"/>
                <w:jc w:val="both"/>
                <w:rPr>
                  <w:b/>
                  <w:szCs w:val="24"/>
                </w:rPr>
              </w:pPr>
              <w:sdt>
                <w:sdtPr>
                  <w:alias w:val="Numeris"/>
                  <w:tag w:val="nr_f0be24370f7e464588fd33216931977f"/>
                  <w:lock w:val="sdtLocked"/>
                  <w:richText/>
                </w:sdtPr>
                <w:sdtContent>
                  <w:r>
                    <w:rPr>
                      <w:bCs/>
                      <w:szCs w:val="24"/>
                    </w:rPr>
                    <w:t>3</w:t>
                  </w:r>
                </w:sdtContent>
              </w:sdt>
              <w:r>
                <w:rPr>
                  <w:bCs/>
                  <w:szCs w:val="24"/>
                </w:rPr>
                <w:t xml:space="preserve">. Aviacijos specialistų sveikatos būklę tikrina </w:t>
              </w:r>
              <w:r>
                <w:rPr>
                  <w:szCs w:val="24"/>
                </w:rPr>
                <w:t>gydytojas, turintis medicinos praktikos licenciją verstis medicinos praktika pagal įgytą profesinę kvalifikaciją ir kompetentingos institucijos išduotą aviacijos medicinos gydytojo pažymėjimą (toliau – aviacijos medicinos gydytojas).</w:t>
              </w:r>
              <w:r>
                <w:rPr>
                  <w:b/>
                  <w:szCs w:val="24"/>
                </w:rPr>
                <w:t xml:space="preserve"> </w:t>
              </w:r>
            </w:p>
          </w:sdtContent>
        </w:sdt>
        <w:sdt>
          <w:sdtPr>
            <w:alias w:val="10 pr. 4 p."/>
            <w:tag w:val="part_dee0611f23534addb7287255f30008d2"/>
            <w:lock w:val="sdtLocked"/>
            <w:richText/>
          </w:sdtPr>
          <w:sdtContent>
            <w:p>
              <w:pPr>
                <w:widowControl w:val="0"/>
                <w:ind w:firstLine="1069"/>
                <w:jc w:val="both"/>
                <w:rPr>
                  <w:szCs w:val="24"/>
                </w:rPr>
              </w:pPr>
              <w:sdt>
                <w:sdtPr>
                  <w:alias w:val="Numeris"/>
                  <w:tag w:val="nr_dee0611f23534addb7287255f30008d2"/>
                  <w:lock w:val="sdtLocked"/>
                  <w:richText/>
                </w:sdtPr>
                <w:sdtContent>
                  <w:r>
                    <w:rPr>
                      <w:szCs w:val="24"/>
                    </w:rPr>
                    <w:t>4</w:t>
                  </w:r>
                </w:sdtContent>
              </w:sdt>
              <w:r>
                <w:rPr>
                  <w:szCs w:val="24"/>
                </w:rPr>
                <w:t xml:space="preserve">. Aviacijos medicinos gydytojas aviacijos specialistų </w:t>
              </w:r>
              <w:r>
                <w:rPr>
                  <w:bCs/>
                  <w:szCs w:val="24"/>
                </w:rPr>
                <w:t xml:space="preserve">sveikatos būklę tikrina vadovaudamasis </w:t>
              </w:r>
              <w:r>
                <w:rPr>
                  <w:szCs w:val="24"/>
                </w:rPr>
                <w:t>atitinkamais Europos Sąjungos teisės aktuose nustatytais  aviacijos specialistų sveikatos tikrinimo reikalavimais.</w:t>
              </w:r>
            </w:p>
            <w:p>
              <w:pPr>
                <w:widowControl w:val="0"/>
                <w:ind w:firstLine="1069"/>
                <w:jc w:val="both"/>
                <w:rPr>
                  <w:bCs/>
                  <w:szCs w:val="24"/>
                </w:rPr>
              </w:pPr>
            </w:p>
          </w:sdtContent>
        </w:sdt>
        <w:sdt>
          <w:sdtPr>
            <w:alias w:val="pabaiga"/>
            <w:tag w:val="part_e43473c7b5e94a02a3c6c8b1a01d9187"/>
            <w:lock w:val="sdtLocked"/>
            <w:richText/>
          </w:sdtPr>
          <w:sdtContent>
            <w:p>
              <w:pPr>
                <w:jc w:val="center"/>
              </w:pPr>
              <w:r>
                <w:rPr>
                  <w:sz w:val="22"/>
                  <w:szCs w:val="24"/>
                </w:rPr>
                <w:t>_________________________________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fbf82d0127b11e9b2b6e7cdb14007b4">
            <w:r w:rsidRPr="00532B9F">
              <w:rPr>
                <w:rFonts w:ascii="Times New Roman" w:eastAsia="MS Mincho" w:hAnsi="Times New Roman"/>
                <w:sz w:val="20"/>
                <w:i/>
                <w:iCs/>
                <w:color w:val="0000FF" w:themeColor="hyperlink"/>
                <w:u w:val="single"/>
              </w:rPr>
              <w:t>V-12</w:t>
            </w:r>
          </w:fldSimple>
          <w:r>
            <w:rPr>
              <w:rFonts w:ascii="Times New Roman" w:eastAsia="MS Mincho" w:hAnsi="Times New Roman"/>
              <w:sz w:val="20"/>
              <w:i/>
              <w:iCs/>
            </w:rPr>
            <w:t>,
2019-01-03,
paskelbta TAR 2019-01-07, i. k. 2019-00194            </w:t>
          </w:r>
        </w:p>
        <w:p/>
      </w:sdtContent>
    </w:sdt>
    <w:sdt>
      <w:sdtPr>
        <w:alias w:val="11 pr."/>
        <w:tag w:val="part_8d7263feddb942499b31d04640026346"/>
        <w:lock w:val="sdtLocked"/>
        <w:richText/>
      </w:sdtPr>
      <w:sdtContent>
        <w:p>
          <w:pPr>
            <w:keepNext/>
            <w:ind w:left="6210" w:firstLine="270"/>
            <w:jc w:val="both"/>
            <w:sectPr>
              <w:pgSz w:w="11906" w:h="16838"/>
              <w:pgMar w:top="1134" w:right="1134" w:bottom="1134" w:left="1701" w:header="567" w:footer="567" w:gutter="0"/>
              <w:pgNumType w:start="1"/>
              <w:cols w:space="1296"/>
              <w:noEndnote/>
              <w:titlePg/>
              <w:docGrid w:linePitch="326"/>
            </w:sectPr>
          </w:pPr>
        </w:p>
        <w:p>
          <w:pPr>
            <w:keepNext/>
            <w:ind w:left="5192"/>
            <w:jc w:val="both"/>
          </w:pPr>
          <w:r>
            <w:t>PATVIRTINTA</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2000 m. gegužės 31 d. </w:t>
          </w:r>
        </w:p>
        <w:p>
          <w:pPr>
            <w:ind w:left="5192"/>
            <w:jc w:val="both"/>
            <w:rPr>
              <w:szCs w:val="24"/>
            </w:rPr>
          </w:pPr>
          <w:r>
            <w:rPr>
              <w:szCs w:val="24"/>
            </w:rPr>
            <w:t xml:space="preserve">įsakymu Nr. 301 </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2013 m. kovo 5 d. </w:t>
          </w:r>
        </w:p>
        <w:p>
          <w:pPr>
            <w:ind w:left="5192"/>
            <w:jc w:val="both"/>
            <w:rPr>
              <w:szCs w:val="24"/>
            </w:rPr>
          </w:pPr>
          <w:r>
            <w:rPr>
              <w:szCs w:val="24"/>
            </w:rPr>
            <w:t>įsakymo Nr. V-320 redakcija)</w:t>
          </w:r>
        </w:p>
        <w:p>
          <w:pPr>
            <w:ind w:left="5192"/>
            <w:jc w:val="both"/>
            <w:rPr>
              <w:szCs w:val="24"/>
            </w:rPr>
          </w:pPr>
          <w:sdt>
            <w:sdtPr>
              <w:alias w:val="Numeris"/>
              <w:tag w:val="nr_8d7263feddb942499b31d04640026346"/>
              <w:lock w:val="sdtLocked"/>
              <w:richText/>
            </w:sdtPr>
            <w:sdtContent>
              <w:r>
                <w:rPr>
                  <w:szCs w:val="24"/>
                </w:rPr>
                <w:t>11</w:t>
              </w:r>
            </w:sdtContent>
          </w:sdt>
          <w:r>
            <w:rPr>
              <w:szCs w:val="24"/>
            </w:rPr>
            <w:t xml:space="preserve"> priedas</w:t>
          </w:r>
        </w:p>
        <w:p>
          <w:pPr>
            <w:keepNext/>
            <w:jc w:val="center"/>
            <w:outlineLvl w:val="5"/>
            <w:rPr>
              <w:b/>
              <w:color w:val="000000"/>
              <w:szCs w:val="24"/>
            </w:rPr>
          </w:pPr>
        </w:p>
        <w:p>
          <w:pPr>
            <w:keepNext/>
            <w:jc w:val="center"/>
            <w:outlineLvl w:val="5"/>
            <w:rPr>
              <w:b/>
              <w:color w:val="000000"/>
              <w:szCs w:val="24"/>
            </w:rPr>
          </w:pPr>
          <w:sdt>
            <w:sdtPr>
              <w:alias w:val="Pavadinimas"/>
              <w:tag w:val="title_8d7263feddb942499b31d04640026346"/>
              <w:lock w:val="sdtLocked"/>
              <w:richText/>
            </w:sdtPr>
            <w:sdtContent>
              <w:r>
                <w:rPr>
                  <w:b/>
                  <w:color w:val="000000"/>
                  <w:szCs w:val="24"/>
                </w:rPr>
                <w:t>JŪRININKŲ IR VIDAUS VANDENŲ TRANSPORTO SPECIALISTŲ BEI MOTORINIŲ PRAMOGINIŲ LAIVŲ IR KITŲ MOTORINIŲ PLAUKIOJIMO PRIEMONIŲ LAIVAVEDŽIŲ SVEIKATOS TIKRINIMO TVARKOS APRAŠAS</w:t>
              </w:r>
            </w:sdtContent>
          </w:sdt>
        </w:p>
        <w:p>
          <w:pPr>
            <w:keepNext/>
            <w:ind w:left="568"/>
            <w:jc w:val="center"/>
            <w:outlineLvl w:val="1"/>
            <w:rPr>
              <w:b/>
              <w:szCs w:val="24"/>
            </w:rPr>
          </w:pPr>
        </w:p>
        <w:sdt>
          <w:sdtPr>
            <w:alias w:val="skyrius"/>
            <w:tag w:val="part_32ccb9ddeb984219866be6e01bb775c9"/>
            <w:lock w:val="sdtLocked"/>
            <w:richText/>
          </w:sdtPr>
          <w:sdtContent>
            <w:p>
              <w:pPr>
                <w:keepNext/>
                <w:ind w:left="1288"/>
                <w:jc w:val="center"/>
                <w:outlineLvl w:val="1"/>
                <w:rPr>
                  <w:b/>
                  <w:szCs w:val="24"/>
                </w:rPr>
              </w:pPr>
              <w:sdt>
                <w:sdtPr>
                  <w:alias w:val="Numeris"/>
                  <w:tag w:val="nr_32ccb9ddeb984219866be6e01bb775c9"/>
                  <w:lock w:val="sdtLocked"/>
                  <w:richText/>
                </w:sdtPr>
                <w:sdtContent>
                  <w:r>
                    <w:rPr>
                      <w:b/>
                      <w:szCs w:val="24"/>
                    </w:rPr>
                    <w:t>I</w:t>
                  </w:r>
                </w:sdtContent>
              </w:sdt>
              <w:r>
                <w:rPr>
                  <w:b/>
                  <w:szCs w:val="24"/>
                </w:rPr>
                <w:t xml:space="preserve">. </w:t>
              </w:r>
              <w:sdt>
                <w:sdtPr>
                  <w:alias w:val="Pavadinimas"/>
                  <w:tag w:val="title_32ccb9ddeb984219866be6e01bb775c9"/>
                  <w:lock w:val="sdtLocked"/>
                  <w:richText/>
                </w:sdtPr>
                <w:sdtContent>
                  <w:r>
                    <w:rPr>
                      <w:b/>
                      <w:szCs w:val="24"/>
                    </w:rPr>
                    <w:t>BENDROSIOS NUOSTATOS</w:t>
                  </w:r>
                </w:sdtContent>
              </w:sdt>
            </w:p>
            <w:p>
              <w:pPr>
                <w:rPr>
                  <w:sz w:val="20"/>
                </w:rPr>
              </w:pPr>
            </w:p>
            <w:sdt>
              <w:sdtPr>
                <w:alias w:val="11 pr. 1 p."/>
                <w:tag w:val="part_ba16f3e960ea4d37bf1a7b1dca6f2706"/>
                <w:lock w:val="sdtLocked"/>
                <w:richText/>
              </w:sdtPr>
              <w:sdtContent>
                <w:p>
                  <w:pPr>
                    <w:ind w:firstLine="709"/>
                    <w:jc w:val="both"/>
                    <w:rPr>
                      <w:szCs w:val="24"/>
                    </w:rPr>
                  </w:pPr>
                  <w:sdt>
                    <w:sdtPr>
                      <w:alias w:val="Numeris"/>
                      <w:tag w:val="nr_ba16f3e960ea4d37bf1a7b1dca6f2706"/>
                      <w:lock w:val="sdtLocked"/>
                      <w:richText/>
                    </w:sdtPr>
                    <w:sdtContent>
                      <w:r>
                        <w:rPr>
                          <w:szCs w:val="24"/>
                        </w:rPr>
                        <w:t>1</w:t>
                      </w:r>
                    </w:sdtContent>
                  </w:sdt>
                  <w:r>
                    <w:rPr>
                      <w:szCs w:val="24"/>
                    </w:rPr>
                    <w:t xml:space="preserve">. Jūrininkų ir vidaus vandenų transporto specialistų bei motorinių pramoginių laivų ir kitų motorinių plaukiojimo priemonių laivavedžių sveikatos tikrinimo tvarkos aprašas (toliau – Aprašas) nustato išankstinių (prieš įsidarbinant), periodinių (dirbant) ir neeilinių privalomų profilaktinių sveikatos tikrinimų (toliau – sveikatos tikrinimo) reikalavimus ir sveikatos pažymėjimų išdavimo tvarką. </w:t>
                  </w:r>
                </w:p>
              </w:sdtContent>
            </w:sdt>
            <w:sdt>
              <w:sdtPr>
                <w:alias w:val="11 pr. 2 p."/>
                <w:tag w:val="part_d69d8b7f0e2142d58322719293013b09"/>
                <w:lock w:val="sdtLocked"/>
                <w:richText/>
              </w:sdtPr>
              <w:sdtContent>
                <w:p>
                  <w:pPr>
                    <w:ind w:firstLine="709"/>
                    <w:jc w:val="both"/>
                    <w:rPr>
                      <w:szCs w:val="24"/>
                    </w:rPr>
                  </w:pPr>
                  <w:sdt>
                    <w:sdtPr>
                      <w:alias w:val="Numeris"/>
                      <w:tag w:val="nr_d69d8b7f0e2142d58322719293013b09"/>
                      <w:lock w:val="sdtLocked"/>
                      <w:richText/>
                    </w:sdtPr>
                    <w:sdtContent>
                      <w:r>
                        <w:rPr>
                          <w:szCs w:val="24"/>
                        </w:rPr>
                        <w:t>2</w:t>
                      </w:r>
                    </w:sdtContent>
                  </w:sdt>
                  <w:r>
                    <w:rPr>
                      <w:szCs w:val="24"/>
                    </w:rPr>
                    <w:t>. Sveikatos tikrinimo tikslas – nustatyti, ar tikrinamo asmens sveikatos būklė atitinka šiame Apraše nustatytus sveikatos būklės reikalavimus.</w:t>
                  </w:r>
                </w:p>
              </w:sdtContent>
            </w:sdt>
            <w:sdt>
              <w:sdtPr>
                <w:alias w:val="11 pr. 3 p."/>
                <w:tag w:val="part_1f802939952749c3bc1103154a44051c"/>
                <w:lock w:val="sdtLocked"/>
                <w:richText/>
              </w:sdtPr>
              <w:sdtContent>
                <w:p>
                  <w:pPr>
                    <w:ind w:firstLine="709"/>
                    <w:jc w:val="both"/>
                    <w:rPr>
                      <w:color w:val="000000"/>
                      <w:szCs w:val="24"/>
                    </w:rPr>
                  </w:pPr>
                  <w:sdt>
                    <w:sdtPr>
                      <w:alias w:val="Numeris"/>
                      <w:tag w:val="nr_1f802939952749c3bc1103154a44051c"/>
                      <w:lock w:val="sdtLocked"/>
                      <w:richText/>
                    </w:sdtPr>
                    <w:sdtContent>
                      <w:r>
                        <w:rPr>
                          <w:szCs w:val="24"/>
                        </w:rPr>
                        <w:t>3</w:t>
                      </w:r>
                    </w:sdtContent>
                  </w:sdt>
                  <w:r>
                    <w:rPr>
                      <w:szCs w:val="24"/>
                    </w:rPr>
                    <w:t xml:space="preserve">. Aprašas taikomas visiems jūrininkams ir vidaus vandenų transporto specialistams bei motorinių pramoginių laivų ir kitų motorinių plaukiojimo priemonių laivavedžiams ir asmens sveikatos priežiūros įstaigoms, kur tikrinama šiame punkte nurodytų asmenų sveikata. </w:t>
                  </w:r>
                </w:p>
              </w:sdtContent>
            </w:sdt>
            <w:sdt>
              <w:sdtPr>
                <w:alias w:val="11 pr. 4 p."/>
                <w:tag w:val="part_23bfcc2cf4b04ad1ae921748c138157c"/>
                <w:lock w:val="sdtLocked"/>
                <w:richText/>
              </w:sdtPr>
              <w:sdtContent>
                <w:p>
                  <w:pPr>
                    <w:ind w:firstLine="709"/>
                    <w:jc w:val="both"/>
                    <w:rPr>
                      <w:szCs w:val="24"/>
                      <w:lang w:eastAsia="x-none"/>
                    </w:rPr>
                  </w:pPr>
                  <w:sdt>
                    <w:sdtPr>
                      <w:alias w:val="Numeris"/>
                      <w:tag w:val="nr_23bfcc2cf4b04ad1ae921748c138157c"/>
                      <w:lock w:val="sdtLocked"/>
                      <w:richText/>
                    </w:sdtPr>
                    <w:sdtContent>
                      <w:r>
                        <w:rPr>
                          <w:szCs w:val="24"/>
                          <w:lang w:eastAsia="x-none"/>
                        </w:rPr>
                        <w:t>4</w:t>
                      </w:r>
                    </w:sdtContent>
                  </w:sdt>
                  <w:r>
                    <w:rPr>
                      <w:szCs w:val="24"/>
                      <w:lang w:eastAsia="x-none"/>
                    </w:rPr>
                    <w:t>. Aprašas netaikomas karinio laivyno, karinio laivyno pagalbinių laivų, pakrančių apsaugos laivų personalui.</w:t>
                  </w:r>
                </w:p>
              </w:sdtContent>
            </w:sdt>
            <w:sdt>
              <w:sdtPr>
                <w:alias w:val="11 pr. 5 p."/>
                <w:tag w:val="part_39b390a6ea1646e7beb4d715472d9983"/>
                <w:lock w:val="sdtLocked"/>
                <w:richText/>
              </w:sdtPr>
              <w:sdtContent>
                <w:p>
                  <w:pPr>
                    <w:widowControl w:val="0"/>
                    <w:tabs>
                      <w:tab w:val="left" w:pos="1080"/>
                    </w:tabs>
                    <w:ind w:right="-1" w:firstLine="709"/>
                    <w:jc w:val="both"/>
                    <w:rPr>
                      <w:color w:val="000000"/>
                      <w:szCs w:val="24"/>
                    </w:rPr>
                  </w:pPr>
                  <w:sdt>
                    <w:sdtPr>
                      <w:alias w:val="Numeris"/>
                      <w:tag w:val="nr_39b390a6ea1646e7beb4d715472d9983"/>
                      <w:lock w:val="sdtLocked"/>
                      <w:richText/>
                    </w:sdtPr>
                    <w:sdtContent>
                      <w:r>
                        <w:rPr>
                          <w:szCs w:val="24"/>
                          <w:lang w:val="en-US"/>
                        </w:rPr>
                        <w:t>5</w:t>
                      </w:r>
                    </w:sdtContent>
                  </w:sdt>
                  <w:r>
                    <w:rPr>
                      <w:szCs w:val="24"/>
                      <w:lang w:val="en-US"/>
                    </w:rPr>
                    <w:t>. Šiame Apra</w:t>
                  </w:r>
                  <w:r>
                    <w:rPr>
                      <w:szCs w:val="24"/>
                    </w:rPr>
                    <w:t xml:space="preserve">še vartojamos sąvokos </w:t>
                  </w:r>
                  <w:r>
                    <w:rPr>
                      <w:color w:val="000000"/>
                      <w:szCs w:val="24"/>
                    </w:rPr>
                    <w:t xml:space="preserve">atitinka </w:t>
                  </w:r>
                  <w:r>
                    <w:rPr>
                      <w:szCs w:val="24"/>
                    </w:rPr>
                    <w:t xml:space="preserve">Lietuvos Respublikos pacientų teisių ir žalos sveikatai atlyginimo įstatyme, </w:t>
                  </w:r>
                  <w:r>
                    <w:rPr>
                      <w:color w:val="000000"/>
                      <w:szCs w:val="24"/>
                    </w:rPr>
                    <w:t>Lietuvos Respublikos saugios laivybos įstatyme, Lietuvos Respublikos vidaus vandenų transporto kodekse ir Lietuvos Respublikos prekybinės laivybos įstatyme vartojamas sąvokas.</w:t>
                  </w:r>
                </w:p>
              </w:sdtContent>
            </w:sdt>
            <w:sdt>
              <w:sdtPr>
                <w:alias w:val="11 pr. 6 p."/>
                <w:tag w:val="part_6eb442ae5d8340f398b3ff32bbefc6c5"/>
                <w:lock w:val="sdtLocked"/>
                <w:richText/>
              </w:sdtPr>
              <w:sdtContent>
                <w:p>
                  <w:pPr>
                    <w:ind w:firstLine="709"/>
                    <w:jc w:val="both"/>
                    <w:rPr>
                      <w:color w:val="000000"/>
                      <w:szCs w:val="24"/>
                      <w:lang w:val="en-AU" w:eastAsia="x-none"/>
                    </w:rPr>
                  </w:pPr>
                  <w:sdt>
                    <w:sdtPr>
                      <w:alias w:val="Numeris"/>
                      <w:tag w:val="nr_6eb442ae5d8340f398b3ff32bbefc6c5"/>
                      <w:lock w:val="sdtLocked"/>
                      <w:richText/>
                    </w:sdtPr>
                    <w:sdtContent>
                      <w:r>
                        <w:rPr>
                          <w:color w:val="000000"/>
                          <w:szCs w:val="24"/>
                          <w:lang w:val="en-AU" w:eastAsia="x-none"/>
                        </w:rPr>
                        <w:t>6</w:t>
                      </w:r>
                    </w:sdtContent>
                  </w:sdt>
                  <w:r>
                    <w:rPr>
                      <w:color w:val="000000"/>
                      <w:szCs w:val="24"/>
                      <w:lang w:val="en-AU" w:eastAsia="x-none"/>
                    </w:rPr>
                    <w:t>. Jūrininkų ir vidaus vandenų transporto specialistų bei m</w:t>
                  </w:r>
                  <w:r>
                    <w:rPr>
                      <w:szCs w:val="24"/>
                      <w:lang w:val="en-AU" w:eastAsia="x-none"/>
                    </w:rPr>
                    <w:t xml:space="preserve">otorinių pramoginių laivų ir kitų motorinių plaukiojimo priemonių </w:t>
                  </w:r>
                  <w:r>
                    <w:rPr>
                      <w:color w:val="000000"/>
                      <w:szCs w:val="24"/>
                      <w:lang w:val="en-AU" w:eastAsia="x-none"/>
                    </w:rPr>
                    <w:t>laivavedžių profesinės grupės pagal darbo pobūdį (toliau – profesinė grupė):</w:t>
                  </w:r>
                </w:p>
                <w:sdt>
                  <w:sdtPr>
                    <w:alias w:val="11 pr. 6.1 pp."/>
                    <w:tag w:val="part_4d8aeef1fd13476fa19a116863d4db2c"/>
                    <w:lock w:val="sdtLocked"/>
                    <w:richText/>
                  </w:sdtPr>
                  <w:sdtContent>
                    <w:p>
                      <w:pPr>
                        <w:ind w:firstLine="709"/>
                        <w:jc w:val="both"/>
                        <w:rPr>
                          <w:rFonts w:eastAsia="Calibri"/>
                          <w:color w:val="000000"/>
                          <w:szCs w:val="24"/>
                        </w:rPr>
                      </w:pPr>
                      <w:sdt>
                        <w:sdtPr>
                          <w:alias w:val="Numeris"/>
                          <w:tag w:val="nr_4d8aeef1fd13476fa19a116863d4db2c"/>
                          <w:lock w:val="sdtLocked"/>
                          <w:richText/>
                        </w:sdtPr>
                        <w:sdtContent>
                          <w:r>
                            <w:rPr>
                              <w:rFonts w:eastAsia="Calibri"/>
                              <w:color w:val="000000"/>
                              <w:szCs w:val="24"/>
                            </w:rPr>
                            <w:t>6.1</w:t>
                          </w:r>
                        </w:sdtContent>
                      </w:sdt>
                      <w:r>
                        <w:rPr>
                          <w:rFonts w:eastAsia="Calibri"/>
                          <w:color w:val="000000"/>
                          <w:szCs w:val="24"/>
                        </w:rPr>
                        <w:t>. I profesinė grupė – Denio tarnyba. Vykdantys navigacinį budėjimą kapitonai, kapitonų padėjėjai, laivų škiperiai ir jų padėjėjai, kvalifikuoti jūreiviai, jūreiviai, upeiviai, locmanai ir pan.;</w:t>
                      </w:r>
                    </w:p>
                  </w:sdtContent>
                </w:sdt>
                <w:sdt>
                  <w:sdtPr>
                    <w:alias w:val="11 pr. 6.2 pp."/>
                    <w:tag w:val="part_16871eef5095407f91cc3f88e4248a9c"/>
                    <w:lock w:val="sdtLocked"/>
                    <w:richText/>
                  </w:sdtPr>
                  <w:sdtContent>
                    <w:p>
                      <w:pPr>
                        <w:ind w:firstLine="709"/>
                        <w:jc w:val="both"/>
                        <w:rPr>
                          <w:rFonts w:eastAsia="Calibri"/>
                          <w:color w:val="000000"/>
                          <w:szCs w:val="24"/>
                        </w:rPr>
                      </w:pPr>
                      <w:sdt>
                        <w:sdtPr>
                          <w:alias w:val="Numeris"/>
                          <w:tag w:val="nr_16871eef5095407f91cc3f88e4248a9c"/>
                          <w:lock w:val="sdtLocked"/>
                          <w:richText/>
                        </w:sdtPr>
                        <w:sdtContent>
                          <w:r>
                            <w:rPr>
                              <w:rFonts w:eastAsia="Calibri"/>
                              <w:color w:val="000000"/>
                              <w:szCs w:val="24"/>
                            </w:rPr>
                            <w:t>6.2</w:t>
                          </w:r>
                        </w:sdtContent>
                      </w:sdt>
                      <w:r>
                        <w:rPr>
                          <w:rFonts w:eastAsia="Calibri"/>
                          <w:color w:val="000000"/>
                          <w:szCs w:val="24"/>
                        </w:rPr>
                        <w:t>. II profesinė grupė – Mašinų (Jėgainės) tarnyba. Vykdantys mašinų (jėgainės) eigos budėjimą visų grupių mechanikai, kvalifikuoti motoristai, motoristai, elektrikai ir pan.;</w:t>
                      </w:r>
                    </w:p>
                  </w:sdtContent>
                </w:sdt>
                <w:sdt>
                  <w:sdtPr>
                    <w:alias w:val="11 pr. 6.3 pp."/>
                    <w:tag w:val="part_75a22cd5d0354d8192af865fad289721"/>
                    <w:lock w:val="sdtLocked"/>
                    <w:richText/>
                  </w:sdtPr>
                  <w:sdtContent>
                    <w:p>
                      <w:pPr>
                        <w:ind w:firstLine="709"/>
                        <w:jc w:val="both"/>
                        <w:rPr>
                          <w:rFonts w:eastAsia="Calibri"/>
                          <w:color w:val="000000"/>
                          <w:szCs w:val="24"/>
                        </w:rPr>
                      </w:pPr>
                      <w:sdt>
                        <w:sdtPr>
                          <w:alias w:val="Numeris"/>
                          <w:tag w:val="nr_75a22cd5d0354d8192af865fad289721"/>
                          <w:lock w:val="sdtLocked"/>
                          <w:richText/>
                        </w:sdtPr>
                        <w:sdtContent>
                          <w:r>
                            <w:rPr>
                              <w:rFonts w:eastAsia="Calibri"/>
                              <w:color w:val="000000"/>
                              <w:szCs w:val="24"/>
                            </w:rPr>
                            <w:t>6.3</w:t>
                          </w:r>
                        </w:sdtContent>
                      </w:sdt>
                      <w:r>
                        <w:rPr>
                          <w:rFonts w:eastAsia="Calibri"/>
                          <w:color w:val="000000"/>
                          <w:szCs w:val="24"/>
                        </w:rPr>
                        <w:t>. III profesinė grupė – Aptarnavimo tarnyba. Laivus ir jų personalą bei keleivius aptarnaujantys sveikatos priežiūros specialistai ir kiti darbuotojai, saugos pareigūnai, virėjai, narai ir pan.;</w:t>
                      </w:r>
                    </w:p>
                  </w:sdtContent>
                </w:sdt>
                <w:sdt>
                  <w:sdtPr>
                    <w:alias w:val="11 pr. 6.4 pp."/>
                    <w:tag w:val="part_b8f59eae25804e5bb09f445503be3151"/>
                    <w:lock w:val="sdtLocked"/>
                    <w:richText/>
                  </w:sdtPr>
                  <w:sdtContent>
                    <w:p>
                      <w:pPr>
                        <w:ind w:firstLine="709"/>
                        <w:jc w:val="both"/>
                        <w:rPr>
                          <w:color w:val="000000"/>
                          <w:szCs w:val="24"/>
                          <w:lang w:val="en-AU" w:eastAsia="x-none"/>
                        </w:rPr>
                      </w:pPr>
                      <w:sdt>
                        <w:sdtPr>
                          <w:alias w:val="Numeris"/>
                          <w:tag w:val="nr_b8f59eae25804e5bb09f445503be3151"/>
                          <w:lock w:val="sdtLocked"/>
                          <w:richText/>
                        </w:sdtPr>
                        <w:sdtContent>
                          <w:r>
                            <w:rPr>
                              <w:rFonts w:eastAsia="Calibri"/>
                              <w:color w:val="000000"/>
                              <w:szCs w:val="24"/>
                              <w:lang w:val="en-AU" w:eastAsia="x-none"/>
                            </w:rPr>
                            <w:t>6.4</w:t>
                          </w:r>
                        </w:sdtContent>
                      </w:sdt>
                      <w:r>
                        <w:rPr>
                          <w:rFonts w:eastAsia="Calibri"/>
                          <w:color w:val="000000"/>
                          <w:szCs w:val="24"/>
                          <w:lang w:val="en-AU" w:eastAsia="x-none"/>
                        </w:rPr>
                        <w:t>. IV profesinė grupė –</w:t>
                      </w:r>
                      <w:r>
                        <w:rPr>
                          <w:color w:val="000000"/>
                          <w:szCs w:val="24"/>
                          <w:lang w:val="en-AU" w:eastAsia="x-none"/>
                        </w:rPr>
                        <w:t xml:space="preserve"> M</w:t>
                      </w:r>
                      <w:r>
                        <w:rPr>
                          <w:szCs w:val="24"/>
                          <w:lang w:val="en-AU" w:eastAsia="x-none"/>
                        </w:rPr>
                        <w:t xml:space="preserve">otorinių pramoginių laivų ir kitų motorinių plaukiojimo priemonių </w:t>
                      </w:r>
                      <w:r>
                        <w:rPr>
                          <w:color w:val="000000"/>
                          <w:szCs w:val="24"/>
                          <w:lang w:val="en-AU" w:eastAsia="x-none"/>
                        </w:rPr>
                        <w:t>laivavedžiai.</w:t>
                      </w:r>
                    </w:p>
                    <w:p>
                      <w:pPr>
                        <w:ind w:left="568"/>
                        <w:jc w:val="both"/>
                        <w:rPr>
                          <w:b/>
                          <w:szCs w:val="24"/>
                          <w:lang w:eastAsia="x-none"/>
                        </w:rPr>
                      </w:pPr>
                    </w:p>
                  </w:sdtContent>
                </w:sdt>
              </w:sdtContent>
            </w:sdt>
          </w:sdtContent>
        </w:sdt>
        <w:sdt>
          <w:sdtPr>
            <w:alias w:val="skyrius"/>
            <w:tag w:val="part_a42700b424784c29a5c42d99b641e3ed"/>
            <w:lock w:val="sdtLocked"/>
            <w:richText/>
          </w:sdtPr>
          <w:sdtContent>
            <w:p>
              <w:pPr>
                <w:ind w:left="568"/>
                <w:jc w:val="center"/>
                <w:rPr>
                  <w:b/>
                  <w:szCs w:val="24"/>
                  <w:lang w:eastAsia="x-none"/>
                </w:rPr>
              </w:pPr>
              <w:sdt>
                <w:sdtPr>
                  <w:alias w:val="Numeris"/>
                  <w:tag w:val="nr_a42700b424784c29a5c42d99b641e3ed"/>
                  <w:lock w:val="sdtLocked"/>
                  <w:richText/>
                </w:sdtPr>
                <w:sdtContent>
                  <w:r>
                    <w:rPr>
                      <w:b/>
                      <w:szCs w:val="24"/>
                      <w:lang w:eastAsia="x-none"/>
                    </w:rPr>
                    <w:t>II</w:t>
                  </w:r>
                </w:sdtContent>
              </w:sdt>
              <w:r>
                <w:rPr>
                  <w:b/>
                  <w:szCs w:val="24"/>
                  <w:lang w:eastAsia="x-none"/>
                </w:rPr>
                <w:t xml:space="preserve">. </w:t>
              </w:r>
              <w:sdt>
                <w:sdtPr>
                  <w:alias w:val="Pavadinimas"/>
                  <w:tag w:val="title_a42700b424784c29a5c42d99b641e3ed"/>
                  <w:lock w:val="sdtLocked"/>
                  <w:richText/>
                </w:sdtPr>
                <w:sdtContent>
                  <w:r>
                    <w:rPr>
                      <w:b/>
                      <w:szCs w:val="24"/>
                      <w:lang w:eastAsia="x-none"/>
                    </w:rPr>
                    <w:t>SVEIKATOS TIKRINIMO REIKALAVIMAI IR TVARKA</w:t>
                  </w:r>
                </w:sdtContent>
              </w:sdt>
            </w:p>
            <w:p>
              <w:pPr>
                <w:jc w:val="center"/>
                <w:rPr>
                  <w:szCs w:val="24"/>
                  <w:lang w:eastAsia="x-none"/>
                </w:rPr>
              </w:pPr>
            </w:p>
            <w:sdt>
              <w:sdtPr>
                <w:alias w:val="11 pr. 7 p."/>
                <w:tag w:val="part_323439abc2094e6f92afb22f5a72fb07"/>
                <w:lock w:val="sdtLocked"/>
                <w:richText/>
              </w:sdtPr>
              <w:sdtContent>
                <w:p>
                  <w:pPr>
                    <w:ind w:firstLine="709"/>
                    <w:jc w:val="both"/>
                    <w:rPr>
                      <w:szCs w:val="24"/>
                      <w:lang w:eastAsia="x-none"/>
                    </w:rPr>
                  </w:pPr>
                  <w:sdt>
                    <w:sdtPr>
                      <w:alias w:val="Numeris"/>
                      <w:tag w:val="nr_323439abc2094e6f92afb22f5a72fb07"/>
                      <w:lock w:val="sdtLocked"/>
                      <w:richText/>
                    </w:sdtPr>
                    <w:sdtContent>
                      <w:r>
                        <w:rPr>
                          <w:szCs w:val="24"/>
                          <w:lang w:eastAsia="x-none"/>
                        </w:rPr>
                        <w:t>7</w:t>
                      </w:r>
                    </w:sdtContent>
                  </w:sdt>
                  <w:r>
                    <w:rPr>
                      <w:szCs w:val="24"/>
                      <w:lang w:eastAsia="x-none"/>
                    </w:rPr>
                    <w:t xml:space="preserve">. Asmenys, dirbantys ar norintys įsidarbinti jūrininkais ar vidaus vandenų transporto specialistais arba įgyti teisę valdyti motorinį pramoginį laivą, kitas motorines plaukiojimo priemones, privalo pasitikrinti sveikatą prieš pradedant darbą ar veiklą (toliau – įsidarbindami), o dirbančiųjų sveikata tikrinama periodiškai, kaip nurodyta šio Aprašo III skyriuje, vadovaujantis šiuo Aprašu bei atsižvelgiant į šio </w:t>
                  </w:r>
                  <w:r>
                    <w:rPr>
                      <w:color w:val="000000"/>
                      <w:szCs w:val="24"/>
                      <w:lang w:eastAsia="x-none"/>
                    </w:rPr>
                    <w:t>Aprašo 1 priedo „Minimalūs</w:t>
                  </w:r>
                  <w:r>
                    <w:rPr>
                      <w:szCs w:val="24"/>
                      <w:lang w:eastAsia="x-none"/>
                    </w:rPr>
                    <w:t xml:space="preserve"> sveikatos būklės reikalavimai, taikomi jūrininkams ir vidaus vandenų transporto specialistams bei motorinių pramoginių laivų ir kitų motorinių plaukiojimo priemonių laivavedžiams“ nuostatas.</w:t>
                  </w:r>
                </w:p>
              </w:sdtContent>
            </w:sdt>
            <w:sdt>
              <w:sdtPr>
                <w:alias w:val="11 pr. 8 p."/>
                <w:tag w:val="part_e4ce3d842bd8444fbda0d0a560761142"/>
                <w:lock w:val="sdtLocked"/>
                <w:richText/>
              </w:sdtPr>
              <w:sdtContent>
                <w:p>
                  <w:pPr>
                    <w:ind w:firstLine="720"/>
                    <w:jc w:val="both"/>
                    <w:rPr>
                      <w:szCs w:val="24"/>
                    </w:rPr>
                  </w:pPr>
                  <w:sdt>
                    <w:sdtPr>
                      <w:alias w:val="Numeris"/>
                      <w:tag w:val="nr_e4ce3d842bd8444fbda0d0a560761142"/>
                      <w:lock w:val="sdtLocked"/>
                      <w:richText/>
                    </w:sdtPr>
                    <w:sdtContent>
                      <w:r>
                        <w:rPr>
                          <w:szCs w:val="24"/>
                        </w:rPr>
                        <w:t>8</w:t>
                      </w:r>
                    </w:sdtContent>
                  </w:sdt>
                  <w:r>
                    <w:rPr>
                      <w:szCs w:val="24"/>
                    </w:rPr>
                    <w:t xml:space="preserve">. Prieš sveikatos tikrinimą Asmens sveikatos priežiūros įstaigoje (toliau – ASPĮ) asmuo, nurodytas Aprašo 7 punkte (toliau – pacientas), pateikia asmens tapatybę patvirtinantį dokumentą (asmens tapatybės kortelę arba pasą). </w:t>
                  </w:r>
                  <w:r>
                    <w:rPr>
                      <w:color w:val="000000"/>
                      <w:szCs w:val="24"/>
                    </w:rPr>
                    <w:t>Pacientas</w:t>
                  </w:r>
                  <w:r>
                    <w:rPr>
                      <w:szCs w:val="24"/>
                    </w:rPr>
                    <w:t xml:space="preserve"> užpildo ir pasirašo Jūrininkų ir vidaus vandenų transporto specialisto bei motorinių pramoginių laivų ir kitų motorinių plaukiojimo priemonių laivavedžio</w:t>
                  </w:r>
                  <w:r>
                    <w:rPr>
                      <w:color w:val="0000FF"/>
                      <w:szCs w:val="24"/>
                    </w:rPr>
                    <w:t xml:space="preserve"> </w:t>
                  </w:r>
                  <w:r>
                    <w:rPr>
                      <w:color w:val="000000"/>
                      <w:szCs w:val="24"/>
                    </w:rPr>
                    <w:t xml:space="preserve">Garbės deklaraciją (sveikatos tikrinimo klausimyną) (2 priedas), kuri įklijuojama į gydytojo pildomą jo </w:t>
                  </w:r>
                  <w:r>
                    <w:rPr>
                      <w:szCs w:val="24"/>
                    </w:rPr>
                    <w:t xml:space="preserve">Asmens sveikatos istoriją </w:t>
                  </w:r>
                  <w:r>
                    <w:rPr>
                      <w:color w:val="000000"/>
                      <w:szCs w:val="24"/>
                    </w:rPr>
                    <w:t>(ambulatorinę kortelę</w:t>
                  </w:r>
                  <w:r>
                    <w:rPr>
                      <w:szCs w:val="24"/>
                    </w:rPr>
                    <w:t xml:space="preserve">) (toliau – forma Nr. 025/a), </w:t>
                  </w:r>
                  <w:r>
                    <w:rPr>
                      <w:color w:val="000000"/>
                      <w:szCs w:val="24"/>
                    </w:rPr>
                    <w:t>patvirtintą Lietuvos Respublikos sveikatos apsaugos ministro 1999 m. lapkričio 29 d. įsakymu Nr. 515 (toliau – įsakymas Nr. 515),</w:t>
                  </w:r>
                  <w:r>
                    <w:rPr>
                      <w:color w:val="000000"/>
                      <w:sz w:val="20"/>
                    </w:rPr>
                    <w:t xml:space="preserve"> </w:t>
                  </w:r>
                  <w:r>
                    <w:rPr>
                      <w:color w:val="000000"/>
                      <w:szCs w:val="24"/>
                    </w:rPr>
                    <w:t xml:space="preserve">saugomą ASPĮ , kurioje tikrinama paciento sveikata. </w:t>
                  </w:r>
                </w:p>
              </w:sdtContent>
            </w:sdt>
            <w:sdt>
              <w:sdtPr>
                <w:alias w:val="11 pr. 9 p."/>
                <w:tag w:val="part_c6a797db6e354c69bfec3e0333a3413b"/>
                <w:lock w:val="sdtLocked"/>
                <w:richText/>
              </w:sdtPr>
              <w:sdtContent>
                <w:p>
                  <w:pPr>
                    <w:ind w:firstLine="709"/>
                    <w:jc w:val="both"/>
                    <w:rPr>
                      <w:szCs w:val="24"/>
                      <w:lang w:eastAsia="x-none"/>
                    </w:rPr>
                  </w:pPr>
                  <w:sdt>
                    <w:sdtPr>
                      <w:alias w:val="Numeris"/>
                      <w:tag w:val="nr_c6a797db6e354c69bfec3e0333a3413b"/>
                      <w:lock w:val="sdtLocked"/>
                      <w:richText/>
                    </w:sdtPr>
                    <w:sdtContent>
                      <w:r>
                        <w:rPr>
                          <w:szCs w:val="24"/>
                          <w:lang w:eastAsia="x-none"/>
                        </w:rPr>
                        <w:t>9</w:t>
                      </w:r>
                    </w:sdtContent>
                  </w:sdt>
                  <w:r>
                    <w:rPr>
                      <w:szCs w:val="24"/>
                      <w:lang w:eastAsia="x-none"/>
                    </w:rPr>
                    <w:t>. Sveikatą tikrinantys gydytojai turi teisę gauti informaciją apie tikrinamojo asmens sveikatos būklę iš kitų ASPĮ bei privačiai dirbančių gydytojų, o pastarieji tokią informaciją privalo teikti teisės aktų nustatyta tvarka.</w:t>
                  </w:r>
                </w:p>
              </w:sdtContent>
            </w:sdt>
            <w:sdt>
              <w:sdtPr>
                <w:alias w:val="11 pr. 10 p."/>
                <w:tag w:val="part_5997fe6c03344b7fab10d6bce125ebb0"/>
                <w:lock w:val="sdtLocked"/>
                <w:richText/>
              </w:sdtPr>
              <w:sdtContent>
                <w:p>
                  <w:pPr>
                    <w:ind w:firstLine="709"/>
                    <w:jc w:val="both"/>
                    <w:rPr>
                      <w:color w:val="000000"/>
                      <w:szCs w:val="24"/>
                      <w:lang w:eastAsia="x-none"/>
                    </w:rPr>
                  </w:pPr>
                  <w:sdt>
                    <w:sdtPr>
                      <w:alias w:val="Numeris"/>
                      <w:tag w:val="nr_5997fe6c03344b7fab10d6bce125ebb0"/>
                      <w:lock w:val="sdtLocked"/>
                      <w:richText/>
                    </w:sdtPr>
                    <w:sdtContent>
                      <w:r>
                        <w:rPr>
                          <w:rFonts w:eastAsia="Calibri"/>
                          <w:color w:val="000000"/>
                          <w:szCs w:val="24"/>
                          <w:lang w:eastAsia="x-none"/>
                        </w:rPr>
                        <w:t>10</w:t>
                      </w:r>
                    </w:sdtContent>
                  </w:sdt>
                  <w:r>
                    <w:rPr>
                      <w:rFonts w:eastAsia="Calibri"/>
                      <w:color w:val="000000"/>
                      <w:szCs w:val="24"/>
                      <w:lang w:eastAsia="x-none"/>
                    </w:rPr>
                    <w:t>. Prieš įsidarbinimą jūrininko ar v</w:t>
                  </w:r>
                  <w:r>
                    <w:rPr>
                      <w:szCs w:val="24"/>
                      <w:lang w:eastAsia="x-none"/>
                    </w:rPr>
                    <w:t xml:space="preserve">idaus vandenų transporto specialisto bei </w:t>
                  </w:r>
                  <w:r>
                    <w:rPr>
                      <w:color w:val="000000"/>
                      <w:szCs w:val="24"/>
                      <w:lang w:val="en-AU" w:eastAsia="x-none"/>
                    </w:rPr>
                    <w:t>m</w:t>
                  </w:r>
                  <w:r>
                    <w:rPr>
                      <w:szCs w:val="24"/>
                      <w:lang w:val="en-AU" w:eastAsia="x-none"/>
                    </w:rPr>
                    <w:t xml:space="preserve">otorinių pramoginių laivų ir kitų motorinių plaukiojimo priemonių </w:t>
                  </w:r>
                  <w:r>
                    <w:rPr>
                      <w:szCs w:val="24"/>
                      <w:lang w:eastAsia="x-none"/>
                    </w:rPr>
                    <w:t xml:space="preserve">laivavedžio </w:t>
                  </w:r>
                  <w:r>
                    <w:rPr>
                      <w:rFonts w:eastAsia="Calibri"/>
                      <w:color w:val="000000"/>
                      <w:szCs w:val="24"/>
                      <w:lang w:eastAsia="x-none"/>
                    </w:rPr>
                    <w:t>sveikatą tikrina gydytojas psichiatras (</w:t>
                  </w:r>
                  <w:r>
                    <w:rPr>
                      <w:color w:val="000000"/>
                      <w:lang w:eastAsia="x-none"/>
                    </w:rPr>
                    <w:t>psichikos sveikatos centre, prie kurio asmuo yra prisirašęs teisės aktų nustatyta tvarka, arba psichikos sveikatos centre, prie kurio, kaip prie sudariusio sutartį su asmens teisės aktų nustatyta tvarka pasirinkta pirminės sveikatos priežiūros paslaugas teikiančia ASPĮ dėl</w:t>
                  </w:r>
                  <w:r>
                    <w:rPr>
                      <w:lang w:eastAsia="x-none"/>
                    </w:rPr>
                    <w:t xml:space="preserve"> pirminės ambulatorinės psichikos sveikatos priežiūros paslaugų </w:t>
                  </w:r>
                  <w:r>
                    <w:rPr>
                      <w:color w:val="000000"/>
                      <w:lang w:eastAsia="x-none"/>
                    </w:rPr>
                    <w:t>teikimo, asmuo yra priskirtas). G</w:t>
                  </w:r>
                  <w:r>
                    <w:rPr>
                      <w:rFonts w:eastAsia="Calibri"/>
                      <w:color w:val="000000"/>
                      <w:szCs w:val="24"/>
                      <w:lang w:eastAsia="x-none"/>
                    </w:rPr>
                    <w:t xml:space="preserve">ydytojas psichiatras nustato </w:t>
                  </w:r>
                  <w:r>
                    <w:rPr>
                      <w:szCs w:val="24"/>
                      <w:lang w:val="en-AU" w:eastAsia="x-none"/>
                    </w:rPr>
                    <w:t xml:space="preserve">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 Išvadą įrašo į formą Nr. 025/a ir į </w:t>
                  </w:r>
                  <w:r>
                    <w:rPr>
                      <w:color w:val="000000"/>
                      <w:lang w:eastAsia="x-none"/>
                    </w:rPr>
                    <w:t xml:space="preserve">įsakymu Nr. 515 patvirtintos </w:t>
                  </w:r>
                  <w:r>
                    <w:rPr>
                      <w:szCs w:val="24"/>
                      <w:lang w:eastAsia="x-none"/>
                    </w:rPr>
                    <w:t>formos Medicinos dokumentų išrašą (forma Nr. 027/a) iš jo formos Nr. 025/a (toliau – forma Nr. 027/a).</w:t>
                  </w:r>
                </w:p>
              </w:sdtContent>
            </w:sdt>
            <w:sdt>
              <w:sdtPr>
                <w:alias w:val="11 pr. 11 p."/>
                <w:tag w:val="part_ece33cd7cb6a4881a315031e2c44b39b"/>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pPr>
                  <w:sdt>
                    <w:sdtPr>
                      <w:alias w:val="Numeris"/>
                      <w:tag w:val="nr_ece33cd7cb6a4881a315031e2c44b39b"/>
                      <w:lock w:val="sdtLocked"/>
                      <w:richText/>
                    </w:sdtPr>
                    <w:sdtContent>
                      <w:r>
                        <w:rPr>
                          <w:szCs w:val="24"/>
                        </w:rPr>
                        <w:t>11</w:t>
                      </w:r>
                    </w:sdtContent>
                  </w:sdt>
                  <w:r>
                    <w:rPr>
                      <w:szCs w:val="24"/>
                    </w:rPr>
                    <w:t xml:space="preserve">. Jūrininkų sveikatą tikrina ASPĮ, turinčios licenciją teikti asmens sveikatos priežiūros paslaugas, vadovo patvirtinta Jūrininkų sveikatos tikrinimo komisija (toliau – Komisija), kurią sudaro </w:t>
                  </w:r>
                  <w:r>
                    <w:rPr>
                      <w:color w:val="000000"/>
                      <w:szCs w:val="24"/>
                    </w:rPr>
                    <w:t>vidaus ligų (arba šeimos ar darbo medicinos) gydytojas, gydytojas oftalmologas, gydytojas otorinolaringologas, gydytojas odontologas, gydytojas akušeris-ginekologas (moterų), gydytojas radiologas, kitų profesinių kvalifikacijų gydytojai – pagal indikacijas. Šie gydytojai paskiria tyrimus, nustato jų dažnumą, vadovaudamiesi Aprašu, bei atsako už sveikatos tikrinimo kokybę.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1 p."/>
                <w:tag w:val="part_0b8179516254450db17acd32605c949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lang w:eastAsia="x-none"/>
                    </w:rPr>
                  </w:pPr>
                  <w:sdt>
                    <w:sdtPr>
                      <w:alias w:val="Numeris"/>
                      <w:tag w:val="nr_0b8179516254450db17acd32605c9498"/>
                      <w:lock w:val="sdtLocked"/>
                      <w:richText/>
                    </w:sdtPr>
                    <w:sdtContent>
                      <w:r>
                        <w:rPr>
                          <w:color w:val="000000"/>
                          <w:szCs w:val="24"/>
                        </w:rPr>
                        <w:t>11</w:t>
                      </w:r>
                      <w:r>
                        <w:rPr>
                          <w:color w:val="000000"/>
                          <w:szCs w:val="24"/>
                          <w:vertAlign w:val="superscript"/>
                        </w:rPr>
                        <w:t>1</w:t>
                      </w:r>
                    </w:sdtContent>
                  </w:sdt>
                  <w:r>
                    <w:rPr>
                      <w:color w:val="000000"/>
                      <w:szCs w:val="24"/>
                    </w:rPr>
                    <w:t>. ASPĮ, sudariusi K</w:t>
                  </w:r>
                  <w:r>
                    <w:rPr>
                      <w:szCs w:val="24"/>
                    </w:rPr>
                    <w:t xml:space="preserve">omisiją </w:t>
                  </w:r>
                  <w:r>
                    <w:rPr>
                      <w:szCs w:val="24"/>
                      <w:lang w:eastAsia="lt-LT"/>
                    </w:rPr>
                    <w:t>ar panaikinusi sudarytą Komisiją</w:t>
                  </w:r>
                  <w:r>
                    <w:rPr>
                      <w:szCs w:val="24"/>
                    </w:rPr>
                    <w:t xml:space="preserve">, apie tai </w:t>
                  </w:r>
                  <w:r>
                    <w:rPr>
                      <w:color w:val="000000"/>
                      <w:szCs w:val="24"/>
                    </w:rPr>
                    <w:t xml:space="preserve">per 5 darbo dienas nuo Komisijos sudarymo ar panaikinimo informuoja Lietuvos transporto saugos administraciją. Sudarius Komisiją, Lietuvos transporto saugos administracijai pateikiama informacija apie </w:t>
                  </w:r>
                  <w:r>
                    <w:rPr>
                      <w:szCs w:val="24"/>
                    </w:rPr>
                    <w:t>Komisijos pirmininką ir Komisijos pirmininko pavaduotoją, nurodant jų vardus, pavardes ir pareigas.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12 p."/>
                <w:tag w:val="part_1bee4c3f52314253b25caecd3375f1fe"/>
                <w:lock w:val="sdtLocked"/>
                <w:richText/>
              </w:sdtPr>
              <w:sdtContent>
                <w:p>
                  <w:pPr>
                    <w:widowControl w:val="0"/>
                    <w:ind w:firstLine="709"/>
                    <w:jc w:val="both"/>
                    <w:rPr>
                      <w:rFonts w:eastAsia="Calibri"/>
                      <w:color w:val="000000"/>
                      <w:szCs w:val="24"/>
                      <w:lang w:val="en-AU" w:eastAsia="x-none"/>
                    </w:rPr>
                  </w:pPr>
                  <w:sdt>
                    <w:sdtPr>
                      <w:alias w:val="Numeris"/>
                      <w:tag w:val="nr_1bee4c3f52314253b25caecd3375f1fe"/>
                      <w:lock w:val="sdtLocked"/>
                      <w:richText/>
                    </w:sdtPr>
                    <w:sdtContent>
                      <w:r>
                        <w:rPr>
                          <w:color w:val="000000"/>
                          <w:lang w:eastAsia="x-none"/>
                        </w:rPr>
                        <w:t>12</w:t>
                      </w:r>
                    </w:sdtContent>
                  </w:sdt>
                  <w:r>
                    <w:rPr>
                      <w:color w:val="000000"/>
                      <w:lang w:eastAsia="x-none"/>
                    </w:rPr>
                    <w:t xml:space="preserve">. </w:t>
                  </w:r>
                  <w:r>
                    <w:rPr>
                      <w:rFonts w:eastAsia="Calibri"/>
                      <w:color w:val="000000"/>
                      <w:szCs w:val="24"/>
                      <w:lang w:val="en-AU" w:eastAsia="x-none"/>
                    </w:rPr>
                    <w:t>Atliekami šie tyrimai:</w:t>
                  </w:r>
                </w:p>
                <w:sdt>
                  <w:sdtPr>
                    <w:alias w:val="11 pr. 12.1 pp."/>
                    <w:tag w:val="part_79b5c9b9b76346ad86f883f004924037"/>
                    <w:lock w:val="sdtLocked"/>
                    <w:richText/>
                  </w:sdtPr>
                  <w:sdtContent>
                    <w:p>
                      <w:pPr>
                        <w:ind w:firstLine="709"/>
                        <w:jc w:val="both"/>
                        <w:rPr>
                          <w:rFonts w:eastAsia="Calibri"/>
                          <w:color w:val="000000"/>
                          <w:szCs w:val="24"/>
                        </w:rPr>
                      </w:pPr>
                      <w:sdt>
                        <w:sdtPr>
                          <w:alias w:val="Numeris"/>
                          <w:tag w:val="nr_79b5c9b9b76346ad86f883f004924037"/>
                          <w:lock w:val="sdtLocked"/>
                          <w:richText/>
                        </w:sdtPr>
                        <w:sdtContent>
                          <w:r>
                            <w:rPr>
                              <w:rFonts w:eastAsia="Calibri"/>
                              <w:color w:val="000000"/>
                              <w:szCs w:val="24"/>
                            </w:rPr>
                            <w:t>12.1</w:t>
                          </w:r>
                        </w:sdtContent>
                      </w:sdt>
                      <w:r>
                        <w:rPr>
                          <w:rFonts w:eastAsia="Calibri"/>
                          <w:color w:val="000000"/>
                          <w:szCs w:val="24"/>
                        </w:rPr>
                        <w:t xml:space="preserve">. </w:t>
                      </w:r>
                      <w:r>
                        <w:rPr>
                          <w:color w:val="000000"/>
                          <w:szCs w:val="24"/>
                        </w:rPr>
                        <w:t>veninio arba kapiliarinio kraujo (automatizuotu būdu);</w:t>
                      </w:r>
                      <w:r>
                        <w:rPr>
                          <w:rFonts w:eastAsia="Calibri"/>
                          <w:color w:val="000000"/>
                          <w:szCs w:val="24"/>
                        </w:rPr>
                        <w:t xml:space="preserve"> </w:t>
                      </w:r>
                    </w:p>
                  </w:sdtContent>
                </w:sdt>
                <w:sdt>
                  <w:sdtPr>
                    <w:alias w:val="11 pr. 12.2 pp."/>
                    <w:tag w:val="part_b8eb1e5c3ab94a2b8a3d56d6da95c7e3"/>
                    <w:lock w:val="sdtLocked"/>
                    <w:richText/>
                  </w:sdtPr>
                  <w:sdtContent>
                    <w:p>
                      <w:pPr>
                        <w:ind w:firstLine="709"/>
                        <w:jc w:val="both"/>
                        <w:rPr>
                          <w:rFonts w:eastAsia="Calibri"/>
                          <w:color w:val="000000"/>
                          <w:szCs w:val="24"/>
                        </w:rPr>
                      </w:pPr>
                      <w:sdt>
                        <w:sdtPr>
                          <w:alias w:val="Numeris"/>
                          <w:tag w:val="nr_b8eb1e5c3ab94a2b8a3d56d6da95c7e3"/>
                          <w:lock w:val="sdtLocked"/>
                          <w:richText/>
                        </w:sdtPr>
                        <w:sdtContent>
                          <w:r>
                            <w:rPr>
                              <w:rFonts w:eastAsia="Calibri"/>
                              <w:color w:val="000000"/>
                              <w:szCs w:val="24"/>
                            </w:rPr>
                            <w:t>12.2</w:t>
                          </w:r>
                        </w:sdtContent>
                      </w:sdt>
                      <w:r>
                        <w:rPr>
                          <w:rFonts w:eastAsia="Calibri"/>
                          <w:color w:val="000000"/>
                          <w:szCs w:val="24"/>
                        </w:rPr>
                        <w:t>. eritrocitų nusėdimo greičio (ENG);</w:t>
                      </w:r>
                    </w:p>
                  </w:sdtContent>
                </w:sdt>
                <w:sdt>
                  <w:sdtPr>
                    <w:alias w:val="11 pr. 12.3 pp."/>
                    <w:tag w:val="part_81252915cf6c416aad9ebdb8b8ce5f2c"/>
                    <w:lock w:val="sdtLocked"/>
                    <w:richText/>
                  </w:sdtPr>
                  <w:sdtContent>
                    <w:p>
                      <w:pPr>
                        <w:ind w:firstLine="709"/>
                        <w:jc w:val="both"/>
                        <w:rPr>
                          <w:rFonts w:eastAsia="Calibri"/>
                          <w:color w:val="000000"/>
                          <w:szCs w:val="24"/>
                        </w:rPr>
                      </w:pPr>
                      <w:sdt>
                        <w:sdtPr>
                          <w:alias w:val="Numeris"/>
                          <w:tag w:val="nr_81252915cf6c416aad9ebdb8b8ce5f2c"/>
                          <w:lock w:val="sdtLocked"/>
                          <w:richText/>
                        </w:sdtPr>
                        <w:sdtContent>
                          <w:r>
                            <w:rPr>
                              <w:rFonts w:eastAsia="Calibri"/>
                              <w:color w:val="000000"/>
                              <w:szCs w:val="24"/>
                            </w:rPr>
                            <w:t>12.3</w:t>
                          </w:r>
                        </w:sdtContent>
                      </w:sdt>
                      <w:r>
                        <w:rPr>
                          <w:rFonts w:eastAsia="Calibri"/>
                          <w:color w:val="000000"/>
                          <w:szCs w:val="24"/>
                        </w:rPr>
                        <w:t>. gliukozės kiekio veniniame kraujyje (nevalgius) (prieš įsidarbinimą ir asmenims nuo 40 m.);</w:t>
                      </w:r>
                    </w:p>
                  </w:sdtContent>
                </w:sdt>
                <w:sdt>
                  <w:sdtPr>
                    <w:alias w:val="11 pr. 12.4 pp."/>
                    <w:tag w:val="part_16bf25cbef4341a1aac6ee432ff58af5"/>
                    <w:lock w:val="sdtLocked"/>
                    <w:richText/>
                  </w:sdtPr>
                  <w:sdtContent>
                    <w:p>
                      <w:pPr>
                        <w:ind w:firstLine="709"/>
                        <w:jc w:val="both"/>
                        <w:rPr>
                          <w:rFonts w:eastAsia="Calibri"/>
                          <w:color w:val="000000"/>
                          <w:szCs w:val="24"/>
                        </w:rPr>
                      </w:pPr>
                      <w:sdt>
                        <w:sdtPr>
                          <w:alias w:val="Numeris"/>
                          <w:tag w:val="nr_16bf25cbef4341a1aac6ee432ff58af5"/>
                          <w:lock w:val="sdtLocked"/>
                          <w:richText/>
                        </w:sdtPr>
                        <w:sdtContent>
                          <w:r>
                            <w:rPr>
                              <w:rFonts w:eastAsia="Calibri"/>
                              <w:color w:val="000000"/>
                              <w:szCs w:val="24"/>
                            </w:rPr>
                            <w:t>12.4</w:t>
                          </w:r>
                        </w:sdtContent>
                      </w:sdt>
                      <w:r>
                        <w:rPr>
                          <w:rFonts w:eastAsia="Calibri"/>
                          <w:color w:val="000000"/>
                          <w:szCs w:val="24"/>
                        </w:rPr>
                        <w:t xml:space="preserve">. </w:t>
                      </w:r>
                      <w:r>
                        <w:rPr>
                          <w:color w:val="000000"/>
                          <w:szCs w:val="24"/>
                        </w:rPr>
                        <w:t>veninio</w:t>
                      </w:r>
                      <w:r>
                        <w:rPr>
                          <w:rFonts w:eastAsia="Calibri"/>
                          <w:color w:val="000000"/>
                          <w:szCs w:val="24"/>
                        </w:rPr>
                        <w:t xml:space="preserve"> kraujo dėl žmogaus imunodeficito viruso (ŽIV); </w:t>
                      </w:r>
                    </w:p>
                  </w:sdtContent>
                </w:sdt>
                <w:sdt>
                  <w:sdtPr>
                    <w:alias w:val="11 pr. 12.5 pp."/>
                    <w:tag w:val="part_9bff474624024fa284e47b9e02277aee"/>
                    <w:lock w:val="sdtLocked"/>
                    <w:richText/>
                  </w:sdtPr>
                  <w:sdtContent>
                    <w:p>
                      <w:pPr>
                        <w:ind w:firstLine="709"/>
                        <w:jc w:val="both"/>
                        <w:rPr>
                          <w:rFonts w:eastAsia="Calibri"/>
                          <w:color w:val="000000"/>
                          <w:szCs w:val="24"/>
                        </w:rPr>
                      </w:pPr>
                      <w:sdt>
                        <w:sdtPr>
                          <w:alias w:val="Numeris"/>
                          <w:tag w:val="nr_9bff474624024fa284e47b9e02277aee"/>
                          <w:lock w:val="sdtLocked"/>
                          <w:richText/>
                        </w:sdtPr>
                        <w:sdtContent>
                          <w:r>
                            <w:rPr>
                              <w:rFonts w:eastAsia="Calibri"/>
                              <w:color w:val="000000"/>
                              <w:szCs w:val="24"/>
                            </w:rPr>
                            <w:t>12.5</w:t>
                          </w:r>
                        </w:sdtContent>
                      </w:sdt>
                      <w:r>
                        <w:rPr>
                          <w:rFonts w:eastAsia="Calibri"/>
                          <w:color w:val="000000"/>
                          <w:szCs w:val="24"/>
                        </w:rPr>
                        <w:t>. kraujo grupės ir Rh faktoriaus nustatymas (jei nėra nustatyta);</w:t>
                      </w:r>
                    </w:p>
                  </w:sdtContent>
                </w:sdt>
                <w:sdt>
                  <w:sdtPr>
                    <w:alias w:val="11 pr. 12.6 pp."/>
                    <w:tag w:val="part_31a6ee8c4ae9413a835bd5ff8325be45"/>
                    <w:lock w:val="sdtLocked"/>
                    <w:richText/>
                  </w:sdtPr>
                  <w:sdtContent>
                    <w:p>
                      <w:pPr>
                        <w:ind w:firstLine="709"/>
                        <w:jc w:val="both"/>
                        <w:rPr>
                          <w:rFonts w:eastAsia="Calibri"/>
                          <w:color w:val="000000"/>
                          <w:szCs w:val="24"/>
                        </w:rPr>
                      </w:pPr>
                      <w:sdt>
                        <w:sdtPr>
                          <w:alias w:val="Numeris"/>
                          <w:tag w:val="nr_31a6ee8c4ae9413a835bd5ff8325be45"/>
                          <w:lock w:val="sdtLocked"/>
                          <w:richText/>
                        </w:sdtPr>
                        <w:sdtContent>
                          <w:r>
                            <w:rPr>
                              <w:rFonts w:eastAsia="Calibri"/>
                              <w:color w:val="000000"/>
                              <w:szCs w:val="24"/>
                            </w:rPr>
                            <w:t>12.6</w:t>
                          </w:r>
                        </w:sdtContent>
                      </w:sdt>
                      <w:r>
                        <w:rPr>
                          <w:rFonts w:eastAsia="Calibri"/>
                          <w:color w:val="000000"/>
                          <w:szCs w:val="24"/>
                        </w:rPr>
                        <w:t>. kraujo dėl lytiškai plintančių ligų (serologinės reakcijos);</w:t>
                      </w:r>
                    </w:p>
                  </w:sdtContent>
                </w:sdt>
                <w:sdt>
                  <w:sdtPr>
                    <w:alias w:val="11 pr. 12.7 pp."/>
                    <w:tag w:val="part_b5a800c2c8144953b9d4e0ec59e42de5"/>
                    <w:lock w:val="sdtLocked"/>
                    <w:richText/>
                  </w:sdtPr>
                  <w:sdtContent>
                    <w:p>
                      <w:pPr>
                        <w:ind w:firstLine="709"/>
                        <w:jc w:val="both"/>
                        <w:rPr>
                          <w:rFonts w:eastAsia="Calibri"/>
                          <w:color w:val="000000"/>
                          <w:szCs w:val="24"/>
                        </w:rPr>
                      </w:pPr>
                      <w:sdt>
                        <w:sdtPr>
                          <w:alias w:val="Numeris"/>
                          <w:tag w:val="nr_b5a800c2c8144953b9d4e0ec59e42de5"/>
                          <w:lock w:val="sdtLocked"/>
                          <w:richText/>
                        </w:sdtPr>
                        <w:sdtContent>
                          <w:r>
                            <w:rPr>
                              <w:rFonts w:eastAsia="Calibri"/>
                              <w:color w:val="000000"/>
                              <w:szCs w:val="24"/>
                            </w:rPr>
                            <w:t>12.7</w:t>
                          </w:r>
                        </w:sdtContent>
                      </w:sdt>
                      <w:r>
                        <w:rPr>
                          <w:rFonts w:eastAsia="Calibri"/>
                          <w:color w:val="000000"/>
                          <w:szCs w:val="24"/>
                        </w:rPr>
                        <w:t>. bendrasis šlapimo tyrimas analizatoriumi;</w:t>
                      </w:r>
                    </w:p>
                  </w:sdtContent>
                </w:sdt>
                <w:sdt>
                  <w:sdtPr>
                    <w:alias w:val="11 pr. 12.8 pp."/>
                    <w:tag w:val="part_5e38ef56177c47df83c409f85ac862ca"/>
                    <w:lock w:val="sdtLocked"/>
                    <w:richText/>
                  </w:sdtPr>
                  <w:sdtContent>
                    <w:p>
                      <w:pPr>
                        <w:ind w:firstLine="709"/>
                        <w:jc w:val="both"/>
                        <w:rPr>
                          <w:rFonts w:eastAsia="Calibri"/>
                          <w:color w:val="000000"/>
                          <w:szCs w:val="24"/>
                        </w:rPr>
                      </w:pPr>
                      <w:sdt>
                        <w:sdtPr>
                          <w:alias w:val="Numeris"/>
                          <w:tag w:val="nr_5e38ef56177c47df83c409f85ac862ca"/>
                          <w:lock w:val="sdtLocked"/>
                          <w:richText/>
                        </w:sdtPr>
                        <w:sdtContent>
                          <w:r>
                            <w:rPr>
                              <w:rFonts w:eastAsia="Calibri"/>
                              <w:color w:val="000000"/>
                              <w:szCs w:val="24"/>
                            </w:rPr>
                            <w:t>12.8</w:t>
                          </w:r>
                        </w:sdtContent>
                      </w:sdt>
                      <w:r>
                        <w:rPr>
                          <w:rFonts w:eastAsia="Calibri"/>
                          <w:color w:val="000000"/>
                          <w:szCs w:val="24"/>
                        </w:rPr>
                        <w:t>. krūtinės ląstos rentgenograma;</w:t>
                      </w:r>
                    </w:p>
                  </w:sdtContent>
                </w:sdt>
                <w:sdt>
                  <w:sdtPr>
                    <w:alias w:val="11 pr. 12.9 pp."/>
                    <w:tag w:val="part_cc366baf458c4640b5e22941440d5274"/>
                    <w:lock w:val="sdtLocked"/>
                    <w:richText/>
                  </w:sdtPr>
                  <w:sdtContent>
                    <w:p>
                      <w:pPr>
                        <w:ind w:firstLine="709"/>
                        <w:jc w:val="both"/>
                        <w:rPr>
                          <w:rFonts w:eastAsia="Calibri"/>
                          <w:szCs w:val="24"/>
                        </w:rPr>
                      </w:pPr>
                      <w:sdt>
                        <w:sdtPr>
                          <w:alias w:val="Numeris"/>
                          <w:tag w:val="nr_cc366baf458c4640b5e22941440d5274"/>
                          <w:lock w:val="sdtLocked"/>
                          <w:richText/>
                        </w:sdtPr>
                        <w:sdtContent>
                          <w:r>
                            <w:rPr>
                              <w:rFonts w:eastAsia="Calibri"/>
                              <w:szCs w:val="24"/>
                            </w:rPr>
                            <w:t>12.9</w:t>
                          </w:r>
                        </w:sdtContent>
                      </w:sdt>
                      <w:r>
                        <w:rPr>
                          <w:rFonts w:eastAsia="Calibri"/>
                          <w:szCs w:val="24"/>
                        </w:rPr>
                        <w:t>. EKG ramybės metu (prieš įsidarbinimą ir nuo 35 m.);</w:t>
                      </w:r>
                    </w:p>
                  </w:sdtContent>
                </w:sdt>
                <w:sdt>
                  <w:sdtPr>
                    <w:alias w:val="11 pr. 12.10 pp."/>
                    <w:tag w:val="part_f1df0ff4e1d14a988e62c466a4dc766e"/>
                    <w:lock w:val="sdtLocked"/>
                    <w:richText/>
                  </w:sdtPr>
                  <w:sdtContent>
                    <w:p>
                      <w:pPr>
                        <w:ind w:firstLine="709"/>
                        <w:jc w:val="both"/>
                        <w:rPr>
                          <w:rFonts w:eastAsia="Calibri"/>
                          <w:color w:val="000000"/>
                          <w:szCs w:val="24"/>
                        </w:rPr>
                      </w:pPr>
                      <w:sdt>
                        <w:sdtPr>
                          <w:alias w:val="Numeris"/>
                          <w:tag w:val="nr_f1df0ff4e1d14a988e62c466a4dc766e"/>
                          <w:lock w:val="sdtLocked"/>
                          <w:richText/>
                        </w:sdtPr>
                        <w:sdtContent>
                          <w:r>
                            <w:rPr>
                              <w:rFonts w:eastAsia="Calibri"/>
                              <w:color w:val="000000"/>
                              <w:szCs w:val="24"/>
                            </w:rPr>
                            <w:t>12.10</w:t>
                          </w:r>
                        </w:sdtContent>
                      </w:sdt>
                      <w:r>
                        <w:rPr>
                          <w:rFonts w:eastAsia="Calibri"/>
                          <w:color w:val="000000"/>
                          <w:szCs w:val="24"/>
                        </w:rPr>
                        <w:t>. akispūdžio matavimas (asmenims nuo 40 m. amžiaus – 1 kartą kas 3 metus);</w:t>
                      </w:r>
                    </w:p>
                  </w:sdtContent>
                </w:sdt>
                <w:sdt>
                  <w:sdtPr>
                    <w:alias w:val="11 pr. 12.11 pp."/>
                    <w:tag w:val="part_7d2c1f23dc1c47a6a3c268d6f3458b0c"/>
                    <w:lock w:val="sdtLocked"/>
                    <w:richText/>
                  </w:sdtPr>
                  <w:sdtContent>
                    <w:p>
                      <w:pPr>
                        <w:ind w:firstLine="709"/>
                        <w:jc w:val="both"/>
                        <w:rPr>
                          <w:color w:val="000000"/>
                          <w:szCs w:val="24"/>
                        </w:rPr>
                      </w:pPr>
                      <w:sdt>
                        <w:sdtPr>
                          <w:alias w:val="Numeris"/>
                          <w:tag w:val="nr_7d2c1f23dc1c47a6a3c268d6f3458b0c"/>
                          <w:lock w:val="sdtLocked"/>
                          <w:richText/>
                        </w:sdtPr>
                        <w:sdtContent>
                          <w:r>
                            <w:rPr>
                              <w:color w:val="000000"/>
                              <w:szCs w:val="24"/>
                            </w:rPr>
                            <w:t>12.11</w:t>
                          </w:r>
                        </w:sdtContent>
                      </w:sdt>
                      <w:r>
                        <w:rPr>
                          <w:color w:val="000000"/>
                          <w:szCs w:val="24"/>
                        </w:rPr>
                        <w:t>. regėjimo aštrumo nustatymas;</w:t>
                      </w:r>
                    </w:p>
                  </w:sdtContent>
                </w:sdt>
                <w:sdt>
                  <w:sdtPr>
                    <w:alias w:val="11 pr. 12.12 pp."/>
                    <w:tag w:val="part_b1ada84469ef4fdfb8ec0d3a98157e33"/>
                    <w:lock w:val="sdtLocked"/>
                    <w:richText/>
                  </w:sdtPr>
                  <w:sdtContent>
                    <w:p>
                      <w:pPr>
                        <w:ind w:firstLine="709"/>
                        <w:jc w:val="both"/>
                        <w:rPr>
                          <w:rFonts w:eastAsia="Calibri"/>
                          <w:color w:val="000000"/>
                          <w:szCs w:val="24"/>
                        </w:rPr>
                      </w:pPr>
                      <w:sdt>
                        <w:sdtPr>
                          <w:alias w:val="Numeris"/>
                          <w:tag w:val="nr_b1ada84469ef4fdfb8ec0d3a98157e33"/>
                          <w:lock w:val="sdtLocked"/>
                          <w:richText/>
                        </w:sdtPr>
                        <w:sdtContent>
                          <w:r>
                            <w:rPr>
                              <w:color w:val="000000"/>
                              <w:szCs w:val="24"/>
                            </w:rPr>
                            <w:t>12.12</w:t>
                          </w:r>
                        </w:sdtContent>
                      </w:sdt>
                      <w:r>
                        <w:rPr>
                          <w:color w:val="000000"/>
                          <w:szCs w:val="24"/>
                        </w:rPr>
                        <w:t>. spalvinės regos nustatymas – I ir IV profesinei grupei</w:t>
                      </w:r>
                      <w:r>
                        <w:rPr>
                          <w:rFonts w:eastAsia="Calibri"/>
                          <w:color w:val="000000"/>
                          <w:szCs w:val="24"/>
                        </w:rPr>
                        <w:t>;</w:t>
                      </w:r>
                    </w:p>
                  </w:sdtContent>
                </w:sdt>
                <w:sdt>
                  <w:sdtPr>
                    <w:alias w:val="11 pr. 12.13 pp."/>
                    <w:tag w:val="part_79cd18d2a7d14226965451c7754ffa65"/>
                    <w:lock w:val="sdtLocked"/>
                    <w:richText/>
                  </w:sdtPr>
                  <w:sdtContent>
                    <w:p>
                      <w:pPr>
                        <w:ind w:firstLine="709"/>
                        <w:jc w:val="both"/>
                        <w:rPr>
                          <w:rFonts w:eastAsia="Calibri"/>
                          <w:color w:val="000000"/>
                          <w:szCs w:val="24"/>
                        </w:rPr>
                      </w:pPr>
                      <w:sdt>
                        <w:sdtPr>
                          <w:alias w:val="Numeris"/>
                          <w:tag w:val="nr_79cd18d2a7d14226965451c7754ffa65"/>
                          <w:lock w:val="sdtLocked"/>
                          <w:richText/>
                        </w:sdtPr>
                        <w:sdtContent>
                          <w:r>
                            <w:rPr>
                              <w:rFonts w:eastAsia="Calibri"/>
                              <w:color w:val="000000"/>
                              <w:szCs w:val="24"/>
                            </w:rPr>
                            <w:t>12.13</w:t>
                          </w:r>
                        </w:sdtContent>
                      </w:sdt>
                      <w:r>
                        <w:rPr>
                          <w:rFonts w:eastAsia="Calibri"/>
                          <w:color w:val="000000"/>
                          <w:szCs w:val="24"/>
                        </w:rPr>
                        <w:t>. klausos patikrinimas;</w:t>
                      </w:r>
                    </w:p>
                  </w:sdtContent>
                </w:sdt>
                <w:sdt>
                  <w:sdtPr>
                    <w:alias w:val="11 pr. 12.14 pp."/>
                    <w:tag w:val="part_74400bf8bfa6482d8a9ba82009b11dfc"/>
                    <w:lock w:val="sdtLocked"/>
                    <w:richText/>
                  </w:sdtPr>
                  <w:sdtContent>
                    <w:p>
                      <w:pPr>
                        <w:ind w:firstLine="709"/>
                        <w:jc w:val="both"/>
                        <w:rPr>
                          <w:rFonts w:eastAsia="Calibri"/>
                          <w:color w:val="000000"/>
                          <w:szCs w:val="24"/>
                        </w:rPr>
                      </w:pPr>
                      <w:sdt>
                        <w:sdtPr>
                          <w:alias w:val="Numeris"/>
                          <w:tag w:val="nr_74400bf8bfa6482d8a9ba82009b11dfc"/>
                          <w:lock w:val="sdtLocked"/>
                          <w:richText/>
                        </w:sdtPr>
                        <w:sdtContent>
                          <w:r>
                            <w:rPr>
                              <w:rFonts w:eastAsia="Calibri"/>
                              <w:color w:val="000000"/>
                              <w:szCs w:val="24"/>
                            </w:rPr>
                            <w:t>12.14</w:t>
                          </w:r>
                        </w:sdtContent>
                      </w:sdt>
                      <w:r>
                        <w:rPr>
                          <w:rFonts w:eastAsia="Calibri"/>
                          <w:color w:val="000000"/>
                          <w:szCs w:val="24"/>
                        </w:rPr>
                        <w:t>. audiometrija – II profesinei grupei;</w:t>
                      </w:r>
                    </w:p>
                  </w:sdtContent>
                </w:sdt>
                <w:sdt>
                  <w:sdtPr>
                    <w:alias w:val="11 pr. 12.15 pp."/>
                    <w:tag w:val="part_f8a31a904f194a17b5c917ef56830ed6"/>
                    <w:lock w:val="sdtLocked"/>
                    <w:richText/>
                  </w:sdtPr>
                  <w:sdtContent>
                    <w:p>
                      <w:pPr>
                        <w:ind w:firstLine="709"/>
                        <w:jc w:val="both"/>
                        <w:rPr>
                          <w:rFonts w:eastAsia="Calibri"/>
                          <w:color w:val="000000"/>
                          <w:szCs w:val="24"/>
                        </w:rPr>
                      </w:pPr>
                      <w:sdt>
                        <w:sdtPr>
                          <w:alias w:val="Numeris"/>
                          <w:tag w:val="nr_f8a31a904f194a17b5c917ef56830ed6"/>
                          <w:lock w:val="sdtLocked"/>
                          <w:richText/>
                        </w:sdtPr>
                        <w:sdtContent>
                          <w:r>
                            <w:rPr>
                              <w:rFonts w:eastAsia="Calibri"/>
                              <w:color w:val="000000"/>
                              <w:szCs w:val="24"/>
                            </w:rPr>
                            <w:t>12.15</w:t>
                          </w:r>
                        </w:sdtContent>
                      </w:sdt>
                      <w:r>
                        <w:rPr>
                          <w:rFonts w:eastAsia="Calibri"/>
                          <w:color w:val="000000"/>
                          <w:szCs w:val="24"/>
                        </w:rPr>
                        <w:t>. citologinis Pap tyrimas moterims – nuo 35 m;</w:t>
                      </w:r>
                    </w:p>
                  </w:sdtContent>
                </w:sdt>
                <w:sdt>
                  <w:sdtPr>
                    <w:alias w:val="11 pr. 12.16 pp."/>
                    <w:tag w:val="part_1ead58615f744f0eb641ad3f63a790fc"/>
                    <w:lock w:val="sdtLocked"/>
                    <w:richText/>
                  </w:sdtPr>
                  <w:sdtContent>
                    <w:p>
                      <w:pPr>
                        <w:ind w:firstLine="709"/>
                        <w:jc w:val="both"/>
                        <w:rPr>
                          <w:color w:val="000000"/>
                          <w:szCs w:val="24"/>
                        </w:rPr>
                      </w:pPr>
                      <w:sdt>
                        <w:sdtPr>
                          <w:alias w:val="Numeris"/>
                          <w:tag w:val="nr_1ead58615f744f0eb641ad3f63a790fc"/>
                          <w:lock w:val="sdtLocked"/>
                          <w:richText/>
                        </w:sdtPr>
                        <w:sdtContent>
                          <w:r>
                            <w:rPr>
                              <w:rFonts w:eastAsia="Calibri"/>
                              <w:color w:val="000000"/>
                              <w:szCs w:val="24"/>
                            </w:rPr>
                            <w:t>12.16</w:t>
                          </w:r>
                        </w:sdtContent>
                      </w:sdt>
                      <w:r>
                        <w:rPr>
                          <w:rFonts w:eastAsia="Calibri"/>
                          <w:color w:val="000000"/>
                          <w:szCs w:val="24"/>
                        </w:rPr>
                        <w:t>. rekomenduojamas PSA tyrimas vyrams, vyresniems kaip 50 m. amžiaus.</w:t>
                      </w:r>
                    </w:p>
                  </w:sdtContent>
                </w:sdt>
              </w:sdtContent>
            </w:sdt>
            <w:sdt>
              <w:sdtPr>
                <w:alias w:val="11 pr. 13 p."/>
                <w:tag w:val="part_4e6f5044613d4cda8b71eab1d9180e66"/>
                <w:lock w:val="sdtLocked"/>
                <w:richText/>
              </w:sdtPr>
              <w:sdtContent>
                <w:p>
                  <w:pPr>
                    <w:ind w:firstLine="709"/>
                    <w:jc w:val="both"/>
                    <w:rPr>
                      <w:color w:val="FF0000"/>
                      <w:szCs w:val="24"/>
                      <w:lang w:val="en-AU" w:eastAsia="x-none"/>
                    </w:rPr>
                  </w:pPr>
                  <w:sdt>
                    <w:sdtPr>
                      <w:alias w:val="Numeris"/>
                      <w:tag w:val="nr_4e6f5044613d4cda8b71eab1d9180e66"/>
                      <w:lock w:val="sdtLocked"/>
                      <w:richText/>
                    </w:sdtPr>
                    <w:sdtContent>
                      <w:r>
                        <w:rPr>
                          <w:szCs w:val="24"/>
                          <w:lang w:eastAsia="x-none"/>
                        </w:rPr>
                        <w:t>13</w:t>
                      </w:r>
                    </w:sdtContent>
                  </w:sdt>
                  <w:r>
                    <w:rPr>
                      <w:szCs w:val="24"/>
                      <w:lang w:eastAsia="x-none"/>
                    </w:rPr>
                    <w:t xml:space="preserve">. </w:t>
                  </w:r>
                  <w:r>
                    <w:rPr>
                      <w:szCs w:val="24"/>
                      <w:lang w:val="en-AU" w:eastAsia="x-none"/>
                    </w:rPr>
                    <w:t>Kiekvienas sveikatą tikrinantis gydytojas, nurodytas Aprašo 11 punkte, nustato paciento sveikatos būklės profesinį tinkamumą ir į formą Nr. 025/a įrašo i</w:t>
                  </w:r>
                  <w:r>
                    <w:rPr>
                      <w:color w:val="000000"/>
                      <w:szCs w:val="24"/>
                      <w:lang w:val="en-AU" w:eastAsia="x-none"/>
                    </w:rPr>
                    <w:t>švadą</w:t>
                  </w:r>
                  <w:r>
                    <w:rPr>
                      <w:szCs w:val="24"/>
                      <w:lang w:val="en-AU" w:eastAsia="x-none"/>
                    </w:rPr>
                    <w:t xml:space="preserve">, pasirašo, patvirtina savo gydytojo spaudu. Išvadoje nurodo, ar asmuo gali dirbti, pažymi konkrečią profesinę grupę ir apribojimus, jei tokių yra. </w:t>
                  </w:r>
                </w:p>
              </w:sdtContent>
            </w:sdt>
            <w:sdt>
              <w:sdtPr>
                <w:alias w:val="11 pr. 14 p."/>
                <w:tag w:val="part_44ad0c4d0c29454fa76de9c5376a9f1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lang w:eastAsia="x-none"/>
                    </w:rPr>
                  </w:pPr>
                  <w:sdt>
                    <w:sdtPr>
                      <w:alias w:val="Numeris"/>
                      <w:tag w:val="nr_44ad0c4d0c29454fa76de9c5376a9f17"/>
                      <w:lock w:val="sdtLocked"/>
                      <w:richText/>
                    </w:sdtPr>
                    <w:sdtContent>
                      <w:r>
                        <w:rPr>
                          <w:szCs w:val="24"/>
                        </w:rPr>
                        <w:t>14</w:t>
                      </w:r>
                    </w:sdtContent>
                  </w:sdt>
                  <w:r>
                    <w:rPr>
                      <w:szCs w:val="24"/>
                    </w:rPr>
                    <w:t>. Vidaus vandenų transporto specialistų bei </w:t>
                  </w:r>
                  <w:r>
                    <w:rPr>
                      <w:szCs w:val="24"/>
                      <w:lang w:val="en-AU"/>
                    </w:rPr>
                    <w:t>motorinių pramoginių laivų ir kitų motorinių plaukiojimo priemonių </w:t>
                  </w:r>
                  <w:r>
                    <w:rPr>
                      <w:szCs w:val="24"/>
                    </w:rPr>
                    <w:t>laivavedžių sveikata tikrinama ASPĮ, turinčioje licenciją teikti asmens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5 p."/>
                <w:tag w:val="part_0c54a5979c20439b8e92ca4f35ad1f2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rFonts w:eastAsia="Calibri"/>
                      <w:color w:val="000000"/>
                      <w:szCs w:val="24"/>
                      <w:lang w:eastAsia="x-none"/>
                    </w:rPr>
                  </w:pPr>
                  <w:sdt>
                    <w:sdtPr>
                      <w:alias w:val="Numeris"/>
                      <w:tag w:val="nr_0c54a5979c20439b8e92ca4f35ad1f2a"/>
                      <w:lock w:val="sdtLocked"/>
                      <w:richText/>
                    </w:sdtPr>
                    <w:sdtContent>
                      <w:r>
                        <w:rPr>
                          <w:szCs w:val="24"/>
                        </w:rPr>
                        <w:t>15</w:t>
                      </w:r>
                    </w:sdtContent>
                  </w:sdt>
                  <w:r>
                    <w:rPr>
                      <w:szCs w:val="24"/>
                    </w:rPr>
                    <w:t xml:space="preserve">. Vidaus vandenų transporto specialistų bei </w:t>
                  </w:r>
                  <w:r>
                    <w:rPr>
                      <w:szCs w:val="24"/>
                      <w:lang w:val="en-AU"/>
                    </w:rPr>
                    <w:t xml:space="preserve">motorinių pramoginių laivų ir kitų motorinių plaukiojimo priemonių </w:t>
                  </w:r>
                  <w:r>
                    <w:rPr>
                      <w:szCs w:val="24"/>
                    </w:rPr>
                    <w:t xml:space="preserve">laivavedžių, kuriems reikia sveikatos pažymėjimo dėl vykdomų funkcijų, sveikatą tikrina ASPĮ šeimos medicinos paslaugas teikiantys gydytojai (šeimos gydytojas, vidaus ligų gydytojas) arba darbo medicinos gydytojas, įvertinę paciento sveikatos duomenis </w:t>
                  </w:r>
                  <w:r>
                    <w:rPr>
                      <w:rFonts w:eastAsia="Calibri"/>
                      <w:szCs w:val="24"/>
                    </w:rPr>
                    <w:t>Elektroninės sveikatos paslaugų ir bendradarbiavimo infrastruktūros informacinėje sistemoje,</w:t>
                  </w:r>
                  <w:r>
                    <w:rPr>
                      <w:rFonts w:eastAsia="Calibri"/>
                      <w:b/>
                      <w:bCs/>
                      <w:szCs w:val="24"/>
                    </w:rPr>
                    <w:t xml:space="preserve"> </w:t>
                  </w:r>
                  <w:r>
                    <w:rPr>
                      <w:szCs w:val="24"/>
                    </w:rPr>
                    <w:t>gydytojo psichiatro bei kitų reikiamų profesinių kvalifikacijų gydytojų tikrinimų išvadas, įrašytas formoje Nr. 027/a.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6 p."/>
                <w:tag w:val="part_9837561fdedc4663b9b91219b363fc95"/>
                <w:lock w:val="sdtLocked"/>
                <w:richText/>
              </w:sdtPr>
              <w:sdtContent>
                <w:p>
                  <w:pPr>
                    <w:widowControl w:val="0"/>
                    <w:ind w:firstLine="709"/>
                    <w:jc w:val="both"/>
                    <w:rPr>
                      <w:rFonts w:eastAsia="Calibri"/>
                      <w:color w:val="000000"/>
                      <w:szCs w:val="24"/>
                      <w:lang w:eastAsia="x-none"/>
                    </w:rPr>
                  </w:pPr>
                  <w:sdt>
                    <w:sdtPr>
                      <w:alias w:val="Numeris"/>
                      <w:tag w:val="nr_9837561fdedc4663b9b91219b363fc95"/>
                      <w:lock w:val="sdtLocked"/>
                      <w:richText/>
                    </w:sdtPr>
                    <w:sdtContent>
                      <w:r>
                        <w:rPr>
                          <w:color w:val="000000"/>
                          <w:szCs w:val="24"/>
                          <w:lang w:eastAsia="x-none"/>
                        </w:rPr>
                        <w:t>16</w:t>
                      </w:r>
                    </w:sdtContent>
                  </w:sdt>
                  <w:r>
                    <w:rPr>
                      <w:color w:val="000000"/>
                      <w:szCs w:val="24"/>
                      <w:lang w:eastAsia="x-none"/>
                    </w:rPr>
                    <w:t xml:space="preserve">. </w:t>
                  </w:r>
                  <w:r>
                    <w:rPr>
                      <w:szCs w:val="24"/>
                      <w:lang w:eastAsia="x-none"/>
                    </w:rPr>
                    <w:t xml:space="preserve">Gydytojai, tikrinantys vidaus vandenų transporto specialistų bei </w:t>
                  </w:r>
                  <w:r>
                    <w:rPr>
                      <w:color w:val="000000"/>
                      <w:szCs w:val="24"/>
                      <w:lang w:val="en-AU" w:eastAsia="x-none"/>
                    </w:rPr>
                    <w:t>m</w:t>
                  </w:r>
                  <w:r>
                    <w:rPr>
                      <w:szCs w:val="24"/>
                      <w:lang w:val="en-AU" w:eastAsia="x-none"/>
                    </w:rPr>
                    <w:t>otorinių pramoginių laivų ir kitų motorinių plaukiojimo priemonių</w:t>
                  </w:r>
                  <w:r>
                    <w:rPr>
                      <w:szCs w:val="24"/>
                      <w:lang w:eastAsia="x-none"/>
                    </w:rPr>
                    <w:t xml:space="preserve"> laivavedžių sveikatą, paskiria tyrimus ir nustato jų dažnumą, vadovaudamiesi savo profesinės kvalifikacijos gydytojo Lietuvos medicinos norma, šiuo Aprašu, </w:t>
                  </w:r>
                  <w:r>
                    <w:rPr>
                      <w:lang w:eastAsia="x-none"/>
                    </w:rPr>
                    <w:t xml:space="preserve">Neinfekcinių ligų profilaktikos ir kontrolės tvarka (6 priedas) </w:t>
                  </w:r>
                  <w:r>
                    <w:rPr>
                      <w:szCs w:val="24"/>
                      <w:lang w:eastAsia="x-none"/>
                    </w:rPr>
                    <w:t>bei kitais teisės aktais, ir atsako už sveikatos tikrinimo kokybę.</w:t>
                  </w:r>
                </w:p>
              </w:sdtContent>
            </w:sdt>
            <w:sdt>
              <w:sdtPr>
                <w:alias w:val="11 pr. 17 p."/>
                <w:tag w:val="part_3f763ab8e46f482f86af33906e5a487c"/>
                <w:lock w:val="sdtLocked"/>
                <w:richText/>
              </w:sdtPr>
              <w:sdtContent>
                <w:p>
                  <w:pPr>
                    <w:widowControl w:val="0"/>
                    <w:ind w:firstLine="709"/>
                    <w:jc w:val="both"/>
                    <w:rPr>
                      <w:szCs w:val="24"/>
                      <w:lang w:eastAsia="x-none"/>
                    </w:rPr>
                  </w:pPr>
                  <w:sdt>
                    <w:sdtPr>
                      <w:alias w:val="Numeris"/>
                      <w:tag w:val="nr_3f763ab8e46f482f86af33906e5a487c"/>
                      <w:lock w:val="sdtLocked"/>
                      <w:richText/>
                    </w:sdtPr>
                    <w:sdtContent>
                      <w:r>
                        <w:rPr>
                          <w:szCs w:val="24"/>
                          <w:lang w:eastAsia="x-none"/>
                        </w:rPr>
                        <w:t>17</w:t>
                      </w:r>
                    </w:sdtContent>
                  </w:sdt>
                  <w:r>
                    <w:rPr>
                      <w:szCs w:val="24"/>
                      <w:lang w:eastAsia="x-none"/>
                    </w:rPr>
                    <w:t xml:space="preserve">. </w:t>
                  </w:r>
                  <w:r>
                    <w:rPr>
                      <w:color w:val="000000"/>
                      <w:szCs w:val="24"/>
                      <w:lang w:eastAsia="x-none"/>
                    </w:rPr>
                    <w:t xml:space="preserve">Visais atvejais paciento regėjimo aštrumą, spalvų jutimą tikrina gydytojas oftalmologas, o klausą – gydytojas </w:t>
                  </w:r>
                  <w:r>
                    <w:rPr>
                      <w:rFonts w:eastAsia="Calibri"/>
                      <w:color w:val="000000"/>
                      <w:szCs w:val="24"/>
                      <w:lang w:eastAsia="x-none"/>
                    </w:rPr>
                    <w:t xml:space="preserve">otorinolaringologas. Jie nustato </w:t>
                  </w:r>
                  <w:r>
                    <w:rPr>
                      <w:szCs w:val="24"/>
                      <w:lang w:val="en-AU" w:eastAsia="x-none"/>
                    </w:rPr>
                    <w:t xml:space="preserve">paciento sveikatos būklės profesinį tinkamumą ir išvadose nurodo, ar asmuo gali dirbti vidaus vandenų transporto specialistu, motorinių pramoginių laivų ir kitų motorinių plaukiojimo priemonių laivavedžiu, pažymi konkrečią profesinę grupę ir apribojimus, jei tokių yra. Išvadą įrašo į formą Nr. 025/a ir, jei reikia, į </w:t>
                  </w:r>
                  <w:r>
                    <w:rPr>
                      <w:szCs w:val="24"/>
                      <w:lang w:eastAsia="x-none"/>
                    </w:rPr>
                    <w:t>formą Nr. 027/a.</w:t>
                  </w:r>
                </w:p>
              </w:sdtContent>
            </w:sdt>
            <w:sdt>
              <w:sdtPr>
                <w:alias w:val="11 pr. 18 p."/>
                <w:tag w:val="part_3ecbc56127ff41c2b0575d71f7c4e170"/>
                <w:lock w:val="sdtLocked"/>
                <w:richText/>
              </w:sdtPr>
              <w:sdtContent>
                <w:p>
                  <w:pPr>
                    <w:ind w:firstLine="709"/>
                    <w:jc w:val="both"/>
                    <w:rPr>
                      <w:szCs w:val="24"/>
                      <w:lang w:val="en-AU" w:eastAsia="x-none"/>
                    </w:rPr>
                  </w:pPr>
                  <w:sdt>
                    <w:sdtPr>
                      <w:alias w:val="Numeris"/>
                      <w:tag w:val="nr_3ecbc56127ff41c2b0575d71f7c4e170"/>
                      <w:lock w:val="sdtLocked"/>
                      <w:richText/>
                    </w:sdtPr>
                    <w:sdtContent>
                      <w:r>
                        <w:rPr>
                          <w:szCs w:val="24"/>
                          <w:lang w:val="en-AU" w:eastAsia="x-none"/>
                        </w:rPr>
                        <w:t>18</w:t>
                      </w:r>
                    </w:sdtContent>
                  </w:sdt>
                  <w:r>
                    <w:rPr>
                      <w:szCs w:val="24"/>
                      <w:lang w:val="en-AU" w:eastAsia="x-none"/>
                    </w:rPr>
                    <w:t>. Sveikatos tikrinimo ir tyrimų duomenys įrašomi formoje Nr. 025/a. Gydytojai nustato 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w:t>
                  </w:r>
                </w:p>
              </w:sdtContent>
            </w:sdt>
            <w:sdt>
              <w:sdtPr>
                <w:alias w:val="11 pr. 19 p."/>
                <w:tag w:val="part_7493f58d73a345fc8d91e79de34b6d40"/>
                <w:lock w:val="sdtLocked"/>
                <w:richText/>
              </w:sdtPr>
              <w:sdtContent>
                <w:p>
                  <w:pPr>
                    <w:ind w:firstLine="709"/>
                    <w:jc w:val="both"/>
                    <w:rPr>
                      <w:color w:val="000000"/>
                      <w:szCs w:val="24"/>
                    </w:rPr>
                  </w:pPr>
                  <w:sdt>
                    <w:sdtPr>
                      <w:alias w:val="Numeris"/>
                      <w:tag w:val="nr_7493f58d73a345fc8d91e79de34b6d40"/>
                      <w:lock w:val="sdtLocked"/>
                      <w:richText/>
                    </w:sdtPr>
                    <w:sdtContent>
                      <w:r>
                        <w:rPr>
                          <w:color w:val="000000"/>
                          <w:szCs w:val="24"/>
                        </w:rPr>
                        <w:t>19</w:t>
                      </w:r>
                    </w:sdtContent>
                  </w:sdt>
                  <w:r>
                    <w:rPr>
                      <w:color w:val="000000"/>
                      <w:szCs w:val="24"/>
                    </w:rPr>
                    <w:t xml:space="preserve">. </w:t>
                  </w:r>
                  <w:r>
                    <w:rPr>
                      <w:szCs w:val="24"/>
                    </w:rPr>
                    <w:t>Aprašo 15 punkte nurodytas sveikatą tikrinantis gydytojas į formą Nr. 025/a įrašo apibendrintą i</w:t>
                  </w:r>
                  <w:r>
                    <w:rPr>
                      <w:color w:val="000000"/>
                      <w:szCs w:val="24"/>
                    </w:rPr>
                    <w:t>švadą</w:t>
                  </w:r>
                  <w:r>
                    <w:rPr>
                      <w:szCs w:val="24"/>
                    </w:rPr>
                    <w:t xml:space="preserve">, pasirašo, patvirtina savo gydytojo spaudu ir siunčia atitinkamai ASPĮ vadovo įsakymu </w:t>
                  </w:r>
                  <w:r>
                    <w:rPr>
                      <w:color w:val="000000"/>
                      <w:szCs w:val="24"/>
                    </w:rPr>
                    <w:t xml:space="preserve">paskirtam gydytojui ar į ASPĮ gydytojų konsultacinę komisiją (toliau – GKK) dėl galutinės išvados. </w:t>
                  </w:r>
                </w:p>
              </w:sdtContent>
            </w:sdt>
            <w:sdt>
              <w:sdtPr>
                <w:alias w:val="11 pr. 20 p."/>
                <w:tag w:val="part_aab3a3a23dbf427a93a64e1cb01d3b86"/>
                <w:lock w:val="sdtLocked"/>
                <w:richText/>
              </w:sdtPr>
              <w:sdtContent>
                <w:p>
                  <w:pPr>
                    <w:ind w:firstLine="720"/>
                    <w:jc w:val="both"/>
                    <w:rPr>
                      <w:color w:val="000000"/>
                      <w:szCs w:val="24"/>
                    </w:rPr>
                  </w:pPr>
                  <w:sdt>
                    <w:sdtPr>
                      <w:alias w:val="Numeris"/>
                      <w:tag w:val="nr_aab3a3a23dbf427a93a64e1cb01d3b86"/>
                      <w:lock w:val="sdtLocked"/>
                      <w:richText/>
                    </w:sdtPr>
                    <w:sdtContent>
                      <w:r>
                        <w:rPr>
                          <w:color w:val="000000"/>
                          <w:szCs w:val="24"/>
                        </w:rPr>
                        <w:t>20</w:t>
                      </w:r>
                    </w:sdtContent>
                  </w:sdt>
                  <w:r>
                    <w:rPr>
                      <w:color w:val="000000"/>
                      <w:szCs w:val="24"/>
                    </w:rPr>
                    <w:t xml:space="preserve">. Galutinė išvada formuluojama taip: „Tinka (be apribojimų)“, „Tinka, taikant tam tikrus apribojimus (pažymėti / įrašyti tai, kas tinka)“, „Netinka“, ir įrašoma į atitinkamą sveikatos pažymėjimą (jūrininkui – į įsakymu Nr. 515 patvirtintos formos Nr. 048-1/a jūrininko sveikatos pažymėjimą (toliau – forma Nr. 048-1/a), o vidaus vandenų transporto specialistui bei motorinių pramoginių laivų ir kitų motorinių plaukiojimo priemonių laivavedžių – į įsakymu Nr. 515 patvirtintos formos Nr. 048-2/a vidaus vandenų transporto specialisto bei motorinių pramoginių laivų ir kitų motorinių plaukiojimo priemonių laivavedžio sveikatos pažymėjimą (toliau – forma Nr. 048-2/a). </w:t>
                  </w:r>
                </w:p>
              </w:sdtContent>
            </w:sdt>
            <w:sdt>
              <w:sdtPr>
                <w:alias w:val="11 pr. 21 p."/>
                <w:tag w:val="part_30adbb396b5d4a25b392821bad73fe90"/>
                <w:lock w:val="sdtLocked"/>
                <w:richText/>
              </w:sdtPr>
              <w:sdtContent>
                <w:p>
                  <w:pPr>
                    <w:tabs>
                      <w:tab w:val="left" w:pos="851"/>
                    </w:tabs>
                    <w:ind w:firstLine="709"/>
                    <w:jc w:val="both"/>
                    <w:rPr>
                      <w:szCs w:val="24"/>
                    </w:rPr>
                  </w:pPr>
                  <w:sdt>
                    <w:sdtPr>
                      <w:alias w:val="Numeris"/>
                      <w:tag w:val="nr_30adbb396b5d4a25b392821bad73fe90"/>
                      <w:lock w:val="sdtLocked"/>
                      <w:richText/>
                    </w:sdtPr>
                    <w:sdtContent>
                      <w:r>
                        <w:rPr>
                          <w:color w:val="000000"/>
                          <w:szCs w:val="24"/>
                        </w:rPr>
                        <w:t>21</w:t>
                      </w:r>
                    </w:sdtContent>
                  </w:sdt>
                  <w:r>
                    <w:rPr>
                      <w:color w:val="000000"/>
                      <w:szCs w:val="24"/>
                    </w:rPr>
                    <w:t>. Minimalūs sveikatos tinkamumo reikalavimai, taikomi jūrininkams ir vidaus vandenų</w:t>
                  </w:r>
                  <w:r>
                    <w:rPr>
                      <w:szCs w:val="24"/>
                    </w:rPr>
                    <w:t xml:space="preserve"> transporto specialistams bei </w:t>
                  </w:r>
                  <w:r>
                    <w:rPr>
                      <w:color w:val="000000"/>
                      <w:szCs w:val="24"/>
                    </w:rPr>
                    <w:t>m</w:t>
                  </w:r>
                  <w:r>
                    <w:rPr>
                      <w:szCs w:val="24"/>
                    </w:rPr>
                    <w:t>otorinių pramoginių laivų ir kitų motorinių plaukiojimo priemonių laivavedžiams, ir tikrinimo mastai nurodyti Aprašo 1 priede.</w:t>
                  </w:r>
                </w:p>
              </w:sdtContent>
            </w:sdt>
            <w:sdt>
              <w:sdtPr>
                <w:alias w:val="11 pr. 22 p."/>
                <w:tag w:val="part_4d1d00e44d2043c1a9f65ce73b4c2b64"/>
                <w:lock w:val="sdtLocked"/>
                <w:richText/>
              </w:sdtPr>
              <w:sdtContent>
                <w:p>
                  <w:pPr>
                    <w:pStyle w:val="PlainText"/>
                    <w:ind w:firstLine="567"/>
                    <w:jc w:val="both"/>
                    <w:rPr>
                      <w:rFonts w:ascii="Times New Roman" w:hAnsi="Times New Roman"/>
                      <w:b/>
                      <w:bCs/>
                      <w:sz w:val="22"/>
                    </w:rPr>
                  </w:pPr>
                  <w:r>
                    <w:rPr>
                      <w:rFonts w:ascii="Times New Roman" w:hAnsi="Times New Roman"/>
                      <w:sz w:val="22"/>
                    </w:rPr>
                    <w:t>22</w:t>
                  </w:r>
                  <w:r>
                    <w:rPr>
                      <w:rFonts w:ascii="Times New Roman" w:hAnsi="Times New Roman"/>
                      <w:sz w:val="22"/>
                    </w:rPr>
                    <w:t>.</w:t>
                  </w:r>
                  <w:r>
                    <w:rPr>
                      <w:rFonts w:ascii="Times New Roman" w:eastAsia="MS Mincho" w:hAnsi="Times New Roman"/>
                      <w:sz w:val="20"/>
                      <w:i/>
                      <w:iCs/>
                    </w:rPr>
                    <w:t xml:space="preserve"> Neteko galios nuo 2018-09-05</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Content>
        </w:sdt>
        <w:sdt>
          <w:sdtPr>
            <w:alias w:val="skyrius"/>
            <w:tag w:val="part_d99e4a60a2894dc9ab0c2cedbc77672c"/>
            <w:lock w:val="sdtLocked"/>
            <w:richText/>
          </w:sdtPr>
          <w:sdtContent>
            <w:p>
              <w:pPr>
                <w:ind w:left="568"/>
                <w:jc w:val="center"/>
                <w:rPr>
                  <w:b/>
                  <w:szCs w:val="24"/>
                </w:rPr>
              </w:pPr>
              <w:sdt>
                <w:sdtPr>
                  <w:alias w:val="Numeris"/>
                  <w:tag w:val="nr_d99e4a60a2894dc9ab0c2cedbc77672c"/>
                  <w:lock w:val="sdtLocked"/>
                  <w:richText/>
                </w:sdtPr>
                <w:sdtContent>
                  <w:r>
                    <w:rPr>
                      <w:b/>
                      <w:szCs w:val="24"/>
                    </w:rPr>
                    <w:t>III</w:t>
                  </w:r>
                </w:sdtContent>
              </w:sdt>
              <w:r>
                <w:rPr>
                  <w:b/>
                  <w:szCs w:val="24"/>
                </w:rPr>
                <w:t xml:space="preserve">. </w:t>
              </w:r>
              <w:sdt>
                <w:sdtPr>
                  <w:alias w:val="Pavadinimas"/>
                  <w:tag w:val="title_d99e4a60a2894dc9ab0c2cedbc77672c"/>
                  <w:lock w:val="sdtLocked"/>
                  <w:richText/>
                </w:sdtPr>
                <w:sdtContent>
                  <w:r>
                    <w:rPr>
                      <w:b/>
                      <w:color w:val="000000"/>
                      <w:szCs w:val="24"/>
                    </w:rPr>
                    <w:t xml:space="preserve">JŪRININKŲ IR VIDAUS VANDENŲ TRANSPORTO SPECIALISTŲ BEI MOTORINIŲ PRAMOGINIŲ LAIVŲ IR KITŲ MOTORINIŲ PLAUKIOJIMO PRIEMONIŲ LAIVAVEDŽIŲ SVEIKATOS TIKRINIMŲ </w:t>
                  </w:r>
                  <w:r>
                    <w:rPr>
                      <w:b/>
                      <w:szCs w:val="24"/>
                    </w:rPr>
                    <w:t>PERIODIŠKUMAS</w:t>
                  </w:r>
                </w:sdtContent>
              </w:sdt>
            </w:p>
            <w:p>
              <w:pPr>
                <w:jc w:val="both"/>
                <w:rPr>
                  <w:b/>
                  <w:szCs w:val="24"/>
                </w:rPr>
              </w:pPr>
            </w:p>
            <w:sdt>
              <w:sdtPr>
                <w:alias w:val="11 pr. 23 p."/>
                <w:tag w:val="part_62c46a946159434683041306ed1c5aa3"/>
                <w:lock w:val="sdtLocked"/>
                <w:richText/>
              </w:sdtPr>
              <w:sdtContent>
                <w:p>
                  <w:pPr>
                    <w:ind w:firstLine="709"/>
                    <w:jc w:val="both"/>
                    <w:rPr>
                      <w:color w:val="000000"/>
                      <w:szCs w:val="24"/>
                    </w:rPr>
                  </w:pPr>
                  <w:sdt>
                    <w:sdtPr>
                      <w:alias w:val="Numeris"/>
                      <w:tag w:val="nr_62c46a946159434683041306ed1c5aa3"/>
                      <w:lock w:val="sdtLocked"/>
                      <w:richText/>
                    </w:sdtPr>
                    <w:sdtContent>
                      <w:r>
                        <w:rPr>
                          <w:szCs w:val="24"/>
                        </w:rPr>
                        <w:t>23</w:t>
                      </w:r>
                    </w:sdtContent>
                  </w:sdt>
                  <w:r>
                    <w:rPr>
                      <w:szCs w:val="24"/>
                    </w:rPr>
                    <w:t xml:space="preserve">. Profesinių grupių, nurodytų </w:t>
                  </w:r>
                  <w:r>
                    <w:rPr>
                      <w:color w:val="000000"/>
                      <w:szCs w:val="24"/>
                    </w:rPr>
                    <w:t>Aprašo 6 punkte, j</w:t>
                  </w:r>
                  <w:r>
                    <w:rPr>
                      <w:szCs w:val="24"/>
                    </w:rPr>
                    <w:t xml:space="preserve">ūrininkai ir vidaus vandenų transporto specialistai bei </w:t>
                  </w:r>
                  <w:r>
                    <w:rPr>
                      <w:color w:val="000000"/>
                      <w:szCs w:val="24"/>
                    </w:rPr>
                    <w:t>m</w:t>
                  </w:r>
                  <w:r>
                    <w:rPr>
                      <w:szCs w:val="24"/>
                    </w:rPr>
                    <w:t xml:space="preserve">otorinių pramoginių laivų ir kitų motorinių plaukiojimo priemonių </w:t>
                  </w:r>
                  <w:r>
                    <w:rPr>
                      <w:color w:val="000000"/>
                      <w:szCs w:val="24"/>
                    </w:rPr>
                    <w:t>laivavedžiai (toliau – darbuotojai) sveikatą privalo tikrintis:</w:t>
                  </w:r>
                </w:p>
                <w:sdt>
                  <w:sdtPr>
                    <w:alias w:val="11 pr. 23.1 pp."/>
                    <w:tag w:val="part_e9baee25ee2f4f628c37885f07ad429d"/>
                    <w:lock w:val="sdtLocked"/>
                    <w:richText/>
                  </w:sdtPr>
                  <w:sdtContent>
                    <w:p>
                      <w:pPr>
                        <w:tabs>
                          <w:tab w:val="left" w:pos="709"/>
                          <w:tab w:val="left" w:pos="851"/>
                          <w:tab w:val="left" w:pos="1134"/>
                        </w:tabs>
                        <w:ind w:firstLine="709"/>
                        <w:jc w:val="both"/>
                        <w:rPr>
                          <w:color w:val="000000"/>
                          <w:szCs w:val="24"/>
                        </w:rPr>
                      </w:pPr>
                      <w:sdt>
                        <w:sdtPr>
                          <w:alias w:val="Numeris"/>
                          <w:tag w:val="nr_e9baee25ee2f4f628c37885f07ad429d"/>
                          <w:lock w:val="sdtLocked"/>
                          <w:richText/>
                        </w:sdtPr>
                        <w:sdtContent>
                          <w:r>
                            <w:rPr>
                              <w:color w:val="000000"/>
                              <w:szCs w:val="24"/>
                            </w:rPr>
                            <w:t>23.1</w:t>
                          </w:r>
                        </w:sdtContent>
                      </w:sdt>
                      <w:r>
                        <w:rPr>
                          <w:color w:val="000000"/>
                          <w:szCs w:val="24"/>
                        </w:rPr>
                        <w:t>. I–III profesinės grupės darbuotojai iki 18 ir nuo 46 metų – 1 kartą per 1 metus;</w:t>
                      </w:r>
                    </w:p>
                  </w:sdtContent>
                </w:sdt>
                <w:sdt>
                  <w:sdtPr>
                    <w:alias w:val="11 pr. 23.2 pp."/>
                    <w:tag w:val="part_f96f4e6622564d5ea8eae7ca6266bf71"/>
                    <w:lock w:val="sdtLocked"/>
                    <w:richText/>
                  </w:sdtPr>
                  <w:sdtContent>
                    <w:p>
                      <w:pPr>
                        <w:tabs>
                          <w:tab w:val="left" w:pos="709"/>
                          <w:tab w:val="left" w:pos="851"/>
                          <w:tab w:val="left" w:pos="1134"/>
                        </w:tabs>
                        <w:ind w:firstLine="709"/>
                        <w:jc w:val="both"/>
                        <w:rPr>
                          <w:szCs w:val="24"/>
                        </w:rPr>
                      </w:pPr>
                      <w:sdt>
                        <w:sdtPr>
                          <w:alias w:val="Numeris"/>
                          <w:tag w:val="nr_f96f4e6622564d5ea8eae7ca6266bf71"/>
                          <w:lock w:val="sdtLocked"/>
                          <w:richText/>
                        </w:sdtPr>
                        <w:sdtContent>
                          <w:r>
                            <w:rPr>
                              <w:szCs w:val="24"/>
                            </w:rPr>
                            <w:t>23.2</w:t>
                          </w:r>
                        </w:sdtContent>
                      </w:sdt>
                      <w:r>
                        <w:rPr>
                          <w:szCs w:val="24"/>
                        </w:rPr>
                        <w:t xml:space="preserve">. I–III profesinės grupės </w:t>
                      </w:r>
                      <w:r>
                        <w:rPr>
                          <w:color w:val="000000"/>
                          <w:szCs w:val="24"/>
                        </w:rPr>
                        <w:t>darbuotojai</w:t>
                      </w:r>
                      <w:r>
                        <w:rPr>
                          <w:szCs w:val="24"/>
                        </w:rPr>
                        <w:t xml:space="preserve"> nuo 18 iki 45 metų – 1 kartą per 2 metus;</w:t>
                      </w:r>
                    </w:p>
                  </w:sdtContent>
                </w:sdt>
                <w:sdt>
                  <w:sdtPr>
                    <w:alias w:val="11 pr. 23.3 pp."/>
                    <w:tag w:val="part_d858041a18c74c019a482fc81f4ba896"/>
                    <w:lock w:val="sdtLocked"/>
                    <w:richText/>
                  </w:sdtPr>
                  <w:sdtContent>
                    <w:p>
                      <w:pPr>
                        <w:tabs>
                          <w:tab w:val="left" w:pos="709"/>
                          <w:tab w:val="left" w:pos="851"/>
                          <w:tab w:val="left" w:pos="1134"/>
                        </w:tabs>
                        <w:ind w:firstLine="709"/>
                        <w:jc w:val="both"/>
                        <w:rPr>
                          <w:szCs w:val="24"/>
                        </w:rPr>
                      </w:pPr>
                      <w:sdt>
                        <w:sdtPr>
                          <w:alias w:val="Numeris"/>
                          <w:tag w:val="nr_d858041a18c74c019a482fc81f4ba896"/>
                          <w:lock w:val="sdtLocked"/>
                          <w:richText/>
                        </w:sdtPr>
                        <w:sdtContent>
                          <w:r>
                            <w:rPr>
                              <w:szCs w:val="24"/>
                            </w:rPr>
                            <w:t>23.3</w:t>
                          </w:r>
                        </w:sdtContent>
                      </w:sdt>
                      <w:r>
                        <w:rPr>
                          <w:szCs w:val="24"/>
                        </w:rPr>
                        <w:t xml:space="preserve">. IV profesinės grupės </w:t>
                      </w:r>
                      <w:r>
                        <w:rPr>
                          <w:color w:val="000000"/>
                          <w:szCs w:val="24"/>
                        </w:rPr>
                        <w:t>darbuotojai</w:t>
                      </w:r>
                      <w:r>
                        <w:rPr>
                          <w:szCs w:val="24"/>
                        </w:rPr>
                        <w:t xml:space="preserve"> iki 55 metų – 1 kartą per 10 metų;</w:t>
                      </w:r>
                    </w:p>
                  </w:sdtContent>
                </w:sdt>
                <w:sdt>
                  <w:sdtPr>
                    <w:alias w:val="11 pr. 23.4 pp."/>
                    <w:tag w:val="part_205e1cff86c44a2ebfcfe8aa44acfbb7"/>
                    <w:lock w:val="sdtLocked"/>
                    <w:richText/>
                  </w:sdtPr>
                  <w:sdtContent>
                    <w:p>
                      <w:pPr>
                        <w:tabs>
                          <w:tab w:val="left" w:pos="709"/>
                          <w:tab w:val="left" w:pos="851"/>
                          <w:tab w:val="left" w:pos="1134"/>
                        </w:tabs>
                        <w:ind w:firstLine="709"/>
                        <w:jc w:val="both"/>
                        <w:rPr>
                          <w:szCs w:val="24"/>
                        </w:rPr>
                      </w:pPr>
                      <w:sdt>
                        <w:sdtPr>
                          <w:alias w:val="Numeris"/>
                          <w:tag w:val="nr_205e1cff86c44a2ebfcfe8aa44acfbb7"/>
                          <w:lock w:val="sdtLocked"/>
                          <w:richText/>
                        </w:sdtPr>
                        <w:sdtContent>
                          <w:r>
                            <w:rPr>
                              <w:szCs w:val="24"/>
                            </w:rPr>
                            <w:t>23.4</w:t>
                          </w:r>
                        </w:sdtContent>
                      </w:sdt>
                      <w:r>
                        <w:rPr>
                          <w:szCs w:val="24"/>
                        </w:rPr>
                        <w:t xml:space="preserve">. IV profesinės grupės </w:t>
                      </w:r>
                      <w:r>
                        <w:rPr>
                          <w:color w:val="000000"/>
                          <w:szCs w:val="24"/>
                        </w:rPr>
                        <w:t>darbuotojai</w:t>
                      </w:r>
                      <w:r>
                        <w:rPr>
                          <w:szCs w:val="24"/>
                        </w:rPr>
                        <w:t xml:space="preserve"> nuo 56 iki 69 metų – 1 kartą per 5 metus;</w:t>
                      </w:r>
                    </w:p>
                  </w:sdtContent>
                </w:sdt>
                <w:sdt>
                  <w:sdtPr>
                    <w:alias w:val="11 pr. 23.5 pp."/>
                    <w:tag w:val="part_e49019a24a6448fe855cb230b6bafe6e"/>
                    <w:lock w:val="sdtLocked"/>
                    <w:richText/>
                  </w:sdtPr>
                  <w:sdtContent>
                    <w:p>
                      <w:pPr>
                        <w:tabs>
                          <w:tab w:val="left" w:pos="709"/>
                          <w:tab w:val="left" w:pos="851"/>
                          <w:tab w:val="left" w:pos="1134"/>
                        </w:tabs>
                        <w:ind w:firstLine="709"/>
                        <w:jc w:val="both"/>
                        <w:rPr>
                          <w:szCs w:val="24"/>
                        </w:rPr>
                      </w:pPr>
                      <w:sdt>
                        <w:sdtPr>
                          <w:alias w:val="Numeris"/>
                          <w:tag w:val="nr_e49019a24a6448fe855cb230b6bafe6e"/>
                          <w:lock w:val="sdtLocked"/>
                          <w:richText/>
                        </w:sdtPr>
                        <w:sdtContent>
                          <w:r>
                            <w:rPr>
                              <w:szCs w:val="24"/>
                            </w:rPr>
                            <w:t>23.5</w:t>
                          </w:r>
                        </w:sdtContent>
                      </w:sdt>
                      <w:r>
                        <w:rPr>
                          <w:szCs w:val="24"/>
                        </w:rPr>
                        <w:t xml:space="preserve">. IV profesinės grupės </w:t>
                      </w:r>
                      <w:r>
                        <w:rPr>
                          <w:color w:val="000000"/>
                          <w:szCs w:val="24"/>
                        </w:rPr>
                        <w:t>darbuotojai</w:t>
                      </w:r>
                      <w:r>
                        <w:rPr>
                          <w:szCs w:val="24"/>
                        </w:rPr>
                        <w:t xml:space="preserve"> nuo 70 iki 79 metų – 1 kartą per 2 metus;</w:t>
                      </w:r>
                    </w:p>
                  </w:sdtContent>
                </w:sdt>
                <w:sdt>
                  <w:sdtPr>
                    <w:alias w:val="11 pr. 23.6 pp."/>
                    <w:tag w:val="part_f1f777d8a5cc4de297492d15c78e1a37"/>
                    <w:lock w:val="sdtLocked"/>
                    <w:richText/>
                  </w:sdtPr>
                  <w:sdtContent>
                    <w:p>
                      <w:pPr>
                        <w:tabs>
                          <w:tab w:val="left" w:pos="709"/>
                          <w:tab w:val="left" w:pos="851"/>
                          <w:tab w:val="left" w:pos="1134"/>
                        </w:tabs>
                        <w:ind w:firstLine="709"/>
                        <w:jc w:val="both"/>
                        <w:rPr>
                          <w:szCs w:val="24"/>
                        </w:rPr>
                      </w:pPr>
                      <w:sdt>
                        <w:sdtPr>
                          <w:alias w:val="Numeris"/>
                          <w:tag w:val="nr_f1f777d8a5cc4de297492d15c78e1a37"/>
                          <w:lock w:val="sdtLocked"/>
                          <w:richText/>
                        </w:sdtPr>
                        <w:sdtContent>
                          <w:r>
                            <w:rPr>
                              <w:szCs w:val="24"/>
                            </w:rPr>
                            <w:t>23.6</w:t>
                          </w:r>
                        </w:sdtContent>
                      </w:sdt>
                      <w:r>
                        <w:rPr>
                          <w:szCs w:val="24"/>
                        </w:rPr>
                        <w:t xml:space="preserve">. IV profesinės grupės </w:t>
                      </w:r>
                      <w:r>
                        <w:rPr>
                          <w:color w:val="000000"/>
                          <w:szCs w:val="24"/>
                        </w:rPr>
                        <w:t>darbuotojai</w:t>
                      </w:r>
                      <w:r>
                        <w:rPr>
                          <w:szCs w:val="24"/>
                        </w:rPr>
                        <w:t xml:space="preserve"> nuo 80 metų – 1 kartą per 1 metus.</w:t>
                      </w:r>
                    </w:p>
                  </w:sdtContent>
                </w:sdt>
              </w:sdtContent>
            </w:sdt>
            <w:sdt>
              <w:sdtPr>
                <w:alias w:val="11 pr. 24 p."/>
                <w:tag w:val="part_d98f957738484e3695db3cd48725abe4"/>
                <w:lock w:val="sdtLocked"/>
                <w:richText/>
              </w:sdtPr>
              <w:sdtContent>
                <w:p>
                  <w:pPr>
                    <w:tabs>
                      <w:tab w:val="left" w:pos="709"/>
                      <w:tab w:val="left" w:pos="851"/>
                    </w:tabs>
                    <w:ind w:firstLine="709"/>
                    <w:jc w:val="both"/>
                    <w:rPr>
                      <w:szCs w:val="24"/>
                    </w:rPr>
                  </w:pPr>
                  <w:sdt>
                    <w:sdtPr>
                      <w:alias w:val="Numeris"/>
                      <w:tag w:val="nr_d98f957738484e3695db3cd48725abe4"/>
                      <w:lock w:val="sdtLocked"/>
                      <w:richText/>
                    </w:sdtPr>
                    <w:sdtContent>
                      <w:r>
                        <w:rPr>
                          <w:szCs w:val="24"/>
                        </w:rPr>
                        <w:t>24</w:t>
                      </w:r>
                    </w:sdtContent>
                  </w:sdt>
                  <w:r>
                    <w:rPr>
                      <w:szCs w:val="24"/>
                    </w:rPr>
                    <w:t xml:space="preserve">. Komisijos pirmininkas arba GKK komisijos pirmininkas ar ASPĮ vadovo įsakymu paskirtas gydytojas sveikatos tikrinimus gali skirti dažniau, jei to reikia dėl tikrinamo </w:t>
                  </w:r>
                  <w:r>
                    <w:rPr>
                      <w:color w:val="000000"/>
                      <w:szCs w:val="24"/>
                    </w:rPr>
                    <w:t xml:space="preserve">darbuotojo </w:t>
                  </w:r>
                  <w:r>
                    <w:rPr>
                      <w:szCs w:val="24"/>
                    </w:rPr>
                    <w:t>sveikatos būklės.</w:t>
                  </w:r>
                </w:p>
              </w:sdtContent>
            </w:sdt>
            <w:sdt>
              <w:sdtPr>
                <w:alias w:val="11 pr. 25 p."/>
                <w:tag w:val="part_2073163b9cc54c4faefef829f38f7fe7"/>
                <w:lock w:val="sdtLocked"/>
                <w:richText/>
              </w:sdtPr>
              <w:sdtContent>
                <w:p>
                  <w:pPr>
                    <w:widowControl w:val="0"/>
                    <w:tabs>
                      <w:tab w:val="left" w:pos="709"/>
                      <w:tab w:val="left" w:pos="851"/>
                    </w:tabs>
                    <w:ind w:right="-1" w:firstLine="709"/>
                    <w:jc w:val="both"/>
                    <w:rPr>
                      <w:szCs w:val="24"/>
                    </w:rPr>
                  </w:pPr>
                  <w:sdt>
                    <w:sdtPr>
                      <w:alias w:val="Numeris"/>
                      <w:tag w:val="nr_2073163b9cc54c4faefef829f38f7fe7"/>
                      <w:lock w:val="sdtLocked"/>
                      <w:richText/>
                    </w:sdtPr>
                    <w:sdtContent>
                      <w:r>
                        <w:rPr>
                          <w:szCs w:val="24"/>
                        </w:rPr>
                        <w:t>25</w:t>
                      </w:r>
                    </w:sdtContent>
                  </w:sdt>
                  <w:r>
                    <w:rPr>
                      <w:szCs w:val="24"/>
                    </w:rPr>
                    <w:t>. Darbdaviui atstovaujantis ar jo įgaliotas asmuo turi teisę, raštu nurodęs priežastį, siųsti darbuotoją neeilinio sveikatos tikrinimo.</w:t>
                  </w:r>
                </w:p>
              </w:sdtContent>
            </w:sdt>
            <w:sdt>
              <w:sdtPr>
                <w:alias w:val="11 pr. 26 p."/>
                <w:tag w:val="part_b119282eeb384e05ad9c0b0dffdabcbe"/>
                <w:lock w:val="sdtLocked"/>
                <w:richText/>
              </w:sdtPr>
              <w:sdtContent>
                <w:p>
                  <w:pPr>
                    <w:widowControl w:val="0"/>
                    <w:tabs>
                      <w:tab w:val="left" w:pos="0"/>
                    </w:tabs>
                    <w:ind w:right="-1" w:firstLine="709"/>
                    <w:jc w:val="both"/>
                    <w:rPr>
                      <w:szCs w:val="24"/>
                    </w:rPr>
                  </w:pPr>
                  <w:sdt>
                    <w:sdtPr>
                      <w:alias w:val="Numeris"/>
                      <w:tag w:val="nr_b119282eeb384e05ad9c0b0dffdabcbe"/>
                      <w:lock w:val="sdtLocked"/>
                      <w:richText/>
                    </w:sdtPr>
                    <w:sdtContent>
                      <w:r>
                        <w:rPr>
                          <w:szCs w:val="24"/>
                          <w:lang w:val="pt-BR"/>
                        </w:rPr>
                        <w:t>26</w:t>
                      </w:r>
                    </w:sdtContent>
                  </w:sdt>
                  <w:r>
                    <w:rPr>
                      <w:szCs w:val="24"/>
                      <w:lang w:val="pt-BR"/>
                    </w:rPr>
                    <w:t>. Dėl tokio tikrinimo turi teisę kreiptis ir pats asmuo</w:t>
                  </w:r>
                  <w:r>
                    <w:rPr>
                      <w:color w:val="0000FF"/>
                      <w:szCs w:val="24"/>
                      <w:lang w:val="pt-BR"/>
                    </w:rPr>
                    <w:t xml:space="preserve"> </w:t>
                  </w:r>
                  <w:r>
                    <w:rPr>
                      <w:color w:val="000000"/>
                      <w:szCs w:val="24"/>
                      <w:lang w:val="pt-BR"/>
                    </w:rPr>
                    <w:t>–</w:t>
                  </w:r>
                  <w:r>
                    <w:rPr>
                      <w:color w:val="000000"/>
                      <w:szCs w:val="24"/>
                    </w:rPr>
                    <w:t xml:space="preserve"> jei</w:t>
                  </w:r>
                  <w:r>
                    <w:rPr>
                      <w:szCs w:val="24"/>
                    </w:rPr>
                    <w:t xml:space="preserve"> mano, kad dėl jo sveikatos būklės tinkamumo saugiai vykdyti nustatytas funkcijas kyla abejonių, jis tuojau pat praneša apie tai darbdaviui atstovaujančiam ar jo įgaliotam asmeniui.</w:t>
                  </w:r>
                </w:p>
                <w:p>
                  <w:pPr>
                    <w:widowControl w:val="0"/>
                    <w:tabs>
                      <w:tab w:val="left" w:pos="0"/>
                      <w:tab w:val="left" w:pos="1080"/>
                    </w:tabs>
                    <w:ind w:left="709" w:right="-1"/>
                    <w:jc w:val="both"/>
                    <w:rPr>
                      <w:b/>
                      <w:szCs w:val="24"/>
                    </w:rPr>
                  </w:pPr>
                </w:p>
              </w:sdtContent>
            </w:sdt>
          </w:sdtContent>
        </w:sdt>
        <w:sdt>
          <w:sdtPr>
            <w:alias w:val="skyrius"/>
            <w:tag w:val="part_158e39d4febf4b3da5b1c5ab40ae0b0f"/>
            <w:lock w:val="sdtLocked"/>
            <w:richText/>
          </w:sdtPr>
          <w:sdtContent>
            <w:p>
              <w:pPr>
                <w:widowControl w:val="0"/>
                <w:tabs>
                  <w:tab w:val="left" w:pos="0"/>
                  <w:tab w:val="left" w:pos="1080"/>
                </w:tabs>
                <w:ind w:left="709" w:right="-1"/>
                <w:jc w:val="center"/>
                <w:rPr>
                  <w:b/>
                  <w:szCs w:val="24"/>
                </w:rPr>
              </w:pPr>
              <w:sdt>
                <w:sdtPr>
                  <w:alias w:val="Numeris"/>
                  <w:tag w:val="nr_158e39d4febf4b3da5b1c5ab40ae0b0f"/>
                  <w:lock w:val="sdtLocked"/>
                  <w:richText/>
                </w:sdtPr>
                <w:sdtContent>
                  <w:r>
                    <w:rPr>
                      <w:b/>
                      <w:szCs w:val="24"/>
                    </w:rPr>
                    <w:t>IV</w:t>
                  </w:r>
                </w:sdtContent>
              </w:sdt>
              <w:r>
                <w:rPr>
                  <w:b/>
                  <w:szCs w:val="24"/>
                </w:rPr>
                <w:t xml:space="preserve">. </w:t>
              </w:r>
              <w:sdt>
                <w:sdtPr>
                  <w:alias w:val="Pavadinimas"/>
                  <w:tag w:val="title_158e39d4febf4b3da5b1c5ab40ae0b0f"/>
                  <w:lock w:val="sdtLocked"/>
                  <w:richText/>
                </w:sdtPr>
                <w:sdtContent>
                  <w:r>
                    <w:rPr>
                      <w:b/>
                      <w:szCs w:val="24"/>
                    </w:rPr>
                    <w:t>SVEIKATOS PAŽYMĖJIMŲ</w:t>
                  </w:r>
                  <w:r>
                    <w:rPr>
                      <w:b/>
                      <w:color w:val="000000"/>
                      <w:szCs w:val="24"/>
                    </w:rPr>
                    <w:t xml:space="preserve"> IŠDAVIMO </w:t>
                  </w:r>
                  <w:r>
                    <w:rPr>
                      <w:b/>
                      <w:szCs w:val="24"/>
                    </w:rPr>
                    <w:t xml:space="preserve">TVARKA </w:t>
                  </w:r>
                </w:sdtContent>
              </w:sdt>
            </w:p>
            <w:p>
              <w:pPr>
                <w:tabs>
                  <w:tab w:val="left" w:pos="0"/>
                </w:tabs>
                <w:ind w:firstLine="709"/>
                <w:rPr>
                  <w:b/>
                  <w:szCs w:val="24"/>
                </w:rPr>
              </w:pPr>
            </w:p>
            <w:sdt>
              <w:sdtPr>
                <w:alias w:val="11 pr. 27 p."/>
                <w:tag w:val="part_aa92bfa48e4a4148a885f2362ec2061e"/>
                <w:lock w:val="sdtLocked"/>
                <w:richText/>
              </w:sdtPr>
              <w:sdtContent>
                <w:p>
                  <w:pPr>
                    <w:ind w:firstLine="709"/>
                    <w:jc w:val="both"/>
                    <w:rPr>
                      <w:color w:val="000000"/>
                      <w:szCs w:val="24"/>
                    </w:rPr>
                  </w:pPr>
                  <w:sdt>
                    <w:sdtPr>
                      <w:alias w:val="Numeris"/>
                      <w:tag w:val="nr_aa92bfa48e4a4148a885f2362ec2061e"/>
                      <w:lock w:val="sdtLocked"/>
                      <w:richText/>
                    </w:sdtPr>
                    <w:sdtContent>
                      <w:r>
                        <w:rPr>
                          <w:color w:val="000000"/>
                          <w:szCs w:val="24"/>
                        </w:rPr>
                        <w:t>27</w:t>
                      </w:r>
                    </w:sdtContent>
                  </w:sdt>
                  <w:r>
                    <w:rPr>
                      <w:color w:val="000000"/>
                      <w:szCs w:val="24"/>
                    </w:rPr>
                    <w:t>. Galutinę išvadą, įvertinę tyrimų duomenis ir visų konsultavusių gydytojų išvadas, vadovaujantis šiuo Aprašu, į atitinkamos formos (Nr. 048-1/a ar Nr. 048-2/a) sveikatos pažymėjimą įrašo ir pasirašo:</w:t>
                  </w:r>
                </w:p>
                <w:sdt>
                  <w:sdtPr>
                    <w:alias w:val="11 pr. 27.1 pp."/>
                    <w:tag w:val="part_a29365d9188142c996720c4d2bf3366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szCs w:val="24"/>
                        </w:rPr>
                      </w:pPr>
                      <w:sdt>
                        <w:sdtPr>
                          <w:alias w:val="Numeris"/>
                          <w:tag w:val="nr_a29365d9188142c996720c4d2bf33669"/>
                          <w:lock w:val="sdtLocked"/>
                          <w:richText/>
                        </w:sdtPr>
                        <w:sdtContent>
                          <w:r>
                            <w:rPr>
                              <w:color w:val="000000"/>
                              <w:szCs w:val="24"/>
                            </w:rPr>
                            <w:t>27.1</w:t>
                          </w:r>
                        </w:sdtContent>
                      </w:sdt>
                      <w:r>
                        <w:rPr>
                          <w:color w:val="000000"/>
                          <w:szCs w:val="24"/>
                        </w:rPr>
                        <w:t xml:space="preserve">. jūrininkams – Komisijos pirmininkas (jo nesant – </w:t>
                      </w:r>
                      <w:r>
                        <w:rPr>
                          <w:szCs w:val="24"/>
                        </w:rPr>
                        <w:t xml:space="preserve">Komisijos pirmininko pavaduotojas), </w:t>
                      </w:r>
                      <w:r>
                        <w:rPr>
                          <w:color w:val="000000"/>
                          <w:szCs w:val="24"/>
                        </w:rPr>
                        <w:t>vadovaudamasis ASPĮ vadovo patvirtintu Komisijos darbo reglamentu, ir patvirtina savo gydytojo spaudu bei ASPĮ antspaudu</w:t>
                      </w:r>
                      <w:r>
                        <w:rPr>
                          <w:color w:val="000000"/>
                          <w:sz w:val="22"/>
                          <w:szCs w:val="22"/>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7.2 pp."/>
                    <w:tag w:val="part_079a030b70394a2e94848e1fed0a07c8"/>
                    <w:lock w:val="sdtLocked"/>
                    <w:richText/>
                  </w:sdtPr>
                  <w:sdtContent>
                    <w:p>
                      <w:pPr>
                        <w:ind w:firstLine="709"/>
                        <w:jc w:val="both"/>
                        <w:rPr>
                          <w:color w:val="000000"/>
                          <w:szCs w:val="24"/>
                        </w:rPr>
                      </w:pPr>
                      <w:sdt>
                        <w:sdtPr>
                          <w:alias w:val="Numeris"/>
                          <w:tag w:val="nr_079a030b70394a2e94848e1fed0a07c8"/>
                          <w:lock w:val="sdtLocked"/>
                          <w:richText/>
                        </w:sdtPr>
                        <w:sdtContent>
                          <w:r>
                            <w:rPr>
                              <w:color w:val="000000"/>
                              <w:szCs w:val="24"/>
                            </w:rPr>
                            <w:t>27.2</w:t>
                          </w:r>
                        </w:sdtContent>
                      </w:sdt>
                      <w:r>
                        <w:rPr>
                          <w:color w:val="000000"/>
                          <w:szCs w:val="24"/>
                        </w:rPr>
                        <w:t xml:space="preserve">. vidaus vandenų transporto specialistams bei motorinių pramoginių laivų ir kitų motorinių plaukiojimo priemonių laivavedžiams – ASPĮ vadovo įsakymu patvirtintas gydytojas arba GKK pirmininkas, atitinkamai vadovaudamasis ASPĮ vadovo patvirtintu įsakymu arba Lietuvos nacionalinės sveikatos sistemos sveikatos priežiūros įstaigos GKK nuostatais, patvirtintais Lietuvos Respublikos sveikatos apsaugos ministro 2004 m. kovo 31 d. įsakymu Nr. V-172, ir patvirtina savo gydytojo spaudu bei atitinkamai ASPĮ arba GKK antspaudu. </w:t>
                      </w:r>
                    </w:p>
                  </w:sdtContent>
                </w:sdt>
              </w:sdtContent>
            </w:sdt>
            <w:sdt>
              <w:sdtPr>
                <w:alias w:val="11 pr. 28 p."/>
                <w:tag w:val="part_8a79358e791542adb73d0912b50ee3a5"/>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rPr>
                  </w:pPr>
                  <w:sdt>
                    <w:sdtPr>
                      <w:alias w:val="Numeris"/>
                      <w:tag w:val="nr_8a79358e791542adb73d0912b50ee3a5"/>
                      <w:lock w:val="sdtLocked"/>
                      <w:richText/>
                    </w:sdtPr>
                    <w:sdtContent>
                      <w:r>
                        <w:rPr>
                          <w:color w:val="000000"/>
                          <w:szCs w:val="24"/>
                        </w:rPr>
                        <w:t>28</w:t>
                      </w:r>
                    </w:sdtContent>
                  </w:sdt>
                  <w:r>
                    <w:rPr>
                      <w:color w:val="000000"/>
                      <w:szCs w:val="24"/>
                    </w:rPr>
                    <w:t>. Sudėtingais ir ginčytinais (kai dėl išvados reikia spręsti individualiai</w:t>
                  </w:r>
                  <w:r>
                    <w:rPr>
                      <w:szCs w:val="24"/>
                    </w:rPr>
                    <w:t xml:space="preserve">) atvejais apie tinkamumą dirbti sprendžia ASPĮ GKK.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9 p."/>
                <w:tag w:val="part_4bd1c57578874f28836b10f2d34ff6ef"/>
                <w:lock w:val="sdtLocked"/>
                <w:richText/>
              </w:sdtPr>
              <w:sdtContent>
                <w:p>
                  <w:pPr>
                    <w:tabs>
                      <w:tab w:val="left" w:pos="851"/>
                    </w:tabs>
                    <w:ind w:firstLine="709"/>
                    <w:jc w:val="both"/>
                    <w:rPr>
                      <w:szCs w:val="24"/>
                    </w:rPr>
                  </w:pPr>
                  <w:sdt>
                    <w:sdtPr>
                      <w:alias w:val="Numeris"/>
                      <w:tag w:val="nr_4bd1c57578874f28836b10f2d34ff6ef"/>
                      <w:lock w:val="sdtLocked"/>
                      <w:richText/>
                    </w:sdtPr>
                    <w:sdtContent>
                      <w:r>
                        <w:rPr>
                          <w:szCs w:val="24"/>
                        </w:rPr>
                        <w:t>29</w:t>
                      </w:r>
                    </w:sdtContent>
                  </w:sdt>
                  <w:r>
                    <w:rPr>
                      <w:szCs w:val="24"/>
                    </w:rPr>
                    <w:t xml:space="preserve">. Sveikatos tikrinimo </w:t>
                  </w:r>
                  <w:r>
                    <w:rPr>
                      <w:color w:val="000000"/>
                      <w:szCs w:val="24"/>
                    </w:rPr>
                    <w:t>išvada registruojama atitinkamai Ambulatorinių ligonių registravimo žurnale (forma Nr. 074/a) (toliau – forma Nr. 074/a) arba Gydytojų konsultacinės komisijos išvadų registravimo žurnale (forma Nr. 035/a (toliau – forma Nr. 035/a).</w:t>
                  </w:r>
                </w:p>
              </w:sdtContent>
            </w:sdt>
            <w:sdt>
              <w:sdtPr>
                <w:alias w:val="11 pr. 30 p."/>
                <w:tag w:val="part_5e0d7fd257ec4134883dbbc2f186babf"/>
                <w:lock w:val="sdtLocked"/>
                <w:richText/>
              </w:sdtPr>
              <w:sdtContent>
                <w:p>
                  <w:pPr>
                    <w:tabs>
                      <w:tab w:val="left" w:pos="851"/>
                    </w:tabs>
                    <w:ind w:firstLine="709"/>
                    <w:jc w:val="both"/>
                    <w:rPr>
                      <w:szCs w:val="24"/>
                    </w:rPr>
                  </w:pPr>
                  <w:sdt>
                    <w:sdtPr>
                      <w:alias w:val="Numeris"/>
                      <w:tag w:val="nr_5e0d7fd257ec4134883dbbc2f186babf"/>
                      <w:lock w:val="sdtLocked"/>
                      <w:richText/>
                    </w:sdtPr>
                    <w:sdtContent>
                      <w:r>
                        <w:rPr>
                          <w:szCs w:val="24"/>
                        </w:rPr>
                        <w:t>30</w:t>
                      </w:r>
                    </w:sdtContent>
                  </w:sdt>
                  <w:r>
                    <w:rPr>
                      <w:szCs w:val="24"/>
                    </w:rPr>
                    <w:t xml:space="preserve">. </w:t>
                  </w:r>
                  <w:r>
                    <w:rPr>
                      <w:color w:val="000000"/>
                      <w:szCs w:val="24"/>
                    </w:rPr>
                    <w:t>Išvada priimama, įrašoma ir išrašomas atitinkamas pažymėjimas, kurio numeris atitinka registracijos numerį, atitinkamame</w:t>
                  </w:r>
                  <w:r>
                    <w:rPr>
                      <w:szCs w:val="24"/>
                    </w:rPr>
                    <w:t xml:space="preserve"> žurnale (formoje Nr. 074/a ar formoje Nr. 035/a). </w:t>
                  </w:r>
                </w:p>
              </w:sdtContent>
            </w:sdt>
            <w:sdt>
              <w:sdtPr>
                <w:alias w:val="11 pr. 31 p."/>
                <w:tag w:val="part_22d3fd5784d046668eaaeb9196f8f9b2"/>
                <w:lock w:val="sdtLocked"/>
                <w:richText/>
              </w:sdtPr>
              <w:sdtContent>
                <w:p>
                  <w:pPr>
                    <w:ind w:firstLine="709"/>
                    <w:jc w:val="both"/>
                    <w:rPr>
                      <w:szCs w:val="24"/>
                    </w:rPr>
                  </w:pPr>
                  <w:sdt>
                    <w:sdtPr>
                      <w:alias w:val="Numeris"/>
                      <w:tag w:val="nr_22d3fd5784d046668eaaeb9196f8f9b2"/>
                      <w:lock w:val="sdtLocked"/>
                      <w:richText/>
                    </w:sdtPr>
                    <w:sdtContent>
                      <w:r>
                        <w:rPr>
                          <w:szCs w:val="24"/>
                        </w:rPr>
                        <w:t>31</w:t>
                      </w:r>
                    </w:sdtContent>
                  </w:sdt>
                  <w:r>
                    <w:rPr>
                      <w:szCs w:val="24"/>
                    </w:rPr>
                    <w:t>. Asmenims, atitinkantiems sveikatos būklės reikalavimus, yra išduodami tai patvirtinantys atitinkamai formos Nr. 048-1/a arba formos Nr. 048-2/a sveikatos pažymėjimai.</w:t>
                  </w:r>
                </w:p>
              </w:sdtContent>
            </w:sdt>
            <w:sdt>
              <w:sdtPr>
                <w:alias w:val="11 pr. 32 p."/>
                <w:tag w:val="part_e695d4d5b641437cbf8d7fe87a607037"/>
                <w:lock w:val="sdtLocked"/>
                <w:richText/>
              </w:sdtPr>
              <w:sdtContent>
                <w:p>
                  <w:pPr>
                    <w:tabs>
                      <w:tab w:val="left" w:pos="0"/>
                    </w:tabs>
                    <w:ind w:firstLine="709"/>
                    <w:jc w:val="both"/>
                    <w:rPr>
                      <w:szCs w:val="24"/>
                    </w:rPr>
                  </w:pPr>
                  <w:sdt>
                    <w:sdtPr>
                      <w:alias w:val="Numeris"/>
                      <w:tag w:val="nr_e695d4d5b641437cbf8d7fe87a607037"/>
                      <w:lock w:val="sdtLocked"/>
                      <w:richText/>
                    </w:sdtPr>
                    <w:sdtContent>
                      <w:r>
                        <w:rPr>
                          <w:szCs w:val="24"/>
                        </w:rPr>
                        <w:t>32</w:t>
                      </w:r>
                    </w:sdtContent>
                  </w:sdt>
                  <w:r>
                    <w:rPr>
                      <w:szCs w:val="24"/>
                    </w:rPr>
                    <w:t>. Atitinkamų grupių, nurodytų</w:t>
                  </w:r>
                  <w:r>
                    <w:rPr>
                      <w:color w:val="000000"/>
                      <w:szCs w:val="24"/>
                    </w:rPr>
                    <w:t xml:space="preserve"> Aprašo 6 punkte, </w:t>
                  </w:r>
                  <w:r>
                    <w:rPr>
                      <w:szCs w:val="24"/>
                    </w:rPr>
                    <w:t xml:space="preserve">jūrininkų ir vidaus vandenų transporto specialistų bei </w:t>
                  </w:r>
                  <w:r>
                    <w:rPr>
                      <w:color w:val="000000"/>
                      <w:szCs w:val="24"/>
                    </w:rPr>
                    <w:t>motorinių pramoginių laivų ir kitų motorinių plaukiojimo priemonių</w:t>
                  </w:r>
                  <w:r>
                    <w:rPr>
                      <w:szCs w:val="24"/>
                    </w:rPr>
                    <w:t xml:space="preserve"> laivavedžių sveikatos pažymėjimo (toliau – sveikatos pažymėjimas) galiojimo terminas nuo sveikatos tikrinimo datos yra ne ilgesnis kaip:</w:t>
                  </w:r>
                </w:p>
                <w:sdt>
                  <w:sdtPr>
                    <w:alias w:val="11 pr. 32.1 pp."/>
                    <w:tag w:val="part_00e43b9c755d4cccb46d618e5e70865c"/>
                    <w:lock w:val="sdtLocked"/>
                    <w:richText/>
                  </w:sdtPr>
                  <w:sdtContent>
                    <w:p>
                      <w:pPr>
                        <w:tabs>
                          <w:tab w:val="left" w:pos="0"/>
                          <w:tab w:val="left" w:pos="1134"/>
                        </w:tabs>
                        <w:ind w:left="709"/>
                        <w:jc w:val="both"/>
                        <w:rPr>
                          <w:szCs w:val="24"/>
                        </w:rPr>
                      </w:pPr>
                      <w:sdt>
                        <w:sdtPr>
                          <w:alias w:val="Numeris"/>
                          <w:tag w:val="nr_00e43b9c755d4cccb46d618e5e70865c"/>
                          <w:lock w:val="sdtLocked"/>
                          <w:richText/>
                        </w:sdtPr>
                        <w:sdtContent>
                          <w:r>
                            <w:rPr>
                              <w:szCs w:val="24"/>
                            </w:rPr>
                            <w:t>32.1</w:t>
                          </w:r>
                        </w:sdtContent>
                      </w:sdt>
                      <w:r>
                        <w:rPr>
                          <w:szCs w:val="24"/>
                        </w:rPr>
                        <w:t>. I–III profesinės grupės darbuotojams iki 18 metų ir nuo 4</w:t>
                      </w:r>
                      <w:r>
                        <w:rPr>
                          <w:szCs w:val="24"/>
                          <w:lang w:val="en-US"/>
                        </w:rPr>
                        <w:t>6</w:t>
                      </w:r>
                      <w:r>
                        <w:rPr>
                          <w:szCs w:val="24"/>
                        </w:rPr>
                        <w:t xml:space="preserve"> metų – 1 metai;</w:t>
                      </w:r>
                    </w:p>
                  </w:sdtContent>
                </w:sdt>
                <w:sdt>
                  <w:sdtPr>
                    <w:alias w:val="11 pr. 32.2 pp."/>
                    <w:tag w:val="part_49cafaefdebe40ca82f906c2a6fea444"/>
                    <w:lock w:val="sdtLocked"/>
                    <w:richText/>
                  </w:sdtPr>
                  <w:sdtContent>
                    <w:p>
                      <w:pPr>
                        <w:tabs>
                          <w:tab w:val="left" w:pos="0"/>
                          <w:tab w:val="left" w:pos="1134"/>
                        </w:tabs>
                        <w:ind w:left="709"/>
                        <w:jc w:val="both"/>
                        <w:rPr>
                          <w:szCs w:val="24"/>
                        </w:rPr>
                      </w:pPr>
                      <w:sdt>
                        <w:sdtPr>
                          <w:alias w:val="Numeris"/>
                          <w:tag w:val="nr_49cafaefdebe40ca82f906c2a6fea444"/>
                          <w:lock w:val="sdtLocked"/>
                          <w:richText/>
                        </w:sdtPr>
                        <w:sdtContent>
                          <w:r>
                            <w:rPr>
                              <w:szCs w:val="24"/>
                            </w:rPr>
                            <w:t>32.2</w:t>
                          </w:r>
                        </w:sdtContent>
                      </w:sdt>
                      <w:r>
                        <w:rPr>
                          <w:szCs w:val="24"/>
                        </w:rPr>
                        <w:t>. I–III profesinės grupės darbuotojams nuo 18 metų iki 45 metų – 2 metai;</w:t>
                      </w:r>
                    </w:p>
                  </w:sdtContent>
                </w:sdt>
                <w:sdt>
                  <w:sdtPr>
                    <w:alias w:val="11 pr. 32.3 pp."/>
                    <w:tag w:val="part_4d6a9134ca1e4b0791d365ea56997d82"/>
                    <w:lock w:val="sdtLocked"/>
                    <w:richText/>
                  </w:sdtPr>
                  <w:sdtContent>
                    <w:p>
                      <w:pPr>
                        <w:tabs>
                          <w:tab w:val="left" w:pos="0"/>
                          <w:tab w:val="left" w:pos="1134"/>
                        </w:tabs>
                        <w:ind w:left="709"/>
                        <w:jc w:val="both"/>
                        <w:rPr>
                          <w:szCs w:val="24"/>
                        </w:rPr>
                      </w:pPr>
                      <w:sdt>
                        <w:sdtPr>
                          <w:alias w:val="Numeris"/>
                          <w:tag w:val="nr_4d6a9134ca1e4b0791d365ea56997d82"/>
                          <w:lock w:val="sdtLocked"/>
                          <w:richText/>
                        </w:sdtPr>
                        <w:sdtContent>
                          <w:r>
                            <w:rPr>
                              <w:szCs w:val="24"/>
                            </w:rPr>
                            <w:t>32.3</w:t>
                          </w:r>
                        </w:sdtContent>
                      </w:sdt>
                      <w:r>
                        <w:rPr>
                          <w:szCs w:val="24"/>
                        </w:rPr>
                        <w:t>. IV profesinės grupės darbuotojams iki 55 metų – 10 metų;</w:t>
                      </w:r>
                    </w:p>
                  </w:sdtContent>
                </w:sdt>
                <w:sdt>
                  <w:sdtPr>
                    <w:alias w:val="11 pr. 32.4 pp."/>
                    <w:tag w:val="part_06f29c2ce4c44b42ae55fbdde5e256e0"/>
                    <w:lock w:val="sdtLocked"/>
                    <w:richText/>
                  </w:sdtPr>
                  <w:sdtContent>
                    <w:p>
                      <w:pPr>
                        <w:tabs>
                          <w:tab w:val="left" w:pos="0"/>
                        </w:tabs>
                        <w:ind w:left="709"/>
                        <w:jc w:val="both"/>
                        <w:rPr>
                          <w:szCs w:val="24"/>
                        </w:rPr>
                      </w:pPr>
                      <w:sdt>
                        <w:sdtPr>
                          <w:alias w:val="Numeris"/>
                          <w:tag w:val="nr_06f29c2ce4c44b42ae55fbdde5e256e0"/>
                          <w:lock w:val="sdtLocked"/>
                          <w:richText/>
                        </w:sdtPr>
                        <w:sdtContent>
                          <w:r>
                            <w:rPr>
                              <w:szCs w:val="24"/>
                            </w:rPr>
                            <w:t>32.4</w:t>
                          </w:r>
                        </w:sdtContent>
                      </w:sdt>
                      <w:r>
                        <w:rPr>
                          <w:szCs w:val="24"/>
                        </w:rPr>
                        <w:t xml:space="preserve">. </w:t>
                      </w:r>
                      <w:r>
                        <w:rPr>
                          <w:szCs w:val="24"/>
                          <w:lang w:val="en-US"/>
                        </w:rPr>
                        <w:t xml:space="preserve">IV </w:t>
                      </w:r>
                      <w:r>
                        <w:rPr>
                          <w:szCs w:val="24"/>
                        </w:rPr>
                        <w:t>profesinės grupės darbuotojams nuo 56 iki 69 metų –</w:t>
                      </w:r>
                      <w:r>
                        <w:rPr>
                          <w:szCs w:val="24"/>
                          <w:lang w:val="en-US"/>
                        </w:rPr>
                        <w:t xml:space="preserve"> 5 metai;</w:t>
                      </w:r>
                    </w:p>
                  </w:sdtContent>
                </w:sdt>
                <w:sdt>
                  <w:sdtPr>
                    <w:alias w:val="11 pr. 32.5 pp."/>
                    <w:tag w:val="part_4374fdb3cf2948c6a7f5e601e5380ac7"/>
                    <w:lock w:val="sdtLocked"/>
                    <w:richText/>
                  </w:sdtPr>
                  <w:sdtContent>
                    <w:p>
                      <w:pPr>
                        <w:tabs>
                          <w:tab w:val="left" w:pos="0"/>
                          <w:tab w:val="left" w:pos="1134"/>
                        </w:tabs>
                        <w:ind w:left="709"/>
                        <w:jc w:val="both"/>
                        <w:rPr>
                          <w:szCs w:val="24"/>
                        </w:rPr>
                      </w:pPr>
                      <w:sdt>
                        <w:sdtPr>
                          <w:alias w:val="Numeris"/>
                          <w:tag w:val="nr_4374fdb3cf2948c6a7f5e601e5380ac7"/>
                          <w:lock w:val="sdtLocked"/>
                          <w:richText/>
                        </w:sdtPr>
                        <w:sdtContent>
                          <w:r>
                            <w:rPr>
                              <w:szCs w:val="24"/>
                            </w:rPr>
                            <w:t>32</w:t>
                          </w:r>
                          <w:r>
                            <w:rPr>
                              <w:szCs w:val="24"/>
                              <w:lang w:val="en-US"/>
                            </w:rPr>
                            <w:t>.5</w:t>
                          </w:r>
                        </w:sdtContent>
                      </w:sdt>
                      <w:r>
                        <w:rPr>
                          <w:szCs w:val="24"/>
                          <w:lang w:val="en-US"/>
                        </w:rPr>
                        <w:t xml:space="preserve">. IV </w:t>
                      </w:r>
                      <w:r>
                        <w:rPr>
                          <w:szCs w:val="24"/>
                        </w:rPr>
                        <w:t>profesinės grupės darbuotojams nuo 70 iki 79 metų –</w:t>
                      </w:r>
                      <w:r>
                        <w:rPr>
                          <w:szCs w:val="24"/>
                          <w:lang w:val="en-US"/>
                        </w:rPr>
                        <w:t xml:space="preserve"> 2 metai;</w:t>
                      </w:r>
                    </w:p>
                  </w:sdtContent>
                </w:sdt>
                <w:sdt>
                  <w:sdtPr>
                    <w:alias w:val="11 pr. 32.6 pp."/>
                    <w:tag w:val="part_168241fa41314e8ca3b86ef82dab9fb4"/>
                    <w:lock w:val="sdtLocked"/>
                    <w:richText/>
                  </w:sdtPr>
                  <w:sdtContent>
                    <w:p>
                      <w:pPr>
                        <w:tabs>
                          <w:tab w:val="left" w:pos="0"/>
                          <w:tab w:val="left" w:pos="1134"/>
                        </w:tabs>
                        <w:ind w:left="709"/>
                        <w:jc w:val="both"/>
                        <w:rPr>
                          <w:szCs w:val="24"/>
                        </w:rPr>
                      </w:pPr>
                      <w:sdt>
                        <w:sdtPr>
                          <w:alias w:val="Numeris"/>
                          <w:tag w:val="nr_168241fa41314e8ca3b86ef82dab9fb4"/>
                          <w:lock w:val="sdtLocked"/>
                          <w:richText/>
                        </w:sdtPr>
                        <w:sdtContent>
                          <w:r>
                            <w:rPr>
                              <w:szCs w:val="24"/>
                            </w:rPr>
                            <w:t>32.6</w:t>
                          </w:r>
                        </w:sdtContent>
                      </w:sdt>
                      <w:r>
                        <w:rPr>
                          <w:szCs w:val="24"/>
                        </w:rPr>
                        <w:t xml:space="preserve">. </w:t>
                      </w:r>
                      <w:r>
                        <w:rPr>
                          <w:szCs w:val="24"/>
                          <w:lang w:val="en-US"/>
                        </w:rPr>
                        <w:t>IV profesin</w:t>
                      </w:r>
                      <w:r>
                        <w:rPr>
                          <w:szCs w:val="24"/>
                        </w:rPr>
                        <w:t>ės grupės darbuotojams nuo 80 metų –</w:t>
                      </w:r>
                      <w:r>
                        <w:rPr>
                          <w:szCs w:val="24"/>
                          <w:lang w:val="en-US"/>
                        </w:rPr>
                        <w:t xml:space="preserve"> 1 metai.</w:t>
                      </w:r>
                    </w:p>
                  </w:sdtContent>
                </w:sdt>
              </w:sdtContent>
            </w:sdt>
            <w:sdt>
              <w:sdtPr>
                <w:alias w:val="11 pr. 33 p."/>
                <w:tag w:val="part_272124d43b674bbba0d1b0ce466e7d9c"/>
                <w:lock w:val="sdtLocked"/>
                <w:richText/>
              </w:sdtPr>
              <w:sdtContent>
                <w:p>
                  <w:pPr>
                    <w:tabs>
                      <w:tab w:val="left" w:pos="0"/>
                    </w:tabs>
                    <w:ind w:firstLine="709"/>
                    <w:jc w:val="both"/>
                    <w:rPr>
                      <w:szCs w:val="24"/>
                      <w:lang w:eastAsia="x-none"/>
                    </w:rPr>
                  </w:pPr>
                  <w:sdt>
                    <w:sdtPr>
                      <w:alias w:val="Numeris"/>
                      <w:tag w:val="nr_272124d43b674bbba0d1b0ce466e7d9c"/>
                      <w:lock w:val="sdtLocked"/>
                      <w:richText/>
                    </w:sdtPr>
                    <w:sdtContent>
                      <w:r>
                        <w:rPr>
                          <w:szCs w:val="24"/>
                          <w:lang w:eastAsia="x-none"/>
                        </w:rPr>
                        <w:t>33</w:t>
                      </w:r>
                    </w:sdtContent>
                  </w:sdt>
                  <w:r>
                    <w:rPr>
                      <w:szCs w:val="24"/>
                      <w:lang w:eastAsia="x-none"/>
                    </w:rPr>
                    <w:t>. Esant 24 punkte numatytoms aplinkybėms, sveikatos pažymėjimas gali būti išduotas trumpesniam laikotarpiui, nei nurodyta 32 punkte.</w:t>
                  </w:r>
                </w:p>
              </w:sdtContent>
            </w:sdt>
            <w:sdt>
              <w:sdtPr>
                <w:alias w:val="11 pr. 34 p."/>
                <w:tag w:val="part_de20ce18618a4bbfa9442f133d3c87c5"/>
                <w:lock w:val="sdtLocked"/>
                <w:richText/>
              </w:sdtPr>
              <w:sdtContent>
                <w:p>
                  <w:pPr>
                    <w:ind w:firstLine="709"/>
                    <w:jc w:val="both"/>
                    <w:rPr>
                      <w:strike/>
                      <w:color w:val="000000"/>
                      <w:szCs w:val="24"/>
                      <w:lang w:eastAsia="x-none"/>
                    </w:rPr>
                  </w:pPr>
                  <w:sdt>
                    <w:sdtPr>
                      <w:alias w:val="Numeris"/>
                      <w:tag w:val="nr_de20ce18618a4bbfa9442f133d3c87c5"/>
                      <w:lock w:val="sdtLocked"/>
                      <w:richText/>
                    </w:sdtPr>
                    <w:sdtContent>
                      <w:r>
                        <w:rPr>
                          <w:color w:val="000000"/>
                          <w:szCs w:val="24"/>
                          <w:lang w:eastAsia="x-none"/>
                        </w:rPr>
                        <w:t>34</w:t>
                      </w:r>
                    </w:sdtContent>
                  </w:sdt>
                  <w:r>
                    <w:rPr>
                      <w:color w:val="000000"/>
                      <w:szCs w:val="24"/>
                      <w:lang w:eastAsia="x-none"/>
                    </w:rPr>
                    <w:t xml:space="preserve">. Jei sveikatos pažymėjimo galiojimas baigiasi laivo reiso metu, jūrininko sveikatos pažymėjimas toliau galioja iki kito uosto, kuriame kvalifikuotas praktikuojantis gydytojas jam galėtų išduoti jūrininko sveikatos pažymėjimą, bet ne ilgiau kaip tris mėnesius nuo jūrininko sveikatos pažymėjimo galiojimo pasibaigimo datos. </w:t>
                  </w:r>
                </w:p>
              </w:sdtContent>
            </w:sdt>
            <w:sdt>
              <w:sdtPr>
                <w:alias w:val="11 pr. 35 p."/>
                <w:tag w:val="part_5a5f6077afe440e29f0343a5aa3f5852"/>
                <w:lock w:val="sdtLocked"/>
                <w:richText/>
              </w:sdtPr>
              <w:sdtContent>
                <w:p>
                  <w:pPr>
                    <w:tabs>
                      <w:tab w:val="left" w:pos="0"/>
                      <w:tab w:val="left" w:pos="426"/>
                    </w:tabs>
                    <w:ind w:left="709"/>
                    <w:jc w:val="both"/>
                    <w:rPr>
                      <w:szCs w:val="24"/>
                      <w:lang w:eastAsia="x-none"/>
                    </w:rPr>
                  </w:pPr>
                  <w:sdt>
                    <w:sdtPr>
                      <w:alias w:val="Numeris"/>
                      <w:tag w:val="nr_5a5f6077afe440e29f0343a5aa3f5852"/>
                      <w:lock w:val="sdtLocked"/>
                      <w:richText/>
                    </w:sdtPr>
                    <w:sdtContent>
                      <w:r>
                        <w:rPr>
                          <w:color w:val="000000"/>
                          <w:szCs w:val="24"/>
                          <w:lang w:eastAsia="x-none"/>
                        </w:rPr>
                        <w:t>35</w:t>
                      </w:r>
                    </w:sdtContent>
                  </w:sdt>
                  <w:r>
                    <w:rPr>
                      <w:color w:val="000000"/>
                      <w:szCs w:val="24"/>
                      <w:lang w:eastAsia="x-none"/>
                    </w:rPr>
                    <w:t>. Sveikatos pažymėjimas</w:t>
                  </w:r>
                  <w:r>
                    <w:rPr>
                      <w:szCs w:val="24"/>
                      <w:lang w:eastAsia="x-none"/>
                    </w:rPr>
                    <w:t xml:space="preserve"> išrašomas lietuvių ir anglų kalbomis.</w:t>
                  </w:r>
                </w:p>
              </w:sdtContent>
            </w:sdt>
            <w:sdt>
              <w:sdtPr>
                <w:alias w:val="11 pr. 36 p."/>
                <w:tag w:val="part_c0a9d9d7742a4b439e5c3700e181c32b"/>
                <w:lock w:val="sdtLocked"/>
                <w:richText/>
              </w:sdtPr>
              <w:sdtContent>
                <w:p>
                  <w:pPr>
                    <w:ind w:firstLine="709"/>
                    <w:jc w:val="both"/>
                    <w:rPr>
                      <w:color w:val="000000"/>
                      <w:szCs w:val="24"/>
                      <w:lang w:eastAsia="x-none"/>
                    </w:rPr>
                  </w:pPr>
                  <w:sdt>
                    <w:sdtPr>
                      <w:alias w:val="Numeris"/>
                      <w:tag w:val="nr_c0a9d9d7742a4b439e5c3700e181c32b"/>
                      <w:lock w:val="sdtLocked"/>
                      <w:richText/>
                    </w:sdtPr>
                    <w:sdtContent>
                      <w:r>
                        <w:rPr>
                          <w:szCs w:val="24"/>
                          <w:lang w:eastAsia="x-none"/>
                        </w:rPr>
                        <w:t>36</w:t>
                      </w:r>
                    </w:sdtContent>
                  </w:sdt>
                  <w:r>
                    <w:rPr>
                      <w:szCs w:val="24"/>
                      <w:lang w:eastAsia="x-none"/>
                    </w:rPr>
                    <w:t>. Jūrininko sveikatos pažymėjimas yra pripažįstamas tinkamu V</w:t>
                  </w:r>
                  <w:r>
                    <w:rPr>
                      <w:color w:val="000000"/>
                      <w:szCs w:val="24"/>
                      <w:lang w:eastAsia="x-none"/>
                    </w:rPr>
                    <w:t xml:space="preserve">idaus vandenų transporto specialisto bei </w:t>
                  </w:r>
                  <w:r>
                    <w:rPr>
                      <w:color w:val="000000"/>
                      <w:szCs w:val="24"/>
                      <w:lang w:val="en-AU" w:eastAsia="x-none"/>
                    </w:rPr>
                    <w:t>motorinių pramoginių laivų ir kitų motorinių plaukiojimo priemonių</w:t>
                  </w:r>
                  <w:r>
                    <w:rPr>
                      <w:color w:val="000000"/>
                      <w:szCs w:val="24"/>
                      <w:lang w:eastAsia="x-none"/>
                    </w:rPr>
                    <w:t xml:space="preserve"> laivavedžio sveikatos pažymėjimo atitikmeniu.</w:t>
                  </w:r>
                </w:p>
              </w:sdtContent>
            </w:sdt>
            <w:sdt>
              <w:sdtPr>
                <w:alias w:val="11 pr. 37 p."/>
                <w:tag w:val="part_377d764ef6e54556962b6d1a025fe512"/>
                <w:lock w:val="sdtLocked"/>
                <w:richText/>
              </w:sdtPr>
              <w:sdtContent>
                <w:p>
                  <w:pPr>
                    <w:ind w:firstLine="709"/>
                    <w:jc w:val="both"/>
                    <w:rPr>
                      <w:szCs w:val="24"/>
                    </w:rPr>
                  </w:pPr>
                  <w:sdt>
                    <w:sdtPr>
                      <w:alias w:val="Numeris"/>
                      <w:tag w:val="nr_377d764ef6e54556962b6d1a025fe512"/>
                      <w:lock w:val="sdtLocked"/>
                      <w:richText/>
                    </w:sdtPr>
                    <w:sdtContent>
                      <w:r>
                        <w:rPr>
                          <w:color w:val="000000"/>
                          <w:szCs w:val="24"/>
                        </w:rPr>
                        <w:t>37</w:t>
                      </w:r>
                    </w:sdtContent>
                  </w:sdt>
                  <w:r>
                    <w:rPr>
                      <w:color w:val="000000"/>
                      <w:szCs w:val="24"/>
                    </w:rPr>
                    <w:t>. Įrašai sveikatos pažymėjime turi</w:t>
                  </w:r>
                  <w:r>
                    <w:rPr>
                      <w:szCs w:val="24"/>
                    </w:rPr>
                    <w:t xml:space="preserve"> būti įskaitomi, atitikti įrašus asmens tapatybės dokumente, jų negalima taisyti.</w:t>
                  </w:r>
                </w:p>
              </w:sdtContent>
            </w:sdt>
            <w:sdt>
              <w:sdtPr>
                <w:alias w:val="11 pr. 38 p."/>
                <w:tag w:val="part_eea916fcb2d64774891608e4df56703a"/>
                <w:lock w:val="sdtLocked"/>
                <w:richText/>
              </w:sdtPr>
              <w:sdtContent>
                <w:p>
                  <w:pPr>
                    <w:ind w:firstLine="709"/>
                    <w:jc w:val="both"/>
                    <w:rPr>
                      <w:color w:val="000000"/>
                      <w:szCs w:val="24"/>
                    </w:rPr>
                  </w:pPr>
                  <w:sdt>
                    <w:sdtPr>
                      <w:alias w:val="Numeris"/>
                      <w:tag w:val="nr_eea916fcb2d64774891608e4df56703a"/>
                      <w:lock w:val="sdtLocked"/>
                      <w:richText/>
                    </w:sdtPr>
                    <w:sdtContent>
                      <w:r>
                        <w:rPr>
                          <w:szCs w:val="24"/>
                        </w:rPr>
                        <w:t>38</w:t>
                      </w:r>
                    </w:sdtContent>
                  </w:sdt>
                  <w:r>
                    <w:rPr>
                      <w:szCs w:val="24"/>
                    </w:rPr>
                    <w:t xml:space="preserve">. Pildant elektroninę sveikatos pažymėjimo formą Nr. 048-1/a ar formą Nr. 048-2/a, duomenys įrašomi laužtiniuose skliaustuose. </w:t>
                  </w:r>
                </w:p>
              </w:sdtContent>
            </w:sdt>
            <w:sdt>
              <w:sdtPr>
                <w:alias w:val="11 pr. 39 p."/>
                <w:tag w:val="part_a274cb37eb5c4a75a57bdc266a02a56f"/>
                <w:lock w:val="sdtLocked"/>
                <w:richText/>
              </w:sdtPr>
              <w:sdtContent>
                <w:p>
                  <w:pPr>
                    <w:keepNext/>
                    <w:tabs>
                      <w:tab w:val="left" w:pos="0"/>
                      <w:tab w:val="left" w:pos="709"/>
                    </w:tabs>
                    <w:ind w:firstLine="709"/>
                    <w:outlineLvl w:val="5"/>
                    <w:rPr>
                      <w:color w:val="000000"/>
                      <w:szCs w:val="24"/>
                    </w:rPr>
                  </w:pPr>
                  <w:sdt>
                    <w:sdtPr>
                      <w:alias w:val="Numeris"/>
                      <w:tag w:val="nr_a274cb37eb5c4a75a57bdc266a02a56f"/>
                      <w:lock w:val="sdtLocked"/>
                      <w:richText/>
                    </w:sdtPr>
                    <w:sdtContent>
                      <w:r>
                        <w:rPr>
                          <w:color w:val="000000"/>
                          <w:szCs w:val="24"/>
                        </w:rPr>
                        <w:t>39</w:t>
                      </w:r>
                    </w:sdtContent>
                  </w:sdt>
                  <w:r>
                    <w:rPr>
                      <w:color w:val="000000"/>
                      <w:szCs w:val="24"/>
                    </w:rPr>
                    <w:t xml:space="preserve">. Elektroninė </w:t>
                  </w:r>
                  <w:r>
                    <w:rPr>
                      <w:szCs w:val="24"/>
                    </w:rPr>
                    <w:t>sveikatos</w:t>
                  </w:r>
                  <w:r>
                    <w:rPr>
                      <w:color w:val="000000"/>
                      <w:szCs w:val="24"/>
                    </w:rPr>
                    <w:t xml:space="preserve"> pažymėjimo forma išduodama ir registruojama teisės aktų nustatyta tvarka.</w:t>
                  </w:r>
                </w:p>
                <w:p>
                  <w:pPr>
                    <w:rPr>
                      <w:sz w:val="20"/>
                    </w:rPr>
                  </w:pPr>
                </w:p>
              </w:sdtContent>
            </w:sdt>
          </w:sdtContent>
        </w:sdt>
        <w:sdt>
          <w:sdtPr>
            <w:alias w:val="skyrius"/>
            <w:tag w:val="part_03fb52190de14fd6b508d83d35f16cf6"/>
            <w:lock w:val="sdtLocked"/>
            <w:richText/>
          </w:sdtPr>
          <w:sdtContent>
            <w:p>
              <w:pPr>
                <w:keepNext/>
                <w:tabs>
                  <w:tab w:val="left" w:pos="0"/>
                </w:tabs>
                <w:ind w:firstLine="709"/>
                <w:jc w:val="center"/>
                <w:outlineLvl w:val="5"/>
                <w:rPr>
                  <w:b/>
                </w:rPr>
              </w:pPr>
              <w:sdt>
                <w:sdtPr>
                  <w:alias w:val="Numeris"/>
                  <w:tag w:val="nr_03fb52190de14fd6b508d83d35f16cf6"/>
                  <w:lock w:val="sdtLocked"/>
                  <w:richText/>
                </w:sdtPr>
                <w:sdtContent>
                  <w:r>
                    <w:rPr>
                      <w:b/>
                    </w:rPr>
                    <w:t>V</w:t>
                  </w:r>
                </w:sdtContent>
              </w:sdt>
              <w:r>
                <w:rPr>
                  <w:b/>
                </w:rPr>
                <w:t xml:space="preserve">. </w:t>
              </w:r>
              <w:sdt>
                <w:sdtPr>
                  <w:alias w:val="Pavadinimas"/>
                  <w:tag w:val="title_03fb52190de14fd6b508d83d35f16cf6"/>
                  <w:lock w:val="sdtLocked"/>
                  <w:richText/>
                </w:sdtPr>
                <w:sdtContent>
                  <w:r>
                    <w:rPr>
                      <w:b/>
                    </w:rPr>
                    <w:t>BAIGIAMOSIOS NUOSTATOS</w:t>
                  </w:r>
                </w:sdtContent>
              </w:sdt>
            </w:p>
            <w:p>
              <w:pPr>
                <w:tabs>
                  <w:tab w:val="left" w:pos="0"/>
                </w:tabs>
                <w:ind w:firstLine="709"/>
                <w:rPr>
                  <w:sz w:val="20"/>
                </w:rPr>
              </w:pPr>
            </w:p>
            <w:sdt>
              <w:sdtPr>
                <w:alias w:val="11 pr. 40 p."/>
                <w:tag w:val="part_7fb996fb2def4826af923b43cb3c19ec"/>
                <w:lock w:val="sdtLocked"/>
                <w:richText/>
              </w:sdtPr>
              <w:sdtContent>
                <w:p>
                  <w:pPr>
                    <w:tabs>
                      <w:tab w:val="left" w:pos="0"/>
                    </w:tabs>
                    <w:ind w:firstLine="709"/>
                    <w:jc w:val="both"/>
                    <w:rPr>
                      <w:lang w:eastAsia="x-none"/>
                    </w:rPr>
                  </w:pPr>
                  <w:sdt>
                    <w:sdtPr>
                      <w:alias w:val="Numeris"/>
                      <w:tag w:val="nr_7fb996fb2def4826af923b43cb3c19ec"/>
                      <w:lock w:val="sdtLocked"/>
                      <w:richText/>
                    </w:sdtPr>
                    <w:sdtContent>
                      <w:r>
                        <w:rPr>
                          <w:color w:val="000000"/>
                          <w:szCs w:val="24"/>
                          <w:lang w:eastAsia="x-none"/>
                        </w:rPr>
                        <w:t>40</w:t>
                      </w:r>
                    </w:sdtContent>
                  </w:sdt>
                  <w:r>
                    <w:rPr>
                      <w:color w:val="000000"/>
                      <w:szCs w:val="24"/>
                      <w:lang w:eastAsia="x-none"/>
                    </w:rPr>
                    <w:t xml:space="preserve">. Atlikus sveikatos tikrinimą, atitinkamas sveikatos pažymėjimas išduodamas pasitikrinusiam asmeniui, kuris pasirašo jame ir </w:t>
                  </w:r>
                  <w:r>
                    <w:rPr>
                      <w:szCs w:val="24"/>
                      <w:lang w:eastAsia="x-none"/>
                    </w:rPr>
                    <w:t>formoje Nr. 074/a ar formoje Nr. 035/a.</w:t>
                  </w:r>
                  <w:r>
                    <w:rPr>
                      <w:lang w:eastAsia="x-none"/>
                    </w:rPr>
                    <w:t xml:space="preserve"> </w:t>
                  </w:r>
                </w:p>
              </w:sdtContent>
            </w:sdt>
            <w:sdt>
              <w:sdtPr>
                <w:alias w:val="11 pr. 41 p."/>
                <w:tag w:val="part_a8e4e13935ae4671aeafa5caade6edf2"/>
                <w:lock w:val="sdtLocked"/>
                <w:richText/>
              </w:sdtPr>
              <w:sdtContent>
                <w:p>
                  <w:pPr>
                    <w:tabs>
                      <w:tab w:val="left" w:pos="0"/>
                    </w:tabs>
                    <w:ind w:firstLine="709"/>
                    <w:jc w:val="both"/>
                    <w:rPr>
                      <w:lang w:eastAsia="x-none"/>
                    </w:rPr>
                  </w:pPr>
                  <w:sdt>
                    <w:sdtPr>
                      <w:alias w:val="Numeris"/>
                      <w:tag w:val="nr_a8e4e13935ae4671aeafa5caade6edf2"/>
                      <w:lock w:val="sdtLocked"/>
                      <w:richText/>
                    </w:sdtPr>
                    <w:sdtContent>
                      <w:r>
                        <w:rPr>
                          <w:lang w:eastAsia="x-none"/>
                        </w:rPr>
                        <w:t>41</w:t>
                      </w:r>
                    </w:sdtContent>
                  </w:sdt>
                  <w:r>
                    <w:rPr>
                      <w:lang w:eastAsia="x-none"/>
                    </w:rPr>
                    <w:t>. Asmuo, nesutinkantis su privalomo sveikatos tikrinimo išvadomis, gali jas apskųsti Lietuvos Respublikos teisės aktų nustatyta tvarka.</w:t>
                  </w:r>
                </w:p>
                <w:p>
                  <w:pPr>
                    <w:tabs>
                      <w:tab w:val="left" w:pos="0"/>
                    </w:tabs>
                    <w:ind w:firstLine="709"/>
                    <w:jc w:val="center"/>
                    <w:rPr>
                      <w:lang w:eastAsia="x-none"/>
                    </w:rPr>
                  </w:pPr>
                  <w:r>
                    <w:rPr>
                      <w:lang w:eastAsia="x-none"/>
                    </w:rPr>
                    <w:t>___________________________</w:t>
                  </w:r>
                </w:p>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 pr."/>
        <w:tag w:val="part_153193a98aaa4c779df4f8a3b50156e9"/>
        <w:lock w:val="sdtLocked"/>
        <w:richText/>
      </w:sdtPr>
      <w:sdtContent>
        <w:p>
          <w:pPr>
            <w:ind w:left="720" w:hanging="11"/>
            <w:jc w:val="center"/>
            <w:rPr>
              <w:szCs w:val="24"/>
            </w:rPr>
          </w:pPr>
        </w:p>
        <w:p>
          <w:pPr>
            <w:ind w:right="27"/>
            <w:jc w:val="both"/>
            <w:rPr>
              <w:sz w:val="20"/>
              <w:szCs w:val="24"/>
            </w:rPr>
            <w:sectPr>
              <w:headerReference w:type="even" r:id="rId88"/>
              <w:headerReference w:type="default" r:id="rId89"/>
              <w:pgSz w:w="11906" w:h="16838"/>
              <w:pgMar w:top="1276" w:right="567" w:bottom="851" w:left="1134" w:header="720" w:footer="720" w:gutter="0"/>
              <w:pgNumType w:start="1"/>
              <w:cols w:space="720"/>
              <w:titlePg/>
            </w:sectPr>
          </w:pPr>
        </w:p>
        <w:p>
          <w:pPr>
            <w:spacing w:line="276" w:lineRule="auto"/>
            <w:ind w:left="7788"/>
            <w:jc w:val="both"/>
            <w:rPr>
              <w:rFonts w:eastAsia="Calibri"/>
              <w:color w:val="000000"/>
              <w:szCs w:val="24"/>
            </w:rPr>
          </w:pPr>
          <w:r>
            <w:rPr>
              <w:rFonts w:eastAsia="Calibri"/>
              <w:color w:val="000000"/>
              <w:szCs w:val="24"/>
            </w:rPr>
            <w:t>Jūrininkų ir vidaus vandenų transporto</w:t>
          </w:r>
        </w:p>
        <w:p>
          <w:pPr>
            <w:spacing w:line="276" w:lineRule="auto"/>
            <w:ind w:left="7788"/>
            <w:jc w:val="both"/>
            <w:rPr>
              <w:rFonts w:eastAsia="Calibri"/>
              <w:color w:val="000000"/>
              <w:szCs w:val="24"/>
            </w:rPr>
          </w:pPr>
          <w:r>
            <w:rPr>
              <w:rFonts w:eastAsia="Calibri"/>
              <w:color w:val="000000"/>
              <w:szCs w:val="24"/>
            </w:rPr>
            <w:t xml:space="preserve">specialistų bei motorinių pramoginių laivų ir </w:t>
          </w:r>
        </w:p>
        <w:p>
          <w:pPr>
            <w:spacing w:line="276" w:lineRule="auto"/>
            <w:ind w:left="7788"/>
            <w:jc w:val="both"/>
            <w:rPr>
              <w:rFonts w:eastAsia="Calibri"/>
              <w:color w:val="000000"/>
              <w:szCs w:val="24"/>
            </w:rPr>
          </w:pPr>
          <w:r>
            <w:rPr>
              <w:rFonts w:eastAsia="Calibri"/>
              <w:color w:val="000000"/>
              <w:szCs w:val="24"/>
            </w:rPr>
            <w:t xml:space="preserve">kitų motorinių plaukiojimo priemonių </w:t>
          </w:r>
        </w:p>
        <w:p>
          <w:pPr>
            <w:spacing w:line="276" w:lineRule="auto"/>
            <w:ind w:left="7788"/>
            <w:jc w:val="both"/>
            <w:rPr>
              <w:rFonts w:eastAsia="Calibri"/>
              <w:color w:val="000000"/>
              <w:szCs w:val="24"/>
            </w:rPr>
          </w:pPr>
          <w:r>
            <w:rPr>
              <w:rFonts w:eastAsia="Calibri"/>
              <w:color w:val="000000"/>
              <w:szCs w:val="24"/>
            </w:rPr>
            <w:t>laivavedžių sveikatos tikrinimo tvarkos aprašo</w:t>
          </w:r>
          <w:r>
            <w:rPr>
              <w:rFonts w:eastAsia="Calibri"/>
              <w:b/>
              <w:color w:val="000000"/>
              <w:szCs w:val="24"/>
            </w:rPr>
            <w:t xml:space="preserve"> </w:t>
          </w:r>
        </w:p>
        <w:p>
          <w:pPr>
            <w:spacing w:line="276" w:lineRule="auto"/>
            <w:ind w:left="7788"/>
            <w:jc w:val="both"/>
            <w:rPr>
              <w:rFonts w:eastAsia="Calibri"/>
              <w:szCs w:val="24"/>
            </w:rPr>
          </w:pPr>
          <w:r>
            <w:rPr>
              <w:rFonts w:eastAsia="Calibri"/>
              <w:szCs w:val="24"/>
            </w:rPr>
            <w:t>1 priedas</w:t>
          </w:r>
        </w:p>
        <w:p>
          <w:pPr>
            <w:spacing w:line="276" w:lineRule="auto"/>
            <w:jc w:val="both"/>
            <w:rPr>
              <w:rFonts w:eastAsia="Calibri"/>
              <w:b/>
              <w:szCs w:val="24"/>
            </w:rPr>
          </w:pPr>
        </w:p>
        <w:sdt>
          <w:sdtPr>
            <w:alias w:val="Pavadinimas"/>
            <w:tag w:val="title_153193a98aaa4c779df4f8a3b50156e9"/>
            <w:lock w:val="sdtLocked"/>
            <w:richText/>
          </w:sdtPr>
          <w:sdtContent>
            <w:p>
              <w:pPr>
                <w:spacing w:line="276" w:lineRule="auto"/>
                <w:jc w:val="center"/>
                <w:rPr>
                  <w:rFonts w:eastAsia="Calibri"/>
                  <w:b/>
                  <w:color w:val="000000"/>
                  <w:szCs w:val="24"/>
                </w:rPr>
              </w:pPr>
              <w:r>
                <w:rPr>
                  <w:rFonts w:eastAsia="Calibri"/>
                  <w:b/>
                  <w:color w:val="000000"/>
                  <w:szCs w:val="24"/>
                </w:rPr>
                <w:t>MINIMALŪS SVEIKATOS BŪKLĖS REIKALAVIMAI, TAIKOMI JŪRININKAMS IR VIDAUS VANDENŲ TRANSPORTO SPECIALISTAMS BEI MOTORINIŲ PRAMOGINIŲ LAIVŲ IR KITŲ MOTORINIŲ PLAUKIOJIMO PRIEMONIŲ LAIVAVEDŽIAMS</w:t>
              </w:r>
            </w:p>
          </w:sdtContent>
        </w:sdt>
        <w:p>
          <w:pPr>
            <w:spacing w:line="276" w:lineRule="auto"/>
            <w:jc w:val="center"/>
            <w:rPr>
              <w:rFonts w:eastAsia="Calibri"/>
              <w:b/>
              <w:color w:val="00000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2977"/>
            <w:gridCol w:w="4110"/>
            <w:gridCol w:w="4252"/>
            <w:gridCol w:w="2801"/>
          </w:tblGrid>
          <w:tr>
            <w:trPr>
              <w:trHeight w:val="2359"/>
            </w:trPr>
            <w:tc>
              <w:tcPr>
                <w:tcW w:w="816" w:type="dxa"/>
              </w:tcPr>
              <w:p>
                <w:pPr>
                  <w:jc w:val="center"/>
                  <w:rPr>
                    <w:rFonts w:eastAsia="Calibri"/>
                    <w:b/>
                    <w:color w:val="000000"/>
                    <w:szCs w:val="24"/>
                  </w:rPr>
                </w:pPr>
                <w:r>
                  <w:rPr>
                    <w:rFonts w:eastAsia="Calibri"/>
                    <w:b/>
                    <w:color w:val="000000"/>
                    <w:szCs w:val="24"/>
                  </w:rPr>
                  <w:t>Eil.</w:t>
                </w:r>
              </w:p>
              <w:p>
                <w:pPr>
                  <w:jc w:val="center"/>
                  <w:rPr>
                    <w:rFonts w:eastAsia="Calibri"/>
                    <w:b/>
                    <w:color w:val="000000"/>
                    <w:szCs w:val="24"/>
                  </w:rPr>
                </w:pPr>
                <w:r>
                  <w:rPr>
                    <w:rFonts w:eastAsia="Calibri"/>
                    <w:b/>
                    <w:color w:val="000000"/>
                    <w:szCs w:val="24"/>
                  </w:rPr>
                  <w:t>Nr.</w:t>
                </w:r>
              </w:p>
            </w:tc>
            <w:tc>
              <w:tcPr>
                <w:tcW w:w="2977" w:type="dxa"/>
              </w:tcPr>
              <w:p>
                <w:pPr>
                  <w:jc w:val="center"/>
                  <w:rPr>
                    <w:b/>
                    <w:color w:val="000000"/>
                    <w:szCs w:val="24"/>
                    <w:lang w:val="en-AU" w:eastAsia="x-none"/>
                  </w:rPr>
                </w:pPr>
                <w:r>
                  <w:rPr>
                    <w:b/>
                    <w:color w:val="000000"/>
                    <w:szCs w:val="24"/>
                    <w:lang w:eastAsia="x-none"/>
                  </w:rPr>
                  <w:t xml:space="preserve">Ligos ir sveikatos sutrikimai, dėl kurių ribojama teisė dirbti jūrininkais ir (ar) vidaus vandenų transporto specialistais bei motorinių pramoginių laivų ir kitų motorinių plaukiojimo priemonių laivavedžiais </w:t>
                </w:r>
              </w:p>
            </w:tc>
            <w:tc>
              <w:tcPr>
                <w:tcW w:w="4110" w:type="dxa"/>
              </w:tcPr>
              <w:p>
                <w:pPr>
                  <w:jc w:val="center"/>
                  <w:rPr>
                    <w:rFonts w:eastAsia="Calibri"/>
                    <w:b/>
                    <w:color w:val="000000"/>
                    <w:szCs w:val="24"/>
                  </w:rPr>
                </w:pPr>
                <w:r>
                  <w:rPr>
                    <w:rFonts w:eastAsia="Calibri"/>
                    <w:b/>
                    <w:color w:val="000000"/>
                    <w:szCs w:val="24"/>
                  </w:rPr>
                  <w:t>Jūrininkų sveikatos būklės reikalavimai pagal profesines grupes</w:t>
                </w:r>
              </w:p>
            </w:tc>
            <w:tc>
              <w:tcPr>
                <w:tcW w:w="4252" w:type="dxa"/>
              </w:tcPr>
              <w:p>
                <w:pPr>
                  <w:jc w:val="center"/>
                  <w:rPr>
                    <w:rFonts w:eastAsia="Calibri"/>
                    <w:b/>
                    <w:color w:val="000000"/>
                    <w:szCs w:val="24"/>
                  </w:rPr>
                </w:pPr>
                <w:r>
                  <w:rPr>
                    <w:rFonts w:eastAsia="Calibri"/>
                    <w:b/>
                    <w:color w:val="000000"/>
                    <w:szCs w:val="24"/>
                  </w:rPr>
                  <w:t>Vidaus vandenų transporto specialistų bei motorinių pramoginių laivų ir kitų motorinių plaukiojimo priemonių laivavedžių sveikatos būklės reikalavimai pagal profesines grupes</w:t>
                </w:r>
              </w:p>
            </w:tc>
            <w:tc>
              <w:tcPr>
                <w:tcW w:w="2801" w:type="dxa"/>
              </w:tcPr>
              <w:p>
                <w:pPr>
                  <w:jc w:val="center"/>
                  <w:rPr>
                    <w:rFonts w:eastAsia="Calibri"/>
                    <w:b/>
                    <w:color w:val="000000"/>
                    <w:szCs w:val="24"/>
                  </w:rPr>
                </w:pPr>
                <w:r>
                  <w:rPr>
                    <w:rFonts w:eastAsia="Calibri"/>
                    <w:b/>
                    <w:color w:val="000000"/>
                    <w:szCs w:val="24"/>
                  </w:rPr>
                  <w:t>Pastabos</w:t>
                </w:r>
              </w:p>
            </w:tc>
          </w:tr>
          <w:tr>
            <w:tc>
              <w:tcPr>
                <w:tcW w:w="816" w:type="dxa"/>
              </w:tcPr>
              <w:p>
                <w:pPr>
                  <w:spacing w:line="276" w:lineRule="auto"/>
                  <w:jc w:val="center"/>
                  <w:rPr>
                    <w:rFonts w:eastAsia="Calibri"/>
                    <w:szCs w:val="24"/>
                  </w:rPr>
                </w:pPr>
                <w:r>
                  <w:rPr>
                    <w:rFonts w:eastAsia="Calibri"/>
                    <w:szCs w:val="24"/>
                  </w:rPr>
                  <w:t>1</w:t>
                </w:r>
              </w:p>
            </w:tc>
            <w:tc>
              <w:tcPr>
                <w:tcW w:w="2977" w:type="dxa"/>
              </w:tcPr>
              <w:p>
                <w:pPr>
                  <w:spacing w:line="276" w:lineRule="auto"/>
                  <w:jc w:val="center"/>
                  <w:rPr>
                    <w:rFonts w:eastAsia="Calibri"/>
                    <w:szCs w:val="24"/>
                  </w:rPr>
                </w:pPr>
                <w:r>
                  <w:rPr>
                    <w:rFonts w:eastAsia="Calibri"/>
                    <w:szCs w:val="24"/>
                  </w:rPr>
                  <w:t>2</w:t>
                </w:r>
              </w:p>
            </w:tc>
            <w:tc>
              <w:tcPr>
                <w:tcW w:w="4110" w:type="dxa"/>
              </w:tcPr>
              <w:p>
                <w:pPr>
                  <w:spacing w:line="276" w:lineRule="auto"/>
                  <w:jc w:val="center"/>
                  <w:rPr>
                    <w:rFonts w:eastAsia="Calibri"/>
                    <w:szCs w:val="24"/>
                  </w:rPr>
                </w:pPr>
                <w:r>
                  <w:rPr>
                    <w:rFonts w:eastAsia="Calibri"/>
                    <w:szCs w:val="24"/>
                  </w:rPr>
                  <w:t>3</w:t>
                </w:r>
              </w:p>
            </w:tc>
            <w:tc>
              <w:tcPr>
                <w:tcW w:w="4252" w:type="dxa"/>
              </w:tcPr>
              <w:p>
                <w:pPr>
                  <w:spacing w:line="276" w:lineRule="auto"/>
                  <w:jc w:val="center"/>
                  <w:rPr>
                    <w:rFonts w:eastAsia="Calibri"/>
                    <w:szCs w:val="24"/>
                  </w:rPr>
                </w:pPr>
                <w:r>
                  <w:rPr>
                    <w:rFonts w:eastAsia="Calibri"/>
                    <w:szCs w:val="24"/>
                  </w:rPr>
                  <w:t>4</w:t>
                </w:r>
              </w:p>
            </w:tc>
            <w:tc>
              <w:tcPr>
                <w:tcW w:w="2801" w:type="dxa"/>
              </w:tcPr>
              <w:p>
                <w:pPr>
                  <w:spacing w:line="276" w:lineRule="auto"/>
                  <w:jc w:val="center"/>
                  <w:rPr>
                    <w:rFonts w:eastAsia="Calibri"/>
                    <w:szCs w:val="24"/>
                  </w:rPr>
                </w:pPr>
                <w:r>
                  <w:rPr>
                    <w:rFonts w:eastAsia="Calibri"/>
                    <w:szCs w:val="24"/>
                  </w:rPr>
                  <w:t>5</w:t>
                </w:r>
              </w:p>
            </w:tc>
          </w:tr>
          <w:tr>
            <w:tc>
              <w:tcPr>
                <w:tcW w:w="816" w:type="dxa"/>
              </w:tcPr>
              <w:p>
                <w:pPr>
                  <w:spacing w:line="276" w:lineRule="auto"/>
                  <w:rPr>
                    <w:rFonts w:eastAsia="Calibri"/>
                    <w:szCs w:val="24"/>
                  </w:rPr>
                </w:pPr>
                <w:r>
                  <w:rPr>
                    <w:rFonts w:eastAsia="Calibri"/>
                    <w:szCs w:val="24"/>
                  </w:rPr>
                  <w:t xml:space="preserve">1. </w:t>
                </w:r>
              </w:p>
            </w:tc>
            <w:tc>
              <w:tcPr>
                <w:tcW w:w="14140" w:type="dxa"/>
                <w:gridSpan w:val="4"/>
              </w:tcPr>
              <w:p>
                <w:pPr>
                  <w:spacing w:line="276" w:lineRule="auto"/>
                  <w:jc w:val="center"/>
                  <w:rPr>
                    <w:rFonts w:eastAsia="Calibri"/>
                    <w:szCs w:val="24"/>
                  </w:rPr>
                </w:pPr>
                <w:r>
                  <w:rPr>
                    <w:rFonts w:eastAsia="Calibri"/>
                    <w:b/>
                    <w:color w:val="000000"/>
                    <w:szCs w:val="24"/>
                  </w:rPr>
                  <w:t>REGA BEI AKIES IR JOS PRIEDINIŲ ORGANŲ LIGOS</w:t>
                </w:r>
              </w:p>
            </w:tc>
          </w:tr>
          <w:tr>
            <w:trPr>
              <w:trHeight w:val="2427"/>
            </w:trPr>
            <w:tc>
              <w:tcPr>
                <w:tcW w:w="816" w:type="dxa"/>
              </w:tcPr>
              <w:p>
                <w:pPr>
                  <w:spacing w:line="276" w:lineRule="auto"/>
                  <w:jc w:val="both"/>
                  <w:rPr>
                    <w:rFonts w:eastAsia="Calibri"/>
                    <w:color w:val="000000"/>
                    <w:szCs w:val="24"/>
                  </w:rPr>
                </w:pPr>
                <w:r>
                  <w:rPr>
                    <w:rFonts w:eastAsia="Calibri"/>
                    <w:color w:val="000000"/>
                    <w:szCs w:val="24"/>
                  </w:rPr>
                  <w:t>1.1.</w:t>
                </w:r>
              </w:p>
            </w:tc>
            <w:tc>
              <w:tcPr>
                <w:tcW w:w="2977" w:type="dxa"/>
              </w:tcPr>
              <w:p>
                <w:pPr>
                  <w:spacing w:line="276" w:lineRule="auto"/>
                  <w:rPr>
                    <w:rFonts w:eastAsia="Calibri"/>
                    <w:b/>
                    <w:color w:val="000000"/>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color w:val="000000"/>
                    <w:szCs w:val="24"/>
                  </w:rPr>
                </w:pPr>
                <w:r>
                  <w:rPr>
                    <w:rFonts w:eastAsia="Calibri"/>
                    <w:szCs w:val="24"/>
                  </w:rPr>
                  <w:t xml:space="preserve">Akiplotis – normalus regėjimo laukas. </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szCs w:val="24"/>
                  </w:rPr>
                </w:pPr>
                <w:r>
                  <w:rPr>
                    <w:rFonts w:eastAsia="Calibri"/>
                    <w:szCs w:val="24"/>
                  </w:rPr>
                  <w:t>Akiplotis – normalus regėjimo laukas.</w:t>
                </w:r>
              </w:p>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Tikrina gydytojas oftalmologas. Vertinamas regėjimo aštrumas, spalvinė rega, akispūdis, akiplotis ir progresuojančios akių ligos.</w:t>
                </w:r>
              </w:p>
            </w:tc>
          </w:tr>
          <w:tr>
            <w:tc>
              <w:tcPr>
                <w:tcW w:w="816" w:type="dxa"/>
              </w:tcPr>
              <w:p>
                <w:pPr>
                  <w:spacing w:line="276" w:lineRule="auto"/>
                  <w:jc w:val="both"/>
                  <w:rPr>
                    <w:rFonts w:eastAsia="Calibri"/>
                    <w:szCs w:val="24"/>
                  </w:rPr>
                </w:pPr>
                <w:r>
                  <w:rPr>
                    <w:rFonts w:eastAsia="Calibri"/>
                    <w:szCs w:val="24"/>
                  </w:rPr>
                  <w:t>1.2.</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4252"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2801" w:type="dxa"/>
              </w:tcPr>
              <w:p>
                <w:pPr>
                  <w:spacing w:line="276" w:lineRule="auto"/>
                  <w:jc w:val="both"/>
                  <w:rPr>
                    <w:rFonts w:eastAsia="Calibri"/>
                    <w:szCs w:val="24"/>
                  </w:rPr>
                </w:pPr>
              </w:p>
            </w:tc>
          </w:tr>
          <w:tr>
            <w:trPr>
              <w:trHeight w:val="2266"/>
            </w:trPr>
            <w:tc>
              <w:tcPr>
                <w:tcW w:w="816" w:type="dxa"/>
              </w:tcPr>
              <w:p>
                <w:pPr>
                  <w:spacing w:line="276" w:lineRule="auto"/>
                  <w:jc w:val="both"/>
                  <w:rPr>
                    <w:rFonts w:eastAsia="Calibri"/>
                    <w:szCs w:val="24"/>
                  </w:rPr>
                </w:pPr>
                <w:r>
                  <w:rPr>
                    <w:rFonts w:eastAsia="Calibri"/>
                    <w:szCs w:val="24"/>
                  </w:rPr>
                  <w:t>1.3.</w:t>
                </w:r>
              </w:p>
            </w:tc>
            <w:tc>
              <w:tcPr>
                <w:tcW w:w="2977" w:type="dxa"/>
              </w:tcPr>
              <w:p>
                <w:pPr>
                  <w:spacing w:line="276" w:lineRule="auto"/>
                  <w:rPr>
                    <w:rFonts w:eastAsia="Calibri"/>
                    <w:szCs w:val="24"/>
                  </w:rPr>
                </w:pPr>
              </w:p>
              <w:p>
                <w:pPr>
                  <w:spacing w:line="276" w:lineRule="auto"/>
                  <w:rPr>
                    <w:rFonts w:eastAsia="Calibri"/>
                    <w:b/>
                    <w:i/>
                    <w:szCs w:val="24"/>
                  </w:rPr>
                </w:pPr>
              </w:p>
            </w:tc>
            <w:tc>
              <w:tcPr>
                <w:tcW w:w="4110"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4252"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2801" w:type="dxa"/>
              </w:tcPr>
              <w:p>
                <w:pPr>
                  <w:spacing w:line="276" w:lineRule="auto"/>
                  <w:rPr>
                    <w:rFonts w:eastAsia="Calibri"/>
                    <w:szCs w:val="24"/>
                  </w:rPr>
                </w:pPr>
                <w:r>
                  <w:rPr>
                    <w:rFonts w:eastAsia="Calibri"/>
                    <w:szCs w:val="24"/>
                  </w:rPr>
                  <w:t>Asmenys, kurių regėjimas koreguojamas kontaktiniais lęšiais ar akiniais, dirbti narais netinka.</w:t>
                </w:r>
              </w:p>
              <w:p>
                <w:pPr>
                  <w:spacing w:line="276" w:lineRule="auto"/>
                  <w:rPr>
                    <w:rFonts w:eastAsia="Calibri"/>
                    <w:szCs w:val="24"/>
                  </w:rPr>
                </w:pPr>
                <w:r>
                  <w:rPr>
                    <w:rFonts w:eastAsia="Calibri"/>
                    <w:szCs w:val="24"/>
                  </w:rPr>
                  <w:t>Esant normatyvų neatitikimams, sprendžiama individualiai po gydytojo oftalmologo konsultacijos.</w:t>
                </w:r>
              </w:p>
              <w:p>
                <w:pPr>
                  <w:spacing w:line="276" w:lineRule="auto"/>
                  <w:jc w:val="both"/>
                  <w:rPr>
                    <w:rFonts w:eastAsia="Calibri"/>
                    <w:szCs w:val="24"/>
                  </w:rPr>
                </w:pPr>
                <w:r>
                  <w:rPr>
                    <w:rFonts w:eastAsia="Calibri"/>
                    <w:szCs w:val="24"/>
                  </w:rPr>
                  <w:t>Narams nekoreguotas regėjimas į tolį viena akimi 0.5 ar daugiau, kita akimi – 0.5 ar daugiau.</w:t>
                </w:r>
              </w:p>
            </w:tc>
          </w:tr>
          <w:tr>
            <w:trPr>
              <w:trHeight w:val="2729"/>
            </w:trPr>
            <w:tc>
              <w:tcPr>
                <w:tcW w:w="816" w:type="dxa"/>
              </w:tcPr>
              <w:p>
                <w:pPr>
                  <w:spacing w:line="276" w:lineRule="auto"/>
                  <w:jc w:val="both"/>
                  <w:rPr>
                    <w:rFonts w:eastAsia="Calibri"/>
                    <w:szCs w:val="24"/>
                  </w:rPr>
                </w:pPr>
                <w:r>
                  <w:rPr>
                    <w:rFonts w:eastAsia="Calibri"/>
                    <w:szCs w:val="24"/>
                  </w:rPr>
                  <w:t>1.4.</w:t>
                </w:r>
              </w:p>
            </w:tc>
            <w:tc>
              <w:tcPr>
                <w:tcW w:w="2977" w:type="dxa"/>
              </w:tcPr>
              <w:p>
                <w:pPr>
                  <w:spacing w:line="276" w:lineRule="auto"/>
                  <w:rPr>
                    <w:rFonts w:eastAsia="Calibri"/>
                    <w:szCs w:val="24"/>
                  </w:rPr>
                </w:pPr>
                <w:r>
                  <w:rPr>
                    <w:rFonts w:eastAsia="Calibri"/>
                    <w:szCs w:val="24"/>
                  </w:rPr>
                  <w:t>Vokų, ašarų sistemos ir akiduobės ligos, H00–H06</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konservatyvaus ar operacinio gydymo 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priklausomai nuo regėjimo funkcijos ir susirgimo, po gydytojo oftalmologo konsultacijos.</w:t>
                </w:r>
              </w:p>
            </w:tc>
          </w:tr>
          <w:tr>
            <w:tc>
              <w:tcPr>
                <w:tcW w:w="816" w:type="dxa"/>
              </w:tcPr>
              <w:p>
                <w:pPr>
                  <w:spacing w:line="276" w:lineRule="auto"/>
                  <w:jc w:val="center"/>
                  <w:rPr>
                    <w:rFonts w:eastAsia="Calibri"/>
                    <w:szCs w:val="24"/>
                  </w:rPr>
                </w:pPr>
                <w:r>
                  <w:rPr>
                    <w:rFonts w:eastAsia="Calibri"/>
                    <w:szCs w:val="24"/>
                  </w:rPr>
                  <w:t>1.5.</w:t>
                </w:r>
              </w:p>
            </w:tc>
            <w:tc>
              <w:tcPr>
                <w:tcW w:w="2977" w:type="dxa"/>
              </w:tcPr>
              <w:p>
                <w:pPr>
                  <w:spacing w:line="276" w:lineRule="auto"/>
                  <w:rPr>
                    <w:rFonts w:eastAsia="Calibri"/>
                    <w:szCs w:val="24"/>
                  </w:rPr>
                </w:pPr>
                <w:r>
                  <w:rPr>
                    <w:rFonts w:eastAsia="Calibri"/>
                    <w:szCs w:val="24"/>
                  </w:rPr>
                  <w:t xml:space="preserve">Lęšiuko ligos, H25–H28 </w:t>
                </w:r>
              </w:p>
              <w:p>
                <w:pPr>
                  <w:spacing w:line="276" w:lineRule="auto"/>
                  <w:rPr>
                    <w:rFonts w:eastAsia="Calibri"/>
                    <w:szCs w:val="24"/>
                  </w:rPr>
                </w:pPr>
              </w:p>
            </w:tc>
            <w:tc>
              <w:tcPr>
                <w:tcW w:w="4110" w:type="dxa"/>
              </w:tcPr>
              <w:p>
                <w:pPr>
                  <w:spacing w:line="276" w:lineRule="auto"/>
                  <w:jc w:val="center"/>
                  <w:rPr>
                    <w:rFonts w:eastAsia="Calibri"/>
                    <w:szCs w:val="24"/>
                  </w:rPr>
                </w:pPr>
              </w:p>
            </w:tc>
            <w:tc>
              <w:tcPr>
                <w:tcW w:w="4252" w:type="dxa"/>
              </w:tcPr>
              <w:p>
                <w:pPr>
                  <w:spacing w:line="276" w:lineRule="auto"/>
                  <w:jc w:val="center"/>
                  <w:rPr>
                    <w:rFonts w:eastAsia="Calibri"/>
                    <w:szCs w:val="24"/>
                  </w:rPr>
                </w:pPr>
              </w:p>
            </w:tc>
            <w:tc>
              <w:tcPr>
                <w:tcW w:w="2801" w:type="dxa"/>
              </w:tcPr>
              <w:p>
                <w:pPr>
                  <w:spacing w:line="276" w:lineRule="auto"/>
                  <w:rPr>
                    <w:rFonts w:eastAsia="Calibri"/>
                    <w:szCs w:val="24"/>
                  </w:rPr>
                </w:pPr>
                <w:r>
                  <w:rPr>
                    <w:rFonts w:eastAsia="Calibri"/>
                    <w:szCs w:val="24"/>
                  </w:rPr>
                  <w:t xml:space="preserve">Praėjus po kataraktos ar refrakcinės ragenos operacijų ne mažiau kaip 1 mėnesiui, pasiekus stabilizacijos periodą, dėl darbo jūrų ir vidaus vandenų laive sprendžiama individualiai po gydytojo oftalmologo konsultacijos. </w:t>
                </w:r>
              </w:p>
            </w:tc>
          </w:tr>
          <w:tr>
            <w:tc>
              <w:tcPr>
                <w:tcW w:w="816" w:type="dxa"/>
              </w:tcPr>
              <w:p>
                <w:pPr>
                  <w:spacing w:line="276" w:lineRule="auto"/>
                  <w:jc w:val="both"/>
                  <w:rPr>
                    <w:rFonts w:eastAsia="Calibri"/>
                    <w:szCs w:val="24"/>
                  </w:rPr>
                </w:pPr>
                <w:r>
                  <w:rPr>
                    <w:rFonts w:eastAsia="Calibri"/>
                    <w:szCs w:val="24"/>
                  </w:rPr>
                  <w:t>1.6.</w:t>
                </w:r>
              </w:p>
            </w:tc>
            <w:tc>
              <w:tcPr>
                <w:tcW w:w="2977" w:type="dxa"/>
              </w:tcPr>
              <w:p>
                <w:pPr>
                  <w:spacing w:line="276" w:lineRule="auto"/>
                  <w:rPr>
                    <w:rFonts w:eastAsia="Calibri"/>
                    <w:szCs w:val="24"/>
                  </w:rPr>
                </w:pPr>
                <w:r>
                  <w:rPr>
                    <w:rFonts w:eastAsia="Calibri"/>
                    <w:szCs w:val="24"/>
                  </w:rPr>
                  <w:t xml:space="preserve">Gyslainės ir tinklainės ligos, H30–H36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atsižvelgiant į regėjimo funkcijas ir tinklainės atšokimo ar plyšio dydį, po gydytojo oftalmologo konsultacijos.</w:t>
                </w:r>
              </w:p>
            </w:tc>
          </w:tr>
          <w:tr>
            <w:tc>
              <w:tcPr>
                <w:tcW w:w="816" w:type="dxa"/>
              </w:tcPr>
              <w:p>
                <w:pPr>
                  <w:spacing w:line="276" w:lineRule="auto"/>
                  <w:jc w:val="both"/>
                  <w:rPr>
                    <w:rFonts w:eastAsia="Calibri"/>
                    <w:szCs w:val="24"/>
                  </w:rPr>
                </w:pPr>
                <w:r>
                  <w:rPr>
                    <w:rFonts w:eastAsia="Calibri"/>
                    <w:szCs w:val="24"/>
                  </w:rPr>
                  <w:t>1.7.</w:t>
                </w:r>
              </w:p>
            </w:tc>
            <w:tc>
              <w:tcPr>
                <w:tcW w:w="2977" w:type="dxa"/>
              </w:tcPr>
              <w:p>
                <w:pPr>
                  <w:spacing w:line="276" w:lineRule="auto"/>
                  <w:rPr>
                    <w:rFonts w:eastAsia="Calibri"/>
                    <w:szCs w:val="24"/>
                  </w:rPr>
                </w:pPr>
                <w:r>
                  <w:rPr>
                    <w:rFonts w:eastAsia="Calibri"/>
                    <w:szCs w:val="24"/>
                  </w:rPr>
                  <w:t>Glaukoma, H40</w:t>
                </w:r>
              </w:p>
            </w:tc>
            <w:tc>
              <w:tcPr>
                <w:tcW w:w="4110" w:type="dxa"/>
              </w:tcPr>
              <w:p>
                <w:pPr>
                  <w:spacing w:line="276" w:lineRule="auto"/>
                  <w:jc w:val="both"/>
                  <w:rPr>
                    <w:rFonts w:eastAsia="Calibri"/>
                    <w:szCs w:val="24"/>
                  </w:rPr>
                </w:pPr>
                <w:r>
                  <w:rPr>
                    <w:rFonts w:eastAsia="Calibri"/>
                    <w:color w:val="000000"/>
                    <w:szCs w:val="24"/>
                  </w:rPr>
                  <w:t>Nustačius II</w:t>
                </w:r>
                <w:r>
                  <w:rPr>
                    <w:rFonts w:eastAsia="Calibri"/>
                    <w:szCs w:val="24"/>
                  </w:rPr>
                  <w:t>–</w:t>
                </w:r>
                <w:r>
                  <w:rPr>
                    <w:rFonts w:eastAsia="Calibri"/>
                    <w:color w:val="000000"/>
                    <w:szCs w:val="24"/>
                  </w:rPr>
                  <w:t xml:space="preserve">IV stadijos glaukomą, nė vienos profesinės grupės </w:t>
                </w:r>
                <w:r>
                  <w:rPr>
                    <w:rFonts w:eastAsia="Calibri"/>
                    <w:szCs w:val="24"/>
                  </w:rPr>
                  <w:t xml:space="preserve">darbuotojai </w:t>
                </w:r>
                <w:r>
                  <w:rPr>
                    <w:rFonts w:eastAsia="Calibri"/>
                    <w:color w:val="000000"/>
                    <w:szCs w:val="24"/>
                  </w:rPr>
                  <w:t>negali dirbti jūrų laive.</w:t>
                </w:r>
              </w:p>
            </w:tc>
            <w:tc>
              <w:tcPr>
                <w:tcW w:w="4252" w:type="dxa"/>
              </w:tcPr>
              <w:p>
                <w:pPr>
                  <w:spacing w:line="276" w:lineRule="auto"/>
                  <w:jc w:val="both"/>
                  <w:rPr>
                    <w:rFonts w:eastAsia="Calibri"/>
                    <w:szCs w:val="24"/>
                  </w:rPr>
                </w:pPr>
                <w:r>
                  <w:rPr>
                    <w:rFonts w:eastAsia="Calibri"/>
                    <w:szCs w:val="24"/>
                  </w:rPr>
                  <w:t xml:space="preserve">Nustačius II–IV stadijos glaukomą, nė vienos profesinės grupės darbuotojai negali dirbti </w:t>
                </w:r>
                <w:r>
                  <w:rPr>
                    <w:rFonts w:eastAsia="Calibri"/>
                    <w:color w:val="000000"/>
                    <w:szCs w:val="24"/>
                  </w:rPr>
                  <w:t>vidaus vandenų</w:t>
                </w:r>
                <w:r>
                  <w:rPr>
                    <w:rFonts w:eastAsia="Calibri"/>
                    <w:szCs w:val="24"/>
                  </w:rPr>
                  <w:t xml:space="preserve"> laive.</w:t>
                </w:r>
              </w:p>
            </w:tc>
            <w:tc>
              <w:tcPr>
                <w:tcW w:w="2801" w:type="dxa"/>
              </w:tcPr>
              <w:p>
                <w:pPr>
                  <w:spacing w:line="276" w:lineRule="auto"/>
                  <w:rPr>
                    <w:rFonts w:eastAsia="Calibri"/>
                    <w:szCs w:val="24"/>
                  </w:rPr>
                </w:pPr>
                <w:r>
                  <w:rPr>
                    <w:rFonts w:eastAsia="Calibri"/>
                    <w:color w:val="000000"/>
                    <w:szCs w:val="24"/>
                  </w:rPr>
                  <w:t>Esant kompensuotai glaukomai (I stadija), asmenys gali dirbti jūrų ar vidaus vandenų laivuose</w:t>
                </w:r>
                <w:r>
                  <w:rPr>
                    <w:rFonts w:eastAsia="Calibri"/>
                    <w:szCs w:val="24"/>
                  </w:rPr>
                  <w:t xml:space="preserve">. </w:t>
                </w:r>
              </w:p>
              <w:p>
                <w:pPr>
                  <w:spacing w:line="276" w:lineRule="auto"/>
                  <w:rPr>
                    <w:rFonts w:eastAsia="Calibri"/>
                    <w:szCs w:val="24"/>
                  </w:rPr>
                </w:pPr>
                <w:r>
                  <w:rPr>
                    <w:rFonts w:eastAsia="Calibri"/>
                    <w:szCs w:val="24"/>
                  </w:rPr>
                  <w:t>Gydytojo oftalmologo konsultacija – kas 6 mėnesiai.</w:t>
                </w:r>
              </w:p>
            </w:tc>
          </w:tr>
          <w:tr>
            <w:tc>
              <w:tcPr>
                <w:tcW w:w="816" w:type="dxa"/>
              </w:tcPr>
              <w:p>
                <w:pPr>
                  <w:spacing w:line="276" w:lineRule="auto"/>
                  <w:jc w:val="both"/>
                  <w:rPr>
                    <w:rFonts w:eastAsia="Calibri"/>
                    <w:szCs w:val="24"/>
                  </w:rPr>
                </w:pPr>
                <w:r>
                  <w:rPr>
                    <w:rFonts w:eastAsia="Calibri"/>
                    <w:szCs w:val="24"/>
                  </w:rPr>
                  <w:t>1.8.</w:t>
                </w:r>
              </w:p>
            </w:tc>
            <w:tc>
              <w:tcPr>
                <w:tcW w:w="2977" w:type="dxa"/>
              </w:tcPr>
              <w:p>
                <w:pPr>
                  <w:spacing w:line="276" w:lineRule="auto"/>
                  <w:rPr>
                    <w:rFonts w:eastAsia="Calibri"/>
                    <w:szCs w:val="24"/>
                  </w:rPr>
                </w:pPr>
                <w:r>
                  <w:rPr>
                    <w:rFonts w:eastAsia="Calibri"/>
                    <w:szCs w:val="24"/>
                  </w:rPr>
                  <w:t>Žvairumas, H49, H50,</w:t>
                </w:r>
              </w:p>
              <w:p>
                <w:pPr>
                  <w:spacing w:line="276" w:lineRule="auto"/>
                  <w:rPr>
                    <w:rFonts w:eastAsia="Calibri"/>
                    <w:szCs w:val="24"/>
                  </w:rPr>
                </w:pPr>
                <w:r>
                  <w:rPr>
                    <w:rFonts w:eastAsia="Calibri"/>
                    <w:szCs w:val="24"/>
                  </w:rPr>
                  <w:t>Dvejinimasis (diplopija), H53.2,</w:t>
                </w:r>
              </w:p>
              <w:p>
                <w:pPr>
                  <w:spacing w:line="276" w:lineRule="auto"/>
                  <w:rPr>
                    <w:rFonts w:eastAsia="Calibri"/>
                    <w:szCs w:val="24"/>
                  </w:rPr>
                </w:pPr>
                <w:r>
                  <w:rPr>
                    <w:rFonts w:eastAsia="Calibri"/>
                    <w:szCs w:val="24"/>
                  </w:rPr>
                  <w:t>Aklumas naktį, H53.6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r>
                  <w:rPr>
                    <w:rFonts w:eastAsia="Calibri"/>
                    <w:color w:val="0000FF"/>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1.9.</w:t>
                </w:r>
              </w:p>
            </w:tc>
            <w:tc>
              <w:tcPr>
                <w:tcW w:w="2977" w:type="dxa"/>
              </w:tcPr>
              <w:p>
                <w:pPr>
                  <w:spacing w:line="276" w:lineRule="auto"/>
                  <w:rPr>
                    <w:rFonts w:eastAsia="Calibri"/>
                    <w:szCs w:val="24"/>
                  </w:rPr>
                </w:pPr>
                <w:r>
                  <w:rPr>
                    <w:rFonts w:eastAsia="Calibri"/>
                    <w:szCs w:val="24"/>
                  </w:rPr>
                  <w:t>Dirbtinė akis, Z97.0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2.</w:t>
                </w:r>
              </w:p>
            </w:tc>
            <w:tc>
              <w:tcPr>
                <w:tcW w:w="14140" w:type="dxa"/>
                <w:gridSpan w:val="4"/>
              </w:tcPr>
              <w:p>
                <w:pPr>
                  <w:spacing w:line="276" w:lineRule="auto"/>
                  <w:jc w:val="center"/>
                  <w:rPr>
                    <w:rFonts w:eastAsia="Calibri"/>
                    <w:szCs w:val="24"/>
                  </w:rPr>
                </w:pPr>
                <w:r>
                  <w:rPr>
                    <w:rFonts w:eastAsia="Calibri"/>
                    <w:b/>
                    <w:szCs w:val="24"/>
                  </w:rPr>
                  <w:t>KLAUSA BEI AUSIES IR SPENINĖS ATAUGOS LIGOS</w:t>
                </w:r>
              </w:p>
            </w:tc>
          </w:tr>
          <w:tr>
            <w:trPr>
              <w:trHeight w:val="1920"/>
            </w:trPr>
            <w:tc>
              <w:tcPr>
                <w:tcW w:w="816" w:type="dxa"/>
              </w:tcPr>
              <w:p>
                <w:pPr>
                  <w:spacing w:line="276" w:lineRule="auto"/>
                  <w:jc w:val="both"/>
                  <w:rPr>
                    <w:rFonts w:eastAsia="Calibri"/>
                    <w:szCs w:val="24"/>
                  </w:rPr>
                </w:pPr>
                <w:r>
                  <w:rPr>
                    <w:rFonts w:eastAsia="Calibri"/>
                    <w:szCs w:val="24"/>
                  </w:rPr>
                  <w:t>2.1.</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2801" w:type="dxa"/>
              </w:tcPr>
              <w:p>
                <w:pPr>
                  <w:spacing w:line="276" w:lineRule="auto"/>
                  <w:rPr>
                    <w:rFonts w:eastAsia="Calibri"/>
                    <w:szCs w:val="24"/>
                  </w:rPr>
                </w:pPr>
                <w:r>
                  <w:rPr>
                    <w:rFonts w:eastAsia="Calibri"/>
                    <w:szCs w:val="24"/>
                  </w:rPr>
                  <w:t>Tikrina gydytojas otorinolaringologas.</w:t>
                </w:r>
              </w:p>
            </w:tc>
          </w:tr>
          <w:tr>
            <w:tc>
              <w:tcPr>
                <w:tcW w:w="816" w:type="dxa"/>
              </w:tcPr>
              <w:p>
                <w:pPr>
                  <w:spacing w:line="276" w:lineRule="auto"/>
                  <w:jc w:val="both"/>
                  <w:rPr>
                    <w:rFonts w:eastAsia="Calibri"/>
                    <w:szCs w:val="24"/>
                  </w:rPr>
                </w:pPr>
                <w:r>
                  <w:rPr>
                    <w:rFonts w:eastAsia="Calibri"/>
                    <w:szCs w:val="24"/>
                  </w:rPr>
                  <w:t>2.2.</w:t>
                </w:r>
              </w:p>
            </w:tc>
            <w:tc>
              <w:tcPr>
                <w:tcW w:w="2977" w:type="dxa"/>
              </w:tcPr>
              <w:p>
                <w:pPr>
                  <w:spacing w:line="276" w:lineRule="auto"/>
                  <w:rPr>
                    <w:rFonts w:eastAsia="Calibri"/>
                    <w:szCs w:val="24"/>
                  </w:rPr>
                </w:pPr>
              </w:p>
              <w:p>
                <w:pPr>
                  <w:spacing w:line="276" w:lineRule="auto"/>
                  <w:rPr>
                    <w:rFonts w:eastAsia="Calibri"/>
                    <w:b/>
                    <w:i/>
                    <w:szCs w:val="24"/>
                    <w:u w:val="single"/>
                  </w:rPr>
                </w:pPr>
              </w:p>
            </w:tc>
            <w:tc>
              <w:tcPr>
                <w:tcW w:w="4110"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4252"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2801" w:type="dxa"/>
              </w:tcPr>
              <w:p>
                <w:pPr>
                  <w:spacing w:line="276" w:lineRule="auto"/>
                  <w:rPr>
                    <w:rFonts w:eastAsia="Calibri"/>
                    <w:szCs w:val="24"/>
                  </w:rPr>
                </w:pPr>
                <w:r>
                  <w:rPr>
                    <w:rFonts w:eastAsia="Calibri"/>
                    <w:color w:val="000000"/>
                    <w:szCs w:val="24"/>
                  </w:rPr>
                  <w:t>Narus, prieš juos įdarbinant, tiria gydytojas</w:t>
                </w:r>
                <w:r>
                  <w:rPr>
                    <w:rFonts w:eastAsia="Calibri"/>
                    <w:szCs w:val="24"/>
                  </w:rPr>
                  <w:t xml:space="preserve"> otorinolaringologas (vestibulinės funkcijos tyrimas, audiometrija), taip pat įvertinama baro funkcija, </w:t>
                </w:r>
                <w:r>
                  <w:rPr>
                    <w:rFonts w:eastAsia="Calibri"/>
                    <w:color w:val="000000"/>
                    <w:szCs w:val="24"/>
                  </w:rPr>
                  <w:t>atliekant bandymą baro kameroje.</w:t>
                </w:r>
                <w:r>
                  <w:rPr>
                    <w:rFonts w:eastAsia="Calibri"/>
                    <w:szCs w:val="24"/>
                  </w:rPr>
                  <w:t xml:space="preserve"> </w:t>
                </w:r>
              </w:p>
              <w:p>
                <w:pPr>
                  <w:spacing w:line="276" w:lineRule="auto"/>
                  <w:rPr>
                    <w:rFonts w:eastAsia="Calibri"/>
                    <w:szCs w:val="24"/>
                  </w:rPr>
                </w:pPr>
                <w:r>
                  <w:rPr>
                    <w:rFonts w:eastAsia="Calibri"/>
                    <w:szCs w:val="24"/>
                  </w:rPr>
                  <w:t>Esant indikacijų, tiriama išorinio kvėpavimo funkcija.</w:t>
                </w:r>
              </w:p>
            </w:tc>
          </w:tr>
          <w:tr>
            <w:trPr>
              <w:trHeight w:val="1038"/>
            </w:trPr>
            <w:tc>
              <w:tcPr>
                <w:tcW w:w="816" w:type="dxa"/>
              </w:tcPr>
              <w:p>
                <w:pPr>
                  <w:spacing w:line="276" w:lineRule="auto"/>
                  <w:jc w:val="both"/>
                  <w:rPr>
                    <w:rFonts w:eastAsia="Calibri"/>
                    <w:szCs w:val="24"/>
                  </w:rPr>
                </w:pPr>
                <w:r>
                  <w:rPr>
                    <w:rFonts w:eastAsia="Calibri"/>
                    <w:szCs w:val="24"/>
                  </w:rPr>
                  <w:t>2.3.</w:t>
                </w:r>
              </w:p>
            </w:tc>
            <w:tc>
              <w:tcPr>
                <w:tcW w:w="2977" w:type="dxa"/>
              </w:tcPr>
              <w:p>
                <w:pPr>
                  <w:spacing w:line="276" w:lineRule="auto"/>
                  <w:rPr>
                    <w:rFonts w:eastAsia="Calibri"/>
                    <w:szCs w:val="24"/>
                  </w:rPr>
                </w:pPr>
              </w:p>
            </w:tc>
            <w:tc>
              <w:tcPr>
                <w:tcW w:w="4110"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4252"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2801" w:type="dxa"/>
              </w:tcPr>
              <w:p>
                <w:pPr>
                  <w:spacing w:line="276" w:lineRule="auto"/>
                  <w:rPr>
                    <w:rFonts w:eastAsia="Calibri"/>
                    <w:szCs w:val="24"/>
                  </w:rPr>
                </w:pPr>
                <w:r>
                  <w:rPr>
                    <w:rFonts w:eastAsia="Calibri"/>
                    <w:szCs w:val="24"/>
                  </w:rPr>
                  <w:t>Naudoti klausos aparatus leidžiama tik laivo aptarnavimo tarnybos darbuotojams. Klausos aparatai turi būti aprūpinti baterijomis ir turi būti laikomi prieinamoje vietoje, jeigu miego metu būtų paskelbtas aliarmas.</w:t>
                </w:r>
              </w:p>
            </w:tc>
          </w:tr>
          <w:tr>
            <w:tc>
              <w:tcPr>
                <w:tcW w:w="816" w:type="dxa"/>
              </w:tcPr>
              <w:p>
                <w:pPr>
                  <w:spacing w:line="276" w:lineRule="auto"/>
                  <w:jc w:val="both"/>
                  <w:rPr>
                    <w:rFonts w:eastAsia="Calibri"/>
                    <w:szCs w:val="24"/>
                  </w:rPr>
                </w:pPr>
                <w:r>
                  <w:rPr>
                    <w:rFonts w:eastAsia="Calibri"/>
                    <w:szCs w:val="24"/>
                  </w:rPr>
                  <w:t>2.4.</w:t>
                </w:r>
              </w:p>
            </w:tc>
            <w:tc>
              <w:tcPr>
                <w:tcW w:w="2977" w:type="dxa"/>
              </w:tcPr>
              <w:p>
                <w:pPr>
                  <w:spacing w:line="276" w:lineRule="auto"/>
                  <w:rPr>
                    <w:rFonts w:eastAsia="Calibri"/>
                    <w:szCs w:val="24"/>
                  </w:rPr>
                </w:pPr>
                <w:r>
                  <w:rPr>
                    <w:rFonts w:eastAsia="Calibri"/>
                    <w:szCs w:val="24"/>
                  </w:rPr>
                  <w:t xml:space="preserve">Išorinės ir vidurinės ausies ligos, H60–H75 </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Sergant lėtiniu otitu ir esant ligos progresavimo rizikai,  sprendžiama individualiai po gydytojo otorinolaringologo konsultacijos. </w:t>
                </w:r>
              </w:p>
              <w:p>
                <w:pPr>
                  <w:spacing w:line="276" w:lineRule="auto"/>
                  <w:rPr>
                    <w:rFonts w:eastAsia="Calibri"/>
                    <w:szCs w:val="24"/>
                  </w:rPr>
                </w:pPr>
                <w:r>
                  <w:rPr>
                    <w:rFonts w:eastAsia="Calibri"/>
                    <w:szCs w:val="24"/>
                  </w:rPr>
                  <w:t xml:space="preserve">Nesant tikimybės, kad liga pasikartos, kai klausa atitinka girdėjimo standartus, visų grupių išgydyti asmenys gali dirbti jūrų </w:t>
                </w:r>
                <w:r>
                  <w:rPr>
                    <w:rFonts w:eastAsia="Calibri"/>
                    <w:color w:val="000000"/>
                    <w:szCs w:val="24"/>
                  </w:rPr>
                  <w:t>ir vidaus vandenų</w:t>
                </w:r>
                <w:r>
                  <w:rPr>
                    <w:rFonts w:eastAsia="Calibri"/>
                    <w:szCs w:val="24"/>
                  </w:rPr>
                  <w:t xml:space="preserve"> laivuose.</w:t>
                </w:r>
              </w:p>
            </w:tc>
          </w:tr>
          <w:tr>
            <w:tc>
              <w:tcPr>
                <w:tcW w:w="816" w:type="dxa"/>
              </w:tcPr>
              <w:p>
                <w:pPr>
                  <w:spacing w:line="276" w:lineRule="auto"/>
                  <w:jc w:val="both"/>
                  <w:rPr>
                    <w:rFonts w:eastAsia="Calibri"/>
                    <w:color w:val="000000"/>
                    <w:szCs w:val="24"/>
                  </w:rPr>
                </w:pPr>
                <w:r>
                  <w:rPr>
                    <w:rFonts w:eastAsia="Calibri"/>
                    <w:color w:val="000000"/>
                    <w:szCs w:val="24"/>
                  </w:rPr>
                  <w:t xml:space="preserve">2.5. </w:t>
                </w:r>
              </w:p>
            </w:tc>
            <w:tc>
              <w:tcPr>
                <w:tcW w:w="2977" w:type="dxa"/>
              </w:tcPr>
              <w:p>
                <w:pPr>
                  <w:spacing w:line="276" w:lineRule="auto"/>
                  <w:rPr>
                    <w:rFonts w:eastAsia="Calibri"/>
                    <w:color w:val="000000"/>
                    <w:szCs w:val="24"/>
                  </w:rPr>
                </w:pPr>
                <w:r>
                  <w:rPr>
                    <w:rFonts w:eastAsia="Calibri"/>
                    <w:color w:val="000000"/>
                    <w:szCs w:val="24"/>
                  </w:rPr>
                  <w:t>Vestibulinės funkcijos sutrikimai, H81</w:t>
                </w:r>
              </w:p>
              <w:p>
                <w:pPr>
                  <w:spacing w:line="276" w:lineRule="auto"/>
                  <w:rPr>
                    <w:rFonts w:eastAsia="Calibri"/>
                    <w:color w:val="000000"/>
                    <w:szCs w:val="24"/>
                  </w:rPr>
                </w:pPr>
                <w:r>
                  <w:rPr>
                    <w:rFonts w:eastAsia="Calibri"/>
                    <w:color w:val="000000"/>
                    <w:szCs w:val="24"/>
                  </w:rPr>
                  <w:t>Menjero liga, H81.0</w:t>
                </w:r>
              </w:p>
            </w:tc>
            <w:tc>
              <w:tcPr>
                <w:tcW w:w="4110" w:type="dxa"/>
              </w:tcPr>
              <w:p>
                <w:pPr>
                  <w:spacing w:line="276" w:lineRule="auto"/>
                  <w:jc w:val="both"/>
                  <w:rPr>
                    <w:rFonts w:eastAsia="Calibri"/>
                    <w:color w:val="000000"/>
                    <w:szCs w:val="24"/>
                  </w:rPr>
                </w:pPr>
                <w:r>
                  <w:rPr>
                    <w:rFonts w:eastAsia="Calibri"/>
                    <w:color w:val="000000"/>
                    <w:szCs w:val="24"/>
                  </w:rPr>
                  <w:t>Nė vienos profesinės grupės darbuotojai negali dirbti jūrų laive.</w:t>
                </w:r>
              </w:p>
            </w:tc>
            <w:tc>
              <w:tcPr>
                <w:tcW w:w="4252" w:type="dxa"/>
              </w:tcPr>
              <w:p>
                <w:pPr>
                  <w:spacing w:line="276" w:lineRule="auto"/>
                  <w:jc w:val="both"/>
                  <w:rPr>
                    <w:rFonts w:eastAsia="Calibri"/>
                    <w:color w:val="000000"/>
                    <w:szCs w:val="24"/>
                  </w:rPr>
                </w:pPr>
                <w:r>
                  <w:rPr>
                    <w:rFonts w:eastAsia="Calibri"/>
                    <w:color w:val="000000"/>
                    <w:szCs w:val="24"/>
                  </w:rPr>
                  <w:t>Nė vienos profesinės grupės darbuotojai 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color w:val="000000"/>
                    <w:szCs w:val="24"/>
                  </w:rPr>
                </w:pPr>
                <w:r>
                  <w:rPr>
                    <w:rFonts w:eastAsia="Calibri"/>
                    <w:color w:val="000000"/>
                    <w:szCs w:val="24"/>
                  </w:rPr>
                  <w:t>2.6.</w:t>
                </w:r>
              </w:p>
            </w:tc>
            <w:tc>
              <w:tcPr>
                <w:tcW w:w="2977" w:type="dxa"/>
              </w:tcPr>
              <w:p>
                <w:pPr>
                  <w:spacing w:line="276" w:lineRule="auto"/>
                  <w:rPr>
                    <w:rFonts w:eastAsia="Calibri"/>
                    <w:color w:val="000000"/>
                    <w:szCs w:val="24"/>
                  </w:rPr>
                </w:pPr>
                <w:r>
                  <w:rPr>
                    <w:rFonts w:eastAsia="Calibri"/>
                    <w:color w:val="000000"/>
                    <w:szCs w:val="24"/>
                  </w:rPr>
                  <w:t>Otosklerozė, H80</w:t>
                </w:r>
              </w:p>
              <w:p>
                <w:pPr>
                  <w:spacing w:line="276" w:lineRule="auto"/>
                  <w:rPr>
                    <w:rFonts w:eastAsia="Calibri"/>
                    <w:color w:val="000000"/>
                    <w:szCs w:val="24"/>
                  </w:rPr>
                </w:pPr>
                <w:r>
                  <w:rPr>
                    <w:rFonts w:eastAsia="Calibri"/>
                    <w:color w:val="000000"/>
                    <w:szCs w:val="24"/>
                  </w:rPr>
                  <w:t>Neurosensorinis prikurtimas, H90.3</w:t>
                </w:r>
              </w:p>
              <w:p>
                <w:pPr>
                  <w:spacing w:line="276" w:lineRule="auto"/>
                  <w:rPr>
                    <w:rFonts w:eastAsia="Calibri"/>
                    <w:color w:val="000000"/>
                    <w:szCs w:val="24"/>
                  </w:rPr>
                </w:pP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Po gydymo ir esant klausos standartų reikalavimų neatitikimų asmenys negali dirbti jūrų ir vidaus vandenų laivuose.</w:t>
                </w:r>
              </w:p>
            </w:tc>
          </w:tr>
          <w:tr>
            <w:tc>
              <w:tcPr>
                <w:tcW w:w="816" w:type="dxa"/>
              </w:tcPr>
              <w:p>
                <w:pPr>
                  <w:spacing w:line="276" w:lineRule="auto"/>
                  <w:jc w:val="both"/>
                  <w:rPr>
                    <w:rFonts w:eastAsia="Calibri"/>
                    <w:b/>
                    <w:szCs w:val="24"/>
                  </w:rPr>
                </w:pPr>
                <w:r>
                  <w:rPr>
                    <w:rFonts w:eastAsia="Calibri"/>
                    <w:b/>
                    <w:szCs w:val="24"/>
                  </w:rPr>
                  <w:t>3.</w:t>
                </w:r>
              </w:p>
            </w:tc>
            <w:tc>
              <w:tcPr>
                <w:tcW w:w="14140" w:type="dxa"/>
                <w:gridSpan w:val="4"/>
              </w:tcPr>
              <w:p>
                <w:pPr>
                  <w:spacing w:line="276" w:lineRule="auto"/>
                  <w:jc w:val="center"/>
                  <w:rPr>
                    <w:rFonts w:eastAsia="Calibri"/>
                    <w:color w:val="000000"/>
                    <w:szCs w:val="24"/>
                  </w:rPr>
                </w:pPr>
                <w:r>
                  <w:rPr>
                    <w:rFonts w:eastAsia="Calibri"/>
                    <w:b/>
                    <w:color w:val="000000"/>
                    <w:szCs w:val="24"/>
                  </w:rPr>
                  <w:t xml:space="preserve">KRAUJOTAKOS SISTEMOS LIGOS, ĮGIMTOS KRAUJO APYTAKOS SISTEMOS FORMAVIMOSI YDOS BEI GĖRYBINIAI ŠIRDIES NAVIKAI </w:t>
                </w:r>
              </w:p>
            </w:tc>
          </w:tr>
          <w:tr>
            <w:tc>
              <w:tcPr>
                <w:tcW w:w="816" w:type="dxa"/>
              </w:tcPr>
              <w:p>
                <w:pPr>
                  <w:spacing w:line="276" w:lineRule="auto"/>
                  <w:jc w:val="both"/>
                  <w:rPr>
                    <w:rFonts w:eastAsia="Calibri"/>
                    <w:szCs w:val="24"/>
                  </w:rPr>
                </w:pPr>
                <w:r>
                  <w:rPr>
                    <w:rFonts w:eastAsia="Calibri"/>
                    <w:szCs w:val="24"/>
                  </w:rPr>
                  <w:t>3.1.</w:t>
                </w:r>
              </w:p>
            </w:tc>
            <w:tc>
              <w:tcPr>
                <w:tcW w:w="2977" w:type="dxa"/>
              </w:tcPr>
              <w:p>
                <w:pPr>
                  <w:spacing w:line="276" w:lineRule="auto"/>
                  <w:rPr>
                    <w:rFonts w:eastAsia="Calibri"/>
                    <w:szCs w:val="24"/>
                  </w:rPr>
                </w:pPr>
                <w:r>
                  <w:rPr>
                    <w:rFonts w:eastAsia="Calibri"/>
                    <w:szCs w:val="24"/>
                  </w:rPr>
                  <w:t>Pirminė (esencialinė) hipertenzija, I10</w:t>
                </w:r>
              </w:p>
            </w:tc>
            <w:tc>
              <w:tcPr>
                <w:tcW w:w="4110" w:type="dxa"/>
              </w:tcPr>
              <w:p>
                <w:pPr>
                  <w:spacing w:line="276" w:lineRule="auto"/>
                  <w:rPr>
                    <w:rFonts w:eastAsia="Calibri"/>
                    <w:szCs w:val="24"/>
                  </w:rPr>
                </w:pPr>
                <w:r>
                  <w:rPr>
                    <w:rFonts w:eastAsia="Calibri"/>
                    <w:szCs w:val="24"/>
                  </w:rPr>
                  <w:t>Jeigu sistolinis kraujo spaudimas mažesnis kaip 160 ar diastolinis mažesnis kaip 100 mm/Hg po gydymo vaistiniais preparatais, visų profesinių grupių asmenys gali dirbti jūrų laive.</w:t>
                </w:r>
              </w:p>
              <w:p>
                <w:pPr>
                  <w:spacing w:line="276" w:lineRule="auto"/>
                  <w:rPr>
                    <w:rFonts w:eastAsia="Calibri"/>
                    <w:szCs w:val="24"/>
                  </w:rPr>
                </w:pPr>
                <w:r>
                  <w:rPr>
                    <w:rFonts w:eastAsia="Calibri"/>
                    <w:szCs w:val="24"/>
                  </w:rPr>
                  <w:t>Jeigu sistolinis kraujo spaudimas didesnis kaip 160 ar diastolinis didesnis kaip 100 mm/Hg ir šie rodikliai nekinta tiek gydant, tiek negydant, nė vienos profesinės grupės asmenys negali dirbti jūrų laive.</w:t>
                </w:r>
              </w:p>
            </w:tc>
            <w:tc>
              <w:tcPr>
                <w:tcW w:w="4252" w:type="dxa"/>
              </w:tcPr>
              <w:p>
                <w:pPr>
                  <w:spacing w:line="276" w:lineRule="auto"/>
                  <w:rPr>
                    <w:rFonts w:eastAsia="Calibri"/>
                    <w:szCs w:val="24"/>
                  </w:rPr>
                </w:pPr>
                <w:r>
                  <w:rPr>
                    <w:rFonts w:eastAsia="Calibri"/>
                    <w:szCs w:val="24"/>
                  </w:rPr>
                  <w:t>Jeigu sistolinis kraujo spaudimas mažesnis kaip160 ar diastolinis mažesnis kaip 100 mm/Hg po gydymo vaistiniais preparatais, visų profesinių grupių asmenys</w:t>
                </w:r>
                <w:r>
                  <w:rPr>
                    <w:rFonts w:eastAsia="Calibri"/>
                    <w:color w:val="000000"/>
                    <w:szCs w:val="24"/>
                  </w:rPr>
                  <w:t xml:space="preserve"> g</w:t>
                </w:r>
                <w:r>
                  <w:rPr>
                    <w:rFonts w:eastAsia="Calibri"/>
                    <w:szCs w:val="24"/>
                  </w:rPr>
                  <w:t>ali dirbti vidaus vandenų laive.</w:t>
                </w:r>
              </w:p>
              <w:p>
                <w:pPr>
                  <w:spacing w:line="276" w:lineRule="auto"/>
                  <w:rPr>
                    <w:rFonts w:eastAsia="Calibri"/>
                    <w:szCs w:val="24"/>
                  </w:rPr>
                </w:pPr>
                <w:r>
                  <w:rPr>
                    <w:rFonts w:eastAsia="Calibri"/>
                    <w:szCs w:val="24"/>
                  </w:rPr>
                  <w:t>Jeigu sistolinis kraujo spaudimas didesnis kaip 160 ar diastolinis didesnis kaip100 mm/Hg ir šie rodikliai nekinta tiek gydant, tiek negydant, nė vienos profesinės grupės asmenys negali dirbti vidaus vandenų laive.</w:t>
                </w:r>
              </w:p>
            </w:tc>
            <w:tc>
              <w:tcPr>
                <w:tcW w:w="2801" w:type="dxa"/>
              </w:tcPr>
              <w:p>
                <w:pPr>
                  <w:spacing w:line="276" w:lineRule="auto"/>
                  <w:rPr>
                    <w:rFonts w:eastAsia="Calibri"/>
                    <w:szCs w:val="24"/>
                  </w:rPr>
                </w:pPr>
                <w:r>
                  <w:rPr>
                    <w:rFonts w:eastAsia="Calibri"/>
                    <w:color w:val="000000"/>
                    <w:szCs w:val="24"/>
                  </w:rPr>
                  <w:t>Gydytojo kardiologo</w:t>
                </w:r>
                <w:r>
                  <w:rPr>
                    <w:rFonts w:eastAsia="Calibri"/>
                    <w:szCs w:val="24"/>
                  </w:rPr>
                  <w:t xml:space="preserve"> konsultacija kas 12 mėnesių.</w:t>
                </w:r>
              </w:p>
            </w:tc>
          </w:tr>
          <w:tr>
            <w:tc>
              <w:tcPr>
                <w:tcW w:w="816" w:type="dxa"/>
              </w:tcPr>
              <w:p>
                <w:pPr>
                  <w:spacing w:line="276" w:lineRule="auto"/>
                  <w:jc w:val="both"/>
                  <w:rPr>
                    <w:rFonts w:eastAsia="Calibri"/>
                    <w:szCs w:val="24"/>
                  </w:rPr>
                </w:pPr>
                <w:r>
                  <w:rPr>
                    <w:rFonts w:eastAsia="Calibri"/>
                    <w:szCs w:val="24"/>
                  </w:rPr>
                  <w:t>3.2.</w:t>
                </w:r>
              </w:p>
            </w:tc>
            <w:tc>
              <w:tcPr>
                <w:tcW w:w="2977" w:type="dxa"/>
              </w:tcPr>
              <w:p>
                <w:pPr>
                  <w:spacing w:line="276" w:lineRule="auto"/>
                  <w:rPr>
                    <w:rFonts w:eastAsia="Calibri"/>
                    <w:szCs w:val="24"/>
                  </w:rPr>
                </w:pPr>
                <w:r>
                  <w:rPr>
                    <w:rFonts w:eastAsia="Calibri"/>
                    <w:szCs w:val="24"/>
                  </w:rPr>
                  <w:t xml:space="preserve">Krūtinės angina, I20 </w:t>
                </w:r>
              </w:p>
            </w:tc>
            <w:tc>
              <w:tcPr>
                <w:tcW w:w="4110" w:type="dxa"/>
              </w:tcPr>
              <w:p>
                <w:pPr>
                  <w:spacing w:line="276" w:lineRule="auto"/>
                  <w:rPr>
                    <w:rFonts w:eastAsia="Calibri"/>
                    <w:szCs w:val="24"/>
                  </w:rPr>
                </w:pPr>
                <w:r>
                  <w:rPr>
                    <w:rFonts w:eastAsia="Calibri"/>
                    <w:color w:val="000000"/>
                    <w:szCs w:val="24"/>
                  </w:rPr>
                  <w:t>Dėl galimybės visų profesinių grupių asmenims dirbti jūrų laive sprendžiama individualiai po gydytojo kardiologo konsultacijos.</w:t>
                </w:r>
              </w:p>
            </w:tc>
            <w:tc>
              <w:tcPr>
                <w:tcW w:w="4252" w:type="dxa"/>
              </w:tcPr>
              <w:p>
                <w:pPr>
                  <w:spacing w:line="276" w:lineRule="auto"/>
                  <w:rPr>
                    <w:rFonts w:eastAsia="Calibri"/>
                    <w:szCs w:val="24"/>
                  </w:rPr>
                </w:pPr>
                <w:r>
                  <w:rPr>
                    <w:rFonts w:eastAsia="Calibri"/>
                    <w:szCs w:val="24"/>
                  </w:rPr>
                  <w:t xml:space="preserve">Dėl galimybės </w:t>
                </w:r>
                <w:r>
                  <w:rPr>
                    <w:rFonts w:eastAsia="Calibri"/>
                    <w:color w:val="000000"/>
                    <w:szCs w:val="24"/>
                  </w:rPr>
                  <w:t>visų profesinių</w:t>
                </w:r>
                <w:r>
                  <w:rPr>
                    <w:rFonts w:eastAsia="Calibri"/>
                    <w:szCs w:val="24"/>
                  </w:rPr>
                  <w:t xml:space="preserve"> grupių asmenims dirbti </w:t>
                </w:r>
                <w:r>
                  <w:rPr>
                    <w:rFonts w:eastAsia="Calibri"/>
                    <w:color w:val="000000"/>
                    <w:szCs w:val="24"/>
                  </w:rPr>
                  <w:t>vidaus vandenų laive sprendžiama individualiai po gydytojo kardiologo konsultacijos</w:t>
                </w:r>
                <w:r>
                  <w:rPr>
                    <w:rFonts w:eastAsia="Calibri"/>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3.3.</w:t>
                </w:r>
              </w:p>
            </w:tc>
            <w:tc>
              <w:tcPr>
                <w:tcW w:w="2977" w:type="dxa"/>
              </w:tcPr>
              <w:p>
                <w:pPr>
                  <w:spacing w:line="276" w:lineRule="auto"/>
                  <w:rPr>
                    <w:rFonts w:eastAsia="Calibri"/>
                    <w:szCs w:val="24"/>
                  </w:rPr>
                </w:pPr>
                <w:r>
                  <w:rPr>
                    <w:rFonts w:eastAsia="Calibri"/>
                    <w:szCs w:val="24"/>
                  </w:rPr>
                  <w:t xml:space="preserve">Ūminis miokardo infarktas, I21 </w:t>
                </w:r>
              </w:p>
            </w:tc>
            <w:tc>
              <w:tcPr>
                <w:tcW w:w="4110" w:type="dxa"/>
              </w:tcPr>
              <w:p>
                <w:pPr>
                  <w:spacing w:line="276" w:lineRule="auto"/>
                  <w:rPr>
                    <w:rFonts w:eastAsia="Calibri"/>
                    <w:szCs w:val="24"/>
                  </w:rPr>
                </w:pPr>
                <w:r>
                  <w:rPr>
                    <w:rFonts w:eastAsia="Calibri"/>
                    <w:szCs w:val="24"/>
                  </w:rPr>
                  <w:t xml:space="preserve">Dėl galimybės dirbti jūrų laive sprendžiama individualiai, bet ne anksčiau kaip po 6 </w:t>
                </w:r>
                <w:r>
                  <w:rPr>
                    <w:rFonts w:eastAsia="Calibri"/>
                    <w:color w:val="000000"/>
                    <w:szCs w:val="24"/>
                  </w:rPr>
                  <w:t>mėnesių, po gydytojo kardiologo</w:t>
                </w:r>
                <w:r>
                  <w:rPr>
                    <w:rFonts w:eastAsia="Calibri"/>
                    <w:szCs w:val="24"/>
                  </w:rPr>
                  <w:t xml:space="preserve"> konsultacijos.</w:t>
                </w:r>
              </w:p>
            </w:tc>
            <w:tc>
              <w:tcPr>
                <w:tcW w:w="4252" w:type="dxa"/>
              </w:tcPr>
              <w:p>
                <w:pPr>
                  <w:spacing w:line="276" w:lineRule="auto"/>
                  <w:rPr>
                    <w:rFonts w:eastAsia="Calibri"/>
                    <w:szCs w:val="24"/>
                  </w:rPr>
                </w:pPr>
                <w:r>
                  <w:rPr>
                    <w:rFonts w:eastAsia="Calibri"/>
                    <w:szCs w:val="24"/>
                  </w:rPr>
                  <w:t xml:space="preserve">Dėl galimybės dirbti vidaus vandenų laive sprendžiama </w:t>
                </w:r>
                <w:r>
                  <w:rPr>
                    <w:rFonts w:eastAsia="Calibri"/>
                    <w:color w:val="000000"/>
                    <w:szCs w:val="24"/>
                  </w:rPr>
                  <w:t xml:space="preserve">individualiai po 4 </w:t>
                </w:r>
                <w:r>
                  <w:rPr>
                    <w:rFonts w:eastAsia="Calibri"/>
                    <w:szCs w:val="24"/>
                  </w:rPr>
                  <w:t xml:space="preserve"> </w:t>
                </w:r>
                <w:r>
                  <w:rPr>
                    <w:rFonts w:eastAsia="Calibri"/>
                    <w:color w:val="000000"/>
                    <w:szCs w:val="24"/>
                  </w:rPr>
                  <w:t xml:space="preserve">mėnesių, po gydytojo kardiologo konsultacijos. </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3.4.</w:t>
                </w:r>
              </w:p>
            </w:tc>
            <w:tc>
              <w:tcPr>
                <w:tcW w:w="2977" w:type="dxa"/>
              </w:tcPr>
              <w:p>
                <w:pPr>
                  <w:spacing w:line="276" w:lineRule="auto"/>
                  <w:rPr>
                    <w:rFonts w:eastAsia="Calibri"/>
                    <w:szCs w:val="24"/>
                  </w:rPr>
                </w:pPr>
                <w:r>
                  <w:rPr>
                    <w:rFonts w:eastAsia="Calibri"/>
                    <w:szCs w:val="24"/>
                  </w:rPr>
                  <w:t>Plaučių embolija, I26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Dėl galimybės dirbti vidaus vandenų laive</w:t>
                </w:r>
                <w:r>
                  <w:rPr>
                    <w:rFonts w:eastAsia="Calibri"/>
                    <w:color w:val="000000"/>
                    <w:szCs w:val="24"/>
                  </w:rPr>
                  <w:t xml:space="preserve"> sprendžiama individualiai, esant 6 mėnesių ligos remisijai,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3.5.</w:t>
                </w:r>
              </w:p>
            </w:tc>
            <w:tc>
              <w:tcPr>
                <w:tcW w:w="2977" w:type="dxa"/>
              </w:tcPr>
              <w:p>
                <w:pPr>
                  <w:spacing w:line="276" w:lineRule="auto"/>
                  <w:rPr>
                    <w:rFonts w:eastAsia="Calibri"/>
                    <w:szCs w:val="24"/>
                  </w:rPr>
                </w:pPr>
                <w:r>
                  <w:rPr>
                    <w:rFonts w:eastAsia="Calibri"/>
                    <w:szCs w:val="24"/>
                  </w:rPr>
                  <w:t xml:space="preserve">Kitos širdies ligos (Perikarditas, I30.0– I32.8 Mitralinio vožtuvo prolapsas, I34.1 </w:t>
                </w:r>
              </w:p>
              <w:p>
                <w:pPr>
                  <w:spacing w:line="276" w:lineRule="auto"/>
                  <w:rPr>
                    <w:rFonts w:eastAsia="Calibri"/>
                    <w:szCs w:val="24"/>
                  </w:rPr>
                </w:pPr>
                <w:r>
                  <w:rPr>
                    <w:rFonts w:eastAsia="Calibri"/>
                    <w:szCs w:val="24"/>
                  </w:rPr>
                  <w:t>Miokarditas, I40.0–I41.8 Kardiomiopatija, I42–I43 ir kt.)</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galimybės dirbti jūrų ir vidaus vandenų laivuose sprendžiama individualiai po gydytojo kardiologo konsultacijos.</w:t>
                </w:r>
              </w:p>
            </w:tc>
          </w:tr>
          <w:tr>
            <w:tc>
              <w:tcPr>
                <w:tcW w:w="816" w:type="dxa"/>
              </w:tcPr>
              <w:p>
                <w:pPr>
                  <w:spacing w:line="276" w:lineRule="auto"/>
                  <w:jc w:val="both"/>
                  <w:rPr>
                    <w:rFonts w:eastAsia="Calibri"/>
                    <w:szCs w:val="24"/>
                  </w:rPr>
                </w:pPr>
                <w:r>
                  <w:rPr>
                    <w:rFonts w:eastAsia="Calibri"/>
                    <w:szCs w:val="24"/>
                  </w:rPr>
                  <w:t>3.6.</w:t>
                </w:r>
              </w:p>
            </w:tc>
            <w:tc>
              <w:tcPr>
                <w:tcW w:w="2977" w:type="dxa"/>
              </w:tcPr>
              <w:p>
                <w:pPr>
                  <w:spacing w:line="276" w:lineRule="auto"/>
                  <w:rPr>
                    <w:rFonts w:eastAsia="Calibri"/>
                    <w:szCs w:val="24"/>
                  </w:rPr>
                </w:pPr>
                <w:r>
                  <w:rPr>
                    <w:rFonts w:eastAsia="Calibri"/>
                    <w:szCs w:val="24"/>
                  </w:rPr>
                  <w:t>Širdies laidumo sutrikimai, atrioventrikulinė (toliau – AV) I–III</w:t>
                </w:r>
                <w:r>
                  <w:rPr>
                    <w:rFonts w:eastAsia="Calibri"/>
                    <w:szCs w:val="24"/>
                    <w:vertAlign w:val="superscript"/>
                  </w:rPr>
                  <w:t xml:space="preserve"> </w:t>
                </w:r>
                <w:r>
                  <w:rPr>
                    <w:rFonts w:eastAsia="Calibri"/>
                    <w:szCs w:val="24"/>
                  </w:rPr>
                  <w:t xml:space="preserve">laipsnio blokada, </w:t>
                </w:r>
              </w:p>
              <w:p>
                <w:pPr>
                  <w:spacing w:line="276" w:lineRule="auto"/>
                  <w:rPr>
                    <w:rFonts w:eastAsia="Calibri"/>
                    <w:szCs w:val="24"/>
                  </w:rPr>
                </w:pPr>
                <w:r>
                  <w:rPr>
                    <w:rFonts w:eastAsia="Calibri"/>
                    <w:szCs w:val="24"/>
                  </w:rPr>
                  <w:t>I44.0–I44.3</w:t>
                </w:r>
              </w:p>
            </w:tc>
            <w:tc>
              <w:tcPr>
                <w:tcW w:w="4110" w:type="dxa"/>
              </w:tcPr>
              <w:p>
                <w:pPr>
                  <w:spacing w:line="276" w:lineRule="auto"/>
                  <w:rPr>
                    <w:rFonts w:eastAsia="Calibri"/>
                    <w:szCs w:val="24"/>
                  </w:rPr>
                </w:pPr>
                <w:r>
                  <w:rPr>
                    <w:rFonts w:eastAsia="Calibri"/>
                    <w:szCs w:val="24"/>
                  </w:rPr>
                  <w:t xml:space="preserve">Nė vienos profesinės grupės darbuotojai </w:t>
                </w:r>
                <w:r>
                  <w:rPr>
                    <w:rFonts w:eastAsia="Calibri"/>
                    <w:color w:val="000000"/>
                    <w:szCs w:val="24"/>
                  </w:rPr>
                  <w:t>n</w:t>
                </w:r>
                <w:r>
                  <w:rPr>
                    <w:rFonts w:eastAsia="Calibri"/>
                    <w:szCs w:val="24"/>
                  </w:rPr>
                  <w:t xml:space="preserve">egali dirbti jūrų laive, esant III  laipsnio AV blokadai.</w:t>
                </w:r>
              </w:p>
            </w:tc>
            <w:tc>
              <w:tcPr>
                <w:tcW w:w="4252" w:type="dxa"/>
              </w:tcPr>
              <w:p>
                <w:pPr>
                  <w:spacing w:line="276" w:lineRule="auto"/>
                  <w:rPr>
                    <w:rFonts w:eastAsia="Calibri"/>
                    <w:szCs w:val="24"/>
                  </w:rPr>
                </w:pPr>
                <w:r>
                  <w:rPr>
                    <w:rFonts w:eastAsia="Calibri"/>
                    <w:szCs w:val="24"/>
                  </w:rPr>
                  <w:t>Nė vienos profesinės grupės darbuotojai negali dirbti vidaus vandenų laive, esant III</w:t>
                </w:r>
                <w:r>
                  <w:rPr>
                    <w:rFonts w:eastAsia="Calibri"/>
                    <w:szCs w:val="24"/>
                    <w:vertAlign w:val="superscript"/>
                  </w:rPr>
                  <w:t xml:space="preserve"> </w:t>
                </w:r>
                <w:r>
                  <w:rPr>
                    <w:rFonts w:eastAsia="Calibri"/>
                    <w:szCs w:val="24"/>
                  </w:rPr>
                  <w:t>laipsnio AV blokadai.</w:t>
                </w:r>
              </w:p>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I–II</w:t>
                </w:r>
                <w:r>
                  <w:rPr>
                    <w:rFonts w:eastAsia="Calibri"/>
                    <w:szCs w:val="24"/>
                    <w:vertAlign w:val="superscript"/>
                  </w:rPr>
                  <w:t xml:space="preserve"> </w:t>
                </w:r>
                <w:r>
                  <w:rPr>
                    <w:rFonts w:eastAsia="Calibri"/>
                    <w:szCs w:val="24"/>
                  </w:rPr>
                  <w:t>laipsnio</w:t>
                </w:r>
                <w:r>
                  <w:rPr>
                    <w:rFonts w:eastAsia="Calibri"/>
                    <w:szCs w:val="24"/>
                    <w:vertAlign w:val="superscript"/>
                  </w:rPr>
                  <w:t xml:space="preserve"> </w:t>
                </w:r>
                <w:r>
                  <w:rPr>
                    <w:rFonts w:eastAsia="Calibri"/>
                    <w:szCs w:val="24"/>
                  </w:rPr>
                  <w:t xml:space="preserve">AV blokadai dėl galimybės dirbti jūrų ir vidaus vandenų laivuose spendžiama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3.7.</w:t>
                </w:r>
              </w:p>
            </w:tc>
            <w:tc>
              <w:tcPr>
                <w:tcW w:w="2977" w:type="dxa"/>
              </w:tcPr>
              <w:p>
                <w:pPr>
                  <w:spacing w:line="276" w:lineRule="auto"/>
                  <w:rPr>
                    <w:rFonts w:eastAsia="Calibri"/>
                    <w:szCs w:val="24"/>
                  </w:rPr>
                </w:pPr>
                <w:r>
                  <w:rPr>
                    <w:rFonts w:eastAsia="Calibri"/>
                    <w:szCs w:val="24"/>
                  </w:rPr>
                  <w:t>Bet kurios Hiso pluošto kojytės blokada, I45.0–I45.5 WPW sindromas, I45.6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galimybės dirbti jūrų ir vidaus vandenų laivuose sprendžiama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3.8.</w:t>
                </w:r>
              </w:p>
            </w:tc>
            <w:tc>
              <w:tcPr>
                <w:tcW w:w="2977" w:type="dxa"/>
              </w:tcPr>
              <w:p>
                <w:pPr>
                  <w:spacing w:line="276" w:lineRule="auto"/>
                  <w:rPr>
                    <w:rFonts w:eastAsia="Calibri"/>
                    <w:szCs w:val="24"/>
                  </w:rPr>
                </w:pPr>
                <w:r>
                  <w:rPr>
                    <w:rFonts w:eastAsia="Calibri"/>
                    <w:szCs w:val="24"/>
                  </w:rPr>
                  <w:t>Supraventrikulinė tachikardija, I47.1</w:t>
                </w:r>
              </w:p>
              <w:p>
                <w:pPr>
                  <w:spacing w:line="276" w:lineRule="auto"/>
                  <w:rPr>
                    <w:rFonts w:eastAsia="Calibri"/>
                    <w:szCs w:val="24"/>
                  </w:rPr>
                </w:pPr>
                <w:r>
                  <w:rPr>
                    <w:rFonts w:eastAsia="Calibri"/>
                    <w:szCs w:val="24"/>
                  </w:rPr>
                  <w:t>Skilvelinė tachikardija, I47.2</w:t>
                </w:r>
              </w:p>
              <w:p>
                <w:pPr>
                  <w:spacing w:line="276" w:lineRule="auto"/>
                  <w:rPr>
                    <w:rFonts w:eastAsia="Calibri"/>
                    <w:szCs w:val="24"/>
                  </w:rPr>
                </w:pPr>
                <w:r>
                  <w:rPr>
                    <w:rFonts w:eastAsia="Calibri"/>
                    <w:szCs w:val="24"/>
                  </w:rPr>
                  <w:t>Paroksizminė tachikardija,</w:t>
                </w:r>
              </w:p>
              <w:p>
                <w:pPr>
                  <w:spacing w:line="276" w:lineRule="auto"/>
                  <w:rPr>
                    <w:rFonts w:eastAsia="Calibri"/>
                    <w:szCs w:val="24"/>
                  </w:rPr>
                </w:pPr>
                <w:r>
                  <w:rPr>
                    <w:rFonts w:eastAsia="Calibri"/>
                    <w:szCs w:val="24"/>
                  </w:rPr>
                  <w:t xml:space="preserve">I47.9 </w:t>
                </w:r>
              </w:p>
            </w:tc>
            <w:tc>
              <w:tcPr>
                <w:tcW w:w="4110" w:type="dxa"/>
              </w:tcPr>
              <w:p>
                <w:pPr>
                  <w:spacing w:line="276" w:lineRule="auto"/>
                  <w:rPr>
                    <w:rFonts w:eastAsia="Calibri"/>
                    <w:color w:val="000000"/>
                    <w:szCs w:val="24"/>
                  </w:rPr>
                </w:pPr>
                <w:r>
                  <w:rPr>
                    <w:rFonts w:eastAsia="Calibri"/>
                    <w:szCs w:val="24"/>
                  </w:rPr>
                  <w:t>Nė vienos profesinės grupės darbuotojai negali dirbti jūrų laive.</w:t>
                </w:r>
              </w:p>
            </w:tc>
            <w:tc>
              <w:tcPr>
                <w:tcW w:w="4252" w:type="dxa"/>
              </w:tcPr>
              <w:p>
                <w:pPr>
                  <w:spacing w:line="276" w:lineRule="auto"/>
                  <w:rPr>
                    <w:rFonts w:eastAsia="Calibri"/>
                    <w:color w:val="000000"/>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Po širdies ritmo korekcijos (radiodažninė abliacija) dėl tinkamumo dirbti jūrų ir vidaus vandenų laivuose sprendžiama individualiai, praėjus 6 mėnesiams </w:t>
                </w:r>
                <w:r>
                  <w:rPr>
                    <w:rFonts w:eastAsia="Calibri"/>
                    <w:color w:val="000000"/>
                    <w:szCs w:val="24"/>
                  </w:rPr>
                  <w:t>nuo operacijos, po gydytojo</w:t>
                </w:r>
                <w:r>
                  <w:rPr>
                    <w:rFonts w:eastAsia="Calibri"/>
                    <w:color w:val="0000FF"/>
                    <w:szCs w:val="24"/>
                  </w:rPr>
                  <w:t xml:space="preserve"> </w:t>
                </w:r>
                <w:r>
                  <w:rPr>
                    <w:rFonts w:eastAsia="Calibri"/>
                    <w:szCs w:val="24"/>
                  </w:rPr>
                  <w:t>kardiologo konsultacijos.</w:t>
                </w:r>
              </w:p>
            </w:tc>
          </w:tr>
          <w:tr>
            <w:tc>
              <w:tcPr>
                <w:tcW w:w="816" w:type="dxa"/>
              </w:tcPr>
              <w:p>
                <w:pPr>
                  <w:spacing w:line="276" w:lineRule="auto"/>
                  <w:jc w:val="both"/>
                  <w:rPr>
                    <w:rFonts w:eastAsia="Calibri"/>
                    <w:szCs w:val="24"/>
                  </w:rPr>
                </w:pPr>
                <w:r>
                  <w:rPr>
                    <w:rFonts w:eastAsia="Calibri"/>
                    <w:szCs w:val="24"/>
                  </w:rPr>
                  <w:t>3.9.</w:t>
                </w:r>
              </w:p>
            </w:tc>
            <w:tc>
              <w:tcPr>
                <w:tcW w:w="2977" w:type="dxa"/>
              </w:tcPr>
              <w:p>
                <w:pPr>
                  <w:spacing w:line="276" w:lineRule="auto"/>
                  <w:rPr>
                    <w:rFonts w:eastAsia="Calibri"/>
                    <w:szCs w:val="24"/>
                  </w:rPr>
                </w:pPr>
                <w:r>
                  <w:rPr>
                    <w:rFonts w:eastAsia="Calibri"/>
                    <w:szCs w:val="24"/>
                  </w:rPr>
                  <w:t>Prieširdžių virpėjimas ir prieširdžių plazdėjimas, I48</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6 mėnesiams po širdies ritmo atkūrimo, po gydytojo kardiologo konsultacijos.</w:t>
                </w:r>
              </w:p>
              <w:p>
                <w:pPr>
                  <w:spacing w:line="276" w:lineRule="auto"/>
                  <w:rPr>
                    <w:rFonts w:eastAsia="Calibri"/>
                    <w:szCs w:val="24"/>
                  </w:rPr>
                </w:pPr>
                <w:r>
                  <w:rPr>
                    <w:rFonts w:eastAsia="Calibri"/>
                    <w:color w:val="000000"/>
                    <w:szCs w:val="24"/>
                  </w:rPr>
                  <w:t xml:space="preserve">Esant lėtiniam </w:t>
                </w:r>
                <w:r>
                  <w:rPr>
                    <w:rFonts w:eastAsia="Calibri"/>
                    <w:szCs w:val="24"/>
                  </w:rPr>
                  <w:t>prieširdžių virpėjimui ar plazdėjimui nė vienos profesinės grupės darbuotojai negali dirbti jūrų laive.</w:t>
                </w:r>
              </w:p>
            </w:tc>
            <w:tc>
              <w:tcPr>
                <w:tcW w:w="4252" w:type="dxa"/>
              </w:tcPr>
              <w:p>
                <w:pPr>
                  <w:spacing w:line="276" w:lineRule="auto"/>
                  <w:rPr>
                    <w:rFonts w:eastAsia="Calibri"/>
                    <w:szCs w:val="24"/>
                  </w:rPr>
                </w:pPr>
                <w:r>
                  <w:rPr>
                    <w:rFonts w:eastAsia="Calibri"/>
                    <w:color w:val="000000"/>
                    <w:szCs w:val="24"/>
                  </w:rPr>
                  <w:t xml:space="preserve">Dėl galimybės dirbti vidaus vandenų laive sprendžiama individualiai, praėjus 3 mėnesiams po širdies ritmo atkūrimo, po gydytojo kardiologo konsultacijos. Esant lėtiniam </w:t>
                </w:r>
                <w:r>
                  <w:rPr>
                    <w:rFonts w:eastAsia="Calibri"/>
                    <w:szCs w:val="24"/>
                  </w:rPr>
                  <w:t xml:space="preserve">prieširdžių virpėjimui ar plazdėjimui visų profesinių grupių darbuotojai  gali dirbti vidaus vandenų laive po gydytojo kardiologo konsultacijos.</w:t>
                </w:r>
              </w:p>
            </w:tc>
            <w:tc>
              <w:tcPr>
                <w:tcW w:w="2801" w:type="dxa"/>
              </w:tcPr>
              <w:p>
                <w:pPr>
                  <w:spacing w:line="276" w:lineRule="auto"/>
                  <w:rPr>
                    <w:rFonts w:eastAsia="Calibri"/>
                    <w:szCs w:val="24"/>
                  </w:rPr>
                </w:pPr>
                <w:r>
                  <w:rPr>
                    <w:rFonts w:eastAsia="Calibri"/>
                    <w:szCs w:val="24"/>
                  </w:rPr>
                  <w:t>Gydytojo kardiologo konsultacija kas 12 mėnesių.</w:t>
                </w:r>
              </w:p>
            </w:tc>
          </w:tr>
          <w:tr>
            <w:tc>
              <w:tcPr>
                <w:tcW w:w="816" w:type="dxa"/>
              </w:tcPr>
              <w:p>
                <w:pPr>
                  <w:spacing w:line="276" w:lineRule="auto"/>
                  <w:jc w:val="both"/>
                  <w:rPr>
                    <w:rFonts w:eastAsia="Calibri"/>
                    <w:szCs w:val="24"/>
                  </w:rPr>
                </w:pPr>
                <w:r>
                  <w:rPr>
                    <w:rFonts w:eastAsia="Calibri"/>
                    <w:szCs w:val="24"/>
                  </w:rPr>
                  <w:t>3.10.</w:t>
                </w:r>
              </w:p>
            </w:tc>
            <w:tc>
              <w:tcPr>
                <w:tcW w:w="2977" w:type="dxa"/>
              </w:tcPr>
              <w:p>
                <w:pPr>
                  <w:spacing w:line="276" w:lineRule="auto"/>
                  <w:rPr>
                    <w:rFonts w:eastAsia="Calibri"/>
                    <w:szCs w:val="24"/>
                  </w:rPr>
                </w:pPr>
                <w:r>
                  <w:rPr>
                    <w:rFonts w:eastAsia="Calibri"/>
                    <w:szCs w:val="24"/>
                  </w:rPr>
                  <w:t xml:space="preserve">Širdies nepakankamumas, </w:t>
                </w:r>
              </w:p>
              <w:p>
                <w:pPr>
                  <w:spacing w:line="276" w:lineRule="auto"/>
                  <w:rPr>
                    <w:rFonts w:eastAsia="Calibri"/>
                    <w:szCs w:val="24"/>
                  </w:rPr>
                </w:pPr>
                <w:r>
                  <w:rPr>
                    <w:rFonts w:eastAsia="Calibri"/>
                    <w:szCs w:val="24"/>
                  </w:rPr>
                  <w:t>I50</w:t>
                </w:r>
              </w:p>
            </w:tc>
            <w:tc>
              <w:tcPr>
                <w:tcW w:w="4110"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jūrų laive.</w:t>
                </w:r>
              </w:p>
            </w:tc>
            <w:tc>
              <w:tcPr>
                <w:tcW w:w="4252"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vidaus vandenų laive.</w:t>
                </w:r>
              </w:p>
            </w:tc>
            <w:tc>
              <w:tcPr>
                <w:tcW w:w="2801" w:type="dxa"/>
              </w:tcPr>
              <w:p>
                <w:pPr>
                  <w:spacing w:line="276" w:lineRule="auto"/>
                  <w:rPr>
                    <w:rFonts w:eastAsia="Calibri"/>
                    <w:szCs w:val="24"/>
                  </w:rPr>
                </w:pPr>
                <w:r>
                  <w:rPr>
                    <w:rFonts w:eastAsia="Calibri"/>
                    <w:color w:val="000000"/>
                    <w:szCs w:val="24"/>
                  </w:rPr>
                  <w:t>Visų profesinių grupių darbuotojai, esant širdies veiklos (kraujotakos) nepakankamumui (funkcinė klasė pagal NYHA I–II), gali dirbti jūrų ir vidaus vandenų laivuose. Gydytojo kardiologo konsultacija</w:t>
                </w:r>
                <w:r>
                  <w:rPr>
                    <w:rFonts w:eastAsia="Calibri"/>
                    <w:szCs w:val="24"/>
                  </w:rPr>
                  <w:t xml:space="preserve"> – kas 6 mėnesiai.</w:t>
                </w:r>
              </w:p>
            </w:tc>
          </w:tr>
          <w:tr>
            <w:tc>
              <w:tcPr>
                <w:tcW w:w="816" w:type="dxa"/>
              </w:tcPr>
              <w:p>
                <w:pPr>
                  <w:spacing w:line="276" w:lineRule="auto"/>
                  <w:jc w:val="both"/>
                  <w:rPr>
                    <w:rFonts w:eastAsia="Calibri"/>
                    <w:szCs w:val="24"/>
                  </w:rPr>
                </w:pPr>
                <w:r>
                  <w:rPr>
                    <w:rFonts w:eastAsia="Calibri"/>
                    <w:szCs w:val="24"/>
                  </w:rPr>
                  <w:t>3.11.</w:t>
                </w:r>
              </w:p>
            </w:tc>
            <w:tc>
              <w:tcPr>
                <w:tcW w:w="2977" w:type="dxa"/>
              </w:tcPr>
              <w:p>
                <w:pPr>
                  <w:spacing w:line="276" w:lineRule="auto"/>
                  <w:rPr>
                    <w:rFonts w:eastAsia="Calibri"/>
                    <w:szCs w:val="24"/>
                  </w:rPr>
                </w:pPr>
                <w:r>
                  <w:rPr>
                    <w:rFonts w:eastAsia="Calibri"/>
                    <w:szCs w:val="24"/>
                  </w:rPr>
                  <w:t>Gerybiniai širdies navikai,</w:t>
                </w:r>
              </w:p>
              <w:p>
                <w:pPr>
                  <w:spacing w:line="276" w:lineRule="auto"/>
                  <w:rPr>
                    <w:rFonts w:eastAsia="Calibri"/>
                    <w:szCs w:val="24"/>
                  </w:rPr>
                </w:pPr>
                <w:r>
                  <w:rPr>
                    <w:rFonts w:eastAsia="Calibri"/>
                    <w:szCs w:val="24"/>
                  </w:rPr>
                  <w:t>D15.1</w:t>
                </w:r>
              </w:p>
              <w:p>
                <w:pPr>
                  <w:spacing w:line="276" w:lineRule="auto"/>
                  <w:rPr>
                    <w:rFonts w:eastAsia="Calibri"/>
                    <w:szCs w:val="24"/>
                  </w:rPr>
                </w:pPr>
                <w:r>
                  <w:rPr>
                    <w:rFonts w:eastAsia="Calibri"/>
                    <w:szCs w:val="24"/>
                  </w:rPr>
                  <w:t>Įgimtos kraujo apytakos sistemos formavimosi ydos, Q20.0–Q25.9</w:t>
                </w:r>
              </w:p>
              <w:p>
                <w:pPr>
                  <w:spacing w:line="276" w:lineRule="auto"/>
                  <w:rPr>
                    <w:rFonts w:eastAsia="Calibri"/>
                    <w:szCs w:val="24"/>
                  </w:rPr>
                </w:pPr>
              </w:p>
            </w:tc>
            <w:tc>
              <w:tcPr>
                <w:tcW w:w="4110" w:type="dxa"/>
              </w:tcPr>
              <w:p>
                <w:pPr>
                  <w:spacing w:line="276" w:lineRule="auto"/>
                  <w:rPr>
                    <w:rFonts w:eastAsia="Calibri"/>
                    <w:color w:val="000000"/>
                    <w:szCs w:val="24"/>
                  </w:rPr>
                </w:pPr>
              </w:p>
            </w:tc>
            <w:tc>
              <w:tcPr>
                <w:tcW w:w="4252" w:type="dxa"/>
              </w:tcPr>
              <w:p>
                <w:pPr>
                  <w:spacing w:line="276" w:lineRule="auto"/>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Dėl galimybės dirbti jūrų ir vidaus vandenų laivuose sprendžiama praėjus 6 mėnesiams nuo operacinio gydymo, po gydytojo kardiologo konsultacijos.</w:t>
                </w:r>
              </w:p>
            </w:tc>
          </w:tr>
          <w:tr>
            <w:tc>
              <w:tcPr>
                <w:tcW w:w="816" w:type="dxa"/>
              </w:tcPr>
              <w:p>
                <w:pPr>
                  <w:spacing w:line="276" w:lineRule="auto"/>
                  <w:jc w:val="both"/>
                  <w:rPr>
                    <w:rFonts w:eastAsia="Calibri"/>
                    <w:szCs w:val="24"/>
                  </w:rPr>
                </w:pPr>
                <w:r>
                  <w:rPr>
                    <w:rFonts w:eastAsia="Calibri"/>
                    <w:szCs w:val="24"/>
                  </w:rPr>
                  <w:t>3.12.</w:t>
                </w:r>
              </w:p>
            </w:tc>
            <w:tc>
              <w:tcPr>
                <w:tcW w:w="2977" w:type="dxa"/>
              </w:tcPr>
              <w:p>
                <w:pPr>
                  <w:spacing w:line="276" w:lineRule="auto"/>
                  <w:rPr>
                    <w:rFonts w:eastAsia="Calibri"/>
                    <w:szCs w:val="24"/>
                  </w:rPr>
                </w:pPr>
                <w:r>
                  <w:rPr>
                    <w:rFonts w:eastAsia="Calibri"/>
                    <w:szCs w:val="24"/>
                  </w:rPr>
                  <w:t xml:space="preserve">Širdies prietaisas. Buvimas: AIKD, širdies ritmo reguliavimo prietaiso, Z95.0 </w:t>
                </w:r>
              </w:p>
            </w:tc>
            <w:tc>
              <w:tcPr>
                <w:tcW w:w="4110" w:type="dxa"/>
              </w:tcPr>
              <w:p>
                <w:pPr>
                  <w:spacing w:line="276" w:lineRule="auto"/>
                  <w:rPr>
                    <w:rFonts w:eastAsia="Calibri"/>
                    <w:szCs w:val="24"/>
                  </w:rPr>
                </w:pPr>
                <w:r>
                  <w:rPr>
                    <w:rFonts w:eastAsia="Calibri"/>
                    <w:szCs w:val="24"/>
                  </w:rPr>
                  <w:t xml:space="preserve">Nė vienos grupės </w:t>
                </w:r>
                <w:r>
                  <w:rPr>
                    <w:rFonts w:eastAsia="Calibri"/>
                    <w:color w:val="000000"/>
                    <w:szCs w:val="24"/>
                  </w:rPr>
                  <w:t xml:space="preserve">darbuotojai </w:t>
                </w:r>
                <w:r>
                  <w:rPr>
                    <w:rFonts w:eastAsia="Calibri"/>
                    <w:szCs w:val="24"/>
                  </w:rPr>
                  <w:t>negali dirbti jūrų laive.</w:t>
                </w:r>
              </w:p>
            </w:tc>
            <w:tc>
              <w:tcPr>
                <w:tcW w:w="4252" w:type="dxa"/>
              </w:tcPr>
              <w:p>
                <w:pPr>
                  <w:spacing w:line="276" w:lineRule="auto"/>
                  <w:rPr>
                    <w:rFonts w:eastAsia="Calibri"/>
                    <w:color w:val="000000"/>
                    <w:szCs w:val="24"/>
                  </w:rPr>
                </w:pPr>
                <w:r>
                  <w:rPr>
                    <w:rFonts w:eastAsia="Calibri"/>
                    <w:color w:val="000000"/>
                    <w:szCs w:val="24"/>
                  </w:rPr>
                  <w:t>Visų profesinių grupių darbuotojai gali dirbti vidaus vandenų laive, dėl to spendžiama individualiai po gydytojo kardiologo konsultacijos.</w:t>
                </w:r>
              </w:p>
            </w:tc>
            <w:tc>
              <w:tcPr>
                <w:tcW w:w="2801" w:type="dxa"/>
              </w:tcPr>
              <w:p>
                <w:pPr>
                  <w:spacing w:line="276" w:lineRule="auto"/>
                  <w:rPr>
                    <w:rFonts w:eastAsia="Calibri"/>
                    <w:color w:val="000000"/>
                    <w:szCs w:val="24"/>
                  </w:rPr>
                </w:pPr>
                <w:r>
                  <w:rPr>
                    <w:rFonts w:eastAsia="Calibri"/>
                    <w:color w:val="000000"/>
                    <w:szCs w:val="24"/>
                  </w:rPr>
                  <w:t xml:space="preserve">Gydytojo kardiologo konsultacija kas 12 mėnesių. </w:t>
                </w:r>
              </w:p>
            </w:tc>
          </w:tr>
          <w:tr>
            <w:tc>
              <w:tcPr>
                <w:tcW w:w="816" w:type="dxa"/>
              </w:tcPr>
              <w:p>
                <w:pPr>
                  <w:spacing w:line="276" w:lineRule="auto"/>
                  <w:jc w:val="both"/>
                  <w:rPr>
                    <w:rFonts w:eastAsia="Calibri"/>
                    <w:szCs w:val="24"/>
                  </w:rPr>
                </w:pPr>
                <w:r>
                  <w:rPr>
                    <w:rFonts w:eastAsia="Calibri"/>
                    <w:szCs w:val="24"/>
                  </w:rPr>
                  <w:t>3.13.</w:t>
                </w:r>
              </w:p>
            </w:tc>
            <w:tc>
              <w:tcPr>
                <w:tcW w:w="2977" w:type="dxa"/>
              </w:tcPr>
              <w:p>
                <w:pPr>
                  <w:spacing w:line="276" w:lineRule="auto"/>
                  <w:rPr>
                    <w:rFonts w:eastAsia="Calibri"/>
                    <w:szCs w:val="24"/>
                  </w:rPr>
                </w:pPr>
                <w:r>
                  <w:rPr>
                    <w:rFonts w:eastAsia="Calibri"/>
                    <w:szCs w:val="24"/>
                  </w:rPr>
                  <w:t xml:space="preserve">Širdies vožtuvo protezas, </w:t>
                </w:r>
              </w:p>
              <w:p>
                <w:pPr>
                  <w:spacing w:line="276" w:lineRule="auto"/>
                  <w:rPr>
                    <w:rFonts w:eastAsia="Calibri"/>
                    <w:szCs w:val="24"/>
                  </w:rPr>
                </w:pPr>
                <w:r>
                  <w:rPr>
                    <w:rFonts w:eastAsia="Calibri"/>
                    <w:szCs w:val="24"/>
                  </w:rPr>
                  <w:t xml:space="preserve">Z95.2 </w:t>
                </w:r>
              </w:p>
            </w:tc>
            <w:tc>
              <w:tcPr>
                <w:tcW w:w="4110" w:type="dxa"/>
              </w:tcPr>
              <w:p>
                <w:pPr>
                  <w:spacing w:line="276" w:lineRule="auto"/>
                  <w:rPr>
                    <w:rFonts w:eastAsia="Calibri"/>
                    <w:color w:val="000000"/>
                    <w:szCs w:val="24"/>
                  </w:rPr>
                </w:pPr>
                <w:r>
                  <w:rPr>
                    <w:rFonts w:eastAsia="Calibri"/>
                    <w:szCs w:val="24"/>
                  </w:rPr>
                  <w:t>Nė vienos profesinės grupės darbuotojai</w:t>
                </w:r>
                <w:r>
                  <w:rPr>
                    <w:rFonts w:eastAsia="Calibri"/>
                    <w:color w:val="000000"/>
                    <w:szCs w:val="24"/>
                  </w:rPr>
                  <w:t>, kuriems implantuotas širdies vožtuvo mechaninis protezas</w:t>
                </w:r>
                <w:r>
                  <w:rPr>
                    <w:rFonts w:eastAsia="Calibri"/>
                    <w:szCs w:val="24"/>
                  </w:rPr>
                  <w:t>, negali dirbti jūrų laive.</w:t>
                </w:r>
              </w:p>
            </w:tc>
            <w:tc>
              <w:tcPr>
                <w:tcW w:w="4252" w:type="dxa"/>
              </w:tcPr>
              <w:p>
                <w:pPr>
                  <w:spacing w:line="276" w:lineRule="auto"/>
                  <w:rPr>
                    <w:rFonts w:eastAsia="Calibri"/>
                    <w:color w:val="000000"/>
                    <w:szCs w:val="24"/>
                  </w:rPr>
                </w:pPr>
                <w:r>
                  <w:rPr>
                    <w:rFonts w:eastAsia="Calibri"/>
                    <w:szCs w:val="24"/>
                  </w:rPr>
                  <w:t xml:space="preserve">Visų profesinių grupių darbuotojai </w:t>
                </w:r>
                <w:r>
                  <w:rPr>
                    <w:rFonts w:eastAsia="Calibri"/>
                    <w:color w:val="000000"/>
                    <w:szCs w:val="24"/>
                  </w:rPr>
                  <w:t xml:space="preserve">gali dirbti vidaus vandenų laive, dėl to </w:t>
                </w:r>
                <w:r>
                  <w:rPr>
                    <w:rFonts w:eastAsia="Calibri"/>
                    <w:szCs w:val="24"/>
                  </w:rPr>
                  <w:t xml:space="preserve">sprendžiama </w:t>
                </w:r>
                <w:r>
                  <w:rPr>
                    <w:rFonts w:eastAsia="Calibri"/>
                    <w:color w:val="000000"/>
                    <w:szCs w:val="24"/>
                  </w:rPr>
                  <w:t>individualiai, praėjus 6 mėnesiams po operacinio gydymo, po gydytojo kardiologo konsultacijos.</w:t>
                </w:r>
              </w:p>
            </w:tc>
            <w:tc>
              <w:tcPr>
                <w:tcW w:w="2801" w:type="dxa"/>
              </w:tcPr>
              <w:p>
                <w:pPr>
                  <w:spacing w:line="276" w:lineRule="auto"/>
                  <w:rPr>
                    <w:rFonts w:eastAsia="Calibri"/>
                    <w:szCs w:val="24"/>
                  </w:rPr>
                </w:pPr>
                <w:r>
                  <w:rPr>
                    <w:rFonts w:eastAsia="Calibri"/>
                    <w:color w:val="000000"/>
                    <w:szCs w:val="24"/>
                  </w:rPr>
                  <w:t xml:space="preserve">Jeigu implantuotas </w:t>
                </w:r>
                <w:r>
                  <w:rPr>
                    <w:rFonts w:eastAsia="Calibri"/>
                    <w:szCs w:val="24"/>
                  </w:rPr>
                  <w:t xml:space="preserve"> </w:t>
                </w:r>
                <w:r>
                  <w:rPr>
                    <w:rFonts w:eastAsia="Calibri"/>
                    <w:color w:val="000000"/>
                    <w:szCs w:val="24"/>
                  </w:rPr>
                  <w:t>biologinis protezas arba atlikta vožtuvų plastikos operacija, jūrų laive galima dirbti ne anksčiau kaip praėjus 6 mėnesiams po operacijos, po gydytojo kardiologo konsultacijos.</w:t>
                </w:r>
              </w:p>
            </w:tc>
          </w:tr>
          <w:tr>
            <w:tc>
              <w:tcPr>
                <w:tcW w:w="816" w:type="dxa"/>
              </w:tcPr>
              <w:p>
                <w:pPr>
                  <w:spacing w:line="276" w:lineRule="auto"/>
                  <w:jc w:val="both"/>
                  <w:rPr>
                    <w:rFonts w:eastAsia="Calibri"/>
                    <w:szCs w:val="24"/>
                  </w:rPr>
                </w:pPr>
                <w:r>
                  <w:rPr>
                    <w:rFonts w:eastAsia="Calibri"/>
                    <w:szCs w:val="24"/>
                  </w:rPr>
                  <w:t>3.14.</w:t>
                </w:r>
              </w:p>
            </w:tc>
            <w:tc>
              <w:tcPr>
                <w:tcW w:w="2977" w:type="dxa"/>
              </w:tcPr>
              <w:p>
                <w:pPr>
                  <w:spacing w:line="276" w:lineRule="auto"/>
                  <w:rPr>
                    <w:rFonts w:eastAsia="Calibri"/>
                    <w:szCs w:val="24"/>
                  </w:rPr>
                </w:pPr>
                <w:r>
                  <w:rPr>
                    <w:rFonts w:eastAsia="Calibri"/>
                    <w:szCs w:val="24"/>
                  </w:rPr>
                  <w:t>Koronarinis angioplastinis implantatas ar transplantatas, Z95.5</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4 mėnesiams nuo stentavimo procedūros, po gydytojo kardiologo konsultacijos.</w:t>
                </w:r>
              </w:p>
            </w:tc>
            <w:tc>
              <w:tcPr>
                <w:tcW w:w="4252" w:type="dxa"/>
              </w:tcPr>
              <w:p>
                <w:pPr>
                  <w:spacing w:line="276" w:lineRule="auto"/>
                  <w:rPr>
                    <w:rFonts w:eastAsia="Calibri"/>
                    <w:color w:val="000000"/>
                    <w:szCs w:val="24"/>
                  </w:rPr>
                </w:pPr>
                <w:r>
                  <w:rPr>
                    <w:rFonts w:eastAsia="Calibri"/>
                    <w:szCs w:val="24"/>
                  </w:rPr>
                  <w:t xml:space="preserve">Dėl galimybės dirbti </w:t>
                </w:r>
                <w:r>
                  <w:rPr>
                    <w:rFonts w:eastAsia="Calibri"/>
                    <w:color w:val="000000"/>
                    <w:szCs w:val="24"/>
                  </w:rPr>
                  <w:t>vidaus vandenų laive sprendžiama individualiai, praėjus 2 mėnesiams nuo stentavimo procedūros, po gydytojo</w:t>
                </w:r>
                <w:r>
                  <w:rPr>
                    <w:rFonts w:eastAsia="Calibri"/>
                    <w:szCs w:val="24"/>
                  </w:rPr>
                  <w:t xml:space="preserve">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3.15.</w:t>
                </w:r>
              </w:p>
            </w:tc>
            <w:tc>
              <w:tcPr>
                <w:tcW w:w="2977" w:type="dxa"/>
              </w:tcPr>
              <w:p>
                <w:pPr>
                  <w:spacing w:line="276" w:lineRule="auto"/>
                  <w:rPr>
                    <w:rFonts w:eastAsia="Calibri"/>
                    <w:szCs w:val="24"/>
                  </w:rPr>
                </w:pPr>
                <w:r>
                  <w:rPr>
                    <w:rFonts w:eastAsia="Calibri"/>
                    <w:szCs w:val="24"/>
                  </w:rPr>
                  <w:t xml:space="preserve">Kitas širdies ar kraujagyslių (krūtinės aortos)  implantatas ar transplantatas, Z95.8</w:t>
                </w:r>
              </w:p>
            </w:tc>
            <w:tc>
              <w:tcPr>
                <w:tcW w:w="4110" w:type="dxa"/>
              </w:tcPr>
              <w:p>
                <w:pPr>
                  <w:spacing w:line="276" w:lineRule="auto"/>
                  <w:rPr>
                    <w:rFonts w:eastAsia="Calibri"/>
                    <w:szCs w:val="24"/>
                  </w:rPr>
                </w:pPr>
                <w:r>
                  <w:rPr>
                    <w:rFonts w:eastAsia="Calibri"/>
                    <w:color w:val="000000"/>
                    <w:szCs w:val="24"/>
                  </w:rPr>
                  <w:t>Dėl galimybės dirbti jūrų laive spendžiama individualiai, praėjus 6 mėnesiams po operacinio gydymo, po gydytojo kardiologo konsultacijos.</w:t>
                </w:r>
              </w:p>
            </w:tc>
            <w:tc>
              <w:tcPr>
                <w:tcW w:w="4252" w:type="dxa"/>
              </w:tcPr>
              <w:p>
                <w:pPr>
                  <w:spacing w:line="276" w:lineRule="auto"/>
                  <w:rPr>
                    <w:rFonts w:eastAsia="Calibri"/>
                    <w:szCs w:val="24"/>
                  </w:rPr>
                </w:pPr>
                <w:r>
                  <w:rPr>
                    <w:rFonts w:eastAsia="Calibri"/>
                    <w:color w:val="000000"/>
                    <w:szCs w:val="24"/>
                  </w:rPr>
                  <w:t>Dėl galimybės dirbti vidaus vandenų laive sprendžiama individualiai, praėjus 6 mėnesiams po operacijos,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3.16.</w:t>
                </w:r>
              </w:p>
            </w:tc>
            <w:tc>
              <w:tcPr>
                <w:tcW w:w="2977" w:type="dxa"/>
              </w:tcPr>
              <w:p>
                <w:pPr>
                  <w:spacing w:line="276" w:lineRule="auto"/>
                  <w:rPr>
                    <w:rFonts w:eastAsia="Calibri"/>
                    <w:szCs w:val="24"/>
                  </w:rPr>
                </w:pPr>
                <w:r>
                  <w:rPr>
                    <w:rFonts w:eastAsia="Calibri"/>
                    <w:szCs w:val="24"/>
                  </w:rPr>
                  <w:t xml:space="preserve">Antikoagulianto  Warfarinum vartojimas</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4.</w:t>
                </w:r>
              </w:p>
            </w:tc>
            <w:tc>
              <w:tcPr>
                <w:tcW w:w="14140" w:type="dxa"/>
                <w:gridSpan w:val="4"/>
              </w:tcPr>
              <w:p>
                <w:pPr>
                  <w:spacing w:line="276" w:lineRule="auto"/>
                  <w:jc w:val="center"/>
                  <w:rPr>
                    <w:rFonts w:eastAsia="Calibri"/>
                    <w:szCs w:val="24"/>
                  </w:rPr>
                </w:pPr>
                <w:r>
                  <w:rPr>
                    <w:rFonts w:eastAsia="Calibri"/>
                    <w:b/>
                    <w:szCs w:val="24"/>
                  </w:rPr>
                  <w:t>KVĖPAVIMO SIS</w:t>
                </w:r>
                <w:r>
                  <w:rPr>
                    <w:rFonts w:eastAsia="Calibri"/>
                    <w:b/>
                    <w:color w:val="000000"/>
                    <w:szCs w:val="24"/>
                  </w:rPr>
                  <w:t>TEMOS LIGOS</w:t>
                </w:r>
              </w:p>
            </w:tc>
          </w:tr>
          <w:tr>
            <w:tc>
              <w:tcPr>
                <w:tcW w:w="816" w:type="dxa"/>
              </w:tcPr>
              <w:p>
                <w:pPr>
                  <w:spacing w:line="276" w:lineRule="auto"/>
                  <w:jc w:val="both"/>
                  <w:rPr>
                    <w:rFonts w:eastAsia="Calibri"/>
                    <w:szCs w:val="24"/>
                  </w:rPr>
                </w:pPr>
                <w:r>
                  <w:rPr>
                    <w:rFonts w:eastAsia="Calibri"/>
                    <w:szCs w:val="24"/>
                  </w:rPr>
                  <w:t>4.1.</w:t>
                </w:r>
              </w:p>
            </w:tc>
            <w:tc>
              <w:tcPr>
                <w:tcW w:w="2977" w:type="dxa"/>
              </w:tcPr>
              <w:p>
                <w:pPr>
                  <w:spacing w:line="276" w:lineRule="auto"/>
                  <w:rPr>
                    <w:rFonts w:eastAsia="Calibri"/>
                    <w:color w:val="000000"/>
                    <w:szCs w:val="24"/>
                  </w:rPr>
                </w:pPr>
                <w:r>
                  <w:rPr>
                    <w:rFonts w:eastAsia="Calibri"/>
                    <w:szCs w:val="24"/>
                  </w:rPr>
                  <w:t>Kvėpavimo organų tuberkuliozė,</w:t>
                </w:r>
                <w:r>
                  <w:rPr>
                    <w:rFonts w:eastAsia="Calibri"/>
                    <w:color w:val="000000"/>
                    <w:szCs w:val="24"/>
                  </w:rPr>
                  <w:t xml:space="preserve"> A16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Esant neaktyviai tuberkuliozės formai, visų profesinių grupių </w:t>
                </w:r>
                <w:r>
                  <w:rPr>
                    <w:rFonts w:eastAsia="Calibri"/>
                    <w:color w:val="000000"/>
                    <w:szCs w:val="24"/>
                  </w:rPr>
                  <w:t>darbuotojai gali dirbti jūrų ir vidaus vandenų laivuose.</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4.2.</w:t>
                </w:r>
              </w:p>
            </w:tc>
            <w:tc>
              <w:tcPr>
                <w:tcW w:w="2977" w:type="dxa"/>
              </w:tcPr>
              <w:p>
                <w:pPr>
                  <w:spacing w:line="276" w:lineRule="auto"/>
                  <w:rPr>
                    <w:rFonts w:eastAsia="Calibri"/>
                    <w:szCs w:val="24"/>
                  </w:rPr>
                </w:pPr>
                <w:r>
                  <w:rPr>
                    <w:rFonts w:eastAsia="Calibri"/>
                    <w:szCs w:val="24"/>
                  </w:rPr>
                  <w:t>Ūminės viršutinių kvėpavimo takų infekcijos, J00–J06</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Kol tiriama, nustatoma liga ir gydoma, asmenys negali dirbti laive. Pabaigus gydymą, nesikartojant jokiems ligos požymiams, asmenys gali dirbti jūrų ir vidaus vandenų laivuose. </w:t>
                </w:r>
              </w:p>
            </w:tc>
          </w:tr>
          <w:tr>
            <w:tc>
              <w:tcPr>
                <w:tcW w:w="816" w:type="dxa"/>
              </w:tcPr>
              <w:p>
                <w:pPr>
                  <w:spacing w:line="276" w:lineRule="auto"/>
                  <w:jc w:val="both"/>
                  <w:rPr>
                    <w:rFonts w:eastAsia="Calibri"/>
                    <w:szCs w:val="24"/>
                  </w:rPr>
                </w:pPr>
                <w:r>
                  <w:rPr>
                    <w:rFonts w:eastAsia="Calibri"/>
                    <w:szCs w:val="24"/>
                  </w:rPr>
                  <w:t>4.3.</w:t>
                </w:r>
              </w:p>
            </w:tc>
            <w:tc>
              <w:tcPr>
                <w:tcW w:w="2977" w:type="dxa"/>
              </w:tcPr>
              <w:p>
                <w:pPr>
                  <w:spacing w:line="276" w:lineRule="auto"/>
                  <w:rPr>
                    <w:rFonts w:eastAsia="Calibri"/>
                    <w:szCs w:val="24"/>
                  </w:rPr>
                </w:pPr>
                <w:r>
                  <w:rPr>
                    <w:rFonts w:eastAsia="Calibri"/>
                    <w:szCs w:val="24"/>
                  </w:rPr>
                  <w:t xml:space="preserve">Lėtinės apatinių kvėpavimo takų ligos, J40–J47, išskyrus astmą </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4.4.</w:t>
                </w:r>
              </w:p>
            </w:tc>
            <w:tc>
              <w:tcPr>
                <w:tcW w:w="2977" w:type="dxa"/>
              </w:tcPr>
              <w:p>
                <w:pPr>
                  <w:spacing w:line="276" w:lineRule="auto"/>
                  <w:rPr>
                    <w:rFonts w:eastAsia="Calibri"/>
                    <w:szCs w:val="24"/>
                  </w:rPr>
                </w:pPr>
                <w:r>
                  <w:rPr>
                    <w:rFonts w:eastAsia="Calibri"/>
                    <w:szCs w:val="24"/>
                  </w:rPr>
                  <w:t>Astma, J45</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sergantys sunkios formos astma, 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w:t>
                </w:r>
                <w:r>
                  <w:rPr>
                    <w:rFonts w:eastAsia="Calibri"/>
                    <w:szCs w:val="24"/>
                  </w:rPr>
                  <w:t xml:space="preserve"> sergantys sunkios formos astma, negali dirbti vidaus vandenų laive.</w:t>
                </w:r>
              </w:p>
            </w:tc>
            <w:tc>
              <w:tcPr>
                <w:tcW w:w="2801" w:type="dxa"/>
              </w:tcPr>
              <w:p>
                <w:pPr>
                  <w:spacing w:line="276" w:lineRule="auto"/>
                  <w:rPr>
                    <w:rFonts w:eastAsia="Calibri"/>
                    <w:szCs w:val="24"/>
                  </w:rPr>
                </w:pPr>
                <w:r>
                  <w:rPr>
                    <w:rFonts w:eastAsia="Calibri"/>
                    <w:szCs w:val="24"/>
                  </w:rPr>
                  <w:t>Visų profesinių grupių darbuotojai</w:t>
                </w:r>
                <w:r>
                  <w:rPr>
                    <w:rFonts w:eastAsia="Calibri"/>
                    <w:color w:val="000000"/>
                    <w:szCs w:val="24"/>
                  </w:rPr>
                  <w:t>, sergantys</w:t>
                </w:r>
                <w:r>
                  <w:rPr>
                    <w:rFonts w:eastAsia="Calibri"/>
                    <w:szCs w:val="24"/>
                  </w:rPr>
                  <w:t xml:space="preserve"> lengvos ir vidutinės formos astma, gali dirbti jūrų ir vidaus vandenų laivuose. </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4.5.</w:t>
                </w:r>
              </w:p>
            </w:tc>
            <w:tc>
              <w:tcPr>
                <w:tcW w:w="2977" w:type="dxa"/>
              </w:tcPr>
              <w:p>
                <w:pPr>
                  <w:spacing w:line="276" w:lineRule="auto"/>
                  <w:rPr>
                    <w:rFonts w:eastAsia="Calibri"/>
                    <w:szCs w:val="24"/>
                  </w:rPr>
                </w:pPr>
                <w:r>
                  <w:rPr>
                    <w:rFonts w:eastAsia="Calibri"/>
                    <w:szCs w:val="24"/>
                  </w:rPr>
                  <w:t>Bronchektazės, J47</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4.6.</w:t>
                </w:r>
              </w:p>
            </w:tc>
            <w:tc>
              <w:tcPr>
                <w:tcW w:w="2977" w:type="dxa"/>
              </w:tcPr>
              <w:p>
                <w:pPr>
                  <w:spacing w:line="276" w:lineRule="auto"/>
                  <w:rPr>
                    <w:rFonts w:eastAsia="Calibri"/>
                    <w:color w:val="000000"/>
                    <w:szCs w:val="24"/>
                  </w:rPr>
                </w:pPr>
                <w:r>
                  <w:rPr>
                    <w:rFonts w:eastAsia="Calibri"/>
                    <w:color w:val="000000"/>
                    <w:szCs w:val="24"/>
                  </w:rPr>
                  <w:t>Išorinių veiksnių sukeltos plaučių ligos, J60–J70</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4.7.</w:t>
                </w:r>
              </w:p>
            </w:tc>
            <w:tc>
              <w:tcPr>
                <w:tcW w:w="2977" w:type="dxa"/>
              </w:tcPr>
              <w:p>
                <w:pPr>
                  <w:spacing w:line="276" w:lineRule="auto"/>
                  <w:rPr>
                    <w:rFonts w:eastAsia="Calibri"/>
                    <w:szCs w:val="24"/>
                  </w:rPr>
                </w:pPr>
                <w:r>
                  <w:rPr>
                    <w:rFonts w:eastAsia="Calibri"/>
                    <w:color w:val="000000"/>
                    <w:szCs w:val="24"/>
                  </w:rPr>
                  <w:t>Pneumotoraksas, J93</w:t>
                </w:r>
                <w:r>
                  <w:rPr>
                    <w:rFonts w:eastAsia="Calibri"/>
                    <w:szCs w:val="24"/>
                  </w:rPr>
                  <w:t xml:space="preserve">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12 mėn. po diagnozuoto pneumotorakso. Gydytojo pulmonologo konsultacija – kas 12 mėnesių.</w:t>
                </w:r>
              </w:p>
            </w:tc>
          </w:tr>
          <w:tr>
            <w:tc>
              <w:tcPr>
                <w:tcW w:w="816" w:type="dxa"/>
              </w:tcPr>
              <w:p>
                <w:pPr>
                  <w:spacing w:line="276" w:lineRule="auto"/>
                  <w:jc w:val="both"/>
                  <w:rPr>
                    <w:rFonts w:eastAsia="Calibri"/>
                    <w:szCs w:val="24"/>
                  </w:rPr>
                </w:pPr>
                <w:r>
                  <w:rPr>
                    <w:rFonts w:eastAsia="Calibri"/>
                    <w:szCs w:val="24"/>
                  </w:rPr>
                  <w:t>4.8.</w:t>
                </w:r>
              </w:p>
            </w:tc>
            <w:tc>
              <w:tcPr>
                <w:tcW w:w="2977" w:type="dxa"/>
              </w:tcPr>
              <w:p>
                <w:pPr>
                  <w:spacing w:line="276" w:lineRule="auto"/>
                  <w:rPr>
                    <w:rFonts w:eastAsia="Calibri"/>
                    <w:szCs w:val="24"/>
                  </w:rPr>
                </w:pPr>
                <w:r>
                  <w:rPr>
                    <w:rFonts w:eastAsia="Calibri"/>
                    <w:szCs w:val="24"/>
                  </w:rPr>
                  <w:t>Įgytas plaučio nebuvimas, Z90.2</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 xml:space="preserve">Dėl galimybės dirbti </w:t>
                </w:r>
                <w:r>
                  <w:rPr>
                    <w:rFonts w:eastAsia="Calibri"/>
                    <w:color w:val="000000"/>
                    <w:szCs w:val="24"/>
                  </w:rPr>
                  <w:t>vidaus vandenų laive sprendžiama individualiai</w:t>
                </w:r>
              </w:p>
            </w:tc>
            <w:tc>
              <w:tcPr>
                <w:tcW w:w="2801" w:type="dxa"/>
              </w:tcPr>
              <w:p>
                <w:pPr>
                  <w:spacing w:line="276" w:lineRule="auto"/>
                  <w:rPr>
                    <w:rFonts w:eastAsia="Calibri"/>
                    <w:color w:val="000000"/>
                    <w:szCs w:val="24"/>
                  </w:rPr>
                </w:pPr>
                <w:r>
                  <w:rPr>
                    <w:rFonts w:eastAsia="Calibri"/>
                    <w:color w:val="000000"/>
                    <w:szCs w:val="24"/>
                  </w:rPr>
                  <w:t>Dėl tinkamumo dirbti vidaus vandenų laivuose sprendžiama individualiai, po gydytojo pulmonologo konsultacijos.</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b/>
                    <w:szCs w:val="24"/>
                  </w:rPr>
                </w:pPr>
                <w:r>
                  <w:rPr>
                    <w:rFonts w:eastAsia="Calibri"/>
                    <w:b/>
                    <w:szCs w:val="24"/>
                  </w:rPr>
                  <w:t>5.</w:t>
                </w:r>
              </w:p>
            </w:tc>
            <w:tc>
              <w:tcPr>
                <w:tcW w:w="14140" w:type="dxa"/>
                <w:gridSpan w:val="4"/>
              </w:tcPr>
              <w:p>
                <w:pPr>
                  <w:spacing w:line="276" w:lineRule="auto"/>
                  <w:jc w:val="center"/>
                  <w:rPr>
                    <w:rFonts w:eastAsia="Calibri"/>
                    <w:b/>
                    <w:szCs w:val="24"/>
                  </w:rPr>
                </w:pPr>
                <w:r>
                  <w:rPr>
                    <w:rFonts w:eastAsia="Calibri"/>
                    <w:b/>
                    <w:szCs w:val="24"/>
                  </w:rPr>
                  <w:t xml:space="preserve">KRAUJO IR KRAUJODAROS ORGANŲ LIGOS </w:t>
                </w:r>
              </w:p>
            </w:tc>
          </w:tr>
          <w:tr>
            <w:tc>
              <w:tcPr>
                <w:tcW w:w="816" w:type="dxa"/>
              </w:tcPr>
              <w:p>
                <w:pPr>
                  <w:spacing w:line="276" w:lineRule="auto"/>
                  <w:jc w:val="both"/>
                  <w:rPr>
                    <w:rFonts w:eastAsia="Calibri"/>
                    <w:szCs w:val="24"/>
                  </w:rPr>
                </w:pPr>
                <w:r>
                  <w:rPr>
                    <w:rFonts w:eastAsia="Calibri"/>
                    <w:szCs w:val="24"/>
                  </w:rPr>
                  <w:t>5.1.</w:t>
                </w:r>
              </w:p>
            </w:tc>
            <w:tc>
              <w:tcPr>
                <w:tcW w:w="2977" w:type="dxa"/>
              </w:tcPr>
              <w:p>
                <w:pPr>
                  <w:spacing w:line="276" w:lineRule="auto"/>
                  <w:rPr>
                    <w:rFonts w:eastAsia="Calibri"/>
                    <w:szCs w:val="24"/>
                  </w:rPr>
                </w:pPr>
                <w:r>
                  <w:rPr>
                    <w:rFonts w:eastAsia="Calibri"/>
                    <w:szCs w:val="24"/>
                  </w:rPr>
                  <w:t>Limfinio, kraujodaros ir jiems giminingų audinių piktybiniai navikai,</w:t>
                </w:r>
              </w:p>
              <w:p>
                <w:pPr>
                  <w:spacing w:line="276" w:lineRule="auto"/>
                  <w:rPr>
                    <w:rFonts w:eastAsia="Calibri"/>
                    <w:szCs w:val="24"/>
                  </w:rPr>
                </w:pPr>
                <w:r>
                  <w:rPr>
                    <w:rFonts w:eastAsia="Calibri"/>
                    <w:szCs w:val="24"/>
                  </w:rPr>
                  <w:t>C81–C96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aktyvia ligos forma, negali dirbti jūrų ir vidaus vandenų laivuose.</w:t>
                </w:r>
              </w:p>
              <w:p>
                <w:pPr>
                  <w:spacing w:line="276" w:lineRule="auto"/>
                  <w:rPr>
                    <w:rFonts w:eastAsia="Calibri"/>
                    <w:color w:val="000000"/>
                    <w:szCs w:val="24"/>
                  </w:rPr>
                </w:pPr>
                <w:r>
                  <w:rPr>
                    <w:rFonts w:eastAsia="Calibri"/>
                    <w:szCs w:val="24"/>
                  </w:rPr>
                  <w:t xml:space="preserve">Esant visiškai ar dalinei </w:t>
                </w:r>
                <w:r>
                  <w:rPr>
                    <w:rFonts w:eastAsia="Calibri"/>
                    <w:color w:val="000000"/>
                    <w:szCs w:val="24"/>
                  </w:rPr>
                  <w:t>remisijai, kurios trukmė ≥6 mėnesiai, bet ≤5 metai, dėl tinkamumo dirbti jūrų ir vidaus vandenų laivuose sprendžiama individualiai po gydytojo hematologo konsultacijos.</w:t>
                </w:r>
              </w:p>
              <w:p>
                <w:pPr>
                  <w:spacing w:line="276" w:lineRule="auto"/>
                  <w:rPr>
                    <w:rFonts w:eastAsia="Calibri"/>
                    <w:szCs w:val="24"/>
                  </w:rPr>
                </w:pPr>
                <w:r>
                  <w:rPr>
                    <w:rFonts w:eastAsia="Calibri"/>
                    <w:szCs w:val="24"/>
                  </w:rPr>
                  <w:t xml:space="preserve">Esant ligos remisijai ≥5 m., visų profesinių grupių </w:t>
                </w:r>
                <w:r>
                  <w:rPr>
                    <w:rFonts w:eastAsia="Calibri"/>
                    <w:color w:val="000000"/>
                    <w:szCs w:val="24"/>
                  </w:rPr>
                  <w:t>darbuotojai</w:t>
                </w:r>
                <w:r>
                  <w:rPr>
                    <w:rFonts w:eastAsia="Calibri"/>
                    <w:szCs w:val="24"/>
                  </w:rPr>
                  <w:t xml:space="preserve"> gali dirbti jūrų ir vidaus vandenų laivuose.</w:t>
                </w:r>
              </w:p>
            </w:tc>
          </w:tr>
          <w:tr>
            <w:tc>
              <w:tcPr>
                <w:tcW w:w="816" w:type="dxa"/>
              </w:tcPr>
              <w:p>
                <w:pPr>
                  <w:spacing w:line="276" w:lineRule="auto"/>
                  <w:jc w:val="both"/>
                  <w:rPr>
                    <w:rFonts w:eastAsia="Calibri"/>
                    <w:szCs w:val="24"/>
                  </w:rPr>
                </w:pPr>
                <w:r>
                  <w:rPr>
                    <w:rFonts w:eastAsia="Calibri"/>
                    <w:szCs w:val="24"/>
                  </w:rPr>
                  <w:t>5.2.</w:t>
                </w:r>
              </w:p>
            </w:tc>
            <w:tc>
              <w:tcPr>
                <w:tcW w:w="2977" w:type="dxa"/>
              </w:tcPr>
              <w:p>
                <w:pPr>
                  <w:spacing w:line="276" w:lineRule="auto"/>
                  <w:rPr>
                    <w:rFonts w:eastAsia="Calibri"/>
                    <w:szCs w:val="24"/>
                  </w:rPr>
                </w:pPr>
                <w:r>
                  <w:rPr>
                    <w:rFonts w:eastAsia="Calibri"/>
                    <w:szCs w:val="24"/>
                  </w:rPr>
                  <w:t>Tikroji policitemija, D45</w:t>
                </w:r>
              </w:p>
              <w:p>
                <w:pPr>
                  <w:spacing w:line="276" w:lineRule="auto"/>
                  <w:rPr>
                    <w:rFonts w:eastAsia="Calibri"/>
                    <w:szCs w:val="24"/>
                  </w:rPr>
                </w:pPr>
                <w:r>
                  <w:rPr>
                    <w:rFonts w:eastAsia="Calibri"/>
                    <w:szCs w:val="24"/>
                  </w:rPr>
                  <w:t>Mielodisplaziniai sindromai, D46</w:t>
                </w:r>
              </w:p>
              <w:p>
                <w:pPr>
                  <w:spacing w:line="276" w:lineRule="auto"/>
                  <w:rPr>
                    <w:rFonts w:eastAsia="Calibri"/>
                    <w:szCs w:val="24"/>
                  </w:rPr>
                </w:pPr>
                <w:r>
                  <w:rPr>
                    <w:rFonts w:eastAsia="Calibri"/>
                    <w:szCs w:val="24"/>
                  </w:rPr>
                  <w:t>Lėtinė mieloproliferacinė liga, D47.1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hematologo konsultacijos.</w:t>
                </w:r>
              </w:p>
            </w:tc>
          </w:tr>
          <w:tr>
            <w:tc>
              <w:tcPr>
                <w:tcW w:w="816" w:type="dxa"/>
              </w:tcPr>
              <w:p>
                <w:pPr>
                  <w:spacing w:line="276" w:lineRule="auto"/>
                  <w:jc w:val="both"/>
                  <w:rPr>
                    <w:rFonts w:eastAsia="Calibri"/>
                    <w:szCs w:val="24"/>
                  </w:rPr>
                </w:pPr>
                <w:r>
                  <w:rPr>
                    <w:rFonts w:eastAsia="Calibri"/>
                    <w:szCs w:val="24"/>
                  </w:rPr>
                  <w:t>5.3.</w:t>
                </w:r>
              </w:p>
            </w:tc>
            <w:tc>
              <w:tcPr>
                <w:tcW w:w="2977" w:type="dxa"/>
              </w:tcPr>
              <w:p>
                <w:pPr>
                  <w:spacing w:line="276" w:lineRule="auto"/>
                  <w:rPr>
                    <w:rFonts w:eastAsia="Calibri"/>
                    <w:szCs w:val="24"/>
                  </w:rPr>
                </w:pPr>
                <w:r>
                  <w:rPr>
                    <w:rFonts w:eastAsia="Calibri"/>
                    <w:szCs w:val="24"/>
                  </w:rPr>
                  <w:t xml:space="preserve">Mitybinės, hemolizinės, aplazinės ir kitos  anemijos, D50–D64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gydymo, esant normaliems kraujo rodikliams, visų profesinių grupių darbuotojai gali dirbti jūrų ir vidaus vandenų laivuose. Gydymo metu, esant Hb ≥100 g/l, dėl tinkamumo dirbti laive sprendžiama </w:t>
                </w:r>
                <w:r>
                  <w:rPr>
                    <w:rFonts w:eastAsia="Calibri"/>
                    <w:color w:val="000000"/>
                    <w:szCs w:val="24"/>
                  </w:rPr>
                  <w:t>individualiai po gydytojo hematologo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5.4.</w:t>
                </w:r>
              </w:p>
            </w:tc>
            <w:tc>
              <w:tcPr>
                <w:tcW w:w="2977" w:type="dxa"/>
              </w:tcPr>
              <w:p>
                <w:pPr>
                  <w:spacing w:line="276" w:lineRule="auto"/>
                  <w:rPr>
                    <w:rFonts w:eastAsia="Calibri"/>
                    <w:szCs w:val="24"/>
                  </w:rPr>
                </w:pPr>
                <w:r>
                  <w:rPr>
                    <w:rFonts w:eastAsia="Calibri"/>
                    <w:szCs w:val="24"/>
                  </w:rPr>
                  <w:t>Krešėjimo defektai, purpura ir kitos hemoraginės būklės,</w:t>
                </w:r>
              </w:p>
              <w:p>
                <w:pPr>
                  <w:spacing w:line="276" w:lineRule="auto"/>
                  <w:rPr>
                    <w:rFonts w:eastAsia="Calibri"/>
                    <w:szCs w:val="24"/>
                  </w:rPr>
                </w:pPr>
                <w:r>
                  <w:rPr>
                    <w:rFonts w:eastAsia="Calibri"/>
                    <w:szCs w:val="24"/>
                  </w:rPr>
                  <w:t xml:space="preserve">D65–D69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sunkia ligos forma, negali dirbti jūrų ir vidaus vandenų laivuose;</w:t>
                </w:r>
              </w:p>
              <w:p>
                <w:pPr>
                  <w:spacing w:line="276" w:lineRule="auto"/>
                  <w:rPr>
                    <w:rFonts w:eastAsia="Calibri"/>
                    <w:szCs w:val="24"/>
                  </w:rPr>
                </w:pPr>
                <w:r>
                  <w:rPr>
                    <w:rFonts w:eastAsia="Calibri"/>
                    <w:szCs w:val="24"/>
                  </w:rPr>
                  <w:t xml:space="preserve">asmenys, sergantys lengva ir vidutine ligos forma, gali dirbti jūrų ir vidaus vandenų laivuose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6.</w:t>
                </w:r>
              </w:p>
            </w:tc>
            <w:tc>
              <w:tcPr>
                <w:tcW w:w="14140" w:type="dxa"/>
                <w:gridSpan w:val="4"/>
              </w:tcPr>
              <w:p>
                <w:pPr>
                  <w:spacing w:line="276" w:lineRule="auto"/>
                  <w:jc w:val="center"/>
                  <w:rPr>
                    <w:rFonts w:eastAsia="Calibri"/>
                    <w:szCs w:val="24"/>
                  </w:rPr>
                </w:pPr>
                <w:r>
                  <w:rPr>
                    <w:rFonts w:eastAsia="Calibri"/>
                    <w:b/>
                    <w:szCs w:val="24"/>
                  </w:rPr>
                  <w:t>ENDOKRININĖS, MITYBOS IR MEDŽIAGŲ APYKAITOS LIGOS</w:t>
                </w:r>
              </w:p>
            </w:tc>
          </w:tr>
          <w:tr>
            <w:tc>
              <w:tcPr>
                <w:tcW w:w="816" w:type="dxa"/>
              </w:tcPr>
              <w:p>
                <w:pPr>
                  <w:spacing w:line="276" w:lineRule="auto"/>
                  <w:jc w:val="both"/>
                  <w:rPr>
                    <w:rFonts w:eastAsia="Calibri"/>
                    <w:szCs w:val="24"/>
                  </w:rPr>
                </w:pPr>
                <w:r>
                  <w:rPr>
                    <w:rFonts w:eastAsia="Calibri"/>
                    <w:szCs w:val="24"/>
                  </w:rPr>
                  <w:t>6.1.</w:t>
                </w:r>
              </w:p>
            </w:tc>
            <w:tc>
              <w:tcPr>
                <w:tcW w:w="2977" w:type="dxa"/>
              </w:tcPr>
              <w:p>
                <w:pPr>
                  <w:spacing w:line="276" w:lineRule="auto"/>
                  <w:rPr>
                    <w:rFonts w:eastAsia="Calibri"/>
                    <w:szCs w:val="24"/>
                  </w:rPr>
                </w:pPr>
                <w:r>
                  <w:rPr>
                    <w:rFonts w:eastAsia="Calibri"/>
                    <w:color w:val="000000"/>
                    <w:szCs w:val="24"/>
                  </w:rPr>
                  <w:t>Hipotirozė, E03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asmenų, kuriems po gydymo nustatoma normali skydliaukės funkcija, tinkamumo dirbti laive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6.2.</w:t>
                </w:r>
              </w:p>
            </w:tc>
            <w:tc>
              <w:tcPr>
                <w:tcW w:w="2977" w:type="dxa"/>
              </w:tcPr>
              <w:p>
                <w:pPr>
                  <w:spacing w:line="276" w:lineRule="auto"/>
                  <w:rPr>
                    <w:rFonts w:eastAsia="Calibri"/>
                    <w:color w:val="000000"/>
                    <w:szCs w:val="24"/>
                  </w:rPr>
                </w:pPr>
                <w:r>
                  <w:rPr>
                    <w:rFonts w:eastAsia="Calibri"/>
                    <w:color w:val="000000"/>
                    <w:szCs w:val="24"/>
                  </w:rPr>
                  <w:t>Tirotoksikozė, E05</w:t>
                </w:r>
              </w:p>
              <w:p>
                <w:pPr>
                  <w:spacing w:line="276" w:lineRule="auto"/>
                  <w:rPr>
                    <w:rFonts w:eastAsia="Calibri"/>
                    <w:strike/>
                    <w:color w:val="000000"/>
                    <w:szCs w:val="24"/>
                  </w:rPr>
                </w:pP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Visų profesinių grupių asmenys, jei gydant skydliaukės funkcija tampa normali, dirbti jūrų ir vidaus vandenų laivuose</w:t>
                </w:r>
              </w:p>
              <w:p>
                <w:pPr>
                  <w:spacing w:line="276" w:lineRule="auto"/>
                  <w:rPr>
                    <w:rFonts w:eastAsia="Calibri"/>
                    <w:szCs w:val="24"/>
                  </w:rPr>
                </w:pPr>
                <w:r>
                  <w:rPr>
                    <w:rFonts w:eastAsia="Calibri"/>
                    <w:color w:val="000000"/>
                    <w:szCs w:val="24"/>
                  </w:rPr>
                  <w:t>gali po gydytojo endokrinologo konsultacijos.</w:t>
                </w:r>
              </w:p>
            </w:tc>
          </w:tr>
          <w:tr>
            <w:tc>
              <w:tcPr>
                <w:tcW w:w="816" w:type="dxa"/>
              </w:tcPr>
              <w:p>
                <w:pPr>
                  <w:spacing w:line="276" w:lineRule="auto"/>
                  <w:jc w:val="both"/>
                  <w:rPr>
                    <w:rFonts w:eastAsia="Calibri"/>
                    <w:szCs w:val="24"/>
                  </w:rPr>
                </w:pPr>
                <w:r>
                  <w:rPr>
                    <w:rFonts w:eastAsia="Calibri"/>
                    <w:szCs w:val="24"/>
                  </w:rPr>
                  <w:t>6.3.</w:t>
                </w:r>
              </w:p>
            </w:tc>
            <w:tc>
              <w:tcPr>
                <w:tcW w:w="2977" w:type="dxa"/>
              </w:tcPr>
              <w:p>
                <w:pPr>
                  <w:spacing w:line="276" w:lineRule="auto"/>
                  <w:rPr>
                    <w:rFonts w:eastAsia="Calibri"/>
                    <w:szCs w:val="24"/>
                  </w:rPr>
                </w:pPr>
                <w:r>
                  <w:rPr>
                    <w:rFonts w:eastAsia="Calibri"/>
                    <w:szCs w:val="24"/>
                  </w:rPr>
                  <w:t>I tipo cukrinis diabetas, gydomas insulinu, E10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6.4.</w:t>
                </w:r>
              </w:p>
            </w:tc>
            <w:tc>
              <w:tcPr>
                <w:tcW w:w="2977" w:type="dxa"/>
              </w:tcPr>
              <w:p>
                <w:pPr>
                  <w:spacing w:line="276" w:lineRule="auto"/>
                  <w:rPr>
                    <w:rFonts w:eastAsia="Calibri"/>
                    <w:szCs w:val="24"/>
                  </w:rPr>
                </w:pPr>
                <w:r>
                  <w:rPr>
                    <w:rFonts w:eastAsia="Calibri"/>
                    <w:szCs w:val="24"/>
                  </w:rPr>
                  <w:t xml:space="preserve">II tipo cukrinis diabetas, E11, gydomas dieta arba hipoglikemizuojančiais peroraliniais medikamentais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Dėl tinkamumo dirbti jūrų ir vidaus vandenų laivuose sprendžiama individualiai po gydytojo endokrinologo konsultacijos. </w:t>
                </w:r>
              </w:p>
            </w:tc>
          </w:tr>
          <w:tr>
            <w:tc>
              <w:tcPr>
                <w:tcW w:w="816" w:type="dxa"/>
              </w:tcPr>
              <w:p>
                <w:pPr>
                  <w:spacing w:line="276" w:lineRule="auto"/>
                  <w:jc w:val="both"/>
                  <w:rPr>
                    <w:rFonts w:eastAsia="Calibri"/>
                    <w:szCs w:val="24"/>
                  </w:rPr>
                </w:pPr>
                <w:r>
                  <w:rPr>
                    <w:rFonts w:eastAsia="Calibri"/>
                    <w:szCs w:val="24"/>
                  </w:rPr>
                  <w:t>6.5.</w:t>
                </w:r>
              </w:p>
            </w:tc>
            <w:tc>
              <w:tcPr>
                <w:tcW w:w="2977" w:type="dxa"/>
              </w:tcPr>
              <w:p>
                <w:pPr>
                  <w:spacing w:line="276" w:lineRule="auto"/>
                  <w:rPr>
                    <w:rFonts w:eastAsia="Calibri"/>
                    <w:szCs w:val="24"/>
                  </w:rPr>
                </w:pPr>
                <w:r>
                  <w:rPr>
                    <w:rFonts w:eastAsia="Calibri"/>
                    <w:szCs w:val="24"/>
                  </w:rPr>
                  <w:t>II tipo cukrinis diabetas E11 (nekontroliuojamas skiriant peroralinius hipoglikemizuojančius medikamentus didelėmis dozėmis, išryškėjus encefalopatijai, retinopatijai, nefropatijai, polineuropatijai), taikant pakaitinę terapiją insulinu</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color w:val="000000"/>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color w:val="000000"/>
                    <w:szCs w:val="24"/>
                  </w:rPr>
                </w:pPr>
                <w:r>
                  <w:rPr>
                    <w:rFonts w:eastAsia="Calibri"/>
                    <w:color w:val="000000"/>
                    <w:szCs w:val="24"/>
                  </w:rPr>
                  <w:t>6.6.</w:t>
                </w:r>
              </w:p>
            </w:tc>
            <w:tc>
              <w:tcPr>
                <w:tcW w:w="2977" w:type="dxa"/>
              </w:tcPr>
              <w:p>
                <w:pPr>
                  <w:spacing w:line="276" w:lineRule="auto"/>
                  <w:rPr>
                    <w:rFonts w:eastAsia="Calibri"/>
                    <w:szCs w:val="24"/>
                  </w:rPr>
                </w:pPr>
                <w:r>
                  <w:rPr>
                    <w:rFonts w:eastAsia="Calibri"/>
                    <w:szCs w:val="24"/>
                  </w:rPr>
                  <w:t>Hipofizės hiperfunkcija, E22.0–E22.9</w:t>
                </w:r>
              </w:p>
              <w:p>
                <w:pPr>
                  <w:spacing w:line="276" w:lineRule="auto"/>
                  <w:rPr>
                    <w:rFonts w:eastAsia="Calibri"/>
                    <w:szCs w:val="24"/>
                  </w:rPr>
                </w:pPr>
                <w:r>
                  <w:rPr>
                    <w:rFonts w:eastAsia="Calibri"/>
                    <w:szCs w:val="24"/>
                  </w:rPr>
                  <w:t xml:space="preserve">Hipofizės hipofunkcija ir kiti funkcijos sutrikimai, </w:t>
                </w:r>
              </w:p>
              <w:p>
                <w:pPr>
                  <w:spacing w:line="276" w:lineRule="auto"/>
                  <w:rPr>
                    <w:rFonts w:eastAsia="Calibri"/>
                    <w:color w:val="000000"/>
                    <w:szCs w:val="24"/>
                  </w:rPr>
                </w:pPr>
                <w:r>
                  <w:rPr>
                    <w:rFonts w:eastAsia="Calibri"/>
                    <w:szCs w:val="24"/>
                  </w:rPr>
                  <w:t>E23.0–E23.7</w:t>
                </w: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szCs w:val="24"/>
                  </w:rPr>
                  <w:t xml:space="preserve">Dėl tinkamumo dirbti </w:t>
                </w:r>
                <w:r>
                  <w:rPr>
                    <w:rFonts w:eastAsia="Calibri"/>
                    <w:color w:val="000000"/>
                    <w:szCs w:val="24"/>
                  </w:rPr>
                  <w:t>jūrų ir vidaus vandenų laivuose</w:t>
                </w:r>
                <w:r>
                  <w:rPr>
                    <w:rFonts w:eastAsia="Calibri"/>
                    <w:szCs w:val="24"/>
                  </w:rPr>
                  <w:t xml:space="preserve"> sprendžiama individualiai </w:t>
                </w:r>
                <w:r>
                  <w:rPr>
                    <w:rFonts w:eastAsia="Calibri"/>
                    <w:color w:val="000000"/>
                    <w:szCs w:val="24"/>
                  </w:rPr>
                  <w:t>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6.7.</w:t>
                </w:r>
              </w:p>
            </w:tc>
            <w:tc>
              <w:tcPr>
                <w:tcW w:w="2977" w:type="dxa"/>
              </w:tcPr>
              <w:p>
                <w:pPr>
                  <w:spacing w:line="276" w:lineRule="auto"/>
                  <w:rPr>
                    <w:rFonts w:eastAsia="Calibri"/>
                    <w:szCs w:val="24"/>
                  </w:rPr>
                </w:pPr>
                <w:r>
                  <w:rPr>
                    <w:rFonts w:eastAsia="Calibri"/>
                    <w:szCs w:val="24"/>
                  </w:rPr>
                  <w:t>Pirminis antinksčių žievės nepakankamumas, E27.1–E27.4</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6.8.</w:t>
                </w:r>
              </w:p>
            </w:tc>
            <w:tc>
              <w:tcPr>
                <w:tcW w:w="2977" w:type="dxa"/>
              </w:tcPr>
              <w:p>
                <w:pPr>
                  <w:spacing w:line="276" w:lineRule="auto"/>
                  <w:rPr>
                    <w:rFonts w:eastAsia="Calibri"/>
                    <w:color w:val="000000"/>
                    <w:szCs w:val="24"/>
                  </w:rPr>
                </w:pPr>
                <w:r>
                  <w:rPr>
                    <w:rFonts w:eastAsia="Calibri"/>
                    <w:szCs w:val="24"/>
                  </w:rPr>
                  <w:t>Antinksčių funkcijos sutrikimai, E27.5–E27.9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dirbti </w:t>
                </w:r>
                <w:r>
                  <w:rPr>
                    <w:rFonts w:eastAsia="Calibri"/>
                    <w:color w:val="000000"/>
                    <w:szCs w:val="24"/>
                  </w:rPr>
                  <w:t>jūrų ir vidaus vandenų laive</w:t>
                </w:r>
                <w:r>
                  <w:rPr>
                    <w:rFonts w:eastAsia="Calibri"/>
                    <w:szCs w:val="24"/>
                  </w:rPr>
                  <w:t xml:space="preserve"> </w:t>
                </w:r>
                <w:r>
                  <w:rPr>
                    <w:rFonts w:eastAsia="Calibri"/>
                    <w:color w:val="000000"/>
                    <w:szCs w:val="24"/>
                  </w:rPr>
                  <w:t>sprendžiama individualiai 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6.9.</w:t>
                </w:r>
              </w:p>
            </w:tc>
            <w:tc>
              <w:tcPr>
                <w:tcW w:w="2977" w:type="dxa"/>
              </w:tcPr>
              <w:p>
                <w:pPr>
                  <w:spacing w:line="276" w:lineRule="auto"/>
                  <w:rPr>
                    <w:rFonts w:eastAsia="Calibri"/>
                    <w:szCs w:val="24"/>
                  </w:rPr>
                </w:pPr>
                <w:r>
                  <w:rPr>
                    <w:rFonts w:eastAsia="Calibri"/>
                    <w:szCs w:val="24"/>
                  </w:rPr>
                  <w:t>Nutukimas, E66</w:t>
                </w:r>
              </w:p>
            </w:tc>
            <w:tc>
              <w:tcPr>
                <w:tcW w:w="4110" w:type="dxa"/>
              </w:tcPr>
              <w:p>
                <w:pPr>
                  <w:spacing w:line="276" w:lineRule="auto"/>
                  <w:rPr>
                    <w:rFonts w:eastAsia="Calibri"/>
                    <w:szCs w:val="24"/>
                  </w:rPr>
                </w:pPr>
                <w:r>
                  <w:rPr>
                    <w:rFonts w:eastAsia="Calibri"/>
                    <w:szCs w:val="24"/>
                  </w:rPr>
                  <w:t>Nė vienos profesinės grupės darbuotojai, kurių KMI &gt; 40,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endokrinologo konsultacijos.</w:t>
                </w:r>
                <w:r>
                  <w:rPr>
                    <w:rFonts w:eastAsia="Calibri"/>
                    <w:color w:val="FF0000"/>
                    <w:szCs w:val="24"/>
                  </w:rPr>
                  <w:t xml:space="preserve"> </w:t>
                </w:r>
              </w:p>
            </w:tc>
          </w:tr>
          <w:tr>
            <w:tc>
              <w:tcPr>
                <w:tcW w:w="816" w:type="dxa"/>
              </w:tcPr>
              <w:p>
                <w:pPr>
                  <w:spacing w:line="276" w:lineRule="auto"/>
                  <w:jc w:val="both"/>
                  <w:rPr>
                    <w:rFonts w:eastAsia="Calibri"/>
                    <w:b/>
                    <w:szCs w:val="24"/>
                  </w:rPr>
                </w:pPr>
                <w:r>
                  <w:rPr>
                    <w:rFonts w:eastAsia="Calibri"/>
                    <w:b/>
                    <w:szCs w:val="24"/>
                  </w:rPr>
                  <w:t>7.</w:t>
                </w:r>
              </w:p>
            </w:tc>
            <w:tc>
              <w:tcPr>
                <w:tcW w:w="14140" w:type="dxa"/>
                <w:gridSpan w:val="4"/>
              </w:tcPr>
              <w:p>
                <w:pPr>
                  <w:spacing w:line="276" w:lineRule="auto"/>
                  <w:jc w:val="center"/>
                  <w:rPr>
                    <w:rFonts w:eastAsia="Calibri"/>
                    <w:b/>
                    <w:szCs w:val="24"/>
                  </w:rPr>
                </w:pPr>
                <w:r>
                  <w:rPr>
                    <w:rFonts w:eastAsia="Calibri"/>
                    <w:b/>
                    <w:szCs w:val="24"/>
                  </w:rPr>
                  <w:t xml:space="preserve">VIRŠKINIMO SISTEMOS LIGOS </w:t>
                </w:r>
              </w:p>
            </w:tc>
          </w:tr>
          <w:tr>
            <w:tc>
              <w:tcPr>
                <w:tcW w:w="816" w:type="dxa"/>
              </w:tcPr>
              <w:p>
                <w:pPr>
                  <w:spacing w:line="276" w:lineRule="auto"/>
                  <w:jc w:val="both"/>
                  <w:rPr>
                    <w:rFonts w:eastAsia="Calibri"/>
                    <w:szCs w:val="24"/>
                  </w:rPr>
                </w:pPr>
                <w:r>
                  <w:rPr>
                    <w:rFonts w:eastAsia="Calibri"/>
                    <w:szCs w:val="24"/>
                  </w:rPr>
                  <w:t>7.1.</w:t>
                </w:r>
              </w:p>
            </w:tc>
            <w:tc>
              <w:tcPr>
                <w:tcW w:w="2977" w:type="dxa"/>
              </w:tcPr>
              <w:p>
                <w:pPr>
                  <w:spacing w:line="276" w:lineRule="auto"/>
                  <w:rPr>
                    <w:rFonts w:eastAsia="Calibri"/>
                    <w:szCs w:val="24"/>
                  </w:rPr>
                </w:pPr>
                <w:r>
                  <w:rPr>
                    <w:rFonts w:eastAsia="Calibri"/>
                    <w:szCs w:val="24"/>
                  </w:rPr>
                  <w:t>Lėtinis hepatitas B, B18.1</w:t>
                </w:r>
              </w:p>
              <w:p>
                <w:pPr>
                  <w:spacing w:line="276" w:lineRule="auto"/>
                  <w:rPr>
                    <w:rFonts w:eastAsia="Calibri"/>
                    <w:szCs w:val="24"/>
                  </w:rPr>
                </w:pPr>
                <w:r>
                  <w:rPr>
                    <w:rFonts w:eastAsia="Calibri"/>
                    <w:szCs w:val="24"/>
                  </w:rPr>
                  <w:t>Lėtinis hepatitas C, B18.2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Po gydymo dėl tinkamumo dirbti </w:t>
                </w:r>
                <w:r>
                  <w:rPr>
                    <w:rFonts w:eastAsia="Calibri"/>
                    <w:color w:val="000000"/>
                    <w:szCs w:val="24"/>
                  </w:rPr>
                  <w:t>jūrų ir vidaus vandenų laivuose</w:t>
                </w:r>
                <w:r>
                  <w:rPr>
                    <w:rFonts w:eastAsia="Calibri"/>
                    <w:szCs w:val="24"/>
                  </w:rPr>
                  <w:t xml:space="preserve"> sprendžiama </w:t>
                </w:r>
                <w:r>
                  <w:rPr>
                    <w:rFonts w:eastAsia="Calibri"/>
                    <w:color w:val="000000"/>
                    <w:szCs w:val="24"/>
                  </w:rPr>
                  <w:t>individualiai po gydytojo gastroenterologo</w:t>
                </w:r>
                <w:r>
                  <w:rPr>
                    <w:rFonts w:eastAsia="Calibri"/>
                    <w:szCs w:val="24"/>
                  </w:rPr>
                  <w:t xml:space="preserve"> ar </w:t>
                </w:r>
                <w:r>
                  <w:rPr>
                    <w:rFonts w:eastAsia="Calibri"/>
                    <w:color w:val="000000"/>
                    <w:szCs w:val="24"/>
                  </w:rPr>
                  <w:t xml:space="preserve">gydytojo </w:t>
                </w:r>
                <w:r>
                  <w:rPr>
                    <w:rFonts w:eastAsia="Calibri"/>
                    <w:szCs w:val="24"/>
                  </w:rPr>
                  <w:t>infektologo konsultacijos.</w:t>
                </w:r>
              </w:p>
            </w:tc>
          </w:tr>
          <w:tr>
            <w:tc>
              <w:tcPr>
                <w:tcW w:w="816" w:type="dxa"/>
              </w:tcPr>
              <w:p>
                <w:pPr>
                  <w:spacing w:line="276" w:lineRule="auto"/>
                  <w:jc w:val="both"/>
                  <w:rPr>
                    <w:rFonts w:eastAsia="Calibri"/>
                    <w:szCs w:val="24"/>
                  </w:rPr>
                </w:pPr>
                <w:r>
                  <w:rPr>
                    <w:rFonts w:eastAsia="Calibri"/>
                    <w:szCs w:val="24"/>
                  </w:rPr>
                  <w:t>7.2.</w:t>
                </w:r>
              </w:p>
            </w:tc>
            <w:tc>
              <w:tcPr>
                <w:tcW w:w="2977" w:type="dxa"/>
              </w:tcPr>
              <w:p>
                <w:pPr>
                  <w:spacing w:line="276" w:lineRule="auto"/>
                  <w:rPr>
                    <w:rFonts w:eastAsia="Calibri"/>
                    <w:szCs w:val="24"/>
                  </w:rPr>
                </w:pPr>
                <w:r>
                  <w:rPr>
                    <w:rFonts w:eastAsia="Calibri"/>
                    <w:szCs w:val="24"/>
                  </w:rPr>
                  <w:t>Erozinis ezofagitas, K20</w:t>
                </w:r>
              </w:p>
              <w:p>
                <w:pPr>
                  <w:spacing w:line="276" w:lineRule="auto"/>
                  <w:rPr>
                    <w:rFonts w:eastAsia="Calibri"/>
                    <w:szCs w:val="24"/>
                  </w:rPr>
                </w:pPr>
                <w:r>
                  <w:rPr>
                    <w:rFonts w:eastAsia="Calibri"/>
                    <w:szCs w:val="24"/>
                  </w:rPr>
                  <w:t>Skrandžio opa, K25.7</w:t>
                </w:r>
              </w:p>
              <w:p>
                <w:pPr>
                  <w:spacing w:line="276" w:lineRule="auto"/>
                  <w:rPr>
                    <w:rFonts w:eastAsia="Calibri"/>
                    <w:szCs w:val="24"/>
                  </w:rPr>
                </w:pPr>
                <w:r>
                  <w:rPr>
                    <w:rFonts w:eastAsia="Calibri"/>
                    <w:szCs w:val="24"/>
                  </w:rPr>
                  <w:t>Dvylikapirštės žarnos opa, K26.7</w:t>
                </w:r>
              </w:p>
              <w:p>
                <w:pPr>
                  <w:spacing w:line="276" w:lineRule="auto"/>
                  <w:rPr>
                    <w:rFonts w:eastAsia="Calibri"/>
                    <w:szCs w:val="24"/>
                  </w:rPr>
                </w:pPr>
                <w:r>
                  <w:rPr>
                    <w:rFonts w:eastAsia="Calibri"/>
                    <w:szCs w:val="24"/>
                  </w:rPr>
                  <w:t>Ūminis hemoraginis gastritas, K29.0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jei liga komplikuojasi (po kraujavimo), praėjus 3 mėn. po pasveikimo, po gydytojo gastroenterologo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7.3.</w:t>
                </w:r>
              </w:p>
            </w:tc>
            <w:tc>
              <w:tcPr>
                <w:tcW w:w="2977" w:type="dxa"/>
              </w:tcPr>
              <w:p>
                <w:pPr>
                  <w:spacing w:line="276" w:lineRule="auto"/>
                  <w:rPr>
                    <w:rFonts w:eastAsia="Calibri"/>
                    <w:szCs w:val="24"/>
                  </w:rPr>
                </w:pPr>
                <w:r>
                  <w:rPr>
                    <w:rFonts w:eastAsia="Calibri"/>
                    <w:szCs w:val="24"/>
                  </w:rPr>
                  <w:t>Krono liga, K50</w:t>
                </w:r>
              </w:p>
              <w:p>
                <w:pPr>
                  <w:spacing w:line="276" w:lineRule="auto"/>
                  <w:rPr>
                    <w:rFonts w:eastAsia="Calibri"/>
                    <w:szCs w:val="24"/>
                  </w:rPr>
                </w:pPr>
                <w:r>
                  <w:rPr>
                    <w:rFonts w:eastAsia="Calibri"/>
                    <w:szCs w:val="24"/>
                  </w:rPr>
                  <w:t>Opinis kolitas, K51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w:t>
                </w:r>
                <w:r>
                  <w:rPr>
                    <w:rFonts w:eastAsia="Calibri"/>
                    <w:szCs w:val="24"/>
                  </w:rPr>
                  <w:t xml:space="preserve"> jūrų ir vidaus vandenų laivuose </w:t>
                </w:r>
                <w:r>
                  <w:rPr>
                    <w:rFonts w:eastAsia="Calibri"/>
                    <w:color w:val="000000"/>
                    <w:szCs w:val="24"/>
                  </w:rPr>
                  <w:t>po gydytojo gastroenterologo konsultacijos sprendžiama individualiai</w:t>
                </w:r>
                <w:r>
                  <w:rPr>
                    <w:rFonts w:eastAsia="Calibri"/>
                    <w:szCs w:val="24"/>
                  </w:rPr>
                  <w:t>, jeigu 1 metų laikotarpiu buvo ligos remisija.</w:t>
                </w:r>
              </w:p>
            </w:tc>
          </w:tr>
          <w:tr>
            <w:tc>
              <w:tcPr>
                <w:tcW w:w="816" w:type="dxa"/>
              </w:tcPr>
              <w:p>
                <w:pPr>
                  <w:spacing w:line="276" w:lineRule="auto"/>
                  <w:jc w:val="both"/>
                  <w:rPr>
                    <w:rFonts w:eastAsia="Calibri"/>
                    <w:szCs w:val="24"/>
                  </w:rPr>
                </w:pPr>
                <w:r>
                  <w:rPr>
                    <w:rFonts w:eastAsia="Calibri"/>
                    <w:szCs w:val="24"/>
                  </w:rPr>
                  <w:t>7.4.</w:t>
                </w:r>
              </w:p>
            </w:tc>
            <w:tc>
              <w:tcPr>
                <w:tcW w:w="2977" w:type="dxa"/>
              </w:tcPr>
              <w:p>
                <w:pPr>
                  <w:spacing w:line="276" w:lineRule="auto"/>
                  <w:rPr>
                    <w:rFonts w:eastAsia="Calibri"/>
                    <w:szCs w:val="24"/>
                  </w:rPr>
                </w:pPr>
                <w:r>
                  <w:rPr>
                    <w:rFonts w:eastAsia="Calibri"/>
                    <w:szCs w:val="24"/>
                  </w:rPr>
                  <w:t>Storosios žarnos divertikulinė liga, komplikuota divertikulitu, kraujavimu,</w:t>
                </w:r>
              </w:p>
              <w:p>
                <w:pPr>
                  <w:spacing w:line="276" w:lineRule="auto"/>
                  <w:rPr>
                    <w:rFonts w:eastAsia="Calibri"/>
                    <w:szCs w:val="24"/>
                  </w:rPr>
                </w:pPr>
                <w:r>
                  <w:rPr>
                    <w:rFonts w:eastAsia="Calibri"/>
                    <w:szCs w:val="24"/>
                  </w:rPr>
                  <w:t>K57.23</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po 3 mėn. </w:t>
                </w:r>
                <w:r>
                  <w:rPr>
                    <w:rFonts w:eastAsia="Calibri"/>
                    <w:color w:val="000000"/>
                    <w:szCs w:val="24"/>
                  </w:rPr>
                  <w:t>po gydytojo gastroenterologo konsultacijos, jeigu</w:t>
                </w:r>
                <w:r>
                  <w:rPr>
                    <w:rFonts w:eastAsia="Calibri"/>
                    <w:szCs w:val="24"/>
                  </w:rPr>
                  <w:t xml:space="preserve"> 3 mėnesių laikotarpiu buvo ligos remisija.</w:t>
                </w:r>
              </w:p>
            </w:tc>
          </w:tr>
          <w:tr>
            <w:tc>
              <w:tcPr>
                <w:tcW w:w="816" w:type="dxa"/>
              </w:tcPr>
              <w:p>
                <w:pPr>
                  <w:spacing w:line="276" w:lineRule="auto"/>
                  <w:jc w:val="both"/>
                  <w:rPr>
                    <w:rFonts w:eastAsia="Calibri"/>
                    <w:szCs w:val="24"/>
                  </w:rPr>
                </w:pPr>
                <w:r>
                  <w:rPr>
                    <w:rFonts w:eastAsia="Calibri"/>
                    <w:szCs w:val="24"/>
                  </w:rPr>
                  <w:t>7.5.</w:t>
                </w:r>
              </w:p>
            </w:tc>
            <w:tc>
              <w:tcPr>
                <w:tcW w:w="2977" w:type="dxa"/>
              </w:tcPr>
              <w:p>
                <w:pPr>
                  <w:spacing w:line="276" w:lineRule="auto"/>
                  <w:rPr>
                    <w:rFonts w:eastAsia="Calibri"/>
                    <w:szCs w:val="24"/>
                  </w:rPr>
                </w:pPr>
                <w:r>
                  <w:rPr>
                    <w:rFonts w:eastAsia="Calibri"/>
                    <w:szCs w:val="24"/>
                  </w:rPr>
                  <w:t>Kepenų cirozė, K74</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7.6.</w:t>
                </w:r>
              </w:p>
            </w:tc>
            <w:tc>
              <w:tcPr>
                <w:tcW w:w="2977" w:type="dxa"/>
              </w:tcPr>
              <w:p>
                <w:pPr>
                  <w:spacing w:line="276" w:lineRule="auto"/>
                  <w:rPr>
                    <w:rFonts w:eastAsia="Calibri"/>
                    <w:szCs w:val="24"/>
                  </w:rPr>
                </w:pPr>
                <w:r>
                  <w:rPr>
                    <w:rFonts w:eastAsia="Calibri"/>
                    <w:szCs w:val="24"/>
                  </w:rPr>
                  <w:t>Tulžies pūslės akmuo be</w:t>
                </w:r>
                <w:r>
                  <w:rPr>
                    <w:rFonts w:eastAsia="Calibri"/>
                    <w:strike/>
                    <w:szCs w:val="24"/>
                  </w:rPr>
                  <w:t xml:space="preserve"> </w:t>
                </w:r>
                <w:r>
                  <w:rPr>
                    <w:rFonts w:eastAsia="Calibri"/>
                    <w:szCs w:val="24"/>
                  </w:rPr>
                  <w:t>cholecistito, K80.2</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nėra klinikinių požymių – visų profesinių grupių asmenys gali dirbti jūrų ir vidaus vandenų laivuose.</w:t>
                </w:r>
              </w:p>
            </w:tc>
          </w:tr>
          <w:tr>
            <w:tc>
              <w:tcPr>
                <w:tcW w:w="816" w:type="dxa"/>
              </w:tcPr>
              <w:p>
                <w:pPr>
                  <w:spacing w:line="276" w:lineRule="auto"/>
                  <w:jc w:val="both"/>
                  <w:rPr>
                    <w:rFonts w:eastAsia="Calibri"/>
                    <w:szCs w:val="24"/>
                  </w:rPr>
                </w:pPr>
                <w:r>
                  <w:rPr>
                    <w:rFonts w:eastAsia="Calibri"/>
                    <w:szCs w:val="24"/>
                  </w:rPr>
                  <w:t>7.7.</w:t>
                </w:r>
              </w:p>
            </w:tc>
            <w:tc>
              <w:tcPr>
                <w:tcW w:w="2977" w:type="dxa"/>
              </w:tcPr>
              <w:p>
                <w:pPr>
                  <w:spacing w:line="276" w:lineRule="auto"/>
                  <w:rPr>
                    <w:rFonts w:eastAsia="Calibri"/>
                    <w:szCs w:val="24"/>
                  </w:rPr>
                </w:pPr>
                <w:r>
                  <w:rPr>
                    <w:rFonts w:eastAsia="Calibri"/>
                    <w:szCs w:val="24"/>
                  </w:rPr>
                  <w:t>Ūminis pankreatitas, K85 Lėtinis pankreatitas, K86.1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gastroenterologo</w:t>
                </w:r>
                <w:r>
                  <w:rPr>
                    <w:rFonts w:eastAsia="Calibri"/>
                    <w:szCs w:val="24"/>
                  </w:rPr>
                  <w:t xml:space="preserve"> konsultacijos, jeigu 3 mėnesių laikotarpiu buvo ligos remisija.</w:t>
                </w:r>
              </w:p>
            </w:tc>
          </w:tr>
          <w:tr>
            <w:tc>
              <w:tcPr>
                <w:tcW w:w="816" w:type="dxa"/>
              </w:tcPr>
              <w:p>
                <w:pPr>
                  <w:spacing w:line="276" w:lineRule="auto"/>
                  <w:jc w:val="both"/>
                  <w:rPr>
                    <w:rFonts w:eastAsia="Calibri"/>
                    <w:b/>
                    <w:szCs w:val="24"/>
                  </w:rPr>
                </w:pPr>
                <w:r>
                  <w:rPr>
                    <w:rFonts w:eastAsia="Calibri"/>
                    <w:b/>
                    <w:szCs w:val="24"/>
                  </w:rPr>
                  <w:t>8.</w:t>
                </w:r>
              </w:p>
            </w:tc>
            <w:tc>
              <w:tcPr>
                <w:tcW w:w="14140" w:type="dxa"/>
                <w:gridSpan w:val="4"/>
              </w:tcPr>
              <w:p>
                <w:pPr>
                  <w:spacing w:line="276" w:lineRule="auto"/>
                  <w:jc w:val="center"/>
                  <w:rPr>
                    <w:rFonts w:eastAsia="Calibri"/>
                    <w:b/>
                    <w:szCs w:val="24"/>
                  </w:rPr>
                </w:pPr>
                <w:r>
                  <w:rPr>
                    <w:rFonts w:eastAsia="Calibri"/>
                    <w:b/>
                    <w:szCs w:val="24"/>
                  </w:rPr>
                  <w:t>JUNGIAMOJO AUDINIO IR RAUMENŲ BEI SKELETO LIGOS</w:t>
                </w:r>
              </w:p>
            </w:tc>
          </w:tr>
          <w:tr>
            <w:tc>
              <w:tcPr>
                <w:tcW w:w="816" w:type="dxa"/>
              </w:tcPr>
              <w:p>
                <w:pPr>
                  <w:spacing w:line="276" w:lineRule="auto"/>
                  <w:jc w:val="both"/>
                  <w:rPr>
                    <w:rFonts w:eastAsia="Calibri"/>
                    <w:szCs w:val="24"/>
                  </w:rPr>
                </w:pPr>
                <w:r>
                  <w:rPr>
                    <w:rFonts w:eastAsia="Calibri"/>
                    <w:szCs w:val="24"/>
                  </w:rPr>
                  <w:t>8.1.</w:t>
                </w:r>
              </w:p>
            </w:tc>
            <w:tc>
              <w:tcPr>
                <w:tcW w:w="2977" w:type="dxa"/>
              </w:tcPr>
              <w:p>
                <w:pPr>
                  <w:spacing w:line="276" w:lineRule="auto"/>
                  <w:rPr>
                    <w:rFonts w:eastAsia="Calibri"/>
                    <w:szCs w:val="24"/>
                  </w:rPr>
                </w:pPr>
                <w:r>
                  <w:rPr>
                    <w:rFonts w:eastAsia="Calibri"/>
                    <w:szCs w:val="24"/>
                  </w:rPr>
                  <w:t>Uždegiminės poliartropatijos, M05–M14</w:t>
                </w:r>
              </w:p>
              <w:p>
                <w:pPr>
                  <w:spacing w:line="276" w:lineRule="auto"/>
                  <w:rPr>
                    <w:rFonts w:eastAsia="Calibri"/>
                    <w:szCs w:val="24"/>
                  </w:rPr>
                </w:pPr>
                <w:r>
                  <w:rPr>
                    <w:rFonts w:eastAsia="Calibri"/>
                    <w:szCs w:val="24"/>
                  </w:rPr>
                  <w:t>Sisteminės jungiamojo audinio ligos, M30–M36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w:t>
                </w:r>
                <w:r>
                  <w:rPr>
                    <w:rFonts w:eastAsia="Calibri"/>
                    <w:color w:val="000000"/>
                    <w:szCs w:val="24"/>
                  </w:rPr>
                  <w:t>po gydytojo reumatologo konsultacijos.</w:t>
                </w:r>
              </w:p>
            </w:tc>
          </w:tr>
          <w:tr>
            <w:tc>
              <w:tcPr>
                <w:tcW w:w="816" w:type="dxa"/>
              </w:tcPr>
              <w:p>
                <w:pPr>
                  <w:spacing w:line="276" w:lineRule="auto"/>
                  <w:jc w:val="both"/>
                  <w:rPr>
                    <w:rFonts w:eastAsia="Calibri"/>
                    <w:b/>
                    <w:szCs w:val="24"/>
                  </w:rPr>
                </w:pPr>
                <w:r>
                  <w:rPr>
                    <w:rFonts w:eastAsia="Calibri"/>
                    <w:b/>
                    <w:szCs w:val="24"/>
                  </w:rPr>
                  <w:t>9.</w:t>
                </w:r>
              </w:p>
            </w:tc>
            <w:tc>
              <w:tcPr>
                <w:tcW w:w="14140" w:type="dxa"/>
                <w:gridSpan w:val="4"/>
              </w:tcPr>
              <w:p>
                <w:pPr>
                  <w:spacing w:line="276" w:lineRule="auto"/>
                  <w:jc w:val="center"/>
                  <w:rPr>
                    <w:rFonts w:eastAsia="Calibri"/>
                    <w:b/>
                    <w:szCs w:val="24"/>
                  </w:rPr>
                </w:pPr>
                <w:r>
                  <w:rPr>
                    <w:rFonts w:eastAsia="Calibri"/>
                    <w:b/>
                    <w:szCs w:val="24"/>
                  </w:rPr>
                  <w:t>LYTINĖS IR ŠLAPIMO SISTEMOS LIGOS</w:t>
                </w:r>
              </w:p>
            </w:tc>
          </w:tr>
          <w:tr>
            <w:tc>
              <w:tcPr>
                <w:tcW w:w="816" w:type="dxa"/>
              </w:tcPr>
              <w:p>
                <w:pPr>
                  <w:spacing w:line="276" w:lineRule="auto"/>
                  <w:jc w:val="both"/>
                  <w:rPr>
                    <w:rFonts w:eastAsia="Calibri"/>
                    <w:szCs w:val="24"/>
                  </w:rPr>
                </w:pPr>
                <w:r>
                  <w:rPr>
                    <w:rFonts w:eastAsia="Calibri"/>
                    <w:szCs w:val="24"/>
                  </w:rPr>
                  <w:t>9.1.</w:t>
                </w:r>
              </w:p>
            </w:tc>
            <w:tc>
              <w:tcPr>
                <w:tcW w:w="2977" w:type="dxa"/>
              </w:tcPr>
              <w:p>
                <w:pPr>
                  <w:spacing w:line="276" w:lineRule="auto"/>
                  <w:rPr>
                    <w:rFonts w:eastAsia="Calibri"/>
                    <w:szCs w:val="24"/>
                  </w:rPr>
                </w:pPr>
                <w:r>
                  <w:rPr>
                    <w:rFonts w:eastAsia="Calibri"/>
                    <w:szCs w:val="24"/>
                  </w:rPr>
                  <w:t>Glomerulų ligos, N00–N08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Jei nėra inkstų funkcijos nepakankamumo, dėl </w:t>
                </w:r>
                <w:r>
                  <w:rPr>
                    <w:rFonts w:eastAsia="Calibri"/>
                    <w:color w:val="000000"/>
                    <w:szCs w:val="24"/>
                  </w:rPr>
                  <w:t>tinkamumo dirbti jūrų ir vidaus vandenų laivuose sprendžiama individualiai po gydytojo nefrologo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9.2.</w:t>
                </w:r>
              </w:p>
            </w:tc>
            <w:tc>
              <w:tcPr>
                <w:tcW w:w="2977" w:type="dxa"/>
              </w:tcPr>
              <w:p>
                <w:pPr>
                  <w:spacing w:line="276" w:lineRule="auto"/>
                  <w:rPr>
                    <w:rFonts w:eastAsia="Calibri"/>
                    <w:szCs w:val="24"/>
                  </w:rPr>
                </w:pPr>
                <w:r>
                  <w:rPr>
                    <w:rFonts w:eastAsia="Calibri"/>
                    <w:szCs w:val="24"/>
                  </w:rPr>
                  <w:t>Lėtinės urogenitalinės sistemos uždegiminės ligos,</w:t>
                </w:r>
              </w:p>
              <w:p>
                <w:pPr>
                  <w:spacing w:line="276" w:lineRule="auto"/>
                  <w:rPr>
                    <w:rFonts w:eastAsia="Calibri"/>
                    <w:szCs w:val="24"/>
                  </w:rPr>
                </w:pPr>
                <w:r>
                  <w:rPr>
                    <w:rFonts w:eastAsia="Calibri"/>
                    <w:szCs w:val="24"/>
                  </w:rPr>
                  <w:t>N11.1, N30.2,N34.1, N41.1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Visų profesinių grupių asmenys, jei liga neūmi ir nesutrikusios organų funkcijos, gali dirbti jūrų ir vidaus vandenų laivuose. </w:t>
                </w:r>
              </w:p>
              <w:p>
                <w:pPr>
                  <w:spacing w:line="276" w:lineRule="auto"/>
                  <w:rPr>
                    <w:rFonts w:eastAsia="Calibri"/>
                    <w:szCs w:val="24"/>
                  </w:rPr>
                </w:pPr>
                <w:r>
                  <w:rPr>
                    <w:rFonts w:eastAsia="Calibri"/>
                    <w:szCs w:val="24"/>
                  </w:rPr>
                  <w:t xml:space="preserve">Periodinis tikrinimas </w:t>
                </w:r>
                <w:r>
                  <w:rPr>
                    <w:rFonts w:eastAsia="Calibri"/>
                    <w:color w:val="000000"/>
                    <w:szCs w:val="24"/>
                  </w:rPr>
                  <w:t>– pagal gydytojo urologo rekomendacijas</w:t>
                </w:r>
                <w:r>
                  <w:rPr>
                    <w:rFonts w:eastAsia="Calibri"/>
                    <w:szCs w:val="24"/>
                  </w:rPr>
                  <w:t>.</w:t>
                </w:r>
              </w:p>
            </w:tc>
          </w:tr>
          <w:tr>
            <w:tc>
              <w:tcPr>
                <w:tcW w:w="816" w:type="dxa"/>
              </w:tcPr>
              <w:p>
                <w:pPr>
                  <w:spacing w:line="276" w:lineRule="auto"/>
                  <w:jc w:val="both"/>
                  <w:rPr>
                    <w:rFonts w:eastAsia="Calibri"/>
                    <w:szCs w:val="24"/>
                  </w:rPr>
                </w:pPr>
                <w:r>
                  <w:rPr>
                    <w:rFonts w:eastAsia="Calibri"/>
                    <w:szCs w:val="24"/>
                  </w:rPr>
                  <w:t>9.3.</w:t>
                </w:r>
              </w:p>
            </w:tc>
            <w:tc>
              <w:tcPr>
                <w:tcW w:w="2977" w:type="dxa"/>
              </w:tcPr>
              <w:p>
                <w:pPr>
                  <w:spacing w:line="276" w:lineRule="auto"/>
                  <w:rPr>
                    <w:rFonts w:eastAsia="Calibri"/>
                    <w:szCs w:val="24"/>
                  </w:rPr>
                </w:pPr>
                <w:r>
                  <w:rPr>
                    <w:rFonts w:eastAsia="Calibri"/>
                    <w:szCs w:val="24"/>
                  </w:rPr>
                  <w:t>Obstrukcinė ir refliuksinė uropatija, N13.0–N13.9</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9.4.</w:t>
                </w:r>
              </w:p>
            </w:tc>
            <w:tc>
              <w:tcPr>
                <w:tcW w:w="2977" w:type="dxa"/>
              </w:tcPr>
              <w:p>
                <w:pPr>
                  <w:spacing w:line="276" w:lineRule="auto"/>
                  <w:rPr>
                    <w:rFonts w:eastAsia="Calibri"/>
                    <w:szCs w:val="24"/>
                  </w:rPr>
                </w:pPr>
                <w:r>
                  <w:rPr>
                    <w:rFonts w:eastAsia="Calibri"/>
                    <w:szCs w:val="24"/>
                  </w:rPr>
                  <w:t>Lėtinis inkstų nepakankamumas, N18 (I–II laipsnio)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9.5.</w:t>
                </w:r>
              </w:p>
            </w:tc>
            <w:tc>
              <w:tcPr>
                <w:tcW w:w="2977" w:type="dxa"/>
              </w:tcPr>
              <w:p>
                <w:pPr>
                  <w:spacing w:line="276" w:lineRule="auto"/>
                  <w:rPr>
                    <w:rFonts w:eastAsia="Calibri"/>
                    <w:szCs w:val="24"/>
                  </w:rPr>
                </w:pPr>
                <w:r>
                  <w:rPr>
                    <w:rFonts w:eastAsia="Calibri"/>
                    <w:szCs w:val="24"/>
                  </w:rPr>
                  <w:t>Lėtinis inkstų nepakankamumas, N18 (III–IV laipsnio)</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9.6.</w:t>
                </w:r>
              </w:p>
            </w:tc>
            <w:tc>
              <w:tcPr>
                <w:tcW w:w="2977" w:type="dxa"/>
              </w:tcPr>
              <w:p>
                <w:pPr>
                  <w:spacing w:line="276" w:lineRule="auto"/>
                  <w:rPr>
                    <w:rFonts w:eastAsia="Calibri"/>
                    <w:szCs w:val="24"/>
                  </w:rPr>
                </w:pPr>
                <w:r>
                  <w:rPr>
                    <w:rFonts w:eastAsia="Calibri"/>
                    <w:szCs w:val="24"/>
                  </w:rPr>
                  <w:t>Inkstų ir šlapimo takų akmenligė, N20–N23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Nekomplikuotos ir komplikuotos akmenligės (uždegimas, hidronefrozė ir kitos komplikacijos) atveju po gydymo dėl tinkamumo </w:t>
                </w:r>
                <w:r>
                  <w:rPr>
                    <w:rFonts w:eastAsia="Calibri"/>
                    <w:color w:val="000000"/>
                    <w:szCs w:val="24"/>
                  </w:rPr>
                  <w:t>dirbti jūrų ir vidaus vandenų laiv</w:t>
                </w:r>
                <w:r>
                  <w:rPr>
                    <w:rFonts w:eastAsia="Calibri"/>
                    <w:szCs w:val="24"/>
                  </w:rPr>
                  <w:t xml:space="preserve">uose sprendžiama individualiai po </w:t>
                </w:r>
                <w:r>
                  <w:rPr>
                    <w:rFonts w:eastAsia="Calibri"/>
                    <w:color w:val="000000"/>
                    <w:szCs w:val="24"/>
                  </w:rPr>
                  <w:t>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9.7.</w:t>
                </w:r>
              </w:p>
            </w:tc>
            <w:tc>
              <w:tcPr>
                <w:tcW w:w="2977" w:type="dxa"/>
              </w:tcPr>
              <w:p>
                <w:pPr>
                  <w:spacing w:line="276" w:lineRule="auto"/>
                  <w:rPr>
                    <w:rFonts w:eastAsia="Calibri"/>
                    <w:color w:val="000000"/>
                    <w:szCs w:val="24"/>
                  </w:rPr>
                </w:pPr>
                <w:r>
                  <w:rPr>
                    <w:rFonts w:eastAsia="Calibri"/>
                    <w:color w:val="000000"/>
                    <w:szCs w:val="24"/>
                  </w:rPr>
                  <w:t>Įgyta inksto cista, (dauginė) (solitarinė) N28.1</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Negalima </w:t>
                </w:r>
                <w:r>
                  <w:rPr>
                    <w:rFonts w:eastAsia="Calibri"/>
                    <w:color w:val="000000"/>
                    <w:szCs w:val="24"/>
                  </w:rPr>
                  <w:t>dirbti jūrų ir vidaus vandenų</w:t>
                </w:r>
                <w:r>
                  <w:rPr>
                    <w:rFonts w:eastAsia="Calibri"/>
                    <w:szCs w:val="24"/>
                  </w:rPr>
                  <w:t xml:space="preserve"> laivuose, kai yra didelė komplikacijų rizika ar inkstų funkcijos nepakankamumas. Dėl tinkamumo sprendžiama individualiai </w:t>
                </w:r>
                <w:r>
                  <w:rPr>
                    <w:rFonts w:eastAsia="Calibri"/>
                    <w:color w:val="000000"/>
                    <w:szCs w:val="24"/>
                  </w:rPr>
                  <w:t>po gydytojo urologo ir (ar) gydytojo</w:t>
                </w:r>
                <w:r>
                  <w:rPr>
                    <w:rFonts w:eastAsia="Calibri"/>
                    <w:szCs w:val="24"/>
                  </w:rPr>
                  <w:t xml:space="preserve"> nefrologo konsultacijos.</w:t>
                </w:r>
              </w:p>
            </w:tc>
          </w:tr>
          <w:tr>
            <w:tc>
              <w:tcPr>
                <w:tcW w:w="816" w:type="dxa"/>
              </w:tcPr>
              <w:p>
                <w:pPr>
                  <w:spacing w:line="276" w:lineRule="auto"/>
                  <w:jc w:val="both"/>
                  <w:rPr>
                    <w:rFonts w:eastAsia="Calibri"/>
                    <w:szCs w:val="24"/>
                  </w:rPr>
                </w:pPr>
                <w:r>
                  <w:rPr>
                    <w:rFonts w:eastAsia="Calibri"/>
                    <w:szCs w:val="24"/>
                  </w:rPr>
                  <w:t>9.8.</w:t>
                </w:r>
              </w:p>
            </w:tc>
            <w:tc>
              <w:tcPr>
                <w:tcW w:w="2977" w:type="dxa"/>
              </w:tcPr>
              <w:p>
                <w:pPr>
                  <w:spacing w:line="276" w:lineRule="auto"/>
                  <w:rPr>
                    <w:rFonts w:eastAsia="Calibri"/>
                    <w:szCs w:val="24"/>
                  </w:rPr>
                </w:pPr>
                <w:r>
                  <w:rPr>
                    <w:rFonts w:eastAsia="Calibri"/>
                    <w:szCs w:val="24"/>
                  </w:rPr>
                  <w:t>Priešinės liaukos (prostatos) hiperplazija, N40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 laivuose</w:t>
                </w:r>
                <w:r>
                  <w:rPr>
                    <w:rFonts w:eastAsia="Calibri"/>
                    <w:szCs w:val="24"/>
                  </w:rPr>
                  <w:t xml:space="preserve"> sprendžiama individualiai </w:t>
                </w:r>
                <w:r>
                  <w:rPr>
                    <w:rFonts w:eastAsia="Calibri"/>
                    <w:color w:val="000000"/>
                    <w:szCs w:val="24"/>
                  </w:rPr>
                  <w:t>po 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9.9.</w:t>
                </w:r>
              </w:p>
            </w:tc>
            <w:tc>
              <w:tcPr>
                <w:tcW w:w="2977" w:type="dxa"/>
              </w:tcPr>
              <w:p>
                <w:pPr>
                  <w:spacing w:line="276" w:lineRule="auto"/>
                  <w:rPr>
                    <w:rFonts w:eastAsia="Calibri"/>
                    <w:color w:val="000000"/>
                    <w:szCs w:val="24"/>
                  </w:rPr>
                </w:pPr>
                <w:r>
                  <w:rPr>
                    <w:rFonts w:eastAsia="Calibri"/>
                    <w:color w:val="000000"/>
                    <w:szCs w:val="24"/>
                  </w:rPr>
                  <w:t>Įgimtos šlapimo organų sistemos formavimosi ydos, Q60– Q64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9.10.</w:t>
                </w:r>
              </w:p>
            </w:tc>
            <w:tc>
              <w:tcPr>
                <w:tcW w:w="2977" w:type="dxa"/>
              </w:tcPr>
              <w:p>
                <w:pPr>
                  <w:spacing w:line="276" w:lineRule="auto"/>
                  <w:rPr>
                    <w:rFonts w:eastAsia="Calibri"/>
                    <w:szCs w:val="24"/>
                  </w:rPr>
                </w:pPr>
                <w:r>
                  <w:rPr>
                    <w:rFonts w:eastAsia="Calibri"/>
                    <w:szCs w:val="24"/>
                  </w:rPr>
                  <w:t>Inksto įgytas nebuvimas (būklė po nefrektomijos), Z90.5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vienintelio inksto funkcija normali, dėl 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9.11.</w:t>
                </w:r>
              </w:p>
            </w:tc>
            <w:tc>
              <w:tcPr>
                <w:tcW w:w="2977" w:type="dxa"/>
              </w:tcPr>
              <w:p>
                <w:pPr>
                  <w:spacing w:line="276" w:lineRule="auto"/>
                  <w:rPr>
                    <w:rFonts w:eastAsia="Calibri"/>
                    <w:szCs w:val="24"/>
                  </w:rPr>
                </w:pPr>
                <w:r>
                  <w:rPr>
                    <w:rFonts w:eastAsia="Calibri"/>
                    <w:szCs w:val="24"/>
                  </w:rPr>
                  <w:t xml:space="preserve">Kitos dirbtinės šlapimo takų angos </w:t>
                </w:r>
                <w:r>
                  <w:rPr>
                    <w:rFonts w:eastAsia="Calibri"/>
                    <w:color w:val="000000"/>
                    <w:szCs w:val="24"/>
                  </w:rPr>
                  <w:t>(nefrostoma, urostoma), Z93.6</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Dėl asmenų, kuriems atlikta </w:t>
                </w:r>
                <w:r>
                  <w:rPr>
                    <w:rFonts w:eastAsia="Calibri"/>
                    <w:color w:val="000000"/>
                    <w:szCs w:val="24"/>
                  </w:rPr>
                  <w:t>urostoma, tinkamumo</w:t>
                </w:r>
                <w:r>
                  <w:rPr>
                    <w:rFonts w:eastAsia="Calibri"/>
                    <w:szCs w:val="24"/>
                  </w:rPr>
                  <w:t xml:space="preserve"> </w:t>
                </w:r>
                <w:r>
                  <w:rPr>
                    <w:rFonts w:eastAsia="Calibri"/>
                    <w:color w:val="000000"/>
                    <w:szCs w:val="24"/>
                  </w:rPr>
                  <w:t>dirbti vidaus</w:t>
                </w:r>
                <w:r>
                  <w:rPr>
                    <w:rFonts w:eastAsia="Calibri"/>
                    <w:szCs w:val="24"/>
                  </w:rPr>
                  <w:t xml:space="preserve"> vandenų laivuose sprendžiama individualiai </w:t>
                </w:r>
                <w:r>
                  <w:rPr>
                    <w:rFonts w:eastAsia="Calibri"/>
                    <w:color w:val="000000"/>
                    <w:szCs w:val="24"/>
                  </w:rPr>
                  <w:t>po gydytojo urologo konsultacijos.</w:t>
                </w:r>
              </w:p>
            </w:tc>
          </w:tr>
          <w:tr>
            <w:tc>
              <w:tcPr>
                <w:tcW w:w="816" w:type="dxa"/>
              </w:tcPr>
              <w:p>
                <w:pPr>
                  <w:spacing w:line="276" w:lineRule="auto"/>
                  <w:jc w:val="both"/>
                  <w:rPr>
                    <w:rFonts w:eastAsia="Calibri"/>
                    <w:color w:val="000000"/>
                    <w:szCs w:val="24"/>
                  </w:rPr>
                </w:pPr>
                <w:r>
                  <w:rPr>
                    <w:rFonts w:eastAsia="Calibri"/>
                    <w:color w:val="000000"/>
                    <w:szCs w:val="24"/>
                  </w:rPr>
                  <w:t>9.12.</w:t>
                </w:r>
              </w:p>
            </w:tc>
            <w:tc>
              <w:tcPr>
                <w:tcW w:w="2977" w:type="dxa"/>
              </w:tcPr>
              <w:p>
                <w:pPr>
                  <w:spacing w:line="276" w:lineRule="auto"/>
                  <w:rPr>
                    <w:rFonts w:eastAsia="Calibri"/>
                    <w:color w:val="000000"/>
                    <w:szCs w:val="24"/>
                  </w:rPr>
                </w:pPr>
                <w:r>
                  <w:rPr>
                    <w:rFonts w:eastAsia="Calibri"/>
                    <w:color w:val="000000"/>
                    <w:szCs w:val="24"/>
                  </w:rPr>
                  <w:t>Persodintas inkstas, Z94.0</w:t>
                </w:r>
              </w:p>
              <w:p>
                <w:pPr>
                  <w:spacing w:line="276" w:lineRule="auto"/>
                  <w:rPr>
                    <w:rFonts w:eastAsia="Calibri"/>
                    <w:color w:val="000000"/>
                    <w:szCs w:val="24"/>
                  </w:rPr>
                </w:pP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nefrologo konsultacijos.</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b/>
                    <w:szCs w:val="24"/>
                  </w:rPr>
                </w:pPr>
                <w:r>
                  <w:rPr>
                    <w:rFonts w:eastAsia="Calibri"/>
                    <w:b/>
                    <w:szCs w:val="24"/>
                  </w:rPr>
                  <w:t>10.</w:t>
                </w:r>
              </w:p>
            </w:tc>
            <w:tc>
              <w:tcPr>
                <w:tcW w:w="14140" w:type="dxa"/>
                <w:gridSpan w:val="4"/>
              </w:tcPr>
              <w:p>
                <w:pPr>
                  <w:spacing w:line="276" w:lineRule="auto"/>
                  <w:jc w:val="center"/>
                  <w:rPr>
                    <w:rFonts w:eastAsia="Calibri"/>
                    <w:b/>
                    <w:szCs w:val="24"/>
                  </w:rPr>
                </w:pPr>
                <w:r>
                  <w:rPr>
                    <w:rFonts w:eastAsia="Calibri"/>
                    <w:b/>
                    <w:szCs w:val="24"/>
                  </w:rPr>
                  <w:t xml:space="preserve">NĖŠTUMAS </w:t>
                </w:r>
              </w:p>
            </w:tc>
          </w:tr>
          <w:tr>
            <w:tc>
              <w:tcPr>
                <w:tcW w:w="816" w:type="dxa"/>
              </w:tcPr>
              <w:p>
                <w:pPr>
                  <w:spacing w:line="276" w:lineRule="auto"/>
                  <w:jc w:val="both"/>
                  <w:rPr>
                    <w:rFonts w:eastAsia="Calibri"/>
                    <w:szCs w:val="24"/>
                  </w:rPr>
                </w:pPr>
                <w:r>
                  <w:rPr>
                    <w:rFonts w:eastAsia="Calibri"/>
                    <w:szCs w:val="24"/>
                  </w:rPr>
                  <w:t>10.1.</w:t>
                </w:r>
              </w:p>
            </w:tc>
            <w:tc>
              <w:tcPr>
                <w:tcW w:w="2977" w:type="dxa"/>
              </w:tcPr>
              <w:p>
                <w:pPr>
                  <w:spacing w:line="276" w:lineRule="auto"/>
                  <w:rPr>
                    <w:rFonts w:eastAsia="Calibri"/>
                    <w:szCs w:val="24"/>
                  </w:rPr>
                </w:pPr>
                <w:r>
                  <w:rPr>
                    <w:rFonts w:eastAsia="Calibri"/>
                    <w:szCs w:val="24"/>
                  </w:rPr>
                  <w:t>Nėštumas, O09</w:t>
                </w:r>
              </w:p>
            </w:tc>
            <w:tc>
              <w:tcPr>
                <w:tcW w:w="4110" w:type="dxa"/>
              </w:tcPr>
              <w:p>
                <w:pPr>
                  <w:spacing w:line="276" w:lineRule="auto"/>
                  <w:rPr>
                    <w:rFonts w:eastAsia="Calibri"/>
                    <w:szCs w:val="24"/>
                  </w:rPr>
                </w:pPr>
                <w:r>
                  <w:rPr>
                    <w:rFonts w:eastAsia="Calibri"/>
                    <w:szCs w:val="24"/>
                  </w:rPr>
                  <w:t>Nė vienos profesinės grupės darbuotojos</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 xml:space="preserve">Nė vienos profesinės grupės darbuotojos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11.</w:t>
                </w:r>
              </w:p>
            </w:tc>
            <w:tc>
              <w:tcPr>
                <w:tcW w:w="14140" w:type="dxa"/>
                <w:gridSpan w:val="4"/>
              </w:tcPr>
              <w:p>
                <w:pPr>
                  <w:spacing w:line="276" w:lineRule="auto"/>
                  <w:jc w:val="center"/>
                  <w:rPr>
                    <w:rFonts w:eastAsia="Calibri"/>
                    <w:szCs w:val="24"/>
                  </w:rPr>
                </w:pPr>
                <w:r>
                  <w:rPr>
                    <w:rFonts w:eastAsia="Calibri"/>
                    <w:b/>
                    <w:szCs w:val="24"/>
                  </w:rPr>
                  <w:t>NEUŽDEGIMINĖS MOTERS LYTIES ORGANŲ LIGOS</w:t>
                </w:r>
              </w:p>
            </w:tc>
          </w:tr>
          <w:tr>
            <w:tc>
              <w:tcPr>
                <w:tcW w:w="816" w:type="dxa"/>
              </w:tcPr>
              <w:p>
                <w:pPr>
                  <w:spacing w:line="276" w:lineRule="auto"/>
                  <w:jc w:val="both"/>
                  <w:rPr>
                    <w:rFonts w:eastAsia="Calibri"/>
                    <w:szCs w:val="24"/>
                  </w:rPr>
                </w:pPr>
                <w:r>
                  <w:rPr>
                    <w:rFonts w:eastAsia="Calibri"/>
                    <w:szCs w:val="24"/>
                  </w:rPr>
                  <w:t>11.1.</w:t>
                </w:r>
              </w:p>
            </w:tc>
            <w:tc>
              <w:tcPr>
                <w:tcW w:w="2977" w:type="dxa"/>
              </w:tcPr>
              <w:p>
                <w:pPr>
                  <w:spacing w:line="276" w:lineRule="auto"/>
                  <w:rPr>
                    <w:rFonts w:eastAsia="Calibri"/>
                    <w:szCs w:val="24"/>
                  </w:rPr>
                </w:pPr>
                <w:r>
                  <w:rPr>
                    <w:rFonts w:eastAsia="Calibri"/>
                    <w:szCs w:val="24"/>
                  </w:rPr>
                  <w:t xml:space="preserve">Gerybiniai navikai </w:t>
                </w:r>
              </w:p>
              <w:p>
                <w:pPr>
                  <w:spacing w:line="276" w:lineRule="auto"/>
                  <w:rPr>
                    <w:rFonts w:eastAsia="Calibri"/>
                    <w:szCs w:val="24"/>
                  </w:rPr>
                </w:pPr>
                <w:r>
                  <w:rPr>
                    <w:rFonts w:eastAsia="Calibri"/>
                    <w:szCs w:val="24"/>
                  </w:rPr>
                  <w:t>Gimdos gerybiniai navikai, D25, D26</w:t>
                </w:r>
              </w:p>
              <w:p>
                <w:pPr>
                  <w:spacing w:line="276" w:lineRule="auto"/>
                  <w:rPr>
                    <w:rFonts w:eastAsia="Calibri"/>
                    <w:szCs w:val="24"/>
                  </w:rPr>
                </w:pPr>
                <w:r>
                  <w:rPr>
                    <w:rFonts w:eastAsia="Calibri"/>
                    <w:szCs w:val="24"/>
                  </w:rPr>
                  <w:t>Kiaušidžių gerybiniai navikai, D27</w:t>
                </w:r>
              </w:p>
              <w:p>
                <w:pPr>
                  <w:spacing w:line="276" w:lineRule="auto"/>
                  <w:rPr>
                    <w:rFonts w:eastAsia="Calibri"/>
                    <w:szCs w:val="24"/>
                  </w:rPr>
                </w:pPr>
                <w:r>
                  <w:rPr>
                    <w:rFonts w:eastAsia="Calibri"/>
                    <w:szCs w:val="24"/>
                  </w:rPr>
                  <w:t>Kitų ir nepatikslintų moters lyties organų gerybiniai navikai, D28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akušerio-ginekologo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11.2.</w:t>
                </w:r>
              </w:p>
            </w:tc>
            <w:tc>
              <w:tcPr>
                <w:tcW w:w="2977" w:type="dxa"/>
              </w:tcPr>
              <w:p>
                <w:pPr>
                  <w:spacing w:line="276" w:lineRule="auto"/>
                  <w:rPr>
                    <w:rFonts w:eastAsia="Calibri"/>
                    <w:szCs w:val="24"/>
                  </w:rPr>
                </w:pPr>
                <w:r>
                  <w:rPr>
                    <w:rFonts w:eastAsia="Calibri"/>
                    <w:szCs w:val="24"/>
                  </w:rPr>
                  <w:t xml:space="preserve">Neuždegiminės moters lyties organų ligos, N80–N98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3 mėn. po operacinio gydymo, po gydytojo akušerio-ginekologo konsultacijos.</w:t>
                </w:r>
              </w:p>
            </w:tc>
          </w:tr>
          <w:tr>
            <w:tc>
              <w:tcPr>
                <w:tcW w:w="816" w:type="dxa"/>
              </w:tcPr>
              <w:p>
                <w:pPr>
                  <w:spacing w:line="276" w:lineRule="auto"/>
                  <w:jc w:val="both"/>
                  <w:rPr>
                    <w:rFonts w:eastAsia="Calibri"/>
                    <w:b/>
                    <w:szCs w:val="24"/>
                  </w:rPr>
                </w:pPr>
                <w:r>
                  <w:rPr>
                    <w:rFonts w:eastAsia="Calibri"/>
                    <w:b/>
                    <w:szCs w:val="24"/>
                  </w:rPr>
                  <w:t>12.</w:t>
                </w:r>
              </w:p>
            </w:tc>
            <w:tc>
              <w:tcPr>
                <w:tcW w:w="14140" w:type="dxa"/>
                <w:gridSpan w:val="4"/>
              </w:tcPr>
              <w:p>
                <w:pPr>
                  <w:spacing w:line="276" w:lineRule="auto"/>
                  <w:jc w:val="center"/>
                  <w:rPr>
                    <w:rFonts w:eastAsia="Calibri"/>
                    <w:b/>
                    <w:szCs w:val="24"/>
                  </w:rPr>
                </w:pPr>
                <w:r>
                  <w:rPr>
                    <w:rFonts w:eastAsia="Calibri"/>
                    <w:b/>
                    <w:szCs w:val="24"/>
                  </w:rPr>
                  <w:t>NERVŲ SISTEMOS LIGOS</w:t>
                </w:r>
              </w:p>
            </w:tc>
          </w:tr>
          <w:tr>
            <w:tc>
              <w:tcPr>
                <w:tcW w:w="816" w:type="dxa"/>
              </w:tcPr>
              <w:p>
                <w:pPr>
                  <w:spacing w:line="276" w:lineRule="auto"/>
                  <w:jc w:val="both"/>
                  <w:rPr>
                    <w:rFonts w:eastAsia="Calibri"/>
                    <w:szCs w:val="24"/>
                  </w:rPr>
                </w:pPr>
                <w:r>
                  <w:rPr>
                    <w:rFonts w:eastAsia="Calibri"/>
                    <w:szCs w:val="24"/>
                  </w:rPr>
                  <w:t>12.1.</w:t>
                </w:r>
              </w:p>
            </w:tc>
            <w:tc>
              <w:tcPr>
                <w:tcW w:w="2977" w:type="dxa"/>
              </w:tcPr>
              <w:p>
                <w:pPr>
                  <w:spacing w:line="276" w:lineRule="auto"/>
                  <w:rPr>
                    <w:rFonts w:eastAsia="Calibri"/>
                    <w:szCs w:val="24"/>
                  </w:rPr>
                </w:pPr>
                <w:r>
                  <w:rPr>
                    <w:rFonts w:eastAsia="Calibri"/>
                    <w:szCs w:val="24"/>
                  </w:rPr>
                  <w:t>Uždegiminės centrinės nervų sistemos ligos, G00–G09</w:t>
                </w:r>
              </w:p>
              <w:p>
                <w:pPr>
                  <w:spacing w:line="276" w:lineRule="auto"/>
                  <w:rPr>
                    <w:rFonts w:eastAsia="Calibri"/>
                    <w:szCs w:val="24"/>
                  </w:rPr>
                </w:pPr>
                <w:r>
                  <w:rPr>
                    <w:rFonts w:eastAsia="Calibri"/>
                    <w:szCs w:val="24"/>
                  </w:rPr>
                  <w:t>Sisteminės atrofijos, pirmiausia paveikiančios centrinę nervų sistemą, G10–G13</w:t>
                </w:r>
              </w:p>
              <w:p>
                <w:pPr>
                  <w:spacing w:line="276" w:lineRule="auto"/>
                  <w:rPr>
                    <w:rFonts w:eastAsia="Calibri"/>
                    <w:szCs w:val="24"/>
                  </w:rPr>
                </w:pPr>
                <w:r>
                  <w:rPr>
                    <w:rFonts w:eastAsia="Calibri"/>
                    <w:szCs w:val="24"/>
                  </w:rPr>
                  <w:t>Kitos degeneracinės nervų sistemos ligos, neklasifikuojamos kitur, G30–G32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12.2.</w:t>
                </w:r>
              </w:p>
            </w:tc>
            <w:tc>
              <w:tcPr>
                <w:tcW w:w="2977" w:type="dxa"/>
              </w:tcPr>
              <w:p>
                <w:pPr>
                  <w:spacing w:line="276" w:lineRule="auto"/>
                  <w:rPr>
                    <w:rFonts w:eastAsia="Calibri"/>
                    <w:szCs w:val="24"/>
                  </w:rPr>
                </w:pPr>
                <w:r>
                  <w:rPr>
                    <w:rFonts w:eastAsia="Calibri"/>
                    <w:szCs w:val="24"/>
                  </w:rPr>
                  <w:t>Parkinsono liga, G20</w:t>
                </w:r>
              </w:p>
              <w:p>
                <w:pPr>
                  <w:spacing w:line="276" w:lineRule="auto"/>
                  <w:rPr>
                    <w:rFonts w:eastAsia="Calibri"/>
                    <w:szCs w:val="24"/>
                  </w:rPr>
                </w:pPr>
                <w:r>
                  <w:rPr>
                    <w:rFonts w:eastAsia="Calibri"/>
                    <w:szCs w:val="24"/>
                  </w:rPr>
                  <w:t>Antrinis parkinsonizmas, G21</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 II ir III ligos stadijai, jeigu simptomai koreguojami vaistiniais preparatais, dėl tinkamumo dirbti jūrų ir (ar) vidaus vandenų laivuose sprendžiama individualiai po gydytojo neurologo konsultacijos.</w:t>
                </w:r>
              </w:p>
              <w:p>
                <w:pPr>
                  <w:spacing w:line="276" w:lineRule="auto"/>
                  <w:rPr>
                    <w:rFonts w:eastAsia="Calibri"/>
                    <w:szCs w:val="24"/>
                  </w:rPr>
                </w:pPr>
                <w:r>
                  <w:rPr>
                    <w:rFonts w:eastAsia="Calibri"/>
                    <w:szCs w:val="24"/>
                  </w:rPr>
                  <w:t>Esant IV, V ligos stadijai, nė vienos profesinės grupės asmenys negali dirbti jūrų ir vidaus vandenų laivuose.</w:t>
                </w:r>
              </w:p>
            </w:tc>
          </w:tr>
          <w:tr>
            <w:tc>
              <w:tcPr>
                <w:tcW w:w="816" w:type="dxa"/>
              </w:tcPr>
              <w:p>
                <w:pPr>
                  <w:spacing w:line="276" w:lineRule="auto"/>
                  <w:jc w:val="both"/>
                  <w:rPr>
                    <w:rFonts w:eastAsia="Calibri"/>
                    <w:szCs w:val="24"/>
                  </w:rPr>
                </w:pPr>
                <w:r>
                  <w:rPr>
                    <w:rFonts w:eastAsia="Calibri"/>
                    <w:szCs w:val="24"/>
                  </w:rPr>
                  <w:t>12.3.</w:t>
                </w:r>
              </w:p>
            </w:tc>
            <w:tc>
              <w:tcPr>
                <w:tcW w:w="2977" w:type="dxa"/>
              </w:tcPr>
              <w:p>
                <w:pPr>
                  <w:spacing w:line="276" w:lineRule="auto"/>
                  <w:rPr>
                    <w:rFonts w:eastAsia="Calibri"/>
                    <w:szCs w:val="24"/>
                  </w:rPr>
                </w:pPr>
                <w:r>
                  <w:rPr>
                    <w:rFonts w:eastAsia="Calibri"/>
                    <w:szCs w:val="24"/>
                  </w:rPr>
                  <w:t>Demielinizuojančios centrinės nervų sistemos ligos, G35–G37</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12.4.</w:t>
                </w:r>
              </w:p>
            </w:tc>
            <w:tc>
              <w:tcPr>
                <w:tcW w:w="2977" w:type="dxa"/>
              </w:tcPr>
              <w:p>
                <w:pPr>
                  <w:spacing w:line="276" w:lineRule="auto"/>
                  <w:rPr>
                    <w:rFonts w:eastAsia="Calibri"/>
                    <w:szCs w:val="24"/>
                  </w:rPr>
                </w:pPr>
                <w:r>
                  <w:rPr>
                    <w:rFonts w:eastAsia="Calibri"/>
                    <w:szCs w:val="24"/>
                  </w:rPr>
                  <w:t>Epilepsija, G40</w:t>
                </w:r>
              </w:p>
              <w:p>
                <w:pPr>
                  <w:spacing w:line="276" w:lineRule="auto"/>
                  <w:rPr>
                    <w:rFonts w:eastAsia="Calibri"/>
                    <w:szCs w:val="24"/>
                  </w:rPr>
                </w:pPr>
                <w:r>
                  <w:rPr>
                    <w:rFonts w:eastAsia="Calibri"/>
                    <w:szCs w:val="24"/>
                  </w:rPr>
                  <w:t>Epilepsinė būklė, G41</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Jeigu 3 metus nėra </w:t>
                </w:r>
                <w:r>
                  <w:rPr>
                    <w:rFonts w:eastAsia="Calibri"/>
                    <w:color w:val="000000"/>
                    <w:szCs w:val="24"/>
                  </w:rPr>
                  <w:t>epilepsijos priepuolių, dėl tinkamumo dirbti jūrų ir vidaus vandenų laivuose sprendžiama individualiai po gydytojo neurologo</w:t>
                </w:r>
                <w:r>
                  <w:rPr>
                    <w:rFonts w:eastAsia="Calibri"/>
                    <w:szCs w:val="24"/>
                  </w:rPr>
                  <w:t xml:space="preserve"> konsultacijos.</w:t>
                </w:r>
              </w:p>
            </w:tc>
          </w:tr>
          <w:tr>
            <w:trPr>
              <w:trHeight w:val="752"/>
            </w:trPr>
            <w:tc>
              <w:tcPr>
                <w:tcW w:w="816" w:type="dxa"/>
              </w:tcPr>
              <w:p>
                <w:pPr>
                  <w:spacing w:line="276" w:lineRule="auto"/>
                  <w:jc w:val="both"/>
                  <w:rPr>
                    <w:rFonts w:eastAsia="Calibri"/>
                    <w:szCs w:val="24"/>
                  </w:rPr>
                </w:pPr>
                <w:r>
                  <w:rPr>
                    <w:rFonts w:eastAsia="Calibri"/>
                    <w:szCs w:val="24"/>
                  </w:rPr>
                  <w:t>12.5.</w:t>
                </w:r>
              </w:p>
            </w:tc>
            <w:tc>
              <w:tcPr>
                <w:tcW w:w="2977" w:type="dxa"/>
              </w:tcPr>
              <w:p>
                <w:pPr>
                  <w:spacing w:line="276" w:lineRule="auto"/>
                  <w:rPr>
                    <w:rFonts w:eastAsia="Calibri"/>
                    <w:szCs w:val="24"/>
                  </w:rPr>
                </w:pPr>
                <w:r>
                  <w:rPr>
                    <w:rFonts w:eastAsia="Calibri"/>
                    <w:szCs w:val="24"/>
                  </w:rPr>
                  <w:t>Miego apnėja, G47.3</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strike/>
                    <w:color w:val="0000FF"/>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szCs w:val="24"/>
                  </w:rPr>
                </w:pPr>
                <w:r>
                  <w:rPr>
                    <w:rFonts w:eastAsia="Calibri"/>
                    <w:szCs w:val="24"/>
                  </w:rPr>
                  <w:t>12.6.</w:t>
                </w:r>
              </w:p>
            </w:tc>
            <w:tc>
              <w:tcPr>
                <w:tcW w:w="2977" w:type="dxa"/>
              </w:tcPr>
              <w:p>
                <w:pPr>
                  <w:spacing w:line="276" w:lineRule="auto"/>
                  <w:rPr>
                    <w:rFonts w:eastAsia="Calibri"/>
                    <w:szCs w:val="24"/>
                  </w:rPr>
                </w:pPr>
                <w:r>
                  <w:rPr>
                    <w:rFonts w:eastAsia="Calibri"/>
                    <w:szCs w:val="24"/>
                  </w:rPr>
                  <w:t>Nervų, nervų šaknelių ir rezginių sutrikimai, G50–G59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12.7.</w:t>
                </w:r>
              </w:p>
            </w:tc>
            <w:tc>
              <w:tcPr>
                <w:tcW w:w="2977" w:type="dxa"/>
              </w:tcPr>
              <w:p>
                <w:pPr>
                  <w:spacing w:line="276" w:lineRule="auto"/>
                  <w:rPr>
                    <w:rFonts w:eastAsia="Calibri"/>
                    <w:szCs w:val="24"/>
                  </w:rPr>
                </w:pPr>
                <w:r>
                  <w:rPr>
                    <w:rFonts w:eastAsia="Calibri"/>
                    <w:szCs w:val="24"/>
                  </w:rPr>
                  <w:t>Polineuropatijos ir kiti periferinės nervų sistemos sutrikimai, G60–G64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12.8.</w:t>
                </w:r>
              </w:p>
            </w:tc>
            <w:tc>
              <w:tcPr>
                <w:tcW w:w="2977" w:type="dxa"/>
              </w:tcPr>
              <w:p>
                <w:pPr>
                  <w:spacing w:line="276" w:lineRule="auto"/>
                  <w:rPr>
                    <w:rFonts w:eastAsia="Calibri"/>
                    <w:szCs w:val="24"/>
                  </w:rPr>
                </w:pPr>
                <w:r>
                  <w:rPr>
                    <w:rFonts w:eastAsia="Calibri"/>
                    <w:szCs w:val="24"/>
                  </w:rPr>
                  <w:t>Intracerebrinis kraujavimas, I61</w:t>
                </w:r>
              </w:p>
              <w:p>
                <w:pPr>
                  <w:spacing w:line="276" w:lineRule="auto"/>
                  <w:rPr>
                    <w:rFonts w:eastAsia="Calibri"/>
                    <w:szCs w:val="24"/>
                  </w:rPr>
                </w:pPr>
                <w:r>
                  <w:rPr>
                    <w:rFonts w:eastAsia="Calibri"/>
                    <w:szCs w:val="24"/>
                  </w:rPr>
                  <w:t>Smegenų infarktas, I63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12.9.</w:t>
                </w:r>
              </w:p>
            </w:tc>
            <w:tc>
              <w:tcPr>
                <w:tcW w:w="2977" w:type="dxa"/>
              </w:tcPr>
              <w:p>
                <w:pPr>
                  <w:spacing w:line="276" w:lineRule="auto"/>
                  <w:rPr>
                    <w:rFonts w:eastAsia="Calibri"/>
                    <w:szCs w:val="24"/>
                  </w:rPr>
                </w:pPr>
                <w:r>
                  <w:rPr>
                    <w:rFonts w:eastAsia="Calibri"/>
                    <w:szCs w:val="24"/>
                  </w:rPr>
                  <w:t>Dorsopatijos, M40–M54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12.10.</w:t>
                </w:r>
              </w:p>
            </w:tc>
            <w:tc>
              <w:tcPr>
                <w:tcW w:w="2977" w:type="dxa"/>
              </w:tcPr>
              <w:p>
                <w:pPr>
                  <w:spacing w:line="276" w:lineRule="auto"/>
                  <w:rPr>
                    <w:rFonts w:eastAsia="Calibri"/>
                    <w:szCs w:val="24"/>
                  </w:rPr>
                </w:pPr>
                <w:r>
                  <w:rPr>
                    <w:rFonts w:eastAsia="Calibri"/>
                    <w:szCs w:val="24"/>
                  </w:rPr>
                  <w:t>Sąmonės netekimas, R40.2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 xml:space="preserve">Iki bus išaiškintos ir pašalintos sąmonės praradimo priežastys, nė vienos profesinės grupės darbuotojai negali dirbti jūrų ir vidaus vandenų laivuose.  Sprendžiama individualiai po gydytojo neurologo konsultacijos.</w:t>
                </w:r>
              </w:p>
            </w:tc>
          </w:tr>
          <w:tr>
            <w:tc>
              <w:tcPr>
                <w:tcW w:w="816" w:type="dxa"/>
              </w:tcPr>
              <w:p>
                <w:pPr>
                  <w:spacing w:line="276" w:lineRule="auto"/>
                  <w:jc w:val="both"/>
                  <w:rPr>
                    <w:rFonts w:eastAsia="Calibri"/>
                    <w:b/>
                    <w:szCs w:val="24"/>
                  </w:rPr>
                </w:pPr>
                <w:r>
                  <w:rPr>
                    <w:rFonts w:eastAsia="Calibri"/>
                    <w:b/>
                    <w:szCs w:val="24"/>
                  </w:rPr>
                  <w:t>13.</w:t>
                </w:r>
              </w:p>
            </w:tc>
            <w:tc>
              <w:tcPr>
                <w:tcW w:w="14140" w:type="dxa"/>
                <w:gridSpan w:val="4"/>
              </w:tcPr>
              <w:p>
                <w:pPr>
                  <w:spacing w:line="276" w:lineRule="auto"/>
                  <w:jc w:val="center"/>
                  <w:rPr>
                    <w:rFonts w:eastAsia="Calibri"/>
                    <w:b/>
                    <w:szCs w:val="24"/>
                  </w:rPr>
                </w:pPr>
                <w:r>
                  <w:rPr>
                    <w:rFonts w:eastAsia="Calibri"/>
                    <w:b/>
                    <w:szCs w:val="24"/>
                  </w:rPr>
                  <w:t xml:space="preserve">CHIRURGINĖS LIGOS </w:t>
                </w:r>
              </w:p>
            </w:tc>
          </w:tr>
          <w:tr>
            <w:tc>
              <w:tcPr>
                <w:tcW w:w="816" w:type="dxa"/>
              </w:tcPr>
              <w:p>
                <w:pPr>
                  <w:spacing w:line="276" w:lineRule="auto"/>
                  <w:jc w:val="both"/>
                  <w:rPr>
                    <w:rFonts w:eastAsia="Calibri"/>
                    <w:szCs w:val="24"/>
                  </w:rPr>
                </w:pPr>
                <w:r>
                  <w:rPr>
                    <w:rFonts w:eastAsia="Calibri"/>
                    <w:szCs w:val="24"/>
                  </w:rPr>
                  <w:t>13.1.</w:t>
                </w:r>
              </w:p>
            </w:tc>
            <w:tc>
              <w:tcPr>
                <w:tcW w:w="2977" w:type="dxa"/>
              </w:tcPr>
              <w:p>
                <w:pPr>
                  <w:spacing w:line="276" w:lineRule="auto"/>
                  <w:rPr>
                    <w:rFonts w:eastAsia="Calibri"/>
                    <w:szCs w:val="24"/>
                  </w:rPr>
                </w:pPr>
                <w:r>
                  <w:rPr>
                    <w:rFonts w:eastAsia="Calibri"/>
                    <w:szCs w:val="24"/>
                  </w:rPr>
                  <w:t>Krūties gerybiniai navikai, D24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13.2.</w:t>
                </w:r>
              </w:p>
            </w:tc>
            <w:tc>
              <w:tcPr>
                <w:tcW w:w="2977" w:type="dxa"/>
              </w:tcPr>
              <w:p>
                <w:pPr>
                  <w:spacing w:line="276" w:lineRule="auto"/>
                  <w:rPr>
                    <w:rFonts w:eastAsia="Calibri"/>
                    <w:szCs w:val="24"/>
                  </w:rPr>
                </w:pPr>
                <w:r>
                  <w:rPr>
                    <w:rFonts w:eastAsia="Calibri"/>
                    <w:szCs w:val="24"/>
                  </w:rPr>
                  <w:t xml:space="preserve">Asplenija, po procedūros, </w:t>
                </w:r>
              </w:p>
              <w:p>
                <w:pPr>
                  <w:spacing w:line="276" w:lineRule="auto"/>
                  <w:rPr>
                    <w:rFonts w:eastAsia="Calibri"/>
                    <w:szCs w:val="24"/>
                  </w:rPr>
                </w:pPr>
                <w:r>
                  <w:rPr>
                    <w:rFonts w:eastAsia="Calibri"/>
                    <w:szCs w:val="24"/>
                  </w:rPr>
                  <w:t>D73.0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 </w:t>
                </w:r>
                <w:r>
                  <w:rPr>
                    <w:rFonts w:eastAsia="Calibri"/>
                    <w:color w:val="000000"/>
                    <w:szCs w:val="24"/>
                  </w:rPr>
                  <w:t>dirbti jūrų ir vidaus vandenų laivuose po operacijos iki visiško</w:t>
                </w:r>
                <w:r>
                  <w:rPr>
                    <w:rFonts w:eastAsia="Calibri"/>
                    <w:szCs w:val="24"/>
                  </w:rPr>
                  <w:t xml:space="preserve"> pasveikimo. Vėliau sprendžiama individualiai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13.3.</w:t>
                </w:r>
              </w:p>
            </w:tc>
            <w:tc>
              <w:tcPr>
                <w:tcW w:w="2977" w:type="dxa"/>
              </w:tcPr>
              <w:p>
                <w:pPr>
                  <w:spacing w:line="276" w:lineRule="auto"/>
                  <w:rPr>
                    <w:rFonts w:eastAsia="Calibri"/>
                    <w:szCs w:val="24"/>
                  </w:rPr>
                </w:pPr>
                <w:r>
                  <w:rPr>
                    <w:rFonts w:eastAsia="Calibri"/>
                    <w:szCs w:val="24"/>
                  </w:rPr>
                  <w:t>Galūnių arterijų aterosklerozė, I70.2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po operacinio gydymo </w:t>
                </w:r>
                <w:r>
                  <w:rPr>
                    <w:rFonts w:eastAsia="Calibri"/>
                    <w:color w:val="000000"/>
                    <w:szCs w:val="24"/>
                  </w:rPr>
                  <w:t>sprendžiama individualiai, po gydytojo kraujagyslių chirurgo konsultacijos.</w:t>
                </w:r>
              </w:p>
            </w:tc>
          </w:tr>
          <w:tr>
            <w:tc>
              <w:tcPr>
                <w:tcW w:w="816" w:type="dxa"/>
              </w:tcPr>
              <w:p>
                <w:pPr>
                  <w:spacing w:line="276" w:lineRule="auto"/>
                  <w:jc w:val="both"/>
                  <w:rPr>
                    <w:rFonts w:eastAsia="Calibri"/>
                    <w:szCs w:val="24"/>
                  </w:rPr>
                </w:pPr>
                <w:r>
                  <w:rPr>
                    <w:rFonts w:eastAsia="Calibri"/>
                    <w:szCs w:val="24"/>
                  </w:rPr>
                  <w:t>13.4.</w:t>
                </w:r>
              </w:p>
            </w:tc>
            <w:tc>
              <w:tcPr>
                <w:tcW w:w="2977" w:type="dxa"/>
              </w:tcPr>
              <w:p>
                <w:pPr>
                  <w:spacing w:line="276" w:lineRule="auto"/>
                  <w:rPr>
                    <w:rFonts w:eastAsia="Calibri"/>
                    <w:szCs w:val="24"/>
                  </w:rPr>
                </w:pPr>
                <w:r>
                  <w:rPr>
                    <w:rFonts w:eastAsia="Calibri"/>
                    <w:szCs w:val="24"/>
                  </w:rPr>
                  <w:t>Flebitas ir tromboflebitas, I80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Po konservatyvaus gydymo gali dirbti jūrų ir vidaus vandenų laivuose</w:t>
                </w:r>
                <w:r>
                  <w:rPr>
                    <w:rFonts w:eastAsia="Calibri"/>
                    <w:color w:val="000000"/>
                    <w:szCs w:val="24"/>
                  </w:rPr>
                  <w:t>. Sprendžiama individualiai po gydytojo chirurgo ar gydytojo kraujagyslių chirurgo konsultacijos.</w:t>
                </w:r>
              </w:p>
            </w:tc>
          </w:tr>
          <w:tr>
            <w:tc>
              <w:tcPr>
                <w:tcW w:w="816" w:type="dxa"/>
              </w:tcPr>
              <w:p>
                <w:pPr>
                  <w:spacing w:line="276" w:lineRule="auto"/>
                  <w:jc w:val="both"/>
                  <w:rPr>
                    <w:rFonts w:eastAsia="Calibri"/>
                    <w:szCs w:val="24"/>
                  </w:rPr>
                </w:pPr>
                <w:r>
                  <w:rPr>
                    <w:rFonts w:eastAsia="Calibri"/>
                    <w:szCs w:val="24"/>
                  </w:rPr>
                  <w:t>13.5.</w:t>
                </w:r>
              </w:p>
            </w:tc>
            <w:tc>
              <w:tcPr>
                <w:tcW w:w="2977" w:type="dxa"/>
              </w:tcPr>
              <w:p>
                <w:pPr>
                  <w:spacing w:line="276" w:lineRule="auto"/>
                  <w:rPr>
                    <w:rFonts w:eastAsia="Calibri"/>
                    <w:szCs w:val="24"/>
                  </w:rPr>
                </w:pPr>
                <w:r>
                  <w:rPr>
                    <w:rFonts w:eastAsia="Calibri"/>
                    <w:szCs w:val="24"/>
                  </w:rPr>
                  <w:t>Tulžies pūslės akmuo, su kitu cholecistitu (lėtiniu), K80.1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operacinio gydymo</w:t>
                </w:r>
                <w:r>
                  <w:rPr>
                    <w:rFonts w:eastAsia="Calibri"/>
                    <w:szCs w:val="24"/>
                  </w:rPr>
                  <w:t xml:space="preserve"> praėjus 3 mėn., po </w:t>
                </w:r>
                <w:r>
                  <w:rPr>
                    <w:rFonts w:eastAsia="Calibri"/>
                    <w:color w:val="000000"/>
                    <w:szCs w:val="24"/>
                  </w:rPr>
                  <w:t>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13.6.</w:t>
                </w:r>
              </w:p>
            </w:tc>
            <w:tc>
              <w:tcPr>
                <w:tcW w:w="2977" w:type="dxa"/>
              </w:tcPr>
              <w:p>
                <w:pPr>
                  <w:spacing w:line="276" w:lineRule="auto"/>
                  <w:rPr>
                    <w:rFonts w:eastAsia="Calibri"/>
                    <w:szCs w:val="24"/>
                  </w:rPr>
                </w:pPr>
                <w:r>
                  <w:rPr>
                    <w:rFonts w:eastAsia="Calibri"/>
                    <w:szCs w:val="24"/>
                  </w:rPr>
                  <w:t>Kojų giliųjų venų trombozė, I80.2</w:t>
                </w:r>
              </w:p>
            </w:tc>
            <w:tc>
              <w:tcPr>
                <w:tcW w:w="4110"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13.7.</w:t>
                </w:r>
              </w:p>
            </w:tc>
            <w:tc>
              <w:tcPr>
                <w:tcW w:w="2977" w:type="dxa"/>
              </w:tcPr>
              <w:p>
                <w:pPr>
                  <w:spacing w:line="276" w:lineRule="auto"/>
                  <w:rPr>
                    <w:rFonts w:eastAsia="Calibri"/>
                    <w:szCs w:val="24"/>
                  </w:rPr>
                </w:pPr>
                <w:r>
                  <w:rPr>
                    <w:rFonts w:eastAsia="Calibri"/>
                    <w:szCs w:val="24"/>
                  </w:rPr>
                  <w:t>Kojų venų varikozė, I83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galimybės dirbti jūrų ir (ar) vidaus vandenų laivuose sprendžiama atsižvelgiant į klinikinius požymius (C):</w:t>
                </w:r>
              </w:p>
              <w:p>
                <w:pPr>
                  <w:spacing w:line="276" w:lineRule="auto"/>
                  <w:rPr>
                    <w:rFonts w:eastAsia="Calibri"/>
                    <w:szCs w:val="24"/>
                  </w:rPr>
                </w:pPr>
                <w:r>
                  <w:rPr>
                    <w:rFonts w:eastAsia="Calibri"/>
                    <w:szCs w:val="24"/>
                  </w:rPr>
                  <w:t>C</w:t>
                </w:r>
                <w:r>
                  <w:rPr>
                    <w:rFonts w:eastAsia="Calibri"/>
                    <w:szCs w:val="24"/>
                    <w:vertAlign w:val="subscript"/>
                  </w:rPr>
                  <w:t>1</w:t>
                </w:r>
                <w:r>
                  <w:rPr>
                    <w:rFonts w:eastAsia="Calibri"/>
                    <w:szCs w:val="24"/>
                  </w:rPr>
                  <w:t xml:space="preserve"> – tinklinės venos išsiplėtusios – gali dirbti laive,</w:t>
                </w:r>
              </w:p>
              <w:p>
                <w:pPr>
                  <w:spacing w:line="276" w:lineRule="auto"/>
                  <w:rPr>
                    <w:rFonts w:eastAsia="Calibri"/>
                    <w:szCs w:val="24"/>
                  </w:rPr>
                </w:pPr>
                <w:r>
                  <w:rPr>
                    <w:rFonts w:eastAsia="Calibri"/>
                    <w:szCs w:val="24"/>
                  </w:rPr>
                  <w:t>C</w:t>
                </w:r>
                <w:r>
                  <w:rPr>
                    <w:rFonts w:eastAsia="Calibri"/>
                    <w:szCs w:val="24"/>
                    <w:vertAlign w:val="subscript"/>
                  </w:rPr>
                  <w:t xml:space="preserve">2-6 </w:t>
                </w:r>
                <w:r>
                  <w:rPr>
                    <w:rFonts w:eastAsia="Calibri"/>
                    <w:szCs w:val="24"/>
                  </w:rPr>
                  <w:t>– varikozinės venos, galūnės edema, odos pigmentacija, egzema, susijusi ar aktyvi opa – po operacinio gydymo</w:t>
                </w:r>
                <w:r>
                  <w:rPr>
                    <w:rFonts w:eastAsia="Calibri"/>
                    <w:color w:val="000000"/>
                    <w:szCs w:val="24"/>
                  </w:rPr>
                  <w:t xml:space="preserve"> praėjus 3 mėn. gali dirbti jūrų ir</w:t>
                </w:r>
                <w:r>
                  <w:rPr>
                    <w:rFonts w:eastAsia="Calibri"/>
                    <w:szCs w:val="24"/>
                  </w:rPr>
                  <w:t xml:space="preserve"> vidaus vandenų laivuose. </w:t>
                </w:r>
              </w:p>
            </w:tc>
          </w:tr>
          <w:tr>
            <w:tc>
              <w:tcPr>
                <w:tcW w:w="816" w:type="dxa"/>
              </w:tcPr>
              <w:p>
                <w:pPr>
                  <w:spacing w:line="276" w:lineRule="auto"/>
                  <w:jc w:val="both"/>
                  <w:rPr>
                    <w:rFonts w:eastAsia="Calibri"/>
                    <w:szCs w:val="24"/>
                  </w:rPr>
                </w:pPr>
                <w:r>
                  <w:rPr>
                    <w:rFonts w:eastAsia="Calibri"/>
                    <w:szCs w:val="24"/>
                  </w:rPr>
                  <w:t>13.8.</w:t>
                </w:r>
              </w:p>
            </w:tc>
            <w:tc>
              <w:tcPr>
                <w:tcW w:w="2977" w:type="dxa"/>
              </w:tcPr>
              <w:p>
                <w:pPr>
                  <w:spacing w:line="276" w:lineRule="auto"/>
                  <w:rPr>
                    <w:rFonts w:eastAsia="Calibri"/>
                    <w:szCs w:val="24"/>
                  </w:rPr>
                </w:pPr>
                <w:r>
                  <w:rPr>
                    <w:rFonts w:eastAsia="Calibri"/>
                    <w:szCs w:val="24"/>
                  </w:rPr>
                  <w:t>Hemorojus, I84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Esant kraujuojantiems, krentantiems hemorojiniams mazgams ar dažniems uždegimams, po operacinio gydymo </w:t>
                </w:r>
                <w:r>
                  <w:rPr>
                    <w:rFonts w:eastAsia="Calibri"/>
                    <w:color w:val="000000"/>
                    <w:szCs w:val="24"/>
                  </w:rPr>
                  <w:t>praėjus</w:t>
                </w:r>
                <w:r>
                  <w:rPr>
                    <w:rFonts w:eastAsia="Calibri"/>
                    <w:szCs w:val="24"/>
                  </w:rPr>
                  <w:t xml:space="preserve"> 3 mėn. gali dirbti jūrų ir vidaus vandenų laivuose.</w:t>
                </w:r>
              </w:p>
            </w:tc>
          </w:tr>
          <w:tr>
            <w:tc>
              <w:tcPr>
                <w:tcW w:w="816" w:type="dxa"/>
              </w:tcPr>
              <w:p>
                <w:pPr>
                  <w:spacing w:line="276" w:lineRule="auto"/>
                  <w:jc w:val="both"/>
                  <w:rPr>
                    <w:rFonts w:eastAsia="Calibri"/>
                    <w:szCs w:val="24"/>
                  </w:rPr>
                </w:pPr>
                <w:r>
                  <w:rPr>
                    <w:rFonts w:eastAsia="Calibri"/>
                    <w:szCs w:val="24"/>
                  </w:rPr>
                  <w:t>13.9.</w:t>
                </w:r>
              </w:p>
            </w:tc>
            <w:tc>
              <w:tcPr>
                <w:tcW w:w="2977" w:type="dxa"/>
              </w:tcPr>
              <w:p>
                <w:pPr>
                  <w:spacing w:line="276" w:lineRule="auto"/>
                  <w:rPr>
                    <w:rFonts w:eastAsia="Calibri"/>
                    <w:szCs w:val="24"/>
                  </w:rPr>
                </w:pPr>
                <w:r>
                  <w:rPr>
                    <w:rFonts w:eastAsia="Calibri"/>
                    <w:szCs w:val="24"/>
                  </w:rPr>
                  <w:t>Limfedema, I89.0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w:t>
                </w:r>
                <w:r>
                  <w:rPr>
                    <w:rFonts w:eastAsia="Calibri"/>
                    <w:szCs w:val="24"/>
                  </w:rPr>
                  <w:t xml:space="preserve"> ir vidaus vandenų laivuose sprendžiama individualiai </w:t>
                </w:r>
                <w:r>
                  <w:rPr>
                    <w:rFonts w:eastAsia="Calibri"/>
                    <w:color w:val="000000"/>
                    <w:szCs w:val="24"/>
                  </w:rPr>
                  <w:t>po gydytojo chirurgo konsultacijos.</w:t>
                </w:r>
                <w:r>
                  <w:rPr>
                    <w:rFonts w:eastAsia="Calibri"/>
                    <w:szCs w:val="24"/>
                  </w:rPr>
                  <w:t xml:space="preserve"> Esant kompensuotai ligos eigai, gali dirbti jūrų ir vidaus vandenų laivuose.</w:t>
                </w:r>
              </w:p>
            </w:tc>
          </w:tr>
          <w:tr>
            <w:tc>
              <w:tcPr>
                <w:tcW w:w="816" w:type="dxa"/>
              </w:tcPr>
              <w:p>
                <w:pPr>
                  <w:spacing w:line="276" w:lineRule="auto"/>
                  <w:jc w:val="both"/>
                  <w:rPr>
                    <w:rFonts w:eastAsia="Calibri"/>
                    <w:szCs w:val="24"/>
                  </w:rPr>
                </w:pPr>
                <w:r>
                  <w:rPr>
                    <w:rFonts w:eastAsia="Calibri"/>
                    <w:szCs w:val="24"/>
                  </w:rPr>
                  <w:t>13.10.</w:t>
                </w:r>
              </w:p>
            </w:tc>
            <w:tc>
              <w:tcPr>
                <w:tcW w:w="2977" w:type="dxa"/>
              </w:tcPr>
              <w:p>
                <w:pPr>
                  <w:spacing w:line="276" w:lineRule="auto"/>
                  <w:rPr>
                    <w:rFonts w:eastAsia="Calibri"/>
                    <w:szCs w:val="24"/>
                  </w:rPr>
                </w:pPr>
                <w:r>
                  <w:rPr>
                    <w:rFonts w:eastAsia="Calibri"/>
                    <w:szCs w:val="24"/>
                  </w:rPr>
                  <w:t>Kirkšninė išvarža, K40 Bambinė išvarža, K42</w:t>
                </w:r>
              </w:p>
            </w:tc>
            <w:tc>
              <w:tcPr>
                <w:tcW w:w="4110" w:type="dxa"/>
              </w:tcPr>
              <w:p>
                <w:pPr>
                  <w:spacing w:line="276" w:lineRule="auto"/>
                  <w:rPr>
                    <w:rFonts w:eastAsia="Calibri"/>
                    <w:szCs w:val="24"/>
                  </w:rPr>
                </w:pPr>
                <w:r>
                  <w:rPr>
                    <w:rFonts w:eastAsia="Calibri"/>
                    <w:szCs w:val="24"/>
                  </w:rPr>
                  <w:t>Nė vienos profesinės grupės darbuotojai negali dirbti jūrų laive.</w:t>
                </w:r>
                <w:r>
                  <w:rPr>
                    <w:rFonts w:eastAsia="Calibri"/>
                    <w:sz w:val="22"/>
                    <w:szCs w:val="22"/>
                  </w:rPr>
                  <w:t xml:space="preserve"> </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 xml:space="preserve">darbuotojai </w:t>
                </w:r>
                <w:r>
                  <w:rPr>
                    <w:rFonts w:eastAsia="Calibri"/>
                    <w:color w:val="000000"/>
                    <w:szCs w:val="24"/>
                  </w:rPr>
                  <w:t>negali dirbti vidaus vandenų laive.</w:t>
                </w: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 Diagnozavus bambos išvaržą sprendžiama individualiai po gydytojo chirurgo konsultacijos.</w:t>
                </w:r>
              </w:p>
            </w:tc>
          </w:tr>
          <w:tr>
            <w:tc>
              <w:tcPr>
                <w:tcW w:w="816" w:type="dxa"/>
              </w:tcPr>
              <w:p>
                <w:pPr>
                  <w:spacing w:line="276" w:lineRule="auto"/>
                  <w:jc w:val="both"/>
                  <w:rPr>
                    <w:rFonts w:eastAsia="Calibri"/>
                    <w:szCs w:val="24"/>
                  </w:rPr>
                </w:pPr>
                <w:r>
                  <w:rPr>
                    <w:rFonts w:eastAsia="Calibri"/>
                    <w:szCs w:val="24"/>
                  </w:rPr>
                  <w:t>13.11.</w:t>
                </w:r>
              </w:p>
            </w:tc>
            <w:tc>
              <w:tcPr>
                <w:tcW w:w="2977" w:type="dxa"/>
              </w:tcPr>
              <w:p>
                <w:pPr>
                  <w:spacing w:line="276" w:lineRule="auto"/>
                  <w:rPr>
                    <w:rFonts w:eastAsia="Calibri"/>
                    <w:szCs w:val="24"/>
                  </w:rPr>
                </w:pPr>
                <w:r>
                  <w:rPr>
                    <w:rFonts w:eastAsia="Calibri"/>
                    <w:szCs w:val="24"/>
                  </w:rPr>
                  <w:t>Išangės ir tiesiosios žarnos įplėšos bei fistulės, K60</w:t>
                </w:r>
              </w:p>
              <w:p>
                <w:pPr>
                  <w:spacing w:line="276" w:lineRule="auto"/>
                  <w:rPr>
                    <w:rFonts w:eastAsia="Calibri"/>
                    <w:szCs w:val="24"/>
                  </w:rPr>
                </w:pPr>
                <w:r>
                  <w:rPr>
                    <w:rFonts w:eastAsia="Calibri"/>
                    <w:szCs w:val="24"/>
                  </w:rPr>
                  <w:t>Tiesiosios žarnos iškritimas, K62.3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w:t>
                </w:r>
              </w:p>
            </w:tc>
          </w:tr>
          <w:tr>
            <w:tc>
              <w:tcPr>
                <w:tcW w:w="816" w:type="dxa"/>
              </w:tcPr>
              <w:p>
                <w:pPr>
                  <w:spacing w:line="276" w:lineRule="auto"/>
                  <w:jc w:val="both"/>
                  <w:rPr>
                    <w:rFonts w:eastAsia="Calibri"/>
                    <w:szCs w:val="24"/>
                  </w:rPr>
                </w:pPr>
                <w:r>
                  <w:rPr>
                    <w:rFonts w:eastAsia="Calibri"/>
                    <w:szCs w:val="24"/>
                  </w:rPr>
                  <w:t>13.12.</w:t>
                </w:r>
              </w:p>
            </w:tc>
            <w:tc>
              <w:tcPr>
                <w:tcW w:w="2977" w:type="dxa"/>
              </w:tcPr>
              <w:p>
                <w:pPr>
                  <w:spacing w:line="276" w:lineRule="auto"/>
                  <w:rPr>
                    <w:rFonts w:eastAsia="Calibri"/>
                    <w:szCs w:val="24"/>
                  </w:rPr>
                </w:pPr>
                <w:r>
                  <w:rPr>
                    <w:rFonts w:eastAsia="Calibri"/>
                    <w:szCs w:val="24"/>
                  </w:rPr>
                  <w:t>Potrauminė koksartrozė, M16.5</w:t>
                </w:r>
              </w:p>
              <w:p>
                <w:pPr>
                  <w:spacing w:line="276" w:lineRule="auto"/>
                  <w:rPr>
                    <w:rFonts w:eastAsia="Calibri"/>
                    <w:szCs w:val="24"/>
                  </w:rPr>
                </w:pPr>
                <w:r>
                  <w:rPr>
                    <w:rFonts w:eastAsia="Calibri"/>
                    <w:szCs w:val="24"/>
                  </w:rPr>
                  <w:t>Potrauminė gonartrozė, M17.2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ortopedo traumatologo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13.13.</w:t>
                </w:r>
              </w:p>
            </w:tc>
            <w:tc>
              <w:tcPr>
                <w:tcW w:w="2977" w:type="dxa"/>
              </w:tcPr>
              <w:p>
                <w:pPr>
                  <w:spacing w:line="276" w:lineRule="auto"/>
                  <w:rPr>
                    <w:rFonts w:eastAsia="Calibri"/>
                    <w:szCs w:val="24"/>
                  </w:rPr>
                </w:pPr>
                <w:r>
                  <w:rPr>
                    <w:rFonts w:eastAsia="Calibri"/>
                    <w:szCs w:val="24"/>
                  </w:rPr>
                  <w:t>Delno fascijos fibromatozė (Diupitreno), M72.0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 po operacinio gydymo praėjus 3 mėn., po gydytojo ortopedo traumatologo konsultacijos.</w:t>
                </w:r>
              </w:p>
            </w:tc>
          </w:tr>
          <w:tr>
            <w:tc>
              <w:tcPr>
                <w:tcW w:w="816" w:type="dxa"/>
              </w:tcPr>
              <w:p>
                <w:pPr>
                  <w:spacing w:line="276" w:lineRule="auto"/>
                  <w:jc w:val="both"/>
                  <w:rPr>
                    <w:rFonts w:eastAsia="Calibri"/>
                    <w:szCs w:val="24"/>
                  </w:rPr>
                </w:pPr>
                <w:r>
                  <w:rPr>
                    <w:rFonts w:eastAsia="Calibri"/>
                    <w:szCs w:val="24"/>
                  </w:rPr>
                  <w:t>13.14.</w:t>
                </w:r>
              </w:p>
            </w:tc>
            <w:tc>
              <w:tcPr>
                <w:tcW w:w="2977" w:type="dxa"/>
              </w:tcPr>
              <w:p>
                <w:pPr>
                  <w:spacing w:line="276" w:lineRule="auto"/>
                  <w:rPr>
                    <w:rFonts w:eastAsia="Calibri"/>
                    <w:szCs w:val="24"/>
                  </w:rPr>
                </w:pPr>
                <w:r>
                  <w:rPr>
                    <w:rFonts w:eastAsia="Calibri"/>
                    <w:szCs w:val="24"/>
                  </w:rPr>
                  <w:t>Osteomielitas, M86</w:t>
                </w:r>
              </w:p>
            </w:tc>
            <w:tc>
              <w:tcPr>
                <w:tcW w:w="4110"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jūrų laive.</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w:t>
                </w:r>
                <w:r>
                  <w:rPr>
                    <w:rFonts w:eastAsia="Calibri"/>
                    <w:szCs w:val="24"/>
                  </w:rPr>
                  <w:t xml:space="preserve"> </w:t>
                </w:r>
                <w:r>
                  <w:rPr>
                    <w:rFonts w:eastAsia="Calibri"/>
                    <w:color w:val="000000"/>
                    <w:szCs w:val="24"/>
                  </w:rPr>
                  <w:t>sprendžiama individualiai</w:t>
                </w:r>
                <w:r>
                  <w:rPr>
                    <w:rFonts w:eastAsia="Calibri"/>
                    <w:szCs w:val="24"/>
                  </w:rPr>
                  <w:t xml:space="preserve"> </w:t>
                </w:r>
                <w:r>
                  <w:rPr>
                    <w:rFonts w:eastAsia="Calibri"/>
                    <w:color w:val="000000"/>
                    <w:szCs w:val="24"/>
                  </w:rPr>
                  <w:t>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13.15.</w:t>
                </w:r>
              </w:p>
            </w:tc>
            <w:tc>
              <w:tcPr>
                <w:tcW w:w="2977" w:type="dxa"/>
              </w:tcPr>
              <w:p>
                <w:pPr>
                  <w:spacing w:line="276" w:lineRule="auto"/>
                  <w:rPr>
                    <w:rFonts w:eastAsia="Calibri"/>
                    <w:szCs w:val="24"/>
                  </w:rPr>
                </w:pPr>
                <w:r>
                  <w:rPr>
                    <w:rFonts w:eastAsia="Calibri"/>
                    <w:szCs w:val="24"/>
                  </w:rPr>
                  <w:t>Rankos sužalojimų padariniai, T92</w:t>
                </w:r>
              </w:p>
              <w:p>
                <w:pPr>
                  <w:spacing w:line="276" w:lineRule="auto"/>
                  <w:rPr>
                    <w:rFonts w:eastAsia="Calibri"/>
                    <w:szCs w:val="24"/>
                  </w:rPr>
                </w:pPr>
                <w:r>
                  <w:rPr>
                    <w:rFonts w:eastAsia="Calibri"/>
                    <w:szCs w:val="24"/>
                  </w:rPr>
                  <w:t xml:space="preserve">Kojos sužalojimų padariniai, T93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pagal galūnių </w:t>
                </w:r>
                <w:r>
                  <w:rPr>
                    <w:rFonts w:eastAsia="Calibri"/>
                    <w:color w:val="000000"/>
                    <w:szCs w:val="24"/>
                  </w:rPr>
                  <w:t>funkciją ir gydymo rezultatus po gydytojo ortopedo traumatologo konsultacijos.</w:t>
                </w:r>
              </w:p>
            </w:tc>
          </w:tr>
          <w:tr>
            <w:tc>
              <w:tcPr>
                <w:tcW w:w="816" w:type="dxa"/>
              </w:tcPr>
              <w:p>
                <w:pPr>
                  <w:spacing w:line="276" w:lineRule="auto"/>
                  <w:jc w:val="both"/>
                  <w:rPr>
                    <w:rFonts w:eastAsia="Calibri"/>
                    <w:szCs w:val="24"/>
                  </w:rPr>
                </w:pPr>
                <w:r>
                  <w:rPr>
                    <w:rFonts w:eastAsia="Calibri"/>
                    <w:szCs w:val="24"/>
                  </w:rPr>
                  <w:t>13.16.</w:t>
                </w:r>
              </w:p>
            </w:tc>
            <w:tc>
              <w:tcPr>
                <w:tcW w:w="2977" w:type="dxa"/>
              </w:tcPr>
              <w:p>
                <w:pPr>
                  <w:spacing w:line="276" w:lineRule="auto"/>
                  <w:rPr>
                    <w:rFonts w:eastAsia="Calibri"/>
                    <w:szCs w:val="24"/>
                  </w:rPr>
                </w:pPr>
                <w:r>
                  <w:rPr>
                    <w:rFonts w:eastAsia="Calibri"/>
                    <w:szCs w:val="24"/>
                  </w:rPr>
                  <w:t>Įgytas galūnės nebuvimas, Z89</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13.17.</w:t>
                </w:r>
              </w:p>
            </w:tc>
            <w:tc>
              <w:tcPr>
                <w:tcW w:w="2977" w:type="dxa"/>
              </w:tcPr>
              <w:p>
                <w:pPr>
                  <w:spacing w:line="276" w:lineRule="auto"/>
                  <w:rPr>
                    <w:rFonts w:eastAsia="Calibri"/>
                    <w:szCs w:val="24"/>
                  </w:rPr>
                </w:pPr>
                <w:r>
                  <w:rPr>
                    <w:rFonts w:eastAsia="Calibri"/>
                    <w:szCs w:val="24"/>
                  </w:rPr>
                  <w:t>Piršto (-ų) (įskaitant nykštį) įgytas nebuvimas (plaštakos pirmojo piršto arba vienos plaštakos dviejų pirštų nebuvimas), Z89.0</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13.18.</w:t>
                </w:r>
              </w:p>
            </w:tc>
            <w:tc>
              <w:tcPr>
                <w:tcW w:w="2977" w:type="dxa"/>
              </w:tcPr>
              <w:p>
                <w:pPr>
                  <w:spacing w:line="276" w:lineRule="auto"/>
                  <w:rPr>
                    <w:rFonts w:eastAsia="Calibri"/>
                    <w:szCs w:val="24"/>
                  </w:rPr>
                </w:pPr>
                <w:r>
                  <w:rPr>
                    <w:rFonts w:eastAsia="Calibri"/>
                    <w:szCs w:val="24"/>
                  </w:rPr>
                  <w:t>Įgytas organų nebuvimas, Z90</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negali dirbti jūrų laive</w:t>
                </w:r>
                <w:r>
                  <w:rPr>
                    <w:rFonts w:eastAsia="Calibri"/>
                    <w:szCs w:val="24"/>
                  </w:rPr>
                  <w:t>.</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 sprendžiama individualiai po 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13.19.</w:t>
                </w:r>
              </w:p>
            </w:tc>
            <w:tc>
              <w:tcPr>
                <w:tcW w:w="2977" w:type="dxa"/>
              </w:tcPr>
              <w:p>
                <w:pPr>
                  <w:spacing w:line="276" w:lineRule="auto"/>
                  <w:rPr>
                    <w:rFonts w:eastAsia="Calibri"/>
                    <w:szCs w:val="24"/>
                  </w:rPr>
                </w:pPr>
                <w:r>
                  <w:rPr>
                    <w:rFonts w:eastAsia="Calibri"/>
                    <w:szCs w:val="24"/>
                  </w:rPr>
                  <w:t>Klubo sąnario implantas, Z96.64</w:t>
                </w:r>
              </w:p>
              <w:p>
                <w:pPr>
                  <w:spacing w:line="276" w:lineRule="auto"/>
                  <w:rPr>
                    <w:rFonts w:eastAsia="Calibri"/>
                    <w:szCs w:val="24"/>
                  </w:rPr>
                </w:pPr>
                <w:r>
                  <w:rPr>
                    <w:rFonts w:eastAsia="Calibri"/>
                    <w:szCs w:val="24"/>
                  </w:rPr>
                  <w:t>Kelio sąnario implantas, Z96.65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w:t>
                </w:r>
                <w:r>
                  <w:rPr>
                    <w:rFonts w:eastAsia="Calibri"/>
                    <w:color w:val="000000"/>
                    <w:szCs w:val="24"/>
                  </w:rPr>
                  <w:t>operacinio gydymo praėjus 6 mėn., po gydytojo ortopedo traumatologo konsultacijos.</w:t>
                </w:r>
              </w:p>
            </w:tc>
          </w:tr>
          <w:tr>
            <w:tc>
              <w:tcPr>
                <w:tcW w:w="816" w:type="dxa"/>
              </w:tcPr>
              <w:p>
                <w:pPr>
                  <w:spacing w:line="276" w:lineRule="auto"/>
                  <w:jc w:val="both"/>
                  <w:rPr>
                    <w:rFonts w:eastAsia="Calibri"/>
                    <w:szCs w:val="24"/>
                  </w:rPr>
                </w:pPr>
                <w:r>
                  <w:rPr>
                    <w:rFonts w:eastAsia="Calibri"/>
                    <w:szCs w:val="24"/>
                  </w:rPr>
                  <w:t>13.20.</w:t>
                </w:r>
              </w:p>
            </w:tc>
            <w:tc>
              <w:tcPr>
                <w:tcW w:w="2977" w:type="dxa"/>
              </w:tcPr>
              <w:p>
                <w:pPr>
                  <w:spacing w:line="276" w:lineRule="auto"/>
                  <w:rPr>
                    <w:rFonts w:eastAsia="Calibri"/>
                    <w:szCs w:val="24"/>
                  </w:rPr>
                </w:pPr>
                <w:r>
                  <w:rPr>
                    <w:rFonts w:eastAsia="Calibri"/>
                    <w:szCs w:val="24"/>
                  </w:rPr>
                  <w:t>Dirbtinė galūnė, Z97.1</w:t>
                </w:r>
              </w:p>
            </w:tc>
            <w:tc>
              <w:tcPr>
                <w:tcW w:w="4110" w:type="dxa"/>
              </w:tcPr>
              <w:p>
                <w:pPr>
                  <w:spacing w:line="276" w:lineRule="auto"/>
                  <w:rPr>
                    <w:rFonts w:eastAsia="Calibri"/>
                    <w:szCs w:val="24"/>
                  </w:rPr>
                </w:pPr>
                <w:r>
                  <w:rPr>
                    <w:rFonts w:eastAsia="Calibri"/>
                    <w:szCs w:val="24"/>
                  </w:rPr>
                  <w:t>Nė vienos profesinės grupės asmenys negali dirbti jūrų laive.</w:t>
                </w:r>
              </w:p>
            </w:tc>
            <w:tc>
              <w:tcPr>
                <w:tcW w:w="4252" w:type="dxa"/>
              </w:tcPr>
              <w:p>
                <w:pPr>
                  <w:spacing w:line="276" w:lineRule="auto"/>
                  <w:rPr>
                    <w:rFonts w:eastAsia="Calibri"/>
                    <w:szCs w:val="24"/>
                  </w:rPr>
                </w:pPr>
                <w:r>
                  <w:rPr>
                    <w:rFonts w:eastAsia="Calibri"/>
                    <w:szCs w:val="24"/>
                  </w:rPr>
                  <w:t>Nė vienos profesinės grupės asmenys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14.</w:t>
                </w:r>
              </w:p>
            </w:tc>
            <w:tc>
              <w:tcPr>
                <w:tcW w:w="14140" w:type="dxa"/>
                <w:gridSpan w:val="4"/>
              </w:tcPr>
              <w:p>
                <w:pPr>
                  <w:spacing w:line="276" w:lineRule="auto"/>
                  <w:jc w:val="center"/>
                  <w:rPr>
                    <w:rFonts w:eastAsia="Calibri"/>
                    <w:b/>
                    <w:szCs w:val="24"/>
                    <w:u w:val="single"/>
                  </w:rPr>
                </w:pPr>
                <w:r>
                  <w:rPr>
                    <w:rFonts w:eastAsia="Calibri"/>
                    <w:b/>
                    <w:szCs w:val="24"/>
                  </w:rPr>
                  <w:t xml:space="preserve">PSICHIKOS IR ELGESIO SUTRIKIMAI </w:t>
                </w:r>
              </w:p>
            </w:tc>
          </w:tr>
          <w:tr>
            <w:tc>
              <w:tcPr>
                <w:tcW w:w="816" w:type="dxa"/>
              </w:tcPr>
              <w:p>
                <w:pPr>
                  <w:spacing w:line="276" w:lineRule="auto"/>
                  <w:jc w:val="both"/>
                  <w:rPr>
                    <w:rFonts w:eastAsia="Calibri"/>
                    <w:szCs w:val="24"/>
                  </w:rPr>
                </w:pPr>
                <w:r>
                  <w:rPr>
                    <w:rFonts w:eastAsia="Calibri"/>
                    <w:szCs w:val="24"/>
                  </w:rPr>
                  <w:t>14.1.</w:t>
                </w:r>
              </w:p>
            </w:tc>
            <w:tc>
              <w:tcPr>
                <w:tcW w:w="2977" w:type="dxa"/>
              </w:tcPr>
              <w:p>
                <w:pPr>
                  <w:spacing w:line="276" w:lineRule="auto"/>
                  <w:rPr>
                    <w:rFonts w:eastAsia="Calibri"/>
                    <w:szCs w:val="24"/>
                  </w:rPr>
                </w:pPr>
                <w:r>
                  <w:rPr>
                    <w:rFonts w:eastAsia="Calibri"/>
                    <w:szCs w:val="24"/>
                  </w:rPr>
                  <w:t xml:space="preserve">Psichikos ir elgesio sutrikimai, F00–F99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po gydytojo psichiatro konsultacijos.</w:t>
                </w:r>
              </w:p>
            </w:tc>
          </w:tr>
          <w:tr>
            <w:tc>
              <w:tcPr>
                <w:tcW w:w="816" w:type="dxa"/>
              </w:tcPr>
              <w:p>
                <w:pPr>
                  <w:spacing w:line="276" w:lineRule="auto"/>
                  <w:jc w:val="both"/>
                  <w:rPr>
                    <w:rFonts w:eastAsia="Calibri"/>
                    <w:b/>
                    <w:szCs w:val="24"/>
                  </w:rPr>
                </w:pPr>
                <w:r>
                  <w:rPr>
                    <w:rFonts w:eastAsia="Calibri"/>
                    <w:b/>
                    <w:szCs w:val="24"/>
                  </w:rPr>
                  <w:t>15.</w:t>
                </w:r>
              </w:p>
            </w:tc>
            <w:tc>
              <w:tcPr>
                <w:tcW w:w="14140" w:type="dxa"/>
                <w:gridSpan w:val="4"/>
              </w:tcPr>
              <w:p>
                <w:pPr>
                  <w:spacing w:line="276" w:lineRule="auto"/>
                  <w:jc w:val="center"/>
                  <w:rPr>
                    <w:rFonts w:eastAsia="Calibri"/>
                    <w:b/>
                    <w:szCs w:val="24"/>
                    <w:u w:val="single"/>
                  </w:rPr>
                </w:pPr>
                <w:r>
                  <w:rPr>
                    <w:rFonts w:eastAsia="Calibri"/>
                    <w:b/>
                    <w:szCs w:val="24"/>
                  </w:rPr>
                  <w:t>TAM TIKROS INFEKCINĖS IR PARAZITŲ SUKELIAMOS LIGOS</w:t>
                </w:r>
              </w:p>
            </w:tc>
          </w:tr>
          <w:tr>
            <w:tc>
              <w:tcPr>
                <w:tcW w:w="816" w:type="dxa"/>
              </w:tcPr>
              <w:p>
                <w:pPr>
                  <w:spacing w:line="276" w:lineRule="auto"/>
                  <w:jc w:val="both"/>
                  <w:rPr>
                    <w:rFonts w:eastAsia="Calibri"/>
                    <w:szCs w:val="24"/>
                  </w:rPr>
                </w:pPr>
                <w:r>
                  <w:rPr>
                    <w:rFonts w:eastAsia="Calibri"/>
                    <w:szCs w:val="24"/>
                  </w:rPr>
                  <w:t>15.1.</w:t>
                </w:r>
              </w:p>
            </w:tc>
            <w:tc>
              <w:tcPr>
                <w:tcW w:w="2977" w:type="dxa"/>
              </w:tcPr>
              <w:p>
                <w:pPr>
                  <w:spacing w:line="276" w:lineRule="auto"/>
                  <w:rPr>
                    <w:rFonts w:eastAsia="Calibri"/>
                    <w:szCs w:val="24"/>
                  </w:rPr>
                </w:pPr>
                <w:r>
                  <w:rPr>
                    <w:rFonts w:eastAsia="Calibri"/>
                    <w:szCs w:val="24"/>
                  </w:rPr>
                  <w:t>Žarnyno infekcinės ligos, A00–A09</w:t>
                </w:r>
              </w:p>
              <w:p>
                <w:pPr>
                  <w:spacing w:line="276" w:lineRule="auto"/>
                  <w:rPr>
                    <w:rFonts w:eastAsia="Calibri"/>
                    <w:szCs w:val="24"/>
                  </w:rPr>
                </w:pPr>
                <w:r>
                  <w:rPr>
                    <w:rFonts w:eastAsia="Calibri"/>
                    <w:szCs w:val="24"/>
                  </w:rPr>
                  <w:t>Tam tikros bakterinės zoonozinės ligos, A20–A28</w:t>
                </w:r>
              </w:p>
              <w:p>
                <w:pPr>
                  <w:spacing w:line="276" w:lineRule="auto"/>
                  <w:rPr>
                    <w:rFonts w:eastAsia="Calibri"/>
                    <w:szCs w:val="24"/>
                  </w:rPr>
                </w:pPr>
                <w:r>
                  <w:rPr>
                    <w:rFonts w:eastAsia="Calibri"/>
                    <w:szCs w:val="24"/>
                  </w:rPr>
                  <w:t>Kitos bakterijų sukeltos ligos, A30–A49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Visų profesinių grupių darbuotojai, visiškai pasveikę po gydymo, gali dirbti jūrų ir vidaus vandenų laivuose.</w:t>
                </w:r>
              </w:p>
            </w:tc>
          </w:tr>
          <w:tr>
            <w:tc>
              <w:tcPr>
                <w:tcW w:w="816" w:type="dxa"/>
              </w:tcPr>
              <w:p>
                <w:pPr>
                  <w:spacing w:line="276" w:lineRule="auto"/>
                  <w:jc w:val="both"/>
                  <w:rPr>
                    <w:rFonts w:eastAsia="Calibri"/>
                    <w:szCs w:val="24"/>
                  </w:rPr>
                </w:pPr>
                <w:r>
                  <w:rPr>
                    <w:rFonts w:eastAsia="Calibri"/>
                    <w:szCs w:val="24"/>
                  </w:rPr>
                  <w:t>15.2.</w:t>
                </w:r>
              </w:p>
            </w:tc>
            <w:tc>
              <w:tcPr>
                <w:tcW w:w="2977" w:type="dxa"/>
              </w:tcPr>
              <w:p>
                <w:pPr>
                  <w:spacing w:line="276" w:lineRule="auto"/>
                  <w:rPr>
                    <w:rFonts w:eastAsia="Calibri"/>
                    <w:szCs w:val="24"/>
                  </w:rPr>
                </w:pPr>
                <w:r>
                  <w:rPr>
                    <w:rFonts w:eastAsia="Calibri"/>
                    <w:szCs w:val="24"/>
                  </w:rPr>
                  <w:t>Dažniausiai lytiškai plintančios infekcijos, A50–A64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15.3.</w:t>
                </w:r>
              </w:p>
            </w:tc>
            <w:tc>
              <w:tcPr>
                <w:tcW w:w="2977" w:type="dxa"/>
              </w:tcPr>
              <w:p>
                <w:pPr>
                  <w:spacing w:line="276" w:lineRule="auto"/>
                  <w:rPr>
                    <w:rFonts w:eastAsia="Calibri"/>
                    <w:szCs w:val="24"/>
                  </w:rPr>
                </w:pPr>
                <w:r>
                  <w:rPr>
                    <w:rFonts w:eastAsia="Calibri"/>
                    <w:szCs w:val="24"/>
                  </w:rPr>
                  <w:t>Besimptomis užkrėstumas žmogaus imunodeficito (ŽIV) virusu, Z21</w:t>
                </w:r>
              </w:p>
              <w:p>
                <w:pPr>
                  <w:spacing w:line="276" w:lineRule="auto"/>
                  <w:rPr>
                    <w:rFonts w:eastAsia="Calibri"/>
                    <w:szCs w:val="24"/>
                  </w:rPr>
                </w:pPr>
                <w:r>
                  <w:rPr>
                    <w:rFonts w:eastAsia="Calibri"/>
                    <w:szCs w:val="24"/>
                  </w:rPr>
                  <w:t>Žmogaus imunodeficito viruso (ŽIV) sukelta liga, B20–B24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infekuotų ŽIV asmenų tinkamumo dirbti jūrų ir vidaus vandenų laivuose sprendžiama individualiai po gydytojo infektologo konsultacijos. Asmenys, sergantys AIDS, </w:t>
                </w:r>
                <w:r>
                  <w:rPr>
                    <w:rFonts w:eastAsia="Calibri"/>
                    <w:color w:val="000000"/>
                    <w:szCs w:val="24"/>
                  </w:rPr>
                  <w:t>negali dirbti jūrų ir vidaus vandenų</w:t>
                </w:r>
                <w:r>
                  <w:rPr>
                    <w:rFonts w:eastAsia="Calibri"/>
                    <w:szCs w:val="24"/>
                  </w:rPr>
                  <w:t xml:space="preserve"> laivuose.</w:t>
                </w:r>
              </w:p>
            </w:tc>
          </w:tr>
          <w:tr>
            <w:tc>
              <w:tcPr>
                <w:tcW w:w="816" w:type="dxa"/>
              </w:tcPr>
              <w:p>
                <w:pPr>
                  <w:spacing w:line="276" w:lineRule="auto"/>
                  <w:jc w:val="both"/>
                  <w:rPr>
                    <w:rFonts w:eastAsia="Calibri"/>
                    <w:b/>
                    <w:szCs w:val="24"/>
                  </w:rPr>
                </w:pPr>
                <w:r>
                  <w:rPr>
                    <w:rFonts w:eastAsia="Calibri"/>
                    <w:b/>
                    <w:szCs w:val="24"/>
                  </w:rPr>
                  <w:t>16.</w:t>
                </w:r>
              </w:p>
            </w:tc>
            <w:tc>
              <w:tcPr>
                <w:tcW w:w="14140" w:type="dxa"/>
                <w:gridSpan w:val="4"/>
              </w:tcPr>
              <w:p>
                <w:pPr>
                  <w:spacing w:line="276" w:lineRule="auto"/>
                  <w:jc w:val="center"/>
                  <w:rPr>
                    <w:rFonts w:eastAsia="Calibri"/>
                    <w:b/>
                    <w:szCs w:val="24"/>
                  </w:rPr>
                </w:pPr>
                <w:r>
                  <w:rPr>
                    <w:rFonts w:eastAsia="Calibri"/>
                    <w:b/>
                    <w:szCs w:val="24"/>
                  </w:rPr>
                  <w:t>ODOS IR POODŽIO LIGOS</w:t>
                </w:r>
              </w:p>
            </w:tc>
          </w:tr>
          <w:tr>
            <w:tc>
              <w:tcPr>
                <w:tcW w:w="816" w:type="dxa"/>
              </w:tcPr>
              <w:p>
                <w:pPr>
                  <w:spacing w:line="276" w:lineRule="auto"/>
                  <w:jc w:val="both"/>
                  <w:rPr>
                    <w:rFonts w:eastAsia="Calibri"/>
                    <w:szCs w:val="24"/>
                  </w:rPr>
                </w:pPr>
                <w:r>
                  <w:rPr>
                    <w:rFonts w:eastAsia="Calibri"/>
                    <w:szCs w:val="24"/>
                  </w:rPr>
                  <w:t>16.1.</w:t>
                </w:r>
              </w:p>
            </w:tc>
            <w:tc>
              <w:tcPr>
                <w:tcW w:w="2977" w:type="dxa"/>
              </w:tcPr>
              <w:p>
                <w:pPr>
                  <w:spacing w:line="276" w:lineRule="auto"/>
                  <w:rPr>
                    <w:rFonts w:eastAsia="Calibri"/>
                    <w:szCs w:val="24"/>
                  </w:rPr>
                </w:pPr>
                <w:r>
                  <w:rPr>
                    <w:rFonts w:eastAsia="Calibri"/>
                    <w:szCs w:val="24"/>
                  </w:rPr>
                  <w:t>Mikozės, B35–B49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16.2.</w:t>
                </w:r>
              </w:p>
            </w:tc>
            <w:tc>
              <w:tcPr>
                <w:tcW w:w="2977" w:type="dxa"/>
              </w:tcPr>
              <w:p>
                <w:pPr>
                  <w:spacing w:line="276" w:lineRule="auto"/>
                  <w:rPr>
                    <w:rFonts w:eastAsia="Calibri"/>
                    <w:szCs w:val="24"/>
                  </w:rPr>
                </w:pPr>
                <w:r>
                  <w:rPr>
                    <w:rFonts w:eastAsia="Calibri"/>
                    <w:szCs w:val="24"/>
                  </w:rPr>
                  <w:t>Kiti dermatitai, L30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16.3.</w:t>
                </w:r>
              </w:p>
            </w:tc>
            <w:tc>
              <w:tcPr>
                <w:tcW w:w="2977" w:type="dxa"/>
              </w:tcPr>
              <w:p>
                <w:pPr>
                  <w:spacing w:line="276" w:lineRule="auto"/>
                  <w:rPr>
                    <w:rFonts w:eastAsia="Calibri"/>
                    <w:szCs w:val="24"/>
                  </w:rPr>
                </w:pPr>
                <w:r>
                  <w:rPr>
                    <w:rFonts w:eastAsia="Calibri"/>
                    <w:szCs w:val="24"/>
                  </w:rPr>
                  <w:t>Infekcinis dermatitas, L30.3</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dermatovenerologo konsultacijos.</w:t>
                </w:r>
              </w:p>
            </w:tc>
          </w:tr>
          <w:tr>
            <w:tc>
              <w:tcPr>
                <w:tcW w:w="816" w:type="dxa"/>
              </w:tcPr>
              <w:p>
                <w:pPr>
                  <w:spacing w:line="276" w:lineRule="auto"/>
                  <w:jc w:val="both"/>
                  <w:rPr>
                    <w:rFonts w:eastAsia="Calibri"/>
                    <w:szCs w:val="24"/>
                  </w:rPr>
                </w:pPr>
                <w:r>
                  <w:rPr>
                    <w:rFonts w:eastAsia="Calibri"/>
                    <w:szCs w:val="24"/>
                  </w:rPr>
                  <w:t>16.4.</w:t>
                </w:r>
              </w:p>
            </w:tc>
            <w:tc>
              <w:tcPr>
                <w:tcW w:w="2977" w:type="dxa"/>
              </w:tcPr>
              <w:p>
                <w:pPr>
                  <w:spacing w:line="276" w:lineRule="auto"/>
                  <w:rPr>
                    <w:rFonts w:eastAsia="Calibri"/>
                    <w:szCs w:val="24"/>
                  </w:rPr>
                </w:pPr>
                <w:r>
                  <w:rPr>
                    <w:rFonts w:eastAsia="Calibri"/>
                    <w:szCs w:val="24"/>
                  </w:rPr>
                  <w:t>Psoriazė, L40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16.5.</w:t>
                </w:r>
              </w:p>
            </w:tc>
            <w:tc>
              <w:tcPr>
                <w:tcW w:w="2977" w:type="dxa"/>
              </w:tcPr>
              <w:p>
                <w:pPr>
                  <w:spacing w:line="276" w:lineRule="auto"/>
                  <w:rPr>
                    <w:rFonts w:eastAsia="Calibri"/>
                    <w:szCs w:val="24"/>
                  </w:rPr>
                </w:pPr>
                <w:r>
                  <w:rPr>
                    <w:rFonts w:eastAsia="Calibri"/>
                    <w:szCs w:val="24"/>
                  </w:rPr>
                  <w:t>Dažnai pasikartojanti dilgėlinė, L50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vidaus vandenų</w:t>
                </w:r>
                <w:r>
                  <w:rPr>
                    <w:rFonts w:eastAsia="Calibri"/>
                    <w:szCs w:val="24"/>
                  </w:rPr>
                  <w:t xml:space="preserve"> laive </w:t>
                </w:r>
                <w:r>
                  <w:rPr>
                    <w:rFonts w:eastAsia="Calibri"/>
                    <w:color w:val="000000"/>
                    <w:szCs w:val="24"/>
                  </w:rPr>
                  <w:t>sprendžiama individualiai po gydytojo dermatovenerologo ar gydytojo alergologo ir klinikinio imunologo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17.</w:t>
                </w:r>
              </w:p>
            </w:tc>
            <w:tc>
              <w:tcPr>
                <w:tcW w:w="14140" w:type="dxa"/>
                <w:gridSpan w:val="4"/>
              </w:tcPr>
              <w:p>
                <w:pPr>
                  <w:spacing w:line="276" w:lineRule="auto"/>
                  <w:jc w:val="center"/>
                  <w:rPr>
                    <w:rFonts w:eastAsia="Calibri"/>
                    <w:b/>
                    <w:szCs w:val="24"/>
                  </w:rPr>
                </w:pPr>
                <w:r>
                  <w:rPr>
                    <w:rFonts w:eastAsia="Calibri"/>
                    <w:b/>
                    <w:szCs w:val="24"/>
                  </w:rPr>
                  <w:t>PIKTYBINIAI NAVIKAI</w:t>
                </w:r>
              </w:p>
            </w:tc>
          </w:tr>
          <w:tr>
            <w:tc>
              <w:tcPr>
                <w:tcW w:w="816" w:type="dxa"/>
              </w:tcPr>
              <w:p>
                <w:pPr>
                  <w:spacing w:line="276" w:lineRule="auto"/>
                  <w:jc w:val="both"/>
                  <w:rPr>
                    <w:rFonts w:eastAsia="Calibri"/>
                    <w:color w:val="000000"/>
                    <w:szCs w:val="24"/>
                  </w:rPr>
                </w:pPr>
                <w:r>
                  <w:rPr>
                    <w:rFonts w:eastAsia="Calibri"/>
                    <w:color w:val="000000"/>
                    <w:szCs w:val="24"/>
                  </w:rPr>
                  <w:t>17.1.</w:t>
                </w:r>
              </w:p>
            </w:tc>
            <w:tc>
              <w:tcPr>
                <w:tcW w:w="2977" w:type="dxa"/>
              </w:tcPr>
              <w:p>
                <w:pPr>
                  <w:spacing w:line="276" w:lineRule="auto"/>
                  <w:rPr>
                    <w:rFonts w:eastAsia="Calibri"/>
                    <w:color w:val="000000"/>
                    <w:szCs w:val="24"/>
                  </w:rPr>
                </w:pPr>
                <w:r>
                  <w:rPr>
                    <w:rFonts w:eastAsia="Calibri"/>
                    <w:color w:val="000000"/>
                    <w:szCs w:val="24"/>
                  </w:rPr>
                  <w:t>Išplitę piktybiniai navikai, C00–C96</w:t>
                </w: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vidaus vandenų laive.</w:t>
                </w:r>
              </w:p>
            </w:tc>
            <w:tc>
              <w:tcPr>
                <w:tcW w:w="2801" w:type="dxa"/>
              </w:tcPr>
              <w:p>
                <w:pPr>
                  <w:spacing w:line="276" w:lineRule="auto"/>
                  <w:rPr>
                    <w:rFonts w:eastAsia="Calibri"/>
                    <w:strike/>
                    <w:color w:val="000000"/>
                    <w:szCs w:val="24"/>
                  </w:rPr>
                </w:pPr>
              </w:p>
            </w:tc>
          </w:tr>
          <w:tr>
            <w:tc>
              <w:tcPr>
                <w:tcW w:w="816" w:type="dxa"/>
              </w:tcPr>
              <w:p>
                <w:pPr>
                  <w:spacing w:line="276" w:lineRule="auto"/>
                  <w:jc w:val="both"/>
                  <w:rPr>
                    <w:rFonts w:eastAsia="Calibri"/>
                    <w:szCs w:val="24"/>
                  </w:rPr>
                </w:pPr>
                <w:r>
                  <w:rPr>
                    <w:rFonts w:eastAsia="Calibri"/>
                    <w:szCs w:val="24"/>
                  </w:rPr>
                  <w:t>17.2.</w:t>
                </w:r>
              </w:p>
            </w:tc>
            <w:tc>
              <w:tcPr>
                <w:tcW w:w="2977" w:type="dxa"/>
              </w:tcPr>
              <w:p>
                <w:pPr>
                  <w:spacing w:line="276" w:lineRule="auto"/>
                  <w:rPr>
                    <w:rFonts w:eastAsia="Calibri"/>
                    <w:szCs w:val="24"/>
                  </w:rPr>
                </w:pPr>
                <w:r>
                  <w:rPr>
                    <w:rFonts w:eastAsia="Calibri"/>
                    <w:szCs w:val="24"/>
                  </w:rPr>
                  <w:t>Būklė po piktybinių navikų operacinio ar kito kompleksinio gydymo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onkologo radioterapeuto ar gydytojo onkologo chemoterapeuto konsultacijos.</w:t>
                </w:r>
              </w:p>
            </w:tc>
          </w:tr>
          <w:tr>
            <w:tc>
              <w:tcPr>
                <w:tcW w:w="816" w:type="dxa"/>
              </w:tcPr>
              <w:p>
                <w:pPr>
                  <w:spacing w:line="276" w:lineRule="auto"/>
                  <w:jc w:val="both"/>
                  <w:rPr>
                    <w:rFonts w:eastAsia="Calibri"/>
                    <w:b/>
                    <w:szCs w:val="24"/>
                  </w:rPr>
                </w:pPr>
                <w:r>
                  <w:rPr>
                    <w:rFonts w:eastAsia="Calibri"/>
                    <w:b/>
                    <w:szCs w:val="24"/>
                  </w:rPr>
                  <w:t>18.</w:t>
                </w:r>
              </w:p>
            </w:tc>
            <w:tc>
              <w:tcPr>
                <w:tcW w:w="2977" w:type="dxa"/>
              </w:tcPr>
              <w:p>
                <w:pPr>
                  <w:spacing w:line="276" w:lineRule="auto"/>
                  <w:rPr>
                    <w:rFonts w:eastAsia="Calibri"/>
                    <w:b/>
                    <w:szCs w:val="24"/>
                  </w:rPr>
                </w:pPr>
                <w:r>
                  <w:rPr>
                    <w:rFonts w:eastAsia="Calibri"/>
                    <w:b/>
                    <w:szCs w:val="24"/>
                  </w:rPr>
                  <w:t>KITOS NEPAMINĖTOS LIGOS</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Sprendžiama individualiai.</w:t>
                </w:r>
              </w:p>
            </w:tc>
          </w:tr>
        </w:tbl>
        <w:p>
          <w:pPr>
            <w:ind w:right="27"/>
            <w:jc w:val="both"/>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2 pr."/>
        <w:tag w:val="part_0e96d09636ed4414894ff0276fa8787e"/>
        <w:lock w:val="sdtLocked"/>
        <w:richText/>
      </w:sdtPr>
      <w:sdtContent>
        <w:p>
          <w:pPr>
            <w:ind w:left="5184"/>
            <w:jc w:val="both"/>
            <w:sectPr>
              <w:headerReference w:type="even" r:id="rId90"/>
              <w:headerReference w:type="default" r:id="rId91"/>
              <w:pgSz w:w="16838" w:h="11906" w:orient="landscape" w:code="9"/>
              <w:pgMar w:top="709" w:right="680" w:bottom="567" w:left="1418" w:header="567" w:footer="567" w:gutter="0"/>
              <w:pgNumType w:start="1"/>
              <w:cols w:space="1296"/>
              <w:titlePg/>
              <w:docGrid w:linePitch="360"/>
            </w:sectPr>
          </w:pPr>
        </w:p>
        <w:p>
          <w:pPr>
            <w:ind w:left="5184"/>
            <w:jc w:val="both"/>
            <w:rPr>
              <w:szCs w:val="24"/>
            </w:rPr>
          </w:pPr>
          <w:r>
            <w:rPr>
              <w:szCs w:val="24"/>
            </w:rPr>
            <w:t xml:space="preserve">Jūrininkų ir vidaus vandenų transporto specialistų bei motorinių pramoginių laivų ir kitų motorinių plaukiojimo priemonių laivavedžių sveikatos tikrinimo tvarkos aprašo </w:t>
          </w:r>
        </w:p>
        <w:p>
          <w:pPr>
            <w:ind w:left="5184"/>
            <w:jc w:val="both"/>
            <w:rPr>
              <w:szCs w:val="24"/>
            </w:rPr>
          </w:pPr>
          <w:sdt>
            <w:sdtPr>
              <w:alias w:val="Numeris"/>
              <w:tag w:val="nr_0e96d09636ed4414894ff0276fa8787e"/>
              <w:lock w:val="sdtLocked"/>
              <w:richText/>
            </w:sdtPr>
            <w:sdtContent>
              <w:r>
                <w:rPr>
                  <w:szCs w:val="24"/>
                </w:rPr>
                <w:t>2</w:t>
              </w:r>
            </w:sdtContent>
          </w:sdt>
          <w:r>
            <w:rPr>
              <w:szCs w:val="24"/>
            </w:rPr>
            <w:t xml:space="preserve"> priedas</w:t>
          </w:r>
        </w:p>
        <w:p>
          <w:pPr>
            <w:jc w:val="center"/>
            <w:rPr>
              <w:b/>
              <w:szCs w:val="24"/>
            </w:rPr>
          </w:pPr>
        </w:p>
        <w:sdt>
          <w:sdtPr>
            <w:alias w:val="Pavadinimas"/>
            <w:tag w:val="title_0e96d09636ed4414894ff0276fa8787e"/>
            <w:lock w:val="sdtLocked"/>
            <w:richText/>
          </w:sdtPr>
          <w:sdtContent>
            <w:p>
              <w:pPr>
                <w:jc w:val="center"/>
                <w:rPr>
                  <w:b/>
                  <w:color w:val="000000"/>
                  <w:szCs w:val="24"/>
                </w:rPr>
              </w:pPr>
              <w:r>
                <w:rPr>
                  <w:b/>
                  <w:color w:val="000000"/>
                  <w:szCs w:val="24"/>
                </w:rPr>
                <w:t>JŪRININKO AR VIDAUS VANDENŲ TRANSPORTO SPECIALISTO BEI MOTORINIŲ PRAMOGINIŲ LAIVŲ IR KITŲ MOTORINIŲ PLAUKIOJIMO PRIEMONIŲ LAIVAVEDŽIO GARBĖS DEKLARACIJA (SVEIKATOS TIKRINIMO KLAUSIMYNAS)</w:t>
              </w:r>
            </w:p>
            <w:p>
              <w:pPr>
                <w:jc w:val="center"/>
                <w:rPr>
                  <w:b/>
                  <w:i/>
                  <w:szCs w:val="24"/>
                </w:rPr>
              </w:pPr>
              <w:r>
                <w:rPr>
                  <w:b/>
                  <w:color w:val="000000"/>
                  <w:szCs w:val="24"/>
                </w:rPr>
                <w:t xml:space="preserve">/ </w:t>
              </w:r>
              <w:r>
                <w:rPr>
                  <w:b/>
                  <w:i/>
                  <w:color w:val="000000"/>
                  <w:szCs w:val="24"/>
                </w:rPr>
                <w:t>SEAFARERS OR NAVIGATOR‘S OF MOTOR PLEASURE AND OTHER CRAFT</w:t>
              </w:r>
              <w:r>
                <w:rPr>
                  <w:b/>
                  <w:i/>
                  <w:szCs w:val="24"/>
                </w:rPr>
                <w:t xml:space="preserve"> DECLARATION OF HONOUR</w:t>
              </w:r>
            </w:p>
          </w:sdtContent>
        </w:sdt>
        <w:p>
          <w:pPr>
            <w:jc w:val="center"/>
            <w:rPr>
              <w:b/>
              <w:szCs w:val="24"/>
            </w:rPr>
          </w:pPr>
          <w:r>
            <w:rPr>
              <w:b/>
              <w:szCs w:val="24"/>
            </w:rPr>
            <w:t>__________________</w:t>
          </w:r>
        </w:p>
        <w:p>
          <w:pPr>
            <w:jc w:val="center"/>
            <w:rPr>
              <w:sz w:val="20"/>
            </w:rPr>
          </w:pPr>
          <w:r>
            <w:rPr>
              <w:sz w:val="20"/>
            </w:rPr>
            <w:t xml:space="preserve">(data / </w:t>
          </w:r>
          <w:r>
            <w:rPr>
              <w:i/>
              <w:sz w:val="20"/>
            </w:rPr>
            <w:t>date</w:t>
          </w:r>
          <w:r>
            <w:rPr>
              <w:sz w:val="20"/>
            </w:rPr>
            <w:t>)</w:t>
          </w:r>
        </w:p>
        <w:p>
          <w:pPr>
            <w:jc w:val="center"/>
            <w:rPr>
              <w:b/>
              <w:szCs w:val="24"/>
            </w:rPr>
          </w:pPr>
          <w:r>
            <w:rPr>
              <w:b/>
              <w:szCs w:val="24"/>
            </w:rPr>
            <w:t>________________________</w:t>
          </w:r>
        </w:p>
        <w:p>
          <w:pPr>
            <w:jc w:val="center"/>
            <w:rPr>
              <w:sz w:val="20"/>
            </w:rPr>
          </w:pPr>
          <w:r>
            <w:rPr>
              <w:sz w:val="20"/>
            </w:rPr>
            <w:t xml:space="preserve">(užpildymo vieta  / </w:t>
          </w:r>
          <w:r>
            <w:rPr>
              <w:i/>
              <w:sz w:val="20"/>
            </w:rPr>
            <w:t>place</w:t>
          </w:r>
          <w:r>
            <w:rPr>
              <w:sz w:val="20"/>
            </w:rPr>
            <w:t>)</w:t>
          </w:r>
        </w:p>
        <w:p>
          <w:pPr>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7"/>
          </w:tblGrid>
          <w:tr>
            <w:trPr>
              <w:trHeight w:val="3501"/>
            </w:trPr>
            <w:tc>
              <w:tcPr>
                <w:tcW w:w="9854" w:type="dxa"/>
                <w:tcBorders>
                  <w:top w:val="single" w:sz="4" w:space="0" w:color="auto"/>
                  <w:left w:val="single" w:sz="4" w:space="0" w:color="auto"/>
                  <w:bottom w:val="single" w:sz="4" w:space="0" w:color="auto"/>
                  <w:right w:val="single" w:sz="4" w:space="0" w:color="auto"/>
                </w:tcBorders>
              </w:tcPr>
              <w:p>
                <w:pPr>
                  <w:rPr>
                    <w:szCs w:val="24"/>
                  </w:rPr>
                </w:pPr>
              </w:p>
              <w:p>
                <w:pPr>
                  <w:rPr>
                    <w:szCs w:val="24"/>
                  </w:rPr>
                </w:pPr>
                <w:r>
                  <w:rPr>
                    <w:szCs w:val="24"/>
                  </w:rPr>
                  <w:t xml:space="preserve">______________________          ________________________________</w:t>
                </w:r>
              </w:p>
              <w:p>
                <w:pPr>
                  <w:ind w:firstLine="600"/>
                  <w:rPr>
                    <w:szCs w:val="24"/>
                  </w:rPr>
                </w:pPr>
                <w:r>
                  <w:rPr>
                    <w:szCs w:val="24"/>
                  </w:rPr>
                  <w:t xml:space="preserve">(vardas / </w:t>
                </w:r>
                <w:r>
                  <w:rPr>
                    <w:i/>
                    <w:szCs w:val="24"/>
                  </w:rPr>
                  <w:t>name</w:t>
                </w:r>
                <w:r>
                  <w:rPr>
                    <w:szCs w:val="24"/>
                  </w:rPr>
                  <w:t xml:space="preserve">)                                         (pavardė / </w:t>
                </w:r>
                <w:r>
                  <w:rPr>
                    <w:i/>
                    <w:szCs w:val="24"/>
                  </w:rPr>
                  <w:t>surname</w:t>
                </w:r>
                <w:r>
                  <w:rPr>
                    <w:szCs w:val="24"/>
                  </w:rPr>
                  <w:t>)</w:t>
                </w:r>
              </w:p>
              <w:p>
                <w:pPr>
                  <w:rPr>
                    <w:szCs w:val="24"/>
                  </w:rPr>
                </w:pPr>
                <w:r>
                  <w:rPr>
                    <w:szCs w:val="24"/>
                  </w:rPr>
                  <w:t xml:space="preserve">_______________________         _______________________________        ____________</w:t>
                </w:r>
              </w:p>
              <w:p>
                <w:pPr>
                  <w:rPr>
                    <w:szCs w:val="24"/>
                  </w:rPr>
                </w:pPr>
                <w:r>
                  <w:rPr>
                    <w:szCs w:val="24"/>
                  </w:rPr>
                  <w:t xml:space="preserve">(gimimo data / </w:t>
                </w:r>
                <w:r>
                  <w:rPr>
                    <w:i/>
                    <w:szCs w:val="24"/>
                  </w:rPr>
                  <w:t>date of birth</w:t>
                </w:r>
                <w:r>
                  <w:rPr>
                    <w:szCs w:val="24"/>
                  </w:rPr>
                  <w:t xml:space="preserve">)          (asmens kodas / </w:t>
                </w:r>
                <w:r>
                  <w:rPr>
                    <w:i/>
                    <w:szCs w:val="24"/>
                  </w:rPr>
                  <w:t>identity code</w:t>
                </w:r>
                <w:r>
                  <w:rPr>
                    <w:szCs w:val="24"/>
                  </w:rPr>
                  <w:t xml:space="preserve">)                   (lytis / </w:t>
                </w:r>
                <w:r>
                  <w:rPr>
                    <w:i/>
                    <w:szCs w:val="24"/>
                  </w:rPr>
                  <w:t>gender</w:t>
                </w:r>
                <w:r>
                  <w:rPr>
                    <w:szCs w:val="24"/>
                  </w:rPr>
                  <w:t>)</w:t>
                </w:r>
              </w:p>
              <w:p>
                <w:pPr>
                  <w:rPr>
                    <w:szCs w:val="24"/>
                  </w:rPr>
                </w:pPr>
                <w:r>
                  <w:rPr>
                    <w:szCs w:val="24"/>
                  </w:rPr>
                  <w:t>_________________________________________________________________________</w:t>
                </w:r>
              </w:p>
              <w:p>
                <w:pPr>
                  <w:ind w:firstLine="2580"/>
                  <w:rPr>
                    <w:szCs w:val="24"/>
                  </w:rPr>
                </w:pPr>
                <w:r>
                  <w:rPr>
                    <w:szCs w:val="24"/>
                  </w:rPr>
                  <w:t xml:space="preserve">(nuolatinė gyvenamoji vieta / </w:t>
                </w:r>
                <w:r>
                  <w:rPr>
                    <w:i/>
                    <w:szCs w:val="24"/>
                  </w:rPr>
                  <w:t>domicile</w:t>
                </w:r>
                <w:r>
                  <w:rPr>
                    <w:szCs w:val="24"/>
                  </w:rPr>
                  <w:t>)</w:t>
                </w:r>
              </w:p>
              <w:p>
                <w:pPr>
                  <w:rPr>
                    <w:szCs w:val="24"/>
                  </w:rPr>
                </w:pPr>
                <w:r>
                  <w:rPr>
                    <w:szCs w:val="24"/>
                  </w:rPr>
                  <w:t>___________________________________________</w:t>
                </w:r>
              </w:p>
              <w:p>
                <w:pPr>
                  <w:ind w:firstLine="1380"/>
                  <w:rPr>
                    <w:szCs w:val="24"/>
                  </w:rPr>
                </w:pPr>
                <w:r>
                  <w:rPr>
                    <w:szCs w:val="24"/>
                  </w:rPr>
                  <w:t xml:space="preserve">(pareigos / </w:t>
                </w:r>
                <w:r>
                  <w:rPr>
                    <w:i/>
                    <w:szCs w:val="24"/>
                  </w:rPr>
                  <w:t>position</w:t>
                </w:r>
                <w:r>
                  <w:rPr>
                    <w:szCs w:val="24"/>
                  </w:rPr>
                  <w:t>)</w:t>
                </w:r>
              </w:p>
              <w:p>
                <w:pPr>
                  <w:widowControl w:val="0"/>
                  <w:tabs>
                    <w:tab w:val="left" w:pos="1080"/>
                  </w:tabs>
                  <w:jc w:val="both"/>
                  <w:rPr>
                    <w:szCs w:val="24"/>
                  </w:rPr>
                </w:pPr>
                <w:r>
                  <w:rPr>
                    <w:szCs w:val="24"/>
                  </w:rPr>
                  <w:t>Profesinės grupės pagal darbo pobūdį:</w:t>
                </w:r>
              </w:p>
              <w:p>
                <w:pPr>
                  <w:jc w:val="both"/>
                  <w:rPr>
                    <w:szCs w:val="24"/>
                  </w:rPr>
                </w:pPr>
                <w:r>
                  <w:rPr>
                    <w:szCs w:val="24"/>
                  </w:rPr>
                  <w:t>I profesinė grupė – Denio tarnyba. Vykdantys navigacinį budėjimą kapitonai, kapitonų padėjėjai, laivų škiperiai ir jų padėjėjai, kvalifikuoti jūreiviai, jūreiviai, upeiviai, locmanai ir pan.</w:t>
                </w:r>
              </w:p>
              <w:p>
                <w:pPr>
                  <w:jc w:val="both"/>
                  <w:rPr>
                    <w:szCs w:val="24"/>
                  </w:rPr>
                </w:pPr>
                <w:r>
                  <w:rPr>
                    <w:szCs w:val="24"/>
                  </w:rPr>
                  <w:t>II profesinė grupė – Mašinų (Jėgainės) tarnyba. Vykdantys mašinų (jėgainės) eigos budėjimą visų grupių mechanikai, kvalifikuoti motoristai, motoristai, elektrikai ir pan.</w:t>
                </w:r>
              </w:p>
              <w:p>
                <w:pPr>
                  <w:jc w:val="both"/>
                  <w:rPr>
                    <w:szCs w:val="24"/>
                  </w:rPr>
                </w:pPr>
                <w:r>
                  <w:rPr>
                    <w:szCs w:val="24"/>
                  </w:rPr>
                  <w:t>III profesinė grupė – Aptarnavimo tarnyba. Laivus ir jų personalą bei keleivius aptarnaujantys sveikatos priežiūros specialistai ir kiti darbuotojai, saugos pareigūnai, virėjai, narai ir pan.</w:t>
                </w:r>
              </w:p>
              <w:p>
                <w:pPr>
                  <w:jc w:val="both"/>
                  <w:rPr>
                    <w:color w:val="C0504D"/>
                    <w:szCs w:val="24"/>
                  </w:rPr>
                </w:pPr>
                <w:r>
                  <w:rPr>
                    <w:szCs w:val="24"/>
                  </w:rPr>
                  <w:t xml:space="preserve">IV profesinė grupė – </w:t>
                </w:r>
                <w:r>
                  <w:rPr>
                    <w:color w:val="000000"/>
                    <w:szCs w:val="24"/>
                  </w:rPr>
                  <w:t>Motorinių pramoginių laivų ir kitų motorinių plaukiojimo priemonių laivavedžiai.</w:t>
                </w:r>
              </w:p>
            </w:tc>
          </w:tr>
        </w:tbl>
        <w:p>
          <w:pPr>
            <w:jc w:val="both"/>
            <w:rPr>
              <w:b/>
              <w:szCs w:val="24"/>
            </w:rPr>
          </w:pPr>
        </w:p>
        <w:p>
          <w:pPr>
            <w:ind w:firstLine="360"/>
            <w:jc w:val="both"/>
            <w:rPr>
              <w:b/>
              <w:szCs w:val="24"/>
            </w:rPr>
          </w:pPr>
          <w:r>
            <w:rPr>
              <w:szCs w:val="24"/>
            </w:rPr>
            <w:t xml:space="preserve">Į pateiktus klausimus atsakykite pažymėdami Jums tinkantį variantą / </w:t>
          </w:r>
          <w:r>
            <w:rPr>
              <w:i/>
              <w:szCs w:val="24"/>
            </w:rPr>
            <w:t>Please answer the questions below and select the options</w:t>
          </w:r>
          <w:r>
            <w:rPr>
              <w:szCs w:val="24"/>
            </w:rPr>
            <w:t xml:space="preserve"> (Taip / </w:t>
          </w:r>
          <w:r>
            <w:rPr>
              <w:i/>
              <w:szCs w:val="24"/>
            </w:rPr>
            <w:t>Yes</w:t>
          </w:r>
          <w:r>
            <w:rPr>
              <w:szCs w:val="24"/>
            </w:rPr>
            <w:t xml:space="preserve">; Ne / </w:t>
          </w:r>
          <w:r>
            <w:rPr>
              <w:i/>
              <w:szCs w:val="24"/>
            </w:rPr>
            <w:t>No</w:t>
          </w:r>
          <w:r>
            <w:rPr>
              <w:szCs w:val="24"/>
            </w:rPr>
            <w:t xml:space="preserve">) </w:t>
          </w:r>
        </w:p>
        <w:p>
          <w:pPr>
            <w:jc w:val="both"/>
            <w:rPr>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096"/>
            <w:gridCol w:w="1559"/>
            <w:gridCol w:w="1559"/>
          </w:tblGrid>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anksčiau buvo atliktas medicininis patikrinimas dėl darbo jūroje? / </w:t>
                </w:r>
                <w:r>
                  <w:rPr>
                    <w:i/>
                    <w:color w:val="333333"/>
                    <w:szCs w:val="24"/>
                    <w:lang w:val="en"/>
                  </w:rPr>
                  <w:t>Have you previously performed a medical examination for a job at sea?</w:t>
                </w:r>
                <w:r>
                  <w:rPr>
                    <w:szCs w:val="24"/>
                    <w:lang w:val="en"/>
                  </w:rPr>
                  <w:t xml:space="preserve"> </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Taip / </w:t>
                </w:r>
                <w:r>
                  <w:rPr>
                    <w:i/>
                    <w:szCs w:val="24"/>
                  </w:rPr>
                  <w:t>Yes</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Ne / </w:t>
                </w:r>
                <w:r>
                  <w:rPr>
                    <w:i/>
                    <w:szCs w:val="24"/>
                  </w:rPr>
                  <w:t>No</w:t>
                </w: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buvote pripažintas netinkamu dirbti jūroje ir (ar) buvo taikyti apribojimai dėl darbo jūroje? / </w:t>
                </w:r>
                <w:r>
                  <w:rPr>
                    <w:i/>
                    <w:color w:val="333333"/>
                    <w:szCs w:val="24"/>
                    <w:lang w:val="en"/>
                  </w:rPr>
                  <w:t>Have you ever been declared unfit for work at sea and (or) the restrictions applicable to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gydėtės ligoninėje? </w:t>
                </w:r>
                <w:r>
                  <w:rPr>
                    <w:i/>
                    <w:szCs w:val="24"/>
                  </w:rPr>
                  <w:t>/ Have you been admitted to the hospital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buvote nepertraukiamai nedarbingas ilgiau nei 30 dienų? / </w:t>
                </w:r>
                <w:r>
                  <w:rPr>
                    <w:i/>
                    <w:szCs w:val="24"/>
                  </w:rPr>
                  <w:t>Have you had unfitted period of sickness leave for more than 30 days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plaučių ligomis (tuberkulioze, bronchine astma)? / </w:t>
                </w:r>
                <w:r>
                  <w:rPr>
                    <w:i/>
                    <w:szCs w:val="24"/>
                  </w:rPr>
                  <w:t>Have you been sick with lung diseases including tuberculosis, asthma?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širdies ir kraujagyslių ligomis? / </w:t>
                </w:r>
                <w:r>
                  <w:rPr>
                    <w:i/>
                    <w:szCs w:val="24"/>
                  </w:rPr>
                  <w:t>Have you ever been sick with any heart and circulatory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klausos organų ligomis? / </w:t>
                </w:r>
                <w:r>
                  <w:rPr>
                    <w:i/>
                    <w:szCs w:val="24"/>
                  </w:rPr>
                  <w:t>Have you ever been sick with any ear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regos organų ligomis? / </w:t>
                </w:r>
                <w:r>
                  <w:rPr>
                    <w:i/>
                    <w:szCs w:val="24"/>
                  </w:rPr>
                  <w:t>Have you ever been sick with any eye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epilepsija? / </w:t>
                </w:r>
                <w:r>
                  <w:rPr>
                    <w:i/>
                    <w:szCs w:val="24"/>
                  </w:rPr>
                  <w:t>Have you been sick with epilepsy?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sergate cukriniu diabetu? / </w:t>
                </w:r>
                <w:r>
                  <w:rPr>
                    <w:i/>
                    <w:szCs w:val="24"/>
                  </w:rPr>
                  <w:t>Have you sick with diabetes?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yra buvę sunkių alerginių reakcijų / egzemos / odos ligų? / </w:t>
                </w:r>
                <w:r>
                  <w:rPr>
                    <w:i/>
                    <w:szCs w:val="24"/>
                  </w:rPr>
                  <w:t>Have you had any serious allergic reaction / eczema / skin disease?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psichikos sutrikimų? / </w:t>
                </w:r>
                <w:r>
                  <w:rPr>
                    <w:i/>
                    <w:szCs w:val="24"/>
                  </w:rPr>
                  <w:t>Have you had any mental disturbances?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problemų dėl priklausomybės nuo alkoholio ir narkotikų vartojimo? / </w:t>
                </w:r>
                <w:r>
                  <w:rPr>
                    <w:i/>
                    <w:szCs w:val="24"/>
                  </w:rPr>
                  <w:t>Have you had problems with addiction to alcohol and drugs use?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kokių nors nugaros skausmo problemų (traumą, reumatą)? / </w:t>
                </w:r>
                <w:r>
                  <w:rPr>
                    <w:i/>
                    <w:szCs w:val="24"/>
                  </w:rPr>
                  <w:t>Have you had any painful back trouble, including lumbago and sciatica?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dirbdamas jūroje esate patyręs sunkių traumų? / </w:t>
                </w:r>
                <w:r>
                  <w:rPr>
                    <w:i/>
                    <w:szCs w:val="24"/>
                  </w:rPr>
                  <w:t>Have you been suffered by serious injury leaving permanent effects as consequences of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virškinimo sutrikimų, dėl kurių buvo paskirtas gydymas? / </w:t>
                </w:r>
                <w:r>
                  <w:rPr>
                    <w:i/>
                    <w:szCs w:val="24"/>
                  </w:rPr>
                  <w:t>Have you had any digestive problems, which were being treated?</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reguliariai vartojate kokius nors vaistinius preparatus? / </w:t>
                </w:r>
                <w:r>
                  <w:rPr>
                    <w:i/>
                    <w:szCs w:val="24"/>
                  </w:rPr>
                  <w:t>Do you use medicament on prescription regularly?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nešiojate akinius ar kontaktinius lešius? / </w:t>
                </w:r>
                <w:r>
                  <w:rPr>
                    <w:i/>
                    <w:szCs w:val="24"/>
                  </w:rPr>
                  <w:t>Do you wear glasses or contact lenses to improve your eyesight?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sunku orientuotis prietemoje? / </w:t>
                </w:r>
                <w:r>
                  <w:rPr>
                    <w:i/>
                    <w:szCs w:val="24"/>
                  </w:rPr>
                  <w:t>Do you find difficulties in orienteering yourself in dusk / twilit?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skiriate spalvas? / </w:t>
                </w:r>
                <w:r>
                  <w:rPr>
                    <w:i/>
                    <w:szCs w:val="24"/>
                    <w:lang w:val="en-US"/>
                  </w:rPr>
                  <w:t>Do you have difficulties in colors differentiation?</w:t>
                </w:r>
                <w:r>
                  <w:rPr>
                    <w:szCs w:val="24"/>
                    <w:lang w:val="en-US"/>
                  </w:rPr>
                  <w:t xml:space="preserve"> </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21.</w:t>
                </w:r>
              </w:p>
            </w:tc>
            <w:tc>
              <w:tcPr>
                <w:tcW w:w="6096" w:type="dxa"/>
                <w:tcBorders>
                  <w:top w:val="single" w:sz="4" w:space="0" w:color="auto"/>
                  <w:left w:val="single" w:sz="4" w:space="0" w:color="auto"/>
                  <w:bottom w:val="single" w:sz="4" w:space="0" w:color="auto"/>
                  <w:right w:val="single" w:sz="4" w:space="0" w:color="auto"/>
                </w:tcBorders>
                <w:hideMark/>
              </w:tcPr>
              <w:p>
                <w:pPr>
                  <w:jc w:val="both"/>
                  <w:rPr>
                    <w:i/>
                    <w:sz w:val="20"/>
                  </w:rPr>
                </w:pPr>
                <w:r>
                  <w:rPr>
                    <w:i/>
                    <w:sz w:val="20"/>
                  </w:rPr>
                  <w:t>Neteko galios nuo 2018-09-05</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22.</w:t>
                </w:r>
              </w:p>
            </w:tc>
            <w:tc>
              <w:tcPr>
                <w:tcW w:w="6096" w:type="dxa"/>
                <w:tcBorders>
                  <w:top w:val="single" w:sz="4" w:space="0" w:color="auto"/>
                  <w:left w:val="single" w:sz="4" w:space="0" w:color="auto"/>
                  <w:bottom w:val="single" w:sz="4" w:space="0" w:color="auto"/>
                  <w:right w:val="single" w:sz="4" w:space="0" w:color="auto"/>
                </w:tcBorders>
              </w:tcPr>
              <w:p>
                <w:pPr>
                  <w:jc w:val="both"/>
                  <w:rPr>
                    <w:szCs w:val="24"/>
                  </w:rPr>
                </w:pPr>
                <w:r>
                  <w:rPr>
                    <w:szCs w:val="24"/>
                  </w:rPr>
                  <w:t>Papildomas klausimas /</w:t>
                </w:r>
                <w:r>
                  <w:rPr>
                    <w:i/>
                    <w:szCs w:val="24"/>
                  </w:rPr>
                  <w:t>Any other addressed question</w:t>
                </w:r>
              </w:p>
              <w:p>
                <w:pPr>
                  <w:jc w:val="both"/>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bl>
        <w:p>
          <w:pPr>
            <w:jc w:val="both"/>
            <w:rPr>
              <w:rFonts w:ascii="Calibri" w:hAnsi="Calibri"/>
              <w:szCs w:val="24"/>
            </w:rPr>
          </w:pPr>
        </w:p>
        <w:p>
          <w:pPr>
            <w:jc w:val="both"/>
            <w:rPr>
              <w:szCs w:val="24"/>
            </w:rPr>
          </w:pPr>
          <w:r>
            <w:rPr>
              <w:szCs w:val="24"/>
            </w:rPr>
            <w:t>Patvirtinu, kad pateiktus klausimus supratau, atsakiau į juos sąžiningai.</w:t>
          </w:r>
        </w:p>
        <w:p>
          <w:pPr>
            <w:jc w:val="both"/>
            <w:rPr>
              <w:i/>
              <w:szCs w:val="24"/>
            </w:rPr>
          </w:pPr>
          <w:r>
            <w:rPr>
              <w:i/>
              <w:szCs w:val="24"/>
            </w:rPr>
            <w:t>I hereby confirm that the questions were fully understood and replied in good faith.</w:t>
          </w:r>
        </w:p>
        <w:p>
          <w:pPr>
            <w:jc w:val="both"/>
            <w:rPr>
              <w:i/>
              <w:szCs w:val="24"/>
            </w:rPr>
          </w:pPr>
        </w:p>
        <w:p>
          <w:pPr>
            <w:jc w:val="both"/>
            <w:rPr>
              <w:szCs w:val="24"/>
            </w:rPr>
          </w:pPr>
          <w:r>
            <w:rPr>
              <w:szCs w:val="24"/>
            </w:rPr>
            <w:t>Suprantu, kad pablogėjus sveikatos būklei, turiu nedelsdamas (-a) kreiptis į gydytoją.</w:t>
          </w:r>
        </w:p>
        <w:p>
          <w:pPr>
            <w:jc w:val="both"/>
            <w:rPr>
              <w:i/>
              <w:szCs w:val="24"/>
            </w:rPr>
          </w:pPr>
          <w:r>
            <w:rPr>
              <w:i/>
              <w:szCs w:val="24"/>
            </w:rPr>
            <w:t>Due to my deteriorating state of health, I must seek medical care immediately.</w:t>
          </w:r>
        </w:p>
        <w:p>
          <w:pPr>
            <w:jc w:val="both"/>
            <w:rPr>
              <w:szCs w:val="24"/>
            </w:rPr>
          </w:pPr>
        </w:p>
        <w:p>
          <w:pPr>
            <w:jc w:val="both"/>
            <w:rPr>
              <w:szCs w:val="24"/>
            </w:rPr>
          </w:pPr>
          <w:r>
            <w:rPr>
              <w:color w:val="000000"/>
              <w:szCs w:val="24"/>
            </w:rPr>
            <w:t xml:space="preserve">Asmens, kuriam tikrinama sveikata, parašas / </w:t>
          </w:r>
          <w:r>
            <w:rPr>
              <w:i/>
              <w:color w:val="000000"/>
              <w:szCs w:val="24"/>
            </w:rPr>
            <w:t>Examined person‘s signature</w:t>
          </w:r>
          <w:r>
            <w:rPr>
              <w:szCs w:val="24"/>
            </w:rPr>
            <w:t xml:space="preserve"> ______________ </w:t>
          </w:r>
        </w:p>
        <w:p>
          <w:pPr>
            <w:ind w:right="27"/>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
      <w:sdtPr>
        <w:alias w:val="12 pr."/>
        <w:tag w:val="part_41dd3c662add4d05b32fb58f18b212a5"/>
        <w:lock w:val="sdtLocked"/>
        <w:richText/>
      </w:sdtPr>
      <w:sdtContent>
        <w:p>
          <w:pPr>
            <w:widowControl w:val="0"/>
            <w:suppressAutoHyphens/>
            <w:ind w:left="5102"/>
            <w:sectPr>
              <w:pgSz w:w="11906" w:h="16838"/>
              <w:pgMar w:top="1134" w:right="1134" w:bottom="1134" w:left="1701" w:header="567" w:footer="567" w:gutter="0"/>
              <w:pgNumType w:start="1"/>
              <w:cols w:space="1296"/>
              <w:noEndnote/>
              <w:titlePg/>
              <w:docGrid w:linePitch="326"/>
            </w:sectPr>
          </w:pPr>
        </w:p>
        <w:p>
          <w:pPr>
            <w:widowControl w:val="0"/>
            <w:suppressAutoHyphens/>
            <w:ind w:left="5102"/>
            <w:rPr>
              <w:color w:val="000000"/>
            </w:rPr>
          </w:pPr>
          <w:r>
            <w:rPr>
              <w:color w:val="000000"/>
            </w:rPr>
            <w:t>PATVIRTINTA</w:t>
          </w:r>
        </w:p>
        <w:p>
          <w:pPr>
            <w:widowControl w:val="0"/>
            <w:suppressAutoHyphens/>
            <w:ind w:firstLine="5102"/>
            <w:rPr>
              <w:color w:val="000000"/>
            </w:rPr>
          </w:pPr>
          <w:r>
            <w:rPr>
              <w:color w:val="000000"/>
            </w:rPr>
            <w:t xml:space="preserve">Lietuvos Respublikos sveikatos </w:t>
          </w:r>
        </w:p>
        <w:p>
          <w:pPr>
            <w:widowControl w:val="0"/>
            <w:suppressAutoHyphens/>
            <w:ind w:firstLine="5102"/>
            <w:rPr>
              <w:color w:val="000000"/>
            </w:rPr>
          </w:pPr>
          <w:r>
            <w:rPr>
              <w:color w:val="000000"/>
            </w:rPr>
            <w:t xml:space="preserve">apsaugos ministro 2000 m. gegužės 31 d. </w:t>
          </w:r>
        </w:p>
        <w:p>
          <w:pPr>
            <w:widowControl w:val="0"/>
            <w:suppressAutoHyphens/>
            <w:ind w:firstLine="5102"/>
            <w:rPr>
              <w:color w:val="000000"/>
            </w:rPr>
          </w:pPr>
          <w:r>
            <w:rPr>
              <w:color w:val="000000"/>
            </w:rPr>
            <w:t>įsakymu Nr. 301</w:t>
          </w:r>
        </w:p>
        <w:p>
          <w:pPr>
            <w:widowControl w:val="0"/>
            <w:suppressAutoHyphens/>
            <w:ind w:firstLine="5102"/>
            <w:rPr>
              <w:color w:val="000000"/>
            </w:rPr>
          </w:pPr>
          <w:r>
            <w:rPr>
              <w:color w:val="000000"/>
            </w:rPr>
            <w:t xml:space="preserve">(Lietuvos Respublikos sveikatos </w:t>
          </w:r>
        </w:p>
        <w:p>
          <w:pPr>
            <w:widowControl w:val="0"/>
            <w:suppressAutoHyphens/>
            <w:ind w:firstLine="5102"/>
            <w:rPr>
              <w:color w:val="000000"/>
            </w:rPr>
          </w:pPr>
          <w:r>
            <w:rPr>
              <w:color w:val="000000"/>
            </w:rPr>
            <w:t xml:space="preserve">apsaugos ministro </w:t>
          </w:r>
        </w:p>
        <w:p>
          <w:pPr>
            <w:widowControl w:val="0"/>
            <w:suppressAutoHyphens/>
            <w:ind w:firstLine="5102"/>
            <w:rPr>
              <w:color w:val="000000"/>
            </w:rPr>
          </w:pPr>
          <w:r>
            <w:rPr>
              <w:color w:val="000000"/>
            </w:rPr>
            <w:t xml:space="preserve">2009 m. gruodžio 23 d. </w:t>
          </w:r>
        </w:p>
        <w:p>
          <w:pPr>
            <w:widowControl w:val="0"/>
            <w:suppressAutoHyphens/>
            <w:ind w:firstLine="5102"/>
            <w:rPr>
              <w:color w:val="000000"/>
            </w:rPr>
          </w:pPr>
          <w:r>
            <w:rPr>
              <w:color w:val="000000"/>
            </w:rPr>
            <w:t>įsakymo Nr. V-1062 redakcija)</w:t>
          </w:r>
        </w:p>
        <w:p>
          <w:pPr>
            <w:widowControl w:val="0"/>
            <w:suppressAutoHyphens/>
            <w:ind w:firstLine="5102"/>
            <w:rPr>
              <w:color w:val="000000"/>
            </w:rPr>
          </w:pPr>
          <w:sdt>
            <w:sdtPr>
              <w:alias w:val="Numeris"/>
              <w:tag w:val="nr_41dd3c662add4d05b32fb58f18b212a5"/>
              <w:lock w:val="sdtLocked"/>
              <w:richText/>
            </w:sdtPr>
            <w:sdtContent>
              <w:r>
                <w:rPr>
                  <w:color w:val="000000"/>
                </w:rPr>
                <w:t>12</w:t>
              </w:r>
            </w:sdtContent>
          </w:sdt>
          <w:r>
            <w:rPr>
              <w:color w:val="000000"/>
            </w:rPr>
            <w:t xml:space="preserve"> priedas</w:t>
          </w:r>
        </w:p>
        <w:p>
          <w:pPr>
            <w:widowControl w:val="0"/>
            <w:suppressAutoHyphens/>
            <w:rPr>
              <w:color w:val="000000"/>
            </w:rPr>
          </w:pPr>
        </w:p>
        <w:p>
          <w:pPr>
            <w:widowControl w:val="0"/>
            <w:suppressAutoHyphens/>
            <w:jc w:val="center"/>
            <w:rPr>
              <w:b/>
              <w:bCs/>
              <w:caps/>
              <w:color w:val="000000"/>
            </w:rPr>
          </w:pPr>
          <w:sdt>
            <w:sdtPr>
              <w:alias w:val="Pavadinimas"/>
              <w:tag w:val="title_41dd3c662add4d05b32fb58f18b212a5"/>
              <w:lock w:val="sdtLocked"/>
              <w:richText/>
            </w:sdtPr>
            <w:sdtContent>
              <w:r>
                <w:rPr>
                  <w:b/>
                  <w:bCs/>
                  <w:caps/>
                  <w:color w:val="000000"/>
                </w:rPr>
                <w:t>TRAUKINIO MAŠINISTŲ IR DARBUOTOJŲ, KURIŲ DARBAS SUSIJĘS SU GELEŽINKELIŲ TRANSPORTO EISMU, SVEIKATOS TIKRINIMO REIKALAVIMŲ IR TVARKOS APRAŠAS</w:t>
              </w:r>
            </w:sdtContent>
          </w:sdt>
        </w:p>
        <w:p>
          <w:pPr>
            <w:widowControl w:val="0"/>
            <w:suppressAutoHyphens/>
            <w:jc w:val="both"/>
            <w:rPr>
              <w:color w:val="000000"/>
            </w:rPr>
          </w:pPr>
        </w:p>
        <w:sdt>
          <w:sdtPr>
            <w:alias w:val="skyrius"/>
            <w:tag w:val="part_80162f3d6f894acfb7ed1b281ecb3262"/>
            <w:lock w:val="sdtLocked"/>
            <w:richText/>
          </w:sdtPr>
          <w:sdtContent>
            <w:p>
              <w:pPr>
                <w:widowControl w:val="0"/>
                <w:suppressAutoHyphens/>
                <w:jc w:val="center"/>
                <w:rPr>
                  <w:b/>
                  <w:bCs/>
                  <w:caps/>
                  <w:color w:val="000000"/>
                </w:rPr>
              </w:pPr>
              <w:sdt>
                <w:sdtPr>
                  <w:alias w:val="Numeris"/>
                  <w:tag w:val="nr_80162f3d6f894acfb7ed1b281ecb3262"/>
                  <w:lock w:val="sdtLocked"/>
                  <w:richText/>
                </w:sdtPr>
                <w:sdtContent>
                  <w:r>
                    <w:rPr>
                      <w:b/>
                      <w:bCs/>
                      <w:caps/>
                      <w:color w:val="000000"/>
                    </w:rPr>
                    <w:t>I</w:t>
                  </w:r>
                </w:sdtContent>
              </w:sdt>
              <w:r>
                <w:rPr>
                  <w:b/>
                  <w:bCs/>
                  <w:caps/>
                  <w:color w:val="000000"/>
                </w:rPr>
                <w:t xml:space="preserve">. </w:t>
              </w:r>
              <w:sdt>
                <w:sdtPr>
                  <w:alias w:val="Pavadinimas"/>
                  <w:tag w:val="title_80162f3d6f894acfb7ed1b281ecb3262"/>
                  <w:lock w:val="sdtLocked"/>
                  <w:richText/>
                </w:sdtPr>
                <w:sdtContent>
                  <w:r>
                    <w:rPr>
                      <w:b/>
                      <w:bCs/>
                      <w:caps/>
                      <w:color w:val="000000"/>
                    </w:rPr>
                    <w:t>BENDROSIOS NUOSTATOS</w:t>
                  </w:r>
                </w:sdtContent>
              </w:sdt>
            </w:p>
            <w:p>
              <w:pPr>
                <w:widowControl w:val="0"/>
                <w:suppressAutoHyphens/>
                <w:jc w:val="both"/>
                <w:rPr>
                  <w:color w:val="000000"/>
                </w:rPr>
              </w:pPr>
            </w:p>
            <w:sdt>
              <w:sdtPr>
                <w:alias w:val="12 pr. 1 p."/>
                <w:tag w:val="part_9d09c04e0c0546f4aa4083695f84ba07"/>
                <w:lock w:val="sdtLocked"/>
                <w:richText/>
              </w:sdtPr>
              <w:sdtContent>
                <w:p>
                  <w:pPr>
                    <w:widowControl w:val="0"/>
                    <w:suppressAutoHyphens/>
                    <w:ind w:firstLine="567"/>
                    <w:jc w:val="both"/>
                    <w:rPr>
                      <w:color w:val="000000"/>
                    </w:rPr>
                  </w:pPr>
                  <w:sdt>
                    <w:sdtPr>
                      <w:alias w:val="Numeris"/>
                      <w:tag w:val="nr_9d09c04e0c0546f4aa4083695f84ba07"/>
                      <w:lock w:val="sdtLocked"/>
                      <w:richText/>
                    </w:sdtPr>
                    <w:sdtContent>
                      <w:r>
                        <w:rPr>
                          <w:color w:val="000000"/>
                        </w:rPr>
                        <w:t>1</w:t>
                      </w:r>
                    </w:sdtContent>
                  </w:sdt>
                  <w:r>
                    <w:rPr>
                      <w:color w:val="000000"/>
                    </w:rPr>
                    <w:t>. Traukinio mašinistų, asmenų, pageidaujančių gauti traukinio mašinisto pažymėjimą, ir darbuotojų, kurių darbas susijęs su geležinkelių transporto eismu, sveikatos tikrinimo tvarkos aprašas (toliau – Aprašas) nustato jų privalomo sveikatos tikrinimo reikalavimus ir tvarką.</w:t>
                  </w:r>
                </w:p>
              </w:sdtContent>
            </w:sdt>
            <w:sdt>
              <w:sdtPr>
                <w:alias w:val="12 pr. 2 p."/>
                <w:tag w:val="part_882d77f3947148ab9c1c8d12c6d9ccd5"/>
                <w:lock w:val="sdtLocked"/>
                <w:richText/>
              </w:sdtPr>
              <w:sdtContent>
                <w:p>
                  <w:pPr>
                    <w:widowControl w:val="0"/>
                    <w:suppressAutoHyphens/>
                    <w:ind w:firstLine="567"/>
                    <w:jc w:val="both"/>
                    <w:rPr>
                      <w:color w:val="000000"/>
                    </w:rPr>
                  </w:pPr>
                  <w:sdt>
                    <w:sdtPr>
                      <w:alias w:val="Numeris"/>
                      <w:tag w:val="nr_882d77f3947148ab9c1c8d12c6d9ccd5"/>
                      <w:lock w:val="sdtLocked"/>
                      <w:richText/>
                    </w:sdtPr>
                    <w:sdtContent>
                      <w:r>
                        <w:rPr>
                          <w:color w:val="000000"/>
                        </w:rPr>
                        <w:t>2</w:t>
                      </w:r>
                    </w:sdtContent>
                  </w:sdt>
                  <w:r>
                    <w:rPr>
                      <w:color w:val="000000"/>
                    </w:rPr>
                    <w:t>. Apraše nustatyto sveikatos tikrinimo tikslas – nustatyti, ar tikrinamo asmens fizinė ir psichikos sveikatos būklė atitinka reikalavimus traukinio mašinistams ir darbuotojams, kurių darbas susijęs su geležinkelių transporto eismu.</w:t>
                  </w:r>
                </w:p>
              </w:sdtContent>
            </w:sdt>
            <w:sdt>
              <w:sdtPr>
                <w:alias w:val="12 pr. 3 p."/>
                <w:tag w:val="part_4e0ee0caf1624661a57bbfb298d317f0"/>
                <w:lock w:val="sdtLocked"/>
                <w:richText/>
              </w:sdtPr>
              <w:sdtContent>
                <w:p>
                  <w:pPr>
                    <w:widowControl w:val="0"/>
                    <w:suppressAutoHyphens/>
                    <w:ind w:firstLine="567"/>
                    <w:jc w:val="both"/>
                    <w:rPr>
                      <w:color w:val="000000"/>
                    </w:rPr>
                  </w:pPr>
                  <w:sdt>
                    <w:sdtPr>
                      <w:alias w:val="Numeris"/>
                      <w:tag w:val="nr_4e0ee0caf1624661a57bbfb298d317f0"/>
                      <w:lock w:val="sdtLocked"/>
                      <w:richText/>
                    </w:sdtPr>
                    <w:sdtContent>
                      <w:r>
                        <w:rPr>
                          <w:color w:val="000000"/>
                        </w:rPr>
                        <w:t>3</w:t>
                      </w:r>
                    </w:sdtContent>
                  </w:sdt>
                  <w:r>
                    <w:rPr>
                      <w:color w:val="000000"/>
                    </w:rPr>
                    <w:t>. Apraše vartojamos sąvokos:</w:t>
                  </w:r>
                </w:p>
                <w:p>
                  <w:pPr>
                    <w:widowControl w:val="0"/>
                    <w:suppressAutoHyphens/>
                    <w:ind w:firstLine="567"/>
                    <w:jc w:val="both"/>
                    <w:rPr>
                      <w:color w:val="000000"/>
                    </w:rPr>
                  </w:pPr>
                  <w:r>
                    <w:rPr>
                      <w:b/>
                      <w:bCs/>
                      <w:color w:val="000000"/>
                    </w:rPr>
                    <w:t>traukinio mašinistas</w:t>
                  </w:r>
                  <w:r>
                    <w:rPr>
                      <w:color w:val="000000"/>
                    </w:rPr>
                    <w:t xml:space="preserve"> – asmuo, turintis traukinio mašinisto pažymėjimą, traukinio mašinisto sertifikatą ir valdantis geležinkelių riedmenis;</w:t>
                  </w:r>
                </w:p>
                <w:p>
                  <w:pPr>
                    <w:widowControl w:val="0"/>
                    <w:suppressAutoHyphens/>
                    <w:ind w:firstLine="567"/>
                    <w:jc w:val="both"/>
                    <w:rPr>
                      <w:color w:val="000000"/>
                    </w:rPr>
                  </w:pPr>
                  <w:r>
                    <w:rPr>
                      <w:b/>
                      <w:bCs/>
                      <w:color w:val="000000"/>
                    </w:rPr>
                    <w:t>darbuotojai, kurių darbas susijęs su geležinkelių transporto eismu</w:t>
                  </w:r>
                  <w:r>
                    <w:rPr>
                      <w:color w:val="000000"/>
                    </w:rPr>
                    <w:t xml:space="preserve"> – asmenys, kurie vykdydami savo funkcijas užtikrina geležinkelių transporto eismo saugą.</w:t>
                  </w:r>
                </w:p>
              </w:sdtContent>
            </w:sdt>
            <w:sdt>
              <w:sdtPr>
                <w:alias w:val="12 pr. 4 p."/>
                <w:tag w:val="part_6ebf5a4381974b40a8967c423cba6546"/>
                <w:lock w:val="sdtLocked"/>
                <w:richText/>
              </w:sdtPr>
              <w:sdtContent>
                <w:p>
                  <w:pPr>
                    <w:widowControl w:val="0"/>
                    <w:suppressAutoHyphens/>
                    <w:ind w:firstLine="567"/>
                    <w:jc w:val="both"/>
                    <w:rPr>
                      <w:color w:val="000000"/>
                    </w:rPr>
                  </w:pPr>
                  <w:sdt>
                    <w:sdtPr>
                      <w:alias w:val="Numeris"/>
                      <w:tag w:val="nr_6ebf5a4381974b40a8967c423cba6546"/>
                      <w:lock w:val="sdtLocked"/>
                      <w:richText/>
                    </w:sdtPr>
                    <w:sdtContent>
                      <w:r>
                        <w:rPr>
                          <w:color w:val="000000"/>
                        </w:rPr>
                        <w:t>4</w:t>
                      </w:r>
                    </w:sdtContent>
                  </w:sdt>
                  <w:r>
                    <w:rPr>
                      <w:color w:val="000000"/>
                    </w:rPr>
                    <w:t xml:space="preserve">. Kitos Apraše vartojamos sąvokos atitinka Lietuvos Respublikos geležinkelių transporto eismo saugos įstatyme (Žin., 2004, Nr. </w:t>
                  </w:r>
                  <w:hyperlink r:id="rId59" w:tgtFrame="_blank" w:history="1">
                    <w:r>
                      <w:rPr>
                        <w:color w:val="0000FF" w:themeColor="hyperlink"/>
                        <w:u w:val="single"/>
                      </w:rPr>
                      <w:t>4-27</w:t>
                    </w:r>
                  </w:hyperlink>
                  <w:r>
                    <w:rPr>
                      <w:color w:val="000000"/>
                    </w:rPr>
                    <w:t xml:space="preserve">; 2006, Nr. </w:t>
                  </w:r>
                  <w:hyperlink r:id="rId60" w:tgtFrame="_blank" w:history="1">
                    <w:r>
                      <w:rPr>
                        <w:color w:val="0000FF" w:themeColor="hyperlink"/>
                        <w:u w:val="single"/>
                      </w:rPr>
                      <w:t>42-1505</w:t>
                    </w:r>
                  </w:hyperlink>
                  <w:r>
                    <w:rPr>
                      <w:color w:val="000000"/>
                    </w:rPr>
                    <w:t>), Lietuvos Respublikos geležinkelių transporto kodekse (Žin., 2004. Nr. 72-2489) ir kituose Lietuvos Respublikos bei Europos Sąjungos teisės aktuose, reglamentuojančiuose sveikatos priežiūrą, apibrėžtas sąvokas.</w:t>
                  </w:r>
                </w:p>
              </w:sdtContent>
            </w:sdt>
            <w:sdt>
              <w:sdtPr>
                <w:alias w:val="12 pr. 5 p."/>
                <w:tag w:val="part_d8d30a2c54eb4f97baa27ec4a6b82a29"/>
                <w:lock w:val="sdtLocked"/>
                <w:richText/>
              </w:sdtPr>
              <w:sdtContent>
                <w:p>
                  <w:pPr>
                    <w:widowControl w:val="0"/>
                    <w:suppressAutoHyphens/>
                    <w:ind w:firstLine="567"/>
                    <w:jc w:val="both"/>
                    <w:rPr>
                      <w:color w:val="000000"/>
                    </w:rPr>
                  </w:pPr>
                  <w:sdt>
                    <w:sdtPr>
                      <w:alias w:val="Numeris"/>
                      <w:tag w:val="nr_d8d30a2c54eb4f97baa27ec4a6b82a29"/>
                      <w:lock w:val="sdtLocked"/>
                      <w:richText/>
                    </w:sdtPr>
                    <w:sdtContent>
                      <w:r>
                        <w:rPr>
                          <w:color w:val="000000"/>
                        </w:rPr>
                        <w:t>5</w:t>
                      </w:r>
                    </w:sdtContent>
                  </w:sdt>
                  <w:r>
                    <w:rPr>
                      <w:color w:val="000000"/>
                    </w:rPr>
                    <w:t>. Traukinio mašinistų padėjėjų fizinei ir psichikos sveikatos būklei ir jos tikrinimui taikomi tokie pat reikalavimai, kaip ir traukinio mašinistams.</w:t>
                  </w:r>
                </w:p>
                <w:p>
                  <w:pPr>
                    <w:widowControl w:val="0"/>
                    <w:suppressAutoHyphens/>
                    <w:ind w:firstLine="567"/>
                    <w:jc w:val="both"/>
                    <w:rPr>
                      <w:color w:val="000000"/>
                    </w:rPr>
                  </w:pPr>
                </w:p>
              </w:sdtContent>
            </w:sdt>
          </w:sdtContent>
        </w:sdt>
        <w:sdt>
          <w:sdtPr>
            <w:alias w:val="skyrius"/>
            <w:tag w:val="part_9311b40aa30a4be8870d964833af11cc"/>
            <w:lock w:val="sdtLocked"/>
            <w:richText/>
          </w:sdtPr>
          <w:sdtContent>
            <w:p>
              <w:pPr>
                <w:widowControl w:val="0"/>
                <w:suppressAutoHyphens/>
                <w:jc w:val="center"/>
                <w:rPr>
                  <w:b/>
                  <w:bCs/>
                  <w:caps/>
                  <w:color w:val="000000"/>
                </w:rPr>
              </w:pPr>
              <w:sdt>
                <w:sdtPr>
                  <w:alias w:val="Numeris"/>
                  <w:tag w:val="nr_9311b40aa30a4be8870d964833af11cc"/>
                  <w:lock w:val="sdtLocked"/>
                  <w:richText/>
                </w:sdtPr>
                <w:sdtContent>
                  <w:r>
                    <w:rPr>
                      <w:b/>
                      <w:bCs/>
                      <w:caps/>
                      <w:color w:val="000000"/>
                    </w:rPr>
                    <w:t>II</w:t>
                  </w:r>
                </w:sdtContent>
              </w:sdt>
              <w:r>
                <w:rPr>
                  <w:b/>
                  <w:bCs/>
                  <w:caps/>
                  <w:color w:val="000000"/>
                </w:rPr>
                <w:t xml:space="preserve">. </w:t>
              </w:r>
              <w:sdt>
                <w:sdtPr>
                  <w:alias w:val="Pavadinimas"/>
                  <w:tag w:val="title_9311b40aa30a4be8870d964833af11cc"/>
                  <w:lock w:val="sdtLocked"/>
                  <w:richText/>
                </w:sdtPr>
                <w:sdtContent>
                  <w:r>
                    <w:rPr>
                      <w:b/>
                      <w:bCs/>
                      <w:caps/>
                      <w:color w:val="000000"/>
                    </w:rPr>
                    <w:t>SVEIKATOS TIKRINIMO REIKALAVIMAI IR TVARKA</w:t>
                  </w:r>
                </w:sdtContent>
              </w:sdt>
            </w:p>
            <w:p>
              <w:pPr>
                <w:widowControl w:val="0"/>
                <w:suppressAutoHyphens/>
                <w:ind w:firstLine="567"/>
                <w:jc w:val="both"/>
                <w:rPr>
                  <w:color w:val="000000"/>
                </w:rPr>
              </w:pPr>
            </w:p>
            <w:sdt>
              <w:sdtPr>
                <w:alias w:val="12 pr. 6 p."/>
                <w:tag w:val="part_b862c736406240df87097b4541833827"/>
                <w:lock w:val="sdtLocked"/>
                <w:richText/>
              </w:sdtPr>
              <w:sdtContent>
                <w:p>
                  <w:pPr>
                    <w:widowControl w:val="0"/>
                    <w:suppressAutoHyphens/>
                    <w:ind w:firstLine="567"/>
                    <w:jc w:val="both"/>
                    <w:rPr>
                      <w:color w:val="000000"/>
                    </w:rPr>
                  </w:pPr>
                  <w:sdt>
                    <w:sdtPr>
                      <w:alias w:val="Numeris"/>
                      <w:tag w:val="nr_b862c736406240df87097b4541833827"/>
                      <w:lock w:val="sdtLocked"/>
                      <w:richText/>
                    </w:sdtPr>
                    <w:sdtContent>
                      <w:r>
                        <w:rPr>
                          <w:color w:val="000000"/>
                        </w:rPr>
                        <w:t>6</w:t>
                      </w:r>
                    </w:sdtContent>
                  </w:sdt>
                  <w:r>
                    <w:rPr>
                      <w:color w:val="000000"/>
                    </w:rPr>
                    <w:t>. Visi asmenys, pageidaujantys gauti traukinio mašinisto pažymėjimą bei įsidarbinti (toliau – įsidarbinantieji) arba dirbantys traukinio mašinistu (toliau – traukinio mašinistai), darbuotojai, kurių darbas susijęs su geležinkelių transporto eismu ir darbuotojai, teikiantys paslaugas traukiniu vykstantiems keleiviams (toliau – darbuotojai), privalo tikrintis sveikatą prieš įgydami šią teisę bei vėliau, dirbdami – periodiškai šiame Apraše nustatyta tvarka.</w:t>
                  </w:r>
                </w:p>
              </w:sdtContent>
            </w:sdt>
            <w:sdt>
              <w:sdtPr>
                <w:alias w:val="12 pr. 7 p."/>
                <w:tag w:val="part_6fe80541378947959b5a40909075cfc9"/>
                <w:lock w:val="sdtLocked"/>
                <w:richText/>
              </w:sdtPr>
              <w:sdtContent>
                <w:p>
                  <w:pPr>
                    <w:widowControl w:val="0"/>
                    <w:suppressAutoHyphens/>
                    <w:ind w:firstLine="567"/>
                    <w:jc w:val="both"/>
                    <w:rPr>
                      <w:b/>
                      <w:bCs/>
                      <w:color w:val="000000"/>
                    </w:rPr>
                  </w:pPr>
                  <w:sdt>
                    <w:sdtPr>
                      <w:alias w:val="Numeris"/>
                      <w:tag w:val="nr_6fe80541378947959b5a40909075cfc9"/>
                      <w:lock w:val="sdtLocked"/>
                      <w:richText/>
                    </w:sdtPr>
                    <w:sdtContent>
                      <w:r>
                        <w:rPr>
                          <w:color w:val="000000"/>
                        </w:rPr>
                        <w:t>7</w:t>
                      </w:r>
                    </w:sdtContent>
                  </w:sdt>
                  <w:r>
                    <w:rPr>
                      <w:color w:val="000000"/>
                    </w:rPr>
                    <w:t>. Įsidarbinančiųjų, traukinio mašinistų ir darbuotojų sveikatos būklė turi atitikti bendruosius reikalavimus, nurodytus šio Aprašo III skyriuje, įvertinus</w:t>
                  </w:r>
                  <w:r>
                    <w:rPr>
                      <w:b/>
                      <w:bCs/>
                      <w:color w:val="000000"/>
                    </w:rPr>
                    <w:t xml:space="preserve"> </w:t>
                  </w:r>
                  <w:r>
                    <w:rPr>
                      <w:color w:val="000000"/>
                    </w:rPr>
                    <w:t>kontraindikacijas, taikomas asmenims prieš priimant į mokymo įstaigą arba į darbą arba dirbantiems traukinio mašinistais, nurodytas 1 lentelėje.</w:t>
                  </w:r>
                </w:p>
              </w:sdtContent>
            </w:sdt>
            <w:sdt>
              <w:sdtPr>
                <w:alias w:val="12 pr. 8 p."/>
                <w:tag w:val="part_ed4eaf76a5ed4c1fac1599cd9067b98b"/>
                <w:lock w:val="sdtLocked"/>
                <w:richText/>
              </w:sdtPr>
              <w:sdtContent>
                <w:p>
                  <w:pPr>
                    <w:widowControl w:val="0"/>
                    <w:suppressAutoHyphens/>
                    <w:ind w:firstLine="567"/>
                    <w:jc w:val="both"/>
                    <w:rPr>
                      <w:color w:val="000000"/>
                    </w:rPr>
                  </w:pPr>
                  <w:sdt>
                    <w:sdtPr>
                      <w:alias w:val="Numeris"/>
                      <w:tag w:val="nr_ed4eaf76a5ed4c1fac1599cd9067b98b"/>
                      <w:lock w:val="sdtLocked"/>
                      <w:richText/>
                    </w:sdtPr>
                    <w:sdtContent>
                      <w:r>
                        <w:rPr>
                          <w:color w:val="000000"/>
                        </w:rPr>
                        <w:t>8</w:t>
                      </w:r>
                    </w:sdtContent>
                  </w:sdt>
                  <w:r>
                    <w:rPr>
                      <w:color w:val="000000"/>
                    </w:rPr>
                    <w:t>.</w:t>
                  </w:r>
                  <w:r>
                    <w:rPr>
                      <w:b/>
                      <w:bCs/>
                      <w:color w:val="000000"/>
                    </w:rPr>
                    <w:t xml:space="preserve"> </w:t>
                  </w:r>
                  <w:r>
                    <w:rPr>
                      <w:color w:val="000000"/>
                    </w:rPr>
                    <w:t>Įsidarbinantiesiems traukinio mašinistams atliktini būtiniausi sveikatos patikrinimai, nurodyti šio Aprašo IV skyriuje.</w:t>
                  </w:r>
                </w:p>
              </w:sdtContent>
            </w:sdt>
            <w:sdt>
              <w:sdtPr>
                <w:alias w:val="12 pr. 9 p."/>
                <w:tag w:val="part_479405bdcd64405b8c79fddb343a9afe"/>
                <w:lock w:val="sdtLocked"/>
                <w:richText/>
              </w:sdtPr>
              <w:sdtContent>
                <w:p>
                  <w:pPr>
                    <w:widowControl w:val="0"/>
                    <w:suppressAutoHyphens/>
                    <w:ind w:firstLine="567"/>
                    <w:jc w:val="both"/>
                    <w:rPr>
                      <w:color w:val="000000"/>
                    </w:rPr>
                  </w:pPr>
                  <w:sdt>
                    <w:sdtPr>
                      <w:alias w:val="Numeris"/>
                      <w:tag w:val="nr_479405bdcd64405b8c79fddb343a9afe"/>
                      <w:lock w:val="sdtLocked"/>
                      <w:richText/>
                    </w:sdtPr>
                    <w:sdtContent>
                      <w:r>
                        <w:rPr>
                          <w:color w:val="000000"/>
                        </w:rPr>
                        <w:t>9</w:t>
                      </w:r>
                    </w:sdtContent>
                  </w:sdt>
                  <w:r>
                    <w:rPr>
                      <w:color w:val="000000"/>
                    </w:rPr>
                    <w:t>. Periodinių traukinio mašinistų ir darbuotojų sveikatos tikrinimų dažnumas ir būtiniausi periodinio sveikatos tikrinimo reikalavimai nurodyti šio Aprašo V skyriuje.</w:t>
                  </w:r>
                </w:p>
              </w:sdtContent>
            </w:sdt>
            <w:sdt>
              <w:sdtPr>
                <w:alias w:val="12 pr. 10 p."/>
                <w:tag w:val="part_cd61e0f4020f4143a2fe290f2c25b628"/>
                <w:lock w:val="sdtLocked"/>
                <w:richText/>
              </w:sdtPr>
              <w:sdtContent>
                <w:p>
                  <w:pPr>
                    <w:widowControl w:val="0"/>
                    <w:suppressAutoHyphens/>
                    <w:ind w:firstLine="567"/>
                    <w:jc w:val="both"/>
                    <w:rPr>
                      <w:color w:val="000000"/>
                    </w:rPr>
                  </w:pPr>
                  <w:sdt>
                    <w:sdtPr>
                      <w:alias w:val="Numeris"/>
                      <w:tag w:val="nr_cd61e0f4020f4143a2fe290f2c25b628"/>
                      <w:lock w:val="sdtLocked"/>
                      <w:richText/>
                    </w:sdtPr>
                    <w:sdtContent>
                      <w:r>
                        <w:rPr>
                          <w:color w:val="000000"/>
                        </w:rPr>
                        <w:t>10</w:t>
                      </w:r>
                    </w:sdtContent>
                  </w:sdt>
                  <w:r>
                    <w:rPr>
                      <w:color w:val="000000"/>
                    </w:rPr>
                    <w:t>. Įsidarbinančiųjų, traukinio mašinistų ir darbuotojų privalomas sveikatos tikrinimas atliekamas asmens sveikatos priežiūros įstaigoje (toliau – ASPĮ), turinčioje licenciją teikti sveikatos priežiūros paslaugas. Prieš privalomą sveikatos tikrinimą traukinio mašinistas užpildo ir pasirašo Traukinio mašinisto garbės deklaraciją (sveikatos patikrinimo klausimyną), nurodytą šio Aprašo 2 lentelėje.</w:t>
                  </w:r>
                </w:p>
              </w:sdtContent>
            </w:sdt>
            <w:sdt>
              <w:sdtPr>
                <w:alias w:val="12 pr. 11 p."/>
                <w:tag w:val="part_24dd494d3a9f45b39bd61ffd10f64b26"/>
                <w:lock w:val="sdtLocked"/>
                <w:richText/>
              </w:sdtPr>
              <w:sdtContent>
                <w:p>
                  <w:pPr>
                    <w:widowControl w:val="0"/>
                    <w:suppressAutoHyphens/>
                    <w:ind w:firstLine="567"/>
                    <w:jc w:val="both"/>
                    <w:rPr>
                      <w:color w:val="000000"/>
                    </w:rPr>
                  </w:pPr>
                  <w:sdt>
                    <w:sdtPr>
                      <w:alias w:val="Numeris"/>
                      <w:tag w:val="nr_24dd494d3a9f45b39bd61ffd10f64b26"/>
                      <w:lock w:val="sdtLocked"/>
                      <w:richText/>
                    </w:sdtPr>
                    <w:sdtContent>
                      <w:r>
                        <w:rPr>
                          <w:color w:val="000000"/>
                        </w:rPr>
                        <w:t>11</w:t>
                      </w:r>
                    </w:sdtContent>
                  </w:sdt>
                  <w:r>
                    <w:rPr>
                      <w:color w:val="000000"/>
                    </w:rPr>
                    <w:t xml:space="preserve">. Privalomus sveikatos tikrinimus atlieka šeimos medicinos paslaugas teikiantys gydytojai, kurie yra išklausę ne mažiau kaip 36 (trisdešimt šešių) valandų darbo medicinos kursą, kurio programa suderinta su Lietuvos Respublikos sveikatos apsaugos ministerija, arba darbo medicinos gydytojas ir gydytojas psichiatras, privalomai arba prireikus konsultuodamiesi su šiame priede nurodytų profesinių kvalifikacijų gydytojais, psichologais ir, esant indikacijų, skirdami privalomus arba kitus tyrimus.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sdtContent>
            </w:sdt>
            <w:sdt>
              <w:sdtPr>
                <w:alias w:val="12 pr. 12 p."/>
                <w:tag w:val="part_216f66932dc14405b1caa43e800a0ece"/>
                <w:lock w:val="sdtLocked"/>
                <w:richText/>
              </w:sdtPr>
              <w:sdtContent>
                <w:p>
                  <w:pPr>
                    <w:widowControl w:val="0"/>
                    <w:suppressAutoHyphens/>
                    <w:ind w:firstLine="567"/>
                    <w:jc w:val="both"/>
                    <w:rPr>
                      <w:color w:val="000000"/>
                    </w:rPr>
                  </w:pPr>
                  <w:sdt>
                    <w:sdtPr>
                      <w:alias w:val="Numeris"/>
                      <w:tag w:val="nr_216f66932dc14405b1caa43e800a0ece"/>
                      <w:lock w:val="sdtLocked"/>
                      <w:richText/>
                    </w:sdtPr>
                    <w:sdtContent>
                      <w:r>
                        <w:rPr>
                          <w:color w:val="000000"/>
                        </w:rPr>
                        <w:t>12</w:t>
                      </w:r>
                    </w:sdtContent>
                  </w:sdt>
                  <w:r>
                    <w:rPr>
                      <w:color w:val="000000"/>
                    </w:rPr>
                    <w:t>. Psichikos sveikatą tikrina ASPĮ, kurią asmuo yra pasirinkęs teisės aktų nustatyta tvarka ir kurioje yra prisirašęs, aptarnaujančio psichikos sveikatos centro gydytojas psichiatras, įvertinęs psichologo atlikto tyrimo rezultatus.</w:t>
                  </w:r>
                </w:p>
              </w:sdtContent>
            </w:sdt>
            <w:sdt>
              <w:sdtPr>
                <w:alias w:val="12 pr. 13 p."/>
                <w:tag w:val="part_d701f018e2334b418069ef7970457eee"/>
                <w:lock w:val="sdtLocked"/>
                <w:richText/>
              </w:sdtPr>
              <w:sdtContent>
                <w:p>
                  <w:pPr>
                    <w:widowControl w:val="0"/>
                    <w:suppressAutoHyphens/>
                    <w:ind w:firstLine="567"/>
                    <w:jc w:val="both"/>
                    <w:rPr>
                      <w:color w:val="000000"/>
                    </w:rPr>
                  </w:pPr>
                  <w:sdt>
                    <w:sdtPr>
                      <w:alias w:val="Numeris"/>
                      <w:tag w:val="nr_d701f018e2334b418069ef7970457eee"/>
                      <w:lock w:val="sdtLocked"/>
                      <w:richText/>
                    </w:sdtPr>
                    <w:sdtContent>
                      <w:r>
                        <w:rPr>
                          <w:color w:val="000000"/>
                        </w:rPr>
                        <w:t>13</w:t>
                      </w:r>
                    </w:sdtContent>
                  </w:sdt>
                  <w:r>
                    <w:rPr>
                      <w:color w:val="000000"/>
                    </w:rPr>
                    <w:t>. Siekdamas įvertinti, ar traukinio mašinistas ir darbuotojas, kurio darbas susijęs su geležinkelių transporto eismu, dėl savo psichikos sveikatos būklės galės saugiai atlikti pareigas, psichologas, įgijęs universiteto išsilavinimą ir vadovaudamasis šiuo Aprašu, gydytojui psichiatrui skyrus, atlieka asmens psichologinį tyrimą, kurio kriterijai nurodyti 1 lentelėje, ir tyrimo rezultatus pateikia gydytojui psichiatrui.</w:t>
                  </w:r>
                </w:p>
              </w:sdtContent>
            </w:sdt>
            <w:sdt>
              <w:sdtPr>
                <w:alias w:val="12 pr. 14 p."/>
                <w:tag w:val="part_b8991db60a974bba968ded1b2dd83d7c"/>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b8991db60a974bba968ded1b2dd83d7c"/>
                      <w:lock w:val="sdtLocked"/>
                      <w:richText/>
                    </w:sdtPr>
                    <w:sdtContent>
                      <w:r>
                        <w:rPr>
                          <w:szCs w:val="24"/>
                        </w:rPr>
                        <w:t>14</w:t>
                      </w:r>
                    </w:sdtContent>
                  </w:sdt>
                  <w:r>
                    <w:rPr>
                      <w:szCs w:val="24"/>
                    </w:rPr>
                    <w:t xml:space="preserve">. Gydytojai, nurodyti šio Aprašo 11 punkte, įvertina paciento sveikatos duomenis </w:t>
                  </w:r>
                  <w:r>
                    <w:rPr>
                      <w:rFonts w:eastAsia="Calibri"/>
                      <w:szCs w:val="24"/>
                    </w:rPr>
                    <w:t xml:space="preserve">Elektroninės sveikatos paslaugų ir bendradarbiavimo infrastruktūros informacinėje sistemoje, </w:t>
                  </w:r>
                  <w:r>
                    <w:rPr>
                      <w:szCs w:val="24"/>
                    </w:rPr>
                    <w:t>paskiria tyrimus, nustato jų dažnumą, vadovaudamiesi šiuo Aprašu, bei atsako už sveikatos tikrinimo kokybę.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2 pr. 15 p."/>
                <w:tag w:val="part_91997fd7869845b7af56c44cb723a8e6"/>
                <w:lock w:val="sdtLocked"/>
                <w:richText/>
              </w:sdtPr>
              <w:sdtContent>
                <w:p>
                  <w:pPr>
                    <w:pStyle w:val="PlainText"/>
                    <w:ind w:firstLine="567"/>
                    <w:jc w:val="both"/>
                    <w:rPr>
                      <w:rFonts w:ascii="Times New Roman" w:hAnsi="Times New Roman"/>
                      <w:b/>
                      <w:bCs/>
                      <w:sz w:val="22"/>
                    </w:rPr>
                  </w:pPr>
                  <w:r>
                    <w:rPr>
                      <w:rFonts w:ascii="Times New Roman" w:hAnsi="Times New Roman"/>
                      <w:sz w:val="22"/>
                    </w:rPr>
                    <w:t>15</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2 pr. 16 p."/>
                <w:tag w:val="part_58486c9b643c422d9ea30ea62dcf3c91"/>
                <w:lock w:val="sdtLocked"/>
                <w:richText/>
              </w:sdtPr>
              <w:sdtContent>
                <w:p>
                  <w:pPr>
                    <w:widowControl w:val="0"/>
                    <w:suppressAutoHyphens/>
                    <w:ind w:firstLine="567"/>
                    <w:jc w:val="both"/>
                    <w:rPr>
                      <w:color w:val="000000"/>
                    </w:rPr>
                  </w:pPr>
                  <w:sdt>
                    <w:sdtPr>
                      <w:alias w:val="Numeris"/>
                      <w:tag w:val="nr_58486c9b643c422d9ea30ea62dcf3c91"/>
                      <w:lock w:val="sdtLocked"/>
                      <w:richText/>
                    </w:sdtPr>
                    <w:sdtContent>
                      <w:r>
                        <w:rPr>
                          <w:color w:val="000000"/>
                        </w:rPr>
                        <w:t>16</w:t>
                      </w:r>
                    </w:sdtContent>
                  </w:sdt>
                  <w:r>
                    <w:rPr>
                      <w:color w:val="000000"/>
                    </w:rPr>
                    <w:t>. Tikrinantis sveikatą gydytojas turi teisę gauti informaciją iš kitų ASPĮ, o pastarosios privalo tokią informaciją teikti teisės aktų nustatyta tvarka.</w:t>
                  </w:r>
                </w:p>
              </w:sdtContent>
            </w:sdt>
            <w:sdt>
              <w:sdtPr>
                <w:alias w:val="12 pr. 17 p."/>
                <w:tag w:val="part_e8c0d806decd4ae0aae186c864f39857"/>
                <w:lock w:val="sdtLocked"/>
                <w:richText/>
              </w:sdtPr>
              <w:sdtContent>
                <w:p>
                  <w:pPr>
                    <w:widowControl w:val="0"/>
                    <w:suppressAutoHyphens/>
                    <w:ind w:firstLine="567"/>
                    <w:jc w:val="both"/>
                    <w:rPr>
                      <w:color w:val="000000"/>
                    </w:rPr>
                  </w:pPr>
                  <w:sdt>
                    <w:sdtPr>
                      <w:alias w:val="Numeris"/>
                      <w:tag w:val="nr_e8c0d806decd4ae0aae186c864f39857"/>
                      <w:lock w:val="sdtLocked"/>
                      <w:richText/>
                    </w:sdtPr>
                    <w:sdtContent>
                      <w:r>
                        <w:rPr>
                          <w:color w:val="000000"/>
                        </w:rPr>
                        <w:t>17</w:t>
                      </w:r>
                    </w:sdtContent>
                  </w:sdt>
                  <w:r>
                    <w:rPr>
                      <w:color w:val="000000"/>
                    </w:rPr>
                    <w:t xml:space="preserve">. Tikrinant darbuotojų, kurių darbas susijęs su geležinkelių transporto eismu ir kurių darbo aplinkoje galima profesinė rizika, sveikatą, vadovaujamasi Asmenų, dirbančių galimos profesinės rizikos sąlygomis (kenksmingų veiksnių poveikyje ir pavojingą darbą), privalomo sveikatos tikrinimo tvarka (13 priedas), patvirtinta Lietuvos Respublikos sveikatos apsaugos ministro 2000 m. gegužės 31 d. įsakymu Nr. 301 „Dėl profilaktinių sveikatos tikrinimų sveikatos priežiūros įstaigose“ (Žin., 2000, Nr. </w:t>
                  </w:r>
                  <w:hyperlink r:id="rId61" w:tgtFrame="_blank" w:history="1">
                    <w:r>
                      <w:rPr>
                        <w:color w:val="0000FF" w:themeColor="hyperlink"/>
                        <w:u w:val="single"/>
                      </w:rPr>
                      <w:t>47-1365</w:t>
                    </w:r>
                  </w:hyperlink>
                  <w:r>
                    <w:rPr>
                      <w:color w:val="000000"/>
                    </w:rPr>
                    <w:t xml:space="preserve">; 2009, Nr. </w:t>
                  </w:r>
                  <w:hyperlink r:id="rId62" w:tgtFrame="_blank" w:history="1">
                    <w:r>
                      <w:rPr>
                        <w:color w:val="0000FF" w:themeColor="hyperlink"/>
                        <w:u w:val="single"/>
                      </w:rPr>
                      <w:t>39-1480</w:t>
                    </w:r>
                  </w:hyperlink>
                  <w:r>
                    <w:rPr>
                      <w:color w:val="000000"/>
                    </w:rPr>
                    <w:t>), bei kitais teisės aktais.</w:t>
                  </w:r>
                </w:p>
              </w:sdtContent>
            </w:sdt>
            <w:sdt>
              <w:sdtPr>
                <w:alias w:val="12 pr. 18 p."/>
                <w:tag w:val="part_333dd71829a74cc9bf104ef91abc9601"/>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333dd71829a74cc9bf104ef91abc9601"/>
                      <w:lock w:val="sdtLocked"/>
                      <w:richText/>
                    </w:sdtPr>
                    <w:sdtContent>
                      <w:r>
                        <w:rPr>
                          <w:szCs w:val="24"/>
                        </w:rPr>
                        <w:t>18</w:t>
                      </w:r>
                    </w:sdtContent>
                  </w:sdt>
                  <w:r>
                    <w:rPr>
                      <w:szCs w:val="24"/>
                    </w:rPr>
                    <w:t xml:space="preserve">. Tikrinant darbuotojų, teikiančių paslaugas traukiniu vykstantiems keleiviams, tarp jų ir Lietuvos Respublikos kompetentingų atstovų, įteikiančių supaprastinto tranzito geležinkeliu dokumentus Lietuvos Respublikos Vyriausybės ir Rusijos Federacijos Vyriausybės susitarimo dėl supaprastinto tranzito geležinkeliu dokumentų išdavimo tvarkos nustatyta tvarka, sveikatą vadovaujamasi ir </w:t>
                  </w:r>
                  <w:r>
                    <w:rPr>
                      <w:szCs w:val="24"/>
                      <w:lang w:eastAsia="lt-LT"/>
                    </w:rPr>
                    <w:t>Darbuotojų, kuriems leidžiama dirbti tik iš anksto pasitikrinusiems ir vėliau periodiškai besitikrinantiems, ar neserga užkrečiamosiomis ligomis, sveikatos tikrinimosi tvarka, patvirtinta</w:t>
                  </w:r>
                  <w:r>
                    <w:rPr>
                      <w:szCs w:val="24"/>
                    </w:rPr>
                    <w:t xml:space="preserve"> 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2 pr. 19 p."/>
                <w:tag w:val="part_ea382981d5a1452cbec8861177ce8e33"/>
                <w:lock w:val="sdtLocked"/>
                <w:richText/>
              </w:sdtPr>
              <w:sdtContent>
                <w:p>
                  <w:pPr>
                    <w:widowControl w:val="0"/>
                    <w:suppressAutoHyphens/>
                    <w:ind w:firstLine="567"/>
                    <w:jc w:val="both"/>
                    <w:rPr>
                      <w:color w:val="000000"/>
                    </w:rPr>
                  </w:pPr>
                  <w:sdt>
                    <w:sdtPr>
                      <w:alias w:val="Numeris"/>
                      <w:tag w:val="nr_ea382981d5a1452cbec8861177ce8e33"/>
                      <w:lock w:val="sdtLocked"/>
                      <w:richText/>
                    </w:sdtPr>
                    <w:sdtContent>
                      <w:r>
                        <w:rPr>
                          <w:color w:val="000000"/>
                        </w:rPr>
                        <w:t>19</w:t>
                      </w:r>
                    </w:sdtContent>
                  </w:sdt>
                  <w:r>
                    <w:rPr>
                      <w:color w:val="000000"/>
                    </w:rPr>
                    <w:t xml:space="preserve">. Sveikatos tikrinimo ir tyrimų duomenys įrašomi Asmens sveikatos istorijoje (toliau –F Nr. 025/a), išvada apie darbuotojo profesinį tinkamumą: „dirbti gali“ „dirbti gali, bet ribotai“ (nurodant kaip), „dirbti negali“ – į Privalomo sveikatos patikrinimo medicininės pažymos formą (toliau – F Nr. 047/a) (įsidarbinančiam) arba į darbovietės antspaudu ir darbdavio parašu patvirtintą Asmens medicininę knygelę (sveikatos pasą) (toliau – F Nr. 048/a) (dirbančiajam), patvirtintas Lietuvos Respublikos sveikatos apsaugos ministro 1999 m. lapkričio 29 d. įsakymu Nr. 515 „Dėl sveikatos priežiūros įstaigų veiklos apskaitos ir atskaitomybės tvarkos“ (Žin., 1999, Nr. </w:t>
                  </w:r>
                  <w:hyperlink r:id="rId63" w:tgtFrame="_blank" w:history="1">
                    <w:r>
                      <w:rPr>
                        <w:color w:val="0000FF" w:themeColor="hyperlink"/>
                        <w:u w:val="single"/>
                      </w:rPr>
                      <w:t>103-2972</w:t>
                    </w:r>
                  </w:hyperlink>
                  <w:r>
                    <w:rPr>
                      <w:color w:val="000000"/>
                    </w:rPr>
                    <w:t>).</w:t>
                  </w:r>
                </w:p>
              </w:sdtContent>
            </w:sdt>
            <w:sdt>
              <w:sdtPr>
                <w:alias w:val="12 pr. 20 p."/>
                <w:tag w:val="part_0ca76f258cc2414d98043f217b983ebe"/>
                <w:lock w:val="sdtLocked"/>
                <w:richText/>
              </w:sdtPr>
              <w:sdtContent>
                <w:p>
                  <w:pPr>
                    <w:widowControl w:val="0"/>
                    <w:suppressAutoHyphens/>
                    <w:ind w:firstLine="567"/>
                    <w:jc w:val="both"/>
                    <w:rPr>
                      <w:color w:val="000000"/>
                    </w:rPr>
                  </w:pPr>
                  <w:sdt>
                    <w:sdtPr>
                      <w:alias w:val="Numeris"/>
                      <w:tag w:val="nr_0ca76f258cc2414d98043f217b983ebe"/>
                      <w:lock w:val="sdtLocked"/>
                      <w:richText/>
                    </w:sdtPr>
                    <w:sdtContent>
                      <w:r>
                        <w:rPr>
                          <w:color w:val="000000"/>
                        </w:rPr>
                        <w:t>20</w:t>
                      </w:r>
                    </w:sdtContent>
                  </w:sdt>
                  <w:r>
                    <w:rPr>
                      <w:color w:val="000000"/>
                    </w:rPr>
                    <w:t>. Apie tinkamumą mokytis išvada: „gali“ ar „negali“ – į F Nr. 025/a ir į Stojančio į mokymo įstaigą ar įdarbinamo nepilnamečio medicininę pažymą (F Nr. 086/a), o vėliau, baigus mokyklą arba sulaukus atitinkamo amžiaus, po pakartotinio sveikatos tikrinimo, pasirinktinai – į F Nr.047/a arba į – F Nr.048/a.</w:t>
                  </w:r>
                </w:p>
              </w:sdtContent>
            </w:sdt>
            <w:sdt>
              <w:sdtPr>
                <w:alias w:val="12 pr. 21 p."/>
                <w:tag w:val="part_3698598839524cba8d0cd6ec96f7a3b9"/>
                <w:lock w:val="sdtLocked"/>
                <w:richText/>
              </w:sdtPr>
              <w:sdtContent>
                <w:p>
                  <w:pPr>
                    <w:widowControl w:val="0"/>
                    <w:suppressAutoHyphens/>
                    <w:ind w:firstLine="567"/>
                    <w:jc w:val="both"/>
                    <w:rPr>
                      <w:color w:val="000000"/>
                    </w:rPr>
                  </w:pPr>
                  <w:sdt>
                    <w:sdtPr>
                      <w:alias w:val="Numeris"/>
                      <w:tag w:val="nr_3698598839524cba8d0cd6ec96f7a3b9"/>
                      <w:lock w:val="sdtLocked"/>
                      <w:richText/>
                    </w:sdtPr>
                    <w:sdtContent>
                      <w:r>
                        <w:rPr>
                          <w:color w:val="000000"/>
                        </w:rPr>
                        <w:t>21</w:t>
                      </w:r>
                    </w:sdtContent>
                  </w:sdt>
                  <w:r>
                    <w:rPr>
                      <w:color w:val="000000"/>
                    </w:rPr>
                    <w:t>. Gydytojas, sveikatos tikrinimo metu nustatęs, kad tikrinamas asmuo neatitinka bendrųjų reikalavimų sveikatos būklei, taikomų įsidarbinantiesiems, traukinio mašinistams arba darbuotojams, arba dėl esančių kontraindikacijų, nurodytų 1 lentelėje, ir negali mokytis arba dirbti traukinio mašinistu, arba dirbti kitų darbų, susijusių su geležinkelių transporto eismu ar teikti paslaugų traukiniu vykstantiems keleiviams, tikrinimo netęsia ir tikrinimo duomenis bei išvadas įrašo į F Nr. 025/a, o išvadą mokymosi įstaigai – į F Nr.086/ a; darbdaviui –į F Nr. 047/a arba į F Nr. 048/a, pasirašo ir patvirtina savo asmeniniu spaudu bei SPĮ antspaudu.</w:t>
                  </w:r>
                </w:p>
              </w:sdtContent>
            </w:sdt>
            <w:sdt>
              <w:sdtPr>
                <w:alias w:val="12 pr. 22 p."/>
                <w:tag w:val="part_e23ef23b2a8142fc97aaec67a3a8c270"/>
                <w:lock w:val="sdtLocked"/>
                <w:richText/>
              </w:sdtPr>
              <w:sdtContent>
                <w:p>
                  <w:pPr>
                    <w:widowControl w:val="0"/>
                    <w:suppressAutoHyphens/>
                    <w:ind w:firstLine="567"/>
                    <w:jc w:val="both"/>
                    <w:rPr>
                      <w:color w:val="000000"/>
                    </w:rPr>
                  </w:pPr>
                  <w:sdt>
                    <w:sdtPr>
                      <w:alias w:val="Numeris"/>
                      <w:tag w:val="nr_e23ef23b2a8142fc97aaec67a3a8c270"/>
                      <w:lock w:val="sdtLocked"/>
                      <w:richText/>
                    </w:sdtPr>
                    <w:sdtContent>
                      <w:r>
                        <w:rPr>
                          <w:szCs w:val="24"/>
                        </w:rPr>
                        <w:t>22.</w:t>
                      </w:r>
                    </w:sdtContent>
                  </w:sdt>
                  <w:r>
                    <w:rPr>
                      <w:szCs w:val="24"/>
                    </w:rPr>
                    <w:t xml:space="preserve"> Pacientai, norintys tikrintis sveikatą, ASPĮ pateikia:</w:t>
                  </w:r>
                  <w:r>
                    <w:t xml:space="preserve"> </w:t>
                  </w:r>
                </w:p>
                <w:p>
                  <w:pPr>
                    <w:widowControl w:val="0"/>
                    <w:suppressAutoHyphens/>
                    <w:ind w:firstLine="567"/>
                    <w:jc w:val="both"/>
                    <w:rPr>
                      <w:color w:val="000000"/>
                    </w:rPr>
                  </w:pPr>
                </w:p>
                <w:p>
                  <w:pPr>
                    <w:widowControl w:val="0"/>
                    <w:suppressAutoHyphens/>
                    <w:ind w:firstLine="567"/>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sdt>
                  <w:sdtPr>
                    <w:alias w:val="12 pr. 22.1 p."/>
                    <w:tag w:val="part_ed604db2893c42f2b7ccfdddaff9bba6"/>
                    <w:lock w:val="sdtLocked"/>
                    <w:richText/>
                  </w:sdtPr>
                  <w:sdtContent>
                    <w:p>
                      <w:pPr>
                        <w:widowControl w:val="0"/>
                        <w:suppressAutoHyphens/>
                        <w:ind w:firstLine="567"/>
                        <w:jc w:val="both"/>
                        <w:rPr>
                          <w:color w:val="000000"/>
                        </w:rPr>
                      </w:pPr>
                      <w:sdt>
                        <w:sdtPr>
                          <w:alias w:val="Numeris"/>
                          <w:tag w:val="nr_ed604db2893c42f2b7ccfdddaff9bba6"/>
                          <w:lock w:val="sdtLocked"/>
                          <w:richText/>
                        </w:sdtPr>
                        <w:sdtContent>
                          <w:r>
                            <w:rPr>
                              <w:color w:val="000000"/>
                            </w:rPr>
                            <w:t>22.1</w:t>
                          </w:r>
                        </w:sdtContent>
                      </w:sdt>
                      <w:r>
                        <w:rPr>
                          <w:color w:val="000000"/>
                        </w:rPr>
                        <w:t>. asmens tapatybę patvirtinantį dokumentą:</w:t>
                      </w:r>
                    </w:p>
                  </w:sdtContent>
                </w:sdt>
                <w:sdt>
                  <w:sdtPr>
                    <w:alias w:val="12 pr. 22.2 p."/>
                    <w:tag w:val="part_2874aeccbcec48358540e0563462743b"/>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2874aeccbcec48358540e0563462743b"/>
                          <w:lock w:val="sdtLocked"/>
                          <w:richText/>
                        </w:sdtPr>
                        <w:sdtContent>
                          <w:r>
                            <w:rPr>
                              <w:szCs w:val="24"/>
                            </w:rPr>
                            <w:t>22.2</w:t>
                          </w:r>
                        </w:sdtContent>
                      </w:sdt>
                      <w:r>
                        <w:rPr>
                          <w:szCs w:val="24"/>
                        </w:rPr>
                        <w:t>. Formą Nr. 027/a „Medicinos išrašas/siuntimas“, patvirtintą Lietuvos Respublikos sveikatos apsaugos ministro 2014 m. sausio 27 d. įsakymu Nr. V-120 „Dėl privalomų sveikatos statistikos apskaitos ir kitų tipinių formų bei privalomų sveikatos statistikos ataskaitų formų patvirtinimo“, išduotą jo ASPĮ aptarnaujančio psichikos sveikatos centro gydytojo psichiatro, įvertinusio psichologo vadovaujantis šio Aprašo 13 punkte nustatyta tvarka atlikto tyrimo rezultatus;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2 pr. 22.3 p."/>
                    <w:tag w:val="part_965b4fb6cb0f45ca90af8ea27cb272e1"/>
                    <w:lock w:val="sdtLocked"/>
                    <w:richText/>
                  </w:sdtPr>
                  <w:sdtContent>
                    <w:p>
                      <w:pPr>
                        <w:widowControl w:val="0"/>
                        <w:suppressAutoHyphens/>
                        <w:ind w:firstLine="567"/>
                        <w:jc w:val="both"/>
                        <w:rPr>
                          <w:color w:val="000000"/>
                        </w:rPr>
                      </w:pPr>
                      <w:sdt>
                        <w:sdtPr>
                          <w:alias w:val="Numeris"/>
                          <w:tag w:val="nr_965b4fb6cb0f45ca90af8ea27cb272e1"/>
                          <w:lock w:val="sdtLocked"/>
                          <w:richText/>
                        </w:sdtPr>
                        <w:sdtContent>
                          <w:r>
                            <w:rPr>
                              <w:color w:val="000000"/>
                            </w:rPr>
                            <w:t>22.3</w:t>
                          </w:r>
                        </w:sdtContent>
                      </w:sdt>
                      <w:r>
                        <w:rPr>
                          <w:color w:val="000000"/>
                        </w:rPr>
                        <w:t>. darbdaviui atstovaujančio ar jo įgalioto asmens tinkamai užpildytą F Nr. 047/a – jei privalomai sveikata tikrinama įsidarbinančiajam;</w:t>
                      </w:r>
                    </w:p>
                  </w:sdtContent>
                </w:sdt>
                <w:sdt>
                  <w:sdtPr>
                    <w:alias w:val="12 pr. 22.4 p."/>
                    <w:tag w:val="part_7c751f81ce814c4ab95819b809277c5a"/>
                    <w:lock w:val="sdtLocked"/>
                    <w:richText/>
                  </w:sdtPr>
                  <w:sdtContent>
                    <w:p>
                      <w:pPr>
                        <w:widowControl w:val="0"/>
                        <w:suppressAutoHyphens/>
                        <w:ind w:firstLine="567"/>
                        <w:jc w:val="both"/>
                        <w:rPr>
                          <w:color w:val="000000"/>
                        </w:rPr>
                      </w:pPr>
                      <w:sdt>
                        <w:sdtPr>
                          <w:alias w:val="Numeris"/>
                          <w:tag w:val="nr_7c751f81ce814c4ab95819b809277c5a"/>
                          <w:lock w:val="sdtLocked"/>
                          <w:richText/>
                        </w:sdtPr>
                        <w:sdtContent>
                          <w:r>
                            <w:rPr>
                              <w:color w:val="000000"/>
                            </w:rPr>
                            <w:t>22.4</w:t>
                          </w:r>
                        </w:sdtContent>
                      </w:sdt>
                      <w:r>
                        <w:rPr>
                          <w:color w:val="000000"/>
                        </w:rPr>
                        <w:t>. darbdaviui atstovaujančio ar jo įgalioto asmens tinkamai užpildytą F Nr. 048/a – jei privalomai periodiškai sveikata tikrinama dirbant traukinio mašinistu arba darbuotoju, kurio darbas susijęs su geležinkelių transporto eismu ar teikiančiu paslaugas traukiniu vykstantiems keleiviams.</w:t>
                      </w:r>
                    </w:p>
                  </w:sdtContent>
                </w:sdt>
              </w:sdtContent>
            </w:sdt>
            <w:sdt>
              <w:sdtPr>
                <w:alias w:val="12 pr. 23 p."/>
                <w:tag w:val="part_ad93ca7834cb4a7b9e21fbddc5e61129"/>
                <w:lock w:val="sdtLocked"/>
                <w:richText/>
              </w:sdtPr>
              <w:sdtContent>
                <w:p>
                  <w:pPr>
                    <w:pStyle w:val="PlainText"/>
                    <w:ind w:firstLine="567"/>
                    <w:jc w:val="both"/>
                    <w:rPr>
                      <w:rFonts w:ascii="Times New Roman" w:hAnsi="Times New Roman"/>
                      <w:b/>
                      <w:bCs/>
                      <w:sz w:val="22"/>
                    </w:rPr>
                  </w:pPr>
                  <w:r>
                    <w:rPr>
                      <w:rFonts w:ascii="Times New Roman" w:hAnsi="Times New Roman"/>
                      <w:sz w:val="22"/>
                    </w:rPr>
                    <w:t>23</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2 pr. 24 p."/>
                <w:tag w:val="part_1cc6bf0f0eb148558840587a08c18168"/>
                <w:lock w:val="sdtLocked"/>
                <w:richText/>
              </w:sdtPr>
              <w:sdtContent>
                <w:p>
                  <w:pPr>
                    <w:widowControl w:val="0"/>
                    <w:suppressAutoHyphens/>
                    <w:ind w:firstLine="567"/>
                    <w:jc w:val="both"/>
                    <w:rPr>
                      <w:color w:val="000000"/>
                    </w:rPr>
                  </w:pPr>
                  <w:sdt>
                    <w:sdtPr>
                      <w:alias w:val="Numeris"/>
                      <w:tag w:val="nr_1cc6bf0f0eb148558840587a08c18168"/>
                      <w:lock w:val="sdtLocked"/>
                      <w:richText/>
                    </w:sdtPr>
                    <w:sdtContent>
                      <w:r>
                        <w:rPr>
                          <w:color w:val="000000"/>
                        </w:rPr>
                        <w:t>24</w:t>
                      </w:r>
                    </w:sdtContent>
                  </w:sdt>
                  <w:r>
                    <w:rPr>
                      <w:color w:val="000000"/>
                    </w:rPr>
                    <w:t>. Galutinę išvadą apie darbuotojo profesinį tinkamumą į F Nr. 025/a įrašo, pasirašo ir patvirtina savo asmeniniu spaudu sveikatos tikrinimą pradėjęs gydytojas, įvertinęs visų konsultavusių profesinių kvalifikacijų gydytojų išvadas ir tyrimų rezultatus, nustatęs, kad tikrinamas asmuo atitinka bendruosius reikalavimus traukinio mašinistų sveikatos būklei, taikomus įsidarbinantiesiems, traukinio mašinistams ir darbuotojams.</w:t>
                  </w:r>
                </w:p>
              </w:sdtContent>
            </w:sdt>
            <w:sdt>
              <w:sdtPr>
                <w:alias w:val="12 pr. 25 p."/>
                <w:tag w:val="part_374ba918a46940259d585f6699efa03e"/>
                <w:lock w:val="sdtLocked"/>
                <w:richText/>
              </w:sdtPr>
              <w:sdtContent>
                <w:p>
                  <w:pPr>
                    <w:widowControl w:val="0"/>
                    <w:suppressAutoHyphens/>
                    <w:ind w:firstLine="567"/>
                    <w:jc w:val="both"/>
                    <w:rPr>
                      <w:color w:val="000000"/>
                    </w:rPr>
                  </w:pPr>
                  <w:sdt>
                    <w:sdtPr>
                      <w:alias w:val="Numeris"/>
                      <w:tag w:val="nr_374ba918a46940259d585f6699efa03e"/>
                      <w:lock w:val="sdtLocked"/>
                      <w:richText/>
                    </w:sdtPr>
                    <w:sdtContent>
                      <w:r>
                        <w:rPr>
                          <w:color w:val="000000"/>
                        </w:rPr>
                        <w:t>25</w:t>
                      </w:r>
                    </w:sdtContent>
                  </w:sdt>
                  <w:r>
                    <w:rPr>
                      <w:color w:val="000000"/>
                    </w:rPr>
                    <w:t>. Išvada dėl tinkamumo mokytis geležinkelių transporto darbuotojų mokymo įstaigose įrašoma į F Nr. 086/a ir patvirtinama gydytojo parašu bei asmeniniu spaudu ir ASPĮ įstaigos antspaudu. F Nr. 086/a atiduodama pacientui asmeniškai. Traukinio mašinisto minimalus amžius yra ne mažesnis kaip 20 metų, tačiau vien tik Lietuvos Respublikos teritorijoje dirbti juo gali asmenys nuo 18 metų. Pažyma F Nr. 047/a arba F Nr.048/a gali būti išduodama asmenims, ne daugiau kaip vienais metais jaunesniems nei nustatytas amžius, nuo kurio leidžiama dirbti traukinio mašinistu.</w:t>
                  </w:r>
                </w:p>
              </w:sdtContent>
            </w:sdt>
            <w:sdt>
              <w:sdtPr>
                <w:alias w:val="12 pr. 26 p."/>
                <w:tag w:val="part_99fbde238244454d929496f7472cf9c8"/>
                <w:lock w:val="sdtLocked"/>
                <w:richText/>
              </w:sdtPr>
              <w:sdtContent>
                <w:p>
                  <w:pPr>
                    <w:widowControl w:val="0"/>
                    <w:suppressAutoHyphens/>
                    <w:ind w:firstLine="567"/>
                    <w:jc w:val="both"/>
                    <w:rPr>
                      <w:color w:val="000000"/>
                    </w:rPr>
                  </w:pPr>
                  <w:sdt>
                    <w:sdtPr>
                      <w:alias w:val="Numeris"/>
                      <w:tag w:val="nr_99fbde238244454d929496f7472cf9c8"/>
                      <w:lock w:val="sdtLocked"/>
                      <w:richText/>
                    </w:sdtPr>
                    <w:sdtContent>
                      <w:r>
                        <w:rPr>
                          <w:color w:val="000000"/>
                        </w:rPr>
                        <w:t>26</w:t>
                      </w:r>
                    </w:sdtContent>
                  </w:sdt>
                  <w:r>
                    <w:rPr>
                      <w:color w:val="000000"/>
                    </w:rPr>
                    <w:t>. Išvada darbdaviui atstovaujančiam ar jo įgaliotam asmeniui dėl tinkamumo dirbti traukinio mašinistu ar kitu darbuotoju įrašoma į F Nr. 047/a ar F Nr. 048/a ir patvirtinama gydytojo parašu bei asmeniniu spaudu ir ASPĮ įstaigos antspaudu.</w:t>
                  </w:r>
                </w:p>
              </w:sdtContent>
            </w:sdt>
            <w:sdt>
              <w:sdtPr>
                <w:alias w:val="12 pr. 27 p."/>
                <w:tag w:val="part_08a0246fb64c42f99ad3a3d1ccaccd49"/>
                <w:lock w:val="sdtLocked"/>
                <w:richText/>
              </w:sdtPr>
              <w:sdtContent>
                <w:p>
                  <w:pPr>
                    <w:widowControl w:val="0"/>
                    <w:suppressAutoHyphens/>
                    <w:ind w:firstLine="567"/>
                    <w:jc w:val="both"/>
                    <w:rPr>
                      <w:color w:val="000000"/>
                    </w:rPr>
                  </w:pPr>
                  <w:sdt>
                    <w:sdtPr>
                      <w:alias w:val="Numeris"/>
                      <w:tag w:val="nr_08a0246fb64c42f99ad3a3d1ccaccd49"/>
                      <w:lock w:val="sdtLocked"/>
                      <w:richText/>
                    </w:sdtPr>
                    <w:sdtContent>
                      <w:r>
                        <w:rPr>
                          <w:color w:val="000000"/>
                        </w:rPr>
                        <w:t>27</w:t>
                      </w:r>
                    </w:sdtContent>
                  </w:sdt>
                  <w:r>
                    <w:rPr>
                      <w:color w:val="000000"/>
                    </w:rPr>
                    <w:t>. Išduotos pažymos registruojamos sveikatos tikrinimo žurnale (Ambulatorinių ligonių registracijos knygoje) (toliau – F Nr. 074/a).</w:t>
                  </w:r>
                </w:p>
              </w:sdtContent>
            </w:sdt>
            <w:sdt>
              <w:sdtPr>
                <w:alias w:val="12 pr. 28 p."/>
                <w:tag w:val="part_881a31b2a8694ea4a0f66015022ff74f"/>
                <w:lock w:val="sdtLocked"/>
                <w:richText/>
              </w:sdtPr>
              <w:sdtContent>
                <w:p>
                  <w:pPr>
                    <w:widowControl w:val="0"/>
                    <w:suppressAutoHyphens/>
                    <w:ind w:firstLine="567"/>
                    <w:jc w:val="both"/>
                    <w:rPr>
                      <w:color w:val="000000"/>
                    </w:rPr>
                  </w:pPr>
                  <w:sdt>
                    <w:sdtPr>
                      <w:alias w:val="Numeris"/>
                      <w:tag w:val="nr_881a31b2a8694ea4a0f66015022ff74f"/>
                      <w:lock w:val="sdtLocked"/>
                      <w:richText/>
                    </w:sdtPr>
                    <w:sdtContent>
                      <w:r>
                        <w:rPr>
                          <w:color w:val="000000"/>
                        </w:rPr>
                        <w:t>28</w:t>
                      </w:r>
                    </w:sdtContent>
                  </w:sdt>
                  <w:r>
                    <w:rPr>
                      <w:color w:val="000000"/>
                    </w:rPr>
                    <w:t>. F Nr. 047/a ar F Nr. 048/a įrašus turi teisę tikrinti darbdaviui atstovaujantis arba jo įgaliotas asmuo, Valstybinės darbo inspekcijos darbo inspektoriai, ASPĮ vadovai ar jų įgalioti asmenys.</w:t>
                  </w:r>
                </w:p>
              </w:sdtContent>
            </w:sdt>
            <w:sdt>
              <w:sdtPr>
                <w:alias w:val="12 pr. 29 p."/>
                <w:tag w:val="part_889dc8ce45164abe9d06e0fe09be0bec"/>
                <w:lock w:val="sdtLocked"/>
                <w:richText/>
              </w:sdtPr>
              <w:sdtContent>
                <w:p>
                  <w:pPr>
                    <w:widowControl w:val="0"/>
                    <w:suppressAutoHyphens/>
                    <w:ind w:firstLine="567"/>
                    <w:jc w:val="both"/>
                    <w:rPr>
                      <w:color w:val="000000"/>
                    </w:rPr>
                  </w:pPr>
                  <w:sdt>
                    <w:sdtPr>
                      <w:alias w:val="Numeris"/>
                      <w:tag w:val="nr_889dc8ce45164abe9d06e0fe09be0bec"/>
                      <w:lock w:val="sdtLocked"/>
                      <w:richText/>
                    </w:sdtPr>
                    <w:sdtContent>
                      <w:r>
                        <w:rPr>
                          <w:color w:val="000000"/>
                        </w:rPr>
                        <w:t>29</w:t>
                      </w:r>
                    </w:sdtContent>
                  </w:sdt>
                  <w:r>
                    <w:rPr>
                      <w:color w:val="000000"/>
                    </w:rPr>
                    <w:t xml:space="preserve">. Medicininė apžiūra neblaivumui (girtumui) ar apsvaigimui nuo psichiką veikiančių medžiagų nustatyti atliekama vadovaujantis Lietuvos Respublikos sveikatos apsaugos ministro 2006 m. birželio 20 d. įsakymu Nr. V-505 „Dėl Medicininės apžiūros neblaivumui (girtumui) ar apsvaigimui nuo psichiką veikiančių medžiagų nustatyti atlikimo ir Bendros asmens būklės įvertinimo metodikų patvirtinimo“ (Žin., 2006, Nr. </w:t>
                  </w:r>
                  <w:hyperlink r:id="rId64" w:tgtFrame="_blank" w:history="1">
                    <w:r>
                      <w:rPr>
                        <w:color w:val="0000FF" w:themeColor="hyperlink"/>
                        <w:u w:val="single"/>
                      </w:rPr>
                      <w:t>71-2641</w:t>
                    </w:r>
                  </w:hyperlink>
                  <w:r>
                    <w:rPr>
                      <w:color w:val="000000"/>
                    </w:rPr>
                    <w:t>) ir Lietuvos Respublikos Vyriausybės 2006 m. gegužės 12 d. nutarimu Nr. 452 „Dėl Transporto priemones vairuojančių ir kitų asmenų neblaivumo (girtumo) ar apsvaigimo nustatymo taisyklių patvirtinimo“ (Žin., 2006 Nr. 56-2000).</w:t>
                  </w:r>
                </w:p>
                <w:p>
                  <w:pPr>
                    <w:widowControl w:val="0"/>
                    <w:suppressAutoHyphens/>
                    <w:ind w:firstLine="567"/>
                    <w:jc w:val="both"/>
                    <w:rPr>
                      <w:bCs/>
                      <w:caps/>
                      <w:color w:val="000000"/>
                    </w:rPr>
                  </w:pPr>
                </w:p>
              </w:sdtContent>
            </w:sdt>
          </w:sdtContent>
        </w:sdt>
        <w:sdt>
          <w:sdtPr>
            <w:alias w:val="skyrius"/>
            <w:tag w:val="part_d8e4dc2f2ea94f50948a2e36d6f7d472"/>
            <w:lock w:val="sdtLocked"/>
            <w:richText/>
          </w:sdtPr>
          <w:sdtContent>
            <w:p>
              <w:pPr>
                <w:widowControl w:val="0"/>
                <w:suppressAutoHyphens/>
                <w:jc w:val="center"/>
                <w:rPr>
                  <w:b/>
                  <w:bCs/>
                  <w:caps/>
                  <w:color w:val="000000"/>
                </w:rPr>
              </w:pPr>
              <w:sdt>
                <w:sdtPr>
                  <w:alias w:val="Numeris"/>
                  <w:tag w:val="nr_d8e4dc2f2ea94f50948a2e36d6f7d472"/>
                  <w:lock w:val="sdtLocked"/>
                  <w:richText/>
                </w:sdtPr>
                <w:sdtContent>
                  <w:r>
                    <w:rPr>
                      <w:b/>
                      <w:bCs/>
                      <w:caps/>
                      <w:color w:val="000000"/>
                    </w:rPr>
                    <w:t>III</w:t>
                  </w:r>
                </w:sdtContent>
              </w:sdt>
              <w:r>
                <w:rPr>
                  <w:b/>
                  <w:bCs/>
                  <w:caps/>
                  <w:color w:val="000000"/>
                </w:rPr>
                <w:t xml:space="preserve">. </w:t>
              </w:r>
              <w:sdt>
                <w:sdtPr>
                  <w:alias w:val="Pavadinimas"/>
                  <w:tag w:val="title_d8e4dc2f2ea94f50948a2e36d6f7d472"/>
                  <w:lock w:val="sdtLocked"/>
                  <w:richText/>
                </w:sdtPr>
                <w:sdtContent>
                  <w:r>
                    <w:rPr>
                      <w:b/>
                      <w:bCs/>
                      <w:caps/>
                      <w:color w:val="000000"/>
                    </w:rPr>
                    <w:t>BENDRIEJI REIKALAVIMAI TRAUKINIO MAŠINISTO IR DARBUOTOJO, KURIO DARBAS SUSIJĘS SU GELEŽINKELIŲ TRANSPORTO EISMU, SVEIKATOS BŪKLEI</w:t>
                  </w:r>
                </w:sdtContent>
              </w:sdt>
            </w:p>
            <w:p>
              <w:pPr>
                <w:widowControl w:val="0"/>
                <w:suppressAutoHyphens/>
                <w:ind w:firstLine="567"/>
                <w:jc w:val="both"/>
                <w:rPr>
                  <w:color w:val="000000"/>
                </w:rPr>
              </w:pPr>
            </w:p>
            <w:sdt>
              <w:sdtPr>
                <w:alias w:val="12 pr. 30 p."/>
                <w:tag w:val="part_deb3568d05694f689b4ba35b29af6d86"/>
                <w:lock w:val="sdtLocked"/>
                <w:richText/>
              </w:sdtPr>
              <w:sdtContent>
                <w:p>
                  <w:pPr>
                    <w:widowControl w:val="0"/>
                    <w:suppressAutoHyphens/>
                    <w:ind w:firstLine="567"/>
                    <w:jc w:val="both"/>
                    <w:rPr>
                      <w:color w:val="000000"/>
                    </w:rPr>
                  </w:pPr>
                  <w:sdt>
                    <w:sdtPr>
                      <w:alias w:val="Numeris"/>
                      <w:tag w:val="nr_deb3568d05694f689b4ba35b29af6d86"/>
                      <w:lock w:val="sdtLocked"/>
                      <w:richText/>
                    </w:sdtPr>
                    <w:sdtContent>
                      <w:r>
                        <w:rPr>
                          <w:color w:val="000000"/>
                        </w:rPr>
                        <w:t>30</w:t>
                      </w:r>
                    </w:sdtContent>
                  </w:sdt>
                  <w:r>
                    <w:rPr>
                      <w:color w:val="000000"/>
                    </w:rPr>
                    <w:t>. Traukinio mašinistai ir darbuotojai, kurių darbas susijęs su geležinkelių transporto eismu (toliau – darbuotojai) negali turėti sveikatos sutrikimų arba vartoti vaistus ar medžiagas, kurios galėtų sukelti:</w:t>
                  </w:r>
                </w:p>
                <w:sdt>
                  <w:sdtPr>
                    <w:alias w:val="12 pr. 30.1 p."/>
                    <w:tag w:val="part_ac1e679baa4346feb570a62367fde790"/>
                    <w:lock w:val="sdtLocked"/>
                    <w:richText/>
                  </w:sdtPr>
                  <w:sdtContent>
                    <w:p>
                      <w:pPr>
                        <w:widowControl w:val="0"/>
                        <w:suppressAutoHyphens/>
                        <w:ind w:firstLine="567"/>
                        <w:jc w:val="both"/>
                        <w:rPr>
                          <w:color w:val="000000"/>
                        </w:rPr>
                      </w:pPr>
                      <w:sdt>
                        <w:sdtPr>
                          <w:alias w:val="Numeris"/>
                          <w:tag w:val="nr_ac1e679baa4346feb570a62367fde790"/>
                          <w:lock w:val="sdtLocked"/>
                          <w:richText/>
                        </w:sdtPr>
                        <w:sdtContent>
                          <w:r>
                            <w:rPr>
                              <w:color w:val="000000"/>
                            </w:rPr>
                            <w:t>30.1</w:t>
                          </w:r>
                        </w:sdtContent>
                      </w:sdt>
                      <w:r>
                        <w:rPr>
                          <w:color w:val="000000"/>
                        </w:rPr>
                        <w:t>. staigų sąmonės praradimą;</w:t>
                      </w:r>
                    </w:p>
                  </w:sdtContent>
                </w:sdt>
                <w:sdt>
                  <w:sdtPr>
                    <w:alias w:val="12 pr. 30.2 p."/>
                    <w:tag w:val="part_a60a1532a27442a2bd9e95930f78743b"/>
                    <w:lock w:val="sdtLocked"/>
                    <w:richText/>
                  </w:sdtPr>
                  <w:sdtContent>
                    <w:p>
                      <w:pPr>
                        <w:widowControl w:val="0"/>
                        <w:suppressAutoHyphens/>
                        <w:ind w:firstLine="567"/>
                        <w:jc w:val="both"/>
                        <w:rPr>
                          <w:color w:val="000000"/>
                        </w:rPr>
                      </w:pPr>
                      <w:sdt>
                        <w:sdtPr>
                          <w:alias w:val="Numeris"/>
                          <w:tag w:val="nr_a60a1532a27442a2bd9e95930f78743b"/>
                          <w:lock w:val="sdtLocked"/>
                          <w:richText/>
                        </w:sdtPr>
                        <w:sdtContent>
                          <w:r>
                            <w:rPr>
                              <w:color w:val="000000"/>
                            </w:rPr>
                            <w:t>30.2</w:t>
                          </w:r>
                        </w:sdtContent>
                      </w:sdt>
                      <w:r>
                        <w:rPr>
                          <w:color w:val="000000"/>
                        </w:rPr>
                        <w:t>. atidumo ir susikaupimo sumažėjimą;</w:t>
                      </w:r>
                    </w:p>
                  </w:sdtContent>
                </w:sdt>
                <w:sdt>
                  <w:sdtPr>
                    <w:alias w:val="12 pr. 30.3 p."/>
                    <w:tag w:val="part_7e2a352ebf9542ed8394a223f98459ef"/>
                    <w:lock w:val="sdtLocked"/>
                    <w:richText/>
                  </w:sdtPr>
                  <w:sdtContent>
                    <w:p>
                      <w:pPr>
                        <w:widowControl w:val="0"/>
                        <w:suppressAutoHyphens/>
                        <w:ind w:firstLine="567"/>
                        <w:jc w:val="both"/>
                        <w:rPr>
                          <w:color w:val="000000"/>
                        </w:rPr>
                      </w:pPr>
                      <w:sdt>
                        <w:sdtPr>
                          <w:alias w:val="Numeris"/>
                          <w:tag w:val="nr_7e2a352ebf9542ed8394a223f98459ef"/>
                          <w:lock w:val="sdtLocked"/>
                          <w:richText/>
                        </w:sdtPr>
                        <w:sdtContent>
                          <w:r>
                            <w:rPr>
                              <w:color w:val="000000"/>
                            </w:rPr>
                            <w:t>30.3</w:t>
                          </w:r>
                        </w:sdtContent>
                      </w:sdt>
                      <w:r>
                        <w:rPr>
                          <w:color w:val="000000"/>
                        </w:rPr>
                        <w:t>. staigų nepajėgumą dirbti;</w:t>
                      </w:r>
                    </w:p>
                  </w:sdtContent>
                </w:sdt>
                <w:sdt>
                  <w:sdtPr>
                    <w:alias w:val="12 pr. 30.4 p."/>
                    <w:tag w:val="part_f11faeda6d56452d9cdab6b0092c3735"/>
                    <w:lock w:val="sdtLocked"/>
                    <w:richText/>
                  </w:sdtPr>
                  <w:sdtContent>
                    <w:p>
                      <w:pPr>
                        <w:widowControl w:val="0"/>
                        <w:suppressAutoHyphens/>
                        <w:ind w:firstLine="567"/>
                        <w:jc w:val="both"/>
                        <w:rPr>
                          <w:color w:val="000000"/>
                        </w:rPr>
                      </w:pPr>
                      <w:sdt>
                        <w:sdtPr>
                          <w:alias w:val="Numeris"/>
                          <w:tag w:val="nr_f11faeda6d56452d9cdab6b0092c3735"/>
                          <w:lock w:val="sdtLocked"/>
                          <w:richText/>
                        </w:sdtPr>
                        <w:sdtContent>
                          <w:r>
                            <w:rPr>
                              <w:color w:val="000000"/>
                            </w:rPr>
                            <w:t>30.4</w:t>
                          </w:r>
                        </w:sdtContent>
                      </w:sdt>
                      <w:r>
                        <w:rPr>
                          <w:color w:val="000000"/>
                        </w:rPr>
                        <w:t>. pusiausvyros ar koordinacijos – praradimą (traukinio mašinisto), pablogėjimą (darbuotojo);</w:t>
                      </w:r>
                    </w:p>
                  </w:sdtContent>
                </w:sdt>
                <w:sdt>
                  <w:sdtPr>
                    <w:alias w:val="12 pr. 30.5 p."/>
                    <w:tag w:val="part_0803d6523d234fc09a622b188dfd1edc"/>
                    <w:lock w:val="sdtLocked"/>
                    <w:richText/>
                  </w:sdtPr>
                  <w:sdtContent>
                    <w:p>
                      <w:pPr>
                        <w:widowControl w:val="0"/>
                        <w:suppressAutoHyphens/>
                        <w:ind w:firstLine="567"/>
                        <w:jc w:val="both"/>
                        <w:rPr>
                          <w:color w:val="000000"/>
                        </w:rPr>
                      </w:pPr>
                      <w:sdt>
                        <w:sdtPr>
                          <w:alias w:val="Numeris"/>
                          <w:tag w:val="nr_0803d6523d234fc09a622b188dfd1edc"/>
                          <w:lock w:val="sdtLocked"/>
                          <w:richText/>
                        </w:sdtPr>
                        <w:sdtContent>
                          <w:r>
                            <w:rPr>
                              <w:color w:val="000000"/>
                            </w:rPr>
                            <w:t>30.5</w:t>
                          </w:r>
                        </w:sdtContent>
                      </w:sdt>
                      <w:r>
                        <w:rPr>
                          <w:color w:val="000000"/>
                        </w:rPr>
                        <w:t>. žymų judrumo sumažėjimą (traukinio mašinisto), didelį judrumo apribojimą (darbuotojo).</w:t>
                      </w:r>
                    </w:p>
                  </w:sdtContent>
                </w:sdt>
              </w:sdtContent>
            </w:sdt>
            <w:sdt>
              <w:sdtPr>
                <w:alias w:val="12 pr. 31 p."/>
                <w:tag w:val="part_d40690d33cb841ff884bcee6dade77b7"/>
                <w:lock w:val="sdtLocked"/>
                <w:richText/>
              </w:sdtPr>
              <w:sdtContent>
                <w:p>
                  <w:pPr>
                    <w:widowControl w:val="0"/>
                    <w:suppressAutoHyphens/>
                    <w:ind w:firstLine="567"/>
                    <w:jc w:val="both"/>
                    <w:rPr>
                      <w:color w:val="000000"/>
                    </w:rPr>
                  </w:pPr>
                  <w:sdt>
                    <w:sdtPr>
                      <w:alias w:val="Numeris"/>
                      <w:tag w:val="nr_d40690d33cb841ff884bcee6dade77b7"/>
                      <w:lock w:val="sdtLocked"/>
                      <w:richText/>
                    </w:sdtPr>
                    <w:sdtContent>
                      <w:r>
                        <w:rPr>
                          <w:color w:val="000000"/>
                        </w:rPr>
                        <w:t>31</w:t>
                      </w:r>
                    </w:sdtContent>
                  </w:sdt>
                  <w:r>
                    <w:rPr>
                      <w:color w:val="000000"/>
                    </w:rPr>
                    <w:t>. Turi būti laikomasi šių regėjimui taikomų reikalavimų:</w:t>
                  </w:r>
                </w:p>
                <w:sdt>
                  <w:sdtPr>
                    <w:alias w:val="12 pr. 31.1 p."/>
                    <w:tag w:val="part_357b7930674f4f7893623c138e6ec54d"/>
                    <w:lock w:val="sdtLocked"/>
                    <w:richText/>
                  </w:sdtPr>
                  <w:sdtContent>
                    <w:p>
                      <w:pPr>
                        <w:widowControl w:val="0"/>
                        <w:suppressAutoHyphens/>
                        <w:ind w:firstLine="567"/>
                        <w:jc w:val="both"/>
                        <w:rPr>
                          <w:color w:val="000000"/>
                        </w:rPr>
                      </w:pPr>
                      <w:sdt>
                        <w:sdtPr>
                          <w:alias w:val="Numeris"/>
                          <w:tag w:val="nr_357b7930674f4f7893623c138e6ec54d"/>
                          <w:lock w:val="sdtLocked"/>
                          <w:richText/>
                        </w:sdtPr>
                        <w:sdtContent>
                          <w:r>
                            <w:rPr>
                              <w:color w:val="000000"/>
                            </w:rPr>
                            <w:t>31.1</w:t>
                          </w:r>
                        </w:sdtContent>
                      </w:sdt>
                      <w:r>
                        <w:rPr>
                          <w:color w:val="000000"/>
                        </w:rPr>
                        <w:t>. Regėjimo į tolį aštrumas su pagalba ar be jos:</w:t>
                      </w:r>
                    </w:p>
                    <w:sdt>
                      <w:sdtPr>
                        <w:alias w:val="12 pr. 31.1.1 p."/>
                        <w:tag w:val="part_0e618dc997b44afd8e82439637cd40ad"/>
                        <w:lock w:val="sdtLocked"/>
                        <w:richText/>
                      </w:sdtPr>
                      <w:sdtContent>
                        <w:p>
                          <w:pPr>
                            <w:widowControl w:val="0"/>
                            <w:suppressAutoHyphens/>
                            <w:ind w:firstLine="567"/>
                            <w:jc w:val="both"/>
                            <w:rPr>
                              <w:color w:val="000000"/>
                            </w:rPr>
                          </w:pPr>
                          <w:sdt>
                            <w:sdtPr>
                              <w:alias w:val="Numeris"/>
                              <w:tag w:val="nr_0e618dc997b44afd8e82439637cd40ad"/>
                              <w:lock w:val="sdtLocked"/>
                              <w:richText/>
                            </w:sdtPr>
                            <w:sdtContent>
                              <w:r>
                                <w:rPr>
                                  <w:color w:val="000000"/>
                                </w:rPr>
                                <w:t>31.1.1</w:t>
                              </w:r>
                            </w:sdtContent>
                          </w:sdt>
                          <w:r>
                            <w:rPr>
                              <w:color w:val="000000"/>
                            </w:rPr>
                            <w:t>. traukinio mašinisto – 1,0; blogiau matančios akies – mažiausiai 0,5;</w:t>
                          </w:r>
                        </w:p>
                      </w:sdtContent>
                    </w:sdt>
                    <w:sdt>
                      <w:sdtPr>
                        <w:alias w:val="12 pr. 31.1.2 p."/>
                        <w:tag w:val="part_eb236b0f996e4b45b97a31027fe6aaa7"/>
                        <w:lock w:val="sdtLocked"/>
                        <w:richText/>
                      </w:sdtPr>
                      <w:sdtContent>
                        <w:p>
                          <w:pPr>
                            <w:widowControl w:val="0"/>
                            <w:suppressAutoHyphens/>
                            <w:ind w:firstLine="567"/>
                            <w:jc w:val="both"/>
                            <w:rPr>
                              <w:color w:val="000000"/>
                            </w:rPr>
                          </w:pPr>
                          <w:sdt>
                            <w:sdtPr>
                              <w:alias w:val="Numeris"/>
                              <w:tag w:val="nr_eb236b0f996e4b45b97a31027fe6aaa7"/>
                              <w:lock w:val="sdtLocked"/>
                              <w:richText/>
                            </w:sdtPr>
                            <w:sdtContent>
                              <w:r>
                                <w:rPr>
                                  <w:color w:val="000000"/>
                                </w:rPr>
                                <w:t>31.1.2</w:t>
                              </w:r>
                            </w:sdtContent>
                          </w:sdt>
                          <w:r>
                            <w:rPr>
                              <w:color w:val="000000"/>
                            </w:rPr>
                            <w:t>. darbuotojo – 0,8 (dešinė akis + kairė akis – tiriama atskirai): mažiausias blogiau matančios akies regėjimo aštrumas 0,3;</w:t>
                          </w:r>
                        </w:p>
                      </w:sdtContent>
                    </w:sdt>
                  </w:sdtContent>
                </w:sdt>
                <w:sdt>
                  <w:sdtPr>
                    <w:alias w:val="12 pr. 31.2 p."/>
                    <w:tag w:val="part_f86f380e05d54648aa1c470ba61c48f6"/>
                    <w:lock w:val="sdtLocked"/>
                    <w:richText/>
                  </w:sdtPr>
                  <w:sdtContent>
                    <w:p>
                      <w:pPr>
                        <w:widowControl w:val="0"/>
                        <w:suppressAutoHyphens/>
                        <w:ind w:firstLine="567"/>
                        <w:jc w:val="both"/>
                        <w:rPr>
                          <w:color w:val="000000"/>
                        </w:rPr>
                      </w:pPr>
                      <w:sdt>
                        <w:sdtPr>
                          <w:alias w:val="Numeris"/>
                          <w:tag w:val="nr_f86f380e05d54648aa1c470ba61c48f6"/>
                          <w:lock w:val="sdtLocked"/>
                          <w:richText/>
                        </w:sdtPr>
                        <w:sdtContent>
                          <w:r>
                            <w:rPr>
                              <w:color w:val="000000"/>
                            </w:rPr>
                            <w:t>31.2</w:t>
                          </w:r>
                        </w:sdtContent>
                      </w:sdt>
                      <w:r>
                        <w:rPr>
                          <w:color w:val="000000"/>
                        </w:rPr>
                        <w:t>. korekciniams lęšiams taikomi maksimumai: +5 (toliaregystė) / -8 (trumparegystė); išimtis galima daryti ypatingais atvejais, gavus gydytojo oftalmologo išvadą, šiuo atveju sprendimą priima gydytojas oftalmologas;</w:t>
                      </w:r>
                    </w:p>
                  </w:sdtContent>
                </w:sdt>
                <w:sdt>
                  <w:sdtPr>
                    <w:alias w:val="12 pr. 31.3 p."/>
                    <w:tag w:val="part_eaea04af30334b0ebeb5ef35014d265a"/>
                    <w:lock w:val="sdtLocked"/>
                    <w:richText/>
                  </w:sdtPr>
                  <w:sdtContent>
                    <w:p>
                      <w:pPr>
                        <w:widowControl w:val="0"/>
                        <w:suppressAutoHyphens/>
                        <w:ind w:firstLine="567"/>
                        <w:jc w:val="both"/>
                        <w:rPr>
                          <w:color w:val="000000"/>
                        </w:rPr>
                      </w:pPr>
                      <w:sdt>
                        <w:sdtPr>
                          <w:alias w:val="Numeris"/>
                          <w:tag w:val="nr_eaea04af30334b0ebeb5ef35014d265a"/>
                          <w:lock w:val="sdtLocked"/>
                          <w:richText/>
                        </w:sdtPr>
                        <w:sdtContent>
                          <w:r>
                            <w:rPr>
                              <w:color w:val="000000"/>
                            </w:rPr>
                            <w:t>31.3</w:t>
                          </w:r>
                        </w:sdtContent>
                      </w:sdt>
                      <w:r>
                        <w:rPr>
                          <w:color w:val="000000"/>
                        </w:rPr>
                        <w:t>. regėjimas trumpu ir vidutiniu atstumu: pakankamas, su korekcija (pagalba) ar be jos;</w:t>
                      </w:r>
                    </w:p>
                  </w:sdtContent>
                </w:sdt>
                <w:sdt>
                  <w:sdtPr>
                    <w:alias w:val="12 pr. 31.4 p."/>
                    <w:tag w:val="part_8cd9c1e9a37c43ddb4501f045a6c41aa"/>
                    <w:lock w:val="sdtLocked"/>
                    <w:richText/>
                  </w:sdtPr>
                  <w:sdtContent>
                    <w:p>
                      <w:pPr>
                        <w:widowControl w:val="0"/>
                        <w:suppressAutoHyphens/>
                        <w:ind w:firstLine="567"/>
                        <w:jc w:val="both"/>
                        <w:rPr>
                          <w:color w:val="000000"/>
                        </w:rPr>
                      </w:pPr>
                      <w:sdt>
                        <w:sdtPr>
                          <w:alias w:val="Numeris"/>
                          <w:tag w:val="nr_8cd9c1e9a37c43ddb4501f045a6c41aa"/>
                          <w:lock w:val="sdtLocked"/>
                          <w:richText/>
                        </w:sdtPr>
                        <w:sdtContent>
                          <w:r>
                            <w:rPr>
                              <w:color w:val="000000"/>
                            </w:rPr>
                            <w:t>31.4</w:t>
                          </w:r>
                        </w:sdtContent>
                      </w:sdt>
                      <w:r>
                        <w:rPr>
                          <w:color w:val="000000"/>
                        </w:rPr>
                        <w:t>. leidžiama naudoti:</w:t>
                      </w:r>
                    </w:p>
                    <w:sdt>
                      <w:sdtPr>
                        <w:alias w:val="12 pr. 31.4.1 p."/>
                        <w:tag w:val="part_c6d299dd074c439fb1aa72b5b503beb8"/>
                        <w:lock w:val="sdtLocked"/>
                        <w:richText/>
                      </w:sdtPr>
                      <w:sdtContent>
                        <w:p>
                          <w:pPr>
                            <w:widowControl w:val="0"/>
                            <w:suppressAutoHyphens/>
                            <w:ind w:firstLine="567"/>
                            <w:jc w:val="both"/>
                            <w:rPr>
                              <w:color w:val="000000"/>
                            </w:rPr>
                          </w:pPr>
                          <w:sdt>
                            <w:sdtPr>
                              <w:alias w:val="Numeris"/>
                              <w:tag w:val="nr_c6d299dd074c439fb1aa72b5b503beb8"/>
                              <w:lock w:val="sdtLocked"/>
                              <w:richText/>
                            </w:sdtPr>
                            <w:sdtContent>
                              <w:r>
                                <w:rPr>
                                  <w:color w:val="000000"/>
                                </w:rPr>
                                <w:t>31.4.1</w:t>
                              </w:r>
                            </w:sdtContent>
                          </w:sdt>
                          <w:r>
                            <w:rPr>
                              <w:color w:val="000000"/>
                            </w:rPr>
                            <w:t>. traukinio mašinistui – kontaktinius lęšius ar akinius, jei regėjimą periodiškai tikrina gydytojas oftalmologas;</w:t>
                          </w:r>
                        </w:p>
                      </w:sdtContent>
                    </w:sdt>
                    <w:sdt>
                      <w:sdtPr>
                        <w:alias w:val="12 pr. 31.4.2 p."/>
                        <w:tag w:val="part_f6270ea384ca444089c09c4ea83fb529"/>
                        <w:lock w:val="sdtLocked"/>
                        <w:richText/>
                      </w:sdtPr>
                      <w:sdtContent>
                        <w:p>
                          <w:pPr>
                            <w:widowControl w:val="0"/>
                            <w:suppressAutoHyphens/>
                            <w:ind w:firstLine="567"/>
                            <w:jc w:val="both"/>
                            <w:rPr>
                              <w:color w:val="000000"/>
                            </w:rPr>
                          </w:pPr>
                          <w:sdt>
                            <w:sdtPr>
                              <w:alias w:val="Numeris"/>
                              <w:tag w:val="nr_f6270ea384ca444089c09c4ea83fb529"/>
                              <w:lock w:val="sdtLocked"/>
                              <w:richText/>
                            </w:sdtPr>
                            <w:sdtContent>
                              <w:r>
                                <w:rPr>
                                  <w:color w:val="000000"/>
                                </w:rPr>
                                <w:t>31.4.2</w:t>
                              </w:r>
                            </w:sdtContent>
                          </w:sdt>
                          <w:r>
                            <w:rPr>
                              <w:color w:val="000000"/>
                            </w:rPr>
                            <w:t>. darbuotojui – kontaktinius lęšius ar akinius;</w:t>
                          </w:r>
                        </w:p>
                      </w:sdtContent>
                    </w:sdt>
                  </w:sdtContent>
                </w:sdt>
                <w:sdt>
                  <w:sdtPr>
                    <w:alias w:val="12 pr. 31.5 p."/>
                    <w:tag w:val="part_5c4d67f9fdfc41c2b6a1b243e16f7594"/>
                    <w:lock w:val="sdtLocked"/>
                    <w:richText/>
                  </w:sdtPr>
                  <w:sdtContent>
                    <w:p>
                      <w:pPr>
                        <w:widowControl w:val="0"/>
                        <w:suppressAutoHyphens/>
                        <w:ind w:firstLine="567"/>
                        <w:jc w:val="both"/>
                        <w:rPr>
                          <w:color w:val="000000"/>
                        </w:rPr>
                      </w:pPr>
                      <w:sdt>
                        <w:sdtPr>
                          <w:alias w:val="Numeris"/>
                          <w:tag w:val="nr_5c4d67f9fdfc41c2b6a1b243e16f7594"/>
                          <w:lock w:val="sdtLocked"/>
                          <w:richText/>
                        </w:sdtPr>
                        <w:sdtContent>
                          <w:r>
                            <w:rPr>
                              <w:color w:val="000000"/>
                            </w:rPr>
                            <w:t>31.5</w:t>
                          </w:r>
                        </w:sdtContent>
                      </w:sdt>
                      <w:r>
                        <w:rPr>
                          <w:color w:val="000000"/>
                        </w:rPr>
                        <w:t>. normalus spalvų jutimas: naudojamas pripažintas testas, pvz., Išiharos testas, ir prireikus kitas pripažintas testas;</w:t>
                      </w:r>
                    </w:p>
                  </w:sdtContent>
                </w:sdt>
                <w:sdt>
                  <w:sdtPr>
                    <w:alias w:val="12 pr. 31.6 p."/>
                    <w:tag w:val="part_a314cb66be90478c84f6f78e0ebb508f"/>
                    <w:lock w:val="sdtLocked"/>
                    <w:richText/>
                  </w:sdtPr>
                  <w:sdtContent>
                    <w:p>
                      <w:pPr>
                        <w:widowControl w:val="0"/>
                        <w:suppressAutoHyphens/>
                        <w:ind w:firstLine="567"/>
                        <w:jc w:val="both"/>
                        <w:rPr>
                          <w:color w:val="000000"/>
                        </w:rPr>
                      </w:pPr>
                      <w:sdt>
                        <w:sdtPr>
                          <w:alias w:val="Numeris"/>
                          <w:tag w:val="nr_a314cb66be90478c84f6f78e0ebb508f"/>
                          <w:lock w:val="sdtLocked"/>
                          <w:richText/>
                        </w:sdtPr>
                        <w:sdtContent>
                          <w:r>
                            <w:rPr>
                              <w:color w:val="000000"/>
                            </w:rPr>
                            <w:t>31.6</w:t>
                          </w:r>
                        </w:sdtContent>
                      </w:sdt>
                      <w:r>
                        <w:rPr>
                          <w:color w:val="000000"/>
                        </w:rPr>
                        <w:t>. regos laukas: visas (nėra jokių anomalijų; galinčių turėti įtakos darbui);</w:t>
                      </w:r>
                    </w:p>
                  </w:sdtContent>
                </w:sdt>
                <w:sdt>
                  <w:sdtPr>
                    <w:alias w:val="12 pr. 31.7 p."/>
                    <w:tag w:val="part_f53d35ed0ce54853aa7cb44aa24eb6f1"/>
                    <w:lock w:val="sdtLocked"/>
                    <w:richText/>
                  </w:sdtPr>
                  <w:sdtContent>
                    <w:p>
                      <w:pPr>
                        <w:widowControl w:val="0"/>
                        <w:suppressAutoHyphens/>
                        <w:ind w:firstLine="567"/>
                        <w:jc w:val="both"/>
                        <w:rPr>
                          <w:color w:val="000000"/>
                        </w:rPr>
                      </w:pPr>
                      <w:sdt>
                        <w:sdtPr>
                          <w:alias w:val="Numeris"/>
                          <w:tag w:val="nr_f53d35ed0ce54853aa7cb44aa24eb6f1"/>
                          <w:lock w:val="sdtLocked"/>
                          <w:richText/>
                        </w:sdtPr>
                        <w:sdtContent>
                          <w:r>
                            <w:rPr>
                              <w:color w:val="000000"/>
                            </w:rPr>
                            <w:t>31.7</w:t>
                          </w:r>
                        </w:sdtContent>
                      </w:sdt>
                      <w:r>
                        <w:rPr>
                          <w:color w:val="000000"/>
                        </w:rPr>
                        <w:t>. regėjimas abiem akimis:</w:t>
                      </w:r>
                    </w:p>
                    <w:sdt>
                      <w:sdtPr>
                        <w:alias w:val="12 pr. 31.7.1 p."/>
                        <w:tag w:val="part_60c85ee2c99f4ebaa76b0f4be320519d"/>
                        <w:lock w:val="sdtLocked"/>
                        <w:richText/>
                      </w:sdtPr>
                      <w:sdtContent>
                        <w:p>
                          <w:pPr>
                            <w:tabs>
                              <w:tab w:val="left" w:pos="142"/>
                              <w:tab w:val="left" w:pos="1832"/>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left="851" w:hanging="284"/>
                            <w:jc w:val="both"/>
                            <w:rPr>
                              <w:color w:val="000000"/>
                            </w:rPr>
                          </w:pPr>
                          <w:sdt>
                            <w:sdtPr>
                              <w:alias w:val="Numeris"/>
                              <w:tag w:val="nr_60c85ee2c99f4ebaa76b0f4be320519d"/>
                              <w:lock w:val="sdtLocked"/>
                              <w:richText/>
                            </w:sdtPr>
                            <w:sdtContent>
                              <w:r>
                                <w:rPr>
                                  <w:szCs w:val="24"/>
                                </w:rPr>
                                <w:t>31.7.1</w:t>
                              </w:r>
                            </w:sdtContent>
                          </w:sdt>
                          <w:r>
                            <w:rPr>
                              <w:szCs w:val="24"/>
                            </w:rPr>
                            <w:t>. traukinio mašinistui – efektyvus;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52a9f300dd811e5920c94700bb1958e">
                            <w:r w:rsidRPr="00532B9F">
                              <w:rPr>
                                <w:rFonts w:ascii="Times New Roman" w:eastAsia="MS Mincho" w:hAnsi="Times New Roman"/>
                                <w:sz w:val="20"/>
                                <w:i/>
                                <w:iCs/>
                                <w:color w:val="0000FF" w:themeColor="hyperlink"/>
                                <w:u w:val="single"/>
                              </w:rPr>
                              <w:t>V-714</w:t>
                            </w:r>
                          </w:fldSimple>
                          <w:r>
                            <w:rPr>
                              <w:rFonts w:ascii="Times New Roman" w:eastAsia="MS Mincho" w:hAnsi="Times New Roman"/>
                              <w:sz w:val="20"/>
                              <w:i/>
                              <w:iCs/>
                            </w:rPr>
                            <w:t>,
2015-06-08,
paskelbta TAR 2015-06-08, i. k. 2015-09000            </w:t>
                          </w:r>
                        </w:p>
                        <w:p/>
                      </w:sdtContent>
                    </w:sdt>
                    <w:sdt>
                      <w:sdtPr>
                        <w:alias w:val="12 pr. 31.7.2 p."/>
                        <w:tag w:val="part_36ccfc937ddb47d086c5522c0eac80ba"/>
                        <w:lock w:val="sdtLocked"/>
                        <w:richText/>
                      </w:sdtPr>
                      <w:sdtContent>
                        <w:p>
                          <w:pPr>
                            <w:widowControl w:val="0"/>
                            <w:suppressAutoHyphens/>
                            <w:ind w:firstLine="567"/>
                            <w:jc w:val="both"/>
                            <w:rPr>
                              <w:color w:val="000000"/>
                            </w:rPr>
                          </w:pPr>
                          <w:sdt>
                            <w:sdtPr>
                              <w:alias w:val="Numeris"/>
                              <w:tag w:val="nr_36ccfc937ddb47d086c5522c0eac80ba"/>
                              <w:lock w:val="sdtLocked"/>
                              <w:richText/>
                            </w:sdtPr>
                            <w:sdtContent>
                              <w:r>
                                <w:rPr>
                                  <w:color w:val="000000"/>
                                </w:rPr>
                                <w:t>31.7.2</w:t>
                              </w:r>
                            </w:sdtContent>
                          </w:sdt>
                          <w:r>
                            <w:rPr>
                              <w:color w:val="000000"/>
                            </w:rPr>
                            <w:t>. darbuotojui – yra;</w:t>
                          </w:r>
                        </w:p>
                      </w:sdtContent>
                    </w:sdt>
                  </w:sdtContent>
                </w:sdt>
                <w:sdt>
                  <w:sdtPr>
                    <w:alias w:val="12 pr. 31.8 p."/>
                    <w:tag w:val="part_40e1c97babf04834ae2e8e40328cd7a2"/>
                    <w:lock w:val="sdtLocked"/>
                    <w:richText/>
                  </w:sdtPr>
                  <w:sdtContent>
                    <w:p>
                      <w:pPr>
                        <w:widowControl w:val="0"/>
                        <w:suppressAutoHyphens/>
                        <w:ind w:firstLine="567"/>
                        <w:jc w:val="both"/>
                        <w:rPr>
                          <w:color w:val="000000"/>
                        </w:rPr>
                      </w:pPr>
                      <w:sdt>
                        <w:sdtPr>
                          <w:alias w:val="Numeris"/>
                          <w:tag w:val="nr_40e1c97babf04834ae2e8e40328cd7a2"/>
                          <w:lock w:val="sdtLocked"/>
                          <w:richText/>
                        </w:sdtPr>
                        <w:sdtContent>
                          <w:r>
                            <w:rPr>
                              <w:color w:val="000000"/>
                            </w:rPr>
                            <w:t>31.8</w:t>
                          </w:r>
                        </w:sdtContent>
                      </w:sdt>
                      <w:r>
                        <w:rPr>
                          <w:color w:val="000000"/>
                        </w:rPr>
                        <w:t>. abiakis matymas (binokulinis):</w:t>
                      </w:r>
                    </w:p>
                    <w:sdt>
                      <w:sdtPr>
                        <w:alias w:val="12 pr. 31.8.1 p."/>
                        <w:tag w:val="part_131635e3fd234d8db3782d30797dd6a5"/>
                        <w:lock w:val="sdtLocked"/>
                        <w:richText/>
                      </w:sdtPr>
                      <w:sdtContent>
                        <w:p>
                          <w:pPr>
                            <w:widowControl w:val="0"/>
                            <w:suppressAutoHyphens/>
                            <w:ind w:firstLine="567"/>
                            <w:jc w:val="both"/>
                            <w:rPr>
                              <w:color w:val="000000"/>
                            </w:rPr>
                          </w:pPr>
                          <w:sdt>
                            <w:sdtPr>
                              <w:alias w:val="Numeris"/>
                              <w:tag w:val="nr_131635e3fd234d8db3782d30797dd6a5"/>
                              <w:lock w:val="sdtLocked"/>
                              <w:richText/>
                            </w:sdtPr>
                            <w:sdtContent>
                              <w:r>
                                <w:rPr>
                                  <w:color w:val="000000"/>
                                </w:rPr>
                                <w:t>31.8.1</w:t>
                              </w:r>
                            </w:sdtContent>
                          </w:sdt>
                          <w:r>
                            <w:rPr>
                              <w:color w:val="000000"/>
                            </w:rPr>
                            <w:t>. traukinio mašinistui – yra (efektyvus);</w:t>
                          </w:r>
                        </w:p>
                      </w:sdtContent>
                    </w:sdt>
                    <w:sdt>
                      <w:sdtPr>
                        <w:alias w:val="12 pr. 31.8.2 p."/>
                        <w:tag w:val="part_ecd9150bfa0d499fbb22775165ae92ec"/>
                        <w:lock w:val="sdtLocked"/>
                        <w:richText/>
                      </w:sdtPr>
                      <w:sdtContent>
                        <w:p>
                          <w:pPr>
                            <w:widowControl w:val="0"/>
                            <w:suppressAutoHyphens/>
                            <w:ind w:firstLine="567"/>
                            <w:jc w:val="both"/>
                            <w:rPr>
                              <w:color w:val="000000"/>
                            </w:rPr>
                          </w:pPr>
                          <w:sdt>
                            <w:sdtPr>
                              <w:alias w:val="Numeris"/>
                              <w:tag w:val="nr_ecd9150bfa0d499fbb22775165ae92ec"/>
                              <w:lock w:val="sdtLocked"/>
                              <w:richText/>
                            </w:sdtPr>
                            <w:sdtContent>
                              <w:r>
                                <w:rPr>
                                  <w:color w:val="000000"/>
                                </w:rPr>
                                <w:t>31.8.2</w:t>
                              </w:r>
                            </w:sdtContent>
                          </w:sdt>
                          <w:r>
                            <w:rPr>
                              <w:color w:val="000000"/>
                            </w:rPr>
                            <w:t>. darbuotojui – yra;</w:t>
                          </w:r>
                        </w:p>
                      </w:sdtContent>
                    </w:sdt>
                  </w:sdtContent>
                </w:sdt>
                <w:sdt>
                  <w:sdtPr>
                    <w:alias w:val="12 pr. 31.9 p."/>
                    <w:tag w:val="part_a27c991a01d74ec3ba735e060e9d514e"/>
                    <w:lock w:val="sdtLocked"/>
                    <w:richText/>
                  </w:sdtPr>
                  <w:sdtContent>
                    <w:p>
                      <w:pPr>
                        <w:widowControl w:val="0"/>
                        <w:suppressAutoHyphens/>
                        <w:ind w:firstLine="567"/>
                        <w:jc w:val="both"/>
                        <w:rPr>
                          <w:color w:val="000000"/>
                        </w:rPr>
                      </w:pPr>
                      <w:sdt>
                        <w:sdtPr>
                          <w:alias w:val="Numeris"/>
                          <w:tag w:val="nr_a27c991a01d74ec3ba735e060e9d514e"/>
                          <w:lock w:val="sdtLocked"/>
                          <w:richText/>
                        </w:sdtPr>
                        <w:sdtContent>
                          <w:r>
                            <w:rPr>
                              <w:color w:val="000000"/>
                            </w:rPr>
                            <w:t>31.9</w:t>
                          </w:r>
                        </w:sdtContent>
                      </w:sdt>
                      <w:r>
                        <w:rPr>
                          <w:color w:val="000000"/>
                        </w:rPr>
                        <w:t>. traukinio mašinistui – spalvų signalų atpažinimas: testas grindžiamas atskirų spalvų atpažinimu, o ne reliatyviais skirtumais;</w:t>
                      </w:r>
                    </w:p>
                  </w:sdtContent>
                </w:sdt>
                <w:sdt>
                  <w:sdtPr>
                    <w:alias w:val="12 pr. 31.10 p."/>
                    <w:tag w:val="part_bb184129a37b42a49103c08550031ee9"/>
                    <w:lock w:val="sdtLocked"/>
                    <w:richText/>
                  </w:sdtPr>
                  <w:sdtContent>
                    <w:p>
                      <w:pPr>
                        <w:widowControl w:val="0"/>
                        <w:suppressAutoHyphens/>
                        <w:ind w:firstLine="567"/>
                        <w:jc w:val="both"/>
                        <w:rPr>
                          <w:color w:val="000000"/>
                        </w:rPr>
                      </w:pPr>
                      <w:sdt>
                        <w:sdtPr>
                          <w:alias w:val="Numeris"/>
                          <w:tag w:val="nr_bb184129a37b42a49103c08550031ee9"/>
                          <w:lock w:val="sdtLocked"/>
                          <w:richText/>
                        </w:sdtPr>
                        <w:sdtContent>
                          <w:r>
                            <w:rPr>
                              <w:color w:val="000000"/>
                            </w:rPr>
                            <w:t>31.10</w:t>
                          </w:r>
                        </w:sdtContent>
                      </w:sdt>
                      <w:r>
                        <w:rPr>
                          <w:color w:val="000000"/>
                        </w:rPr>
                        <w:t>. kontrastų jutimas traukinio mašinistui ir darbuotojui – geras;</w:t>
                      </w:r>
                    </w:p>
                  </w:sdtContent>
                </w:sdt>
                <w:sdt>
                  <w:sdtPr>
                    <w:alias w:val="12 pr. 31.11 p."/>
                    <w:tag w:val="part_a3d178394bfd4b1d851d2fffd63dd3ce"/>
                    <w:lock w:val="sdtLocked"/>
                    <w:richText/>
                  </w:sdtPr>
                  <w:sdtContent>
                    <w:p>
                      <w:pPr>
                        <w:widowControl w:val="0"/>
                        <w:suppressAutoHyphens/>
                        <w:ind w:firstLine="567"/>
                        <w:jc w:val="both"/>
                        <w:rPr>
                          <w:color w:val="000000"/>
                        </w:rPr>
                      </w:pPr>
                      <w:sdt>
                        <w:sdtPr>
                          <w:alias w:val="Numeris"/>
                          <w:tag w:val="nr_a3d178394bfd4b1d851d2fffd63dd3ce"/>
                          <w:lock w:val="sdtLocked"/>
                          <w:richText/>
                        </w:sdtPr>
                        <w:sdtContent>
                          <w:r>
                            <w:rPr>
                              <w:color w:val="000000"/>
                            </w:rPr>
                            <w:t>31.11</w:t>
                          </w:r>
                        </w:sdtContent>
                      </w:sdt>
                      <w:r>
                        <w:rPr>
                          <w:color w:val="000000"/>
                        </w:rPr>
                        <w:t>. progresuojančių akių ligų – nėra;</w:t>
                      </w:r>
                    </w:p>
                  </w:sdtContent>
                </w:sdt>
                <w:sdt>
                  <w:sdtPr>
                    <w:alias w:val="12 pr. 31.12 p."/>
                    <w:tag w:val="part_4abfc5d5e3f14673903350832f223db0"/>
                    <w:lock w:val="sdtLocked"/>
                    <w:richText/>
                  </w:sdtPr>
                  <w:sdtContent>
                    <w:p>
                      <w:pPr>
                        <w:widowControl w:val="0"/>
                        <w:suppressAutoHyphens/>
                        <w:ind w:firstLine="567"/>
                        <w:jc w:val="both"/>
                        <w:rPr>
                          <w:color w:val="000000"/>
                        </w:rPr>
                      </w:pPr>
                      <w:sdt>
                        <w:sdtPr>
                          <w:alias w:val="Numeris"/>
                          <w:tag w:val="nr_4abfc5d5e3f14673903350832f223db0"/>
                          <w:lock w:val="sdtLocked"/>
                          <w:richText/>
                        </w:sdtPr>
                        <w:sdtContent>
                          <w:r>
                            <w:rPr>
                              <w:color w:val="000000"/>
                            </w:rPr>
                            <w:t>31.12</w:t>
                          </w:r>
                        </w:sdtContent>
                      </w:sdt>
                      <w:r>
                        <w:rPr>
                          <w:color w:val="000000"/>
                        </w:rPr>
                        <w:t>. implantai:</w:t>
                      </w:r>
                    </w:p>
                    <w:sdt>
                      <w:sdtPr>
                        <w:alias w:val="12 pr. 31.12.1 p."/>
                        <w:tag w:val="part_7c0fca14c62b4098a99a021d8c013e15"/>
                        <w:lock w:val="sdtLocked"/>
                        <w:richText/>
                      </w:sdtPr>
                      <w:sdtContent>
                        <w:p>
                          <w:pPr>
                            <w:widowControl w:val="0"/>
                            <w:suppressAutoHyphens/>
                            <w:ind w:firstLine="567"/>
                            <w:jc w:val="both"/>
                            <w:rPr>
                              <w:color w:val="000000"/>
                            </w:rPr>
                          </w:pPr>
                          <w:sdt>
                            <w:sdtPr>
                              <w:alias w:val="Numeris"/>
                              <w:tag w:val="nr_7c0fca14c62b4098a99a021d8c013e15"/>
                              <w:lock w:val="sdtLocked"/>
                              <w:richText/>
                            </w:sdtPr>
                            <w:sdtContent>
                              <w:r>
                                <w:rPr>
                                  <w:color w:val="000000"/>
                                </w:rPr>
                                <w:t>31.12.1</w:t>
                              </w:r>
                            </w:sdtContent>
                          </w:sdt>
                          <w:r>
                            <w:rPr>
                              <w:color w:val="000000"/>
                            </w:rPr>
                            <w:t>. traukinio mašinistui – lęšių implantai, atliktos keratotomijos ir keratektomijos operacijos leistinos tik tuomet, jei kasmet arba gydytojo oftalmologo nustatytais laikotarpiais konsultuojama, tikrinamas operacijų poveikis akims;</w:t>
                          </w:r>
                        </w:p>
                      </w:sdtContent>
                    </w:sdt>
                    <w:sdt>
                      <w:sdtPr>
                        <w:alias w:val="12 pr. 31.12.2 p."/>
                        <w:tag w:val="part_11fa024a8458467bb72bfff8b327e362"/>
                        <w:lock w:val="sdtLocked"/>
                        <w:richText/>
                      </w:sdtPr>
                      <w:sdtContent>
                        <w:p>
                          <w:pPr>
                            <w:widowControl w:val="0"/>
                            <w:suppressAutoHyphens/>
                            <w:ind w:firstLine="567"/>
                            <w:jc w:val="both"/>
                            <w:rPr>
                              <w:color w:val="000000"/>
                            </w:rPr>
                          </w:pPr>
                          <w:sdt>
                            <w:sdtPr>
                              <w:alias w:val="Numeris"/>
                              <w:tag w:val="nr_11fa024a8458467bb72bfff8b327e362"/>
                              <w:lock w:val="sdtLocked"/>
                              <w:richText/>
                            </w:sdtPr>
                            <w:sdtContent>
                              <w:r>
                                <w:rPr>
                                  <w:color w:val="000000"/>
                                </w:rPr>
                                <w:t>31.12.2</w:t>
                              </w:r>
                            </w:sdtContent>
                          </w:sdt>
                          <w:r>
                            <w:rPr>
                              <w:color w:val="000000"/>
                            </w:rPr>
                            <w:t>. darbuotojui – akių implantai (protezai), atliktos keratotomijos ir keratektomijos operacijos leistinos tik tuomet, jei kasmet arba gydytojo oftalmologo nustatytais laikotarpiais konsultuojama, tikrinamas operacijų poveikis akims;</w:t>
                          </w:r>
                        </w:p>
                      </w:sdtContent>
                    </w:sdt>
                  </w:sdtContent>
                </w:sdt>
                <w:sdt>
                  <w:sdtPr>
                    <w:alias w:val="12 pr. 31.13 p."/>
                    <w:tag w:val="part_5dc1a86ff37d485e99b6f1fa0797f131"/>
                    <w:lock w:val="sdtLocked"/>
                    <w:richText/>
                  </w:sdtPr>
                  <w:sdtContent>
                    <w:p>
                      <w:pPr>
                        <w:widowControl w:val="0"/>
                        <w:suppressAutoHyphens/>
                        <w:ind w:firstLine="567"/>
                        <w:jc w:val="both"/>
                        <w:rPr>
                          <w:color w:val="000000"/>
                        </w:rPr>
                      </w:pPr>
                      <w:sdt>
                        <w:sdtPr>
                          <w:alias w:val="Numeris"/>
                          <w:tag w:val="nr_5dc1a86ff37d485e99b6f1fa0797f131"/>
                          <w:lock w:val="sdtLocked"/>
                          <w:richText/>
                        </w:sdtPr>
                        <w:sdtContent>
                          <w:r>
                            <w:rPr>
                              <w:color w:val="000000"/>
                            </w:rPr>
                            <w:t>31.13</w:t>
                          </w:r>
                        </w:sdtContent>
                      </w:sdt>
                      <w:r>
                        <w:rPr>
                          <w:color w:val="000000"/>
                        </w:rPr>
                        <w:t>. traukinio mašinistui – atsparumas akinimui;</w:t>
                      </w:r>
                    </w:p>
                  </w:sdtContent>
                </w:sdt>
                <w:sdt>
                  <w:sdtPr>
                    <w:alias w:val="12 pr. 31.14 p."/>
                    <w:tag w:val="part_8a4dafa6e86b4668bccf41f69573ccf0"/>
                    <w:lock w:val="sdtLocked"/>
                    <w:richText/>
                  </w:sdtPr>
                  <w:sdtContent>
                    <w:p>
                      <w:pPr>
                        <w:widowControl w:val="0"/>
                        <w:suppressAutoHyphens/>
                        <w:ind w:firstLine="567"/>
                        <w:jc w:val="both"/>
                        <w:rPr>
                          <w:color w:val="000000"/>
                        </w:rPr>
                      </w:pPr>
                      <w:sdt>
                        <w:sdtPr>
                          <w:alias w:val="Numeris"/>
                          <w:tag w:val="nr_8a4dafa6e86b4668bccf41f69573ccf0"/>
                          <w:lock w:val="sdtLocked"/>
                          <w:richText/>
                        </w:sdtPr>
                        <w:sdtContent>
                          <w:r>
                            <w:rPr>
                              <w:color w:val="000000"/>
                            </w:rPr>
                            <w:t>31.14</w:t>
                          </w:r>
                        </w:sdtContent>
                      </w:sdt>
                      <w:r>
                        <w:rPr>
                          <w:color w:val="000000"/>
                        </w:rPr>
                        <w:t>. traukinio mašinistui – draudžiama naudoti spalvotus kontaktinius lęšius ir fotochrominius lęšius, leidžiama naudoti lęšius su UV filtru.</w:t>
                      </w:r>
                    </w:p>
                  </w:sdtContent>
                </w:sdt>
              </w:sdtContent>
            </w:sdt>
            <w:sdt>
              <w:sdtPr>
                <w:alias w:val="12 pr. 32 p."/>
                <w:tag w:val="part_d222a52fb50c46b19fa9d78774cd7c1b"/>
                <w:lock w:val="sdtLocked"/>
                <w:richText/>
              </w:sdtPr>
              <w:sdtContent>
                <w:p>
                  <w:pPr>
                    <w:widowControl w:val="0"/>
                    <w:suppressAutoHyphens/>
                    <w:ind w:firstLine="567"/>
                    <w:jc w:val="both"/>
                    <w:rPr>
                      <w:color w:val="000000"/>
                    </w:rPr>
                  </w:pPr>
                  <w:sdt>
                    <w:sdtPr>
                      <w:alias w:val="Numeris"/>
                      <w:tag w:val="nr_d222a52fb50c46b19fa9d78774cd7c1b"/>
                      <w:lock w:val="sdtLocked"/>
                      <w:richText/>
                    </w:sdtPr>
                    <w:sdtContent>
                      <w:r>
                        <w:rPr>
                          <w:color w:val="000000"/>
                        </w:rPr>
                        <w:t>32</w:t>
                      </w:r>
                    </w:sdtContent>
                  </w:sdt>
                  <w:r>
                    <w:rPr>
                      <w:color w:val="000000"/>
                    </w:rPr>
                    <w:t>. Turi būti laikomasi šių klausai ir kalbėjimui taikomų reikalavimų:</w:t>
                  </w:r>
                </w:p>
                <w:sdt>
                  <w:sdtPr>
                    <w:alias w:val="12 pr. 32.1 p."/>
                    <w:tag w:val="part_ca5e7516b8be4cae8b1ba808dcfd5720"/>
                    <w:lock w:val="sdtLocked"/>
                    <w:richText/>
                  </w:sdtPr>
                  <w:sdtContent>
                    <w:p>
                      <w:pPr>
                        <w:widowControl w:val="0"/>
                        <w:suppressAutoHyphens/>
                        <w:ind w:firstLine="567"/>
                        <w:jc w:val="both"/>
                        <w:rPr>
                          <w:color w:val="000000"/>
                        </w:rPr>
                      </w:pPr>
                      <w:sdt>
                        <w:sdtPr>
                          <w:alias w:val="Numeris"/>
                          <w:tag w:val="nr_ca5e7516b8be4cae8b1ba808dcfd5720"/>
                          <w:lock w:val="sdtLocked"/>
                          <w:richText/>
                        </w:sdtPr>
                        <w:sdtContent>
                          <w:r>
                            <w:rPr>
                              <w:color w:val="000000"/>
                            </w:rPr>
                            <w:t>32.1</w:t>
                          </w:r>
                        </w:sdtContent>
                      </w:sdt>
                      <w:r>
                        <w:rPr>
                          <w:color w:val="000000"/>
                        </w:rPr>
                        <w:t>. traukinio mašinistui ir darbuotojui: pakankama, audiograma patvirtinta klausa, t. y. pakankama klausa kalbėtis telefonu ir gebėjimas išgirsti pavojaus signalus bei radijo pranešimus. Orientacinės reikšmės yra šios:</w:t>
                      </w:r>
                    </w:p>
                    <w:sdt>
                      <w:sdtPr>
                        <w:alias w:val="12 pr. 32.1.1 p."/>
                        <w:tag w:val="part_3f74a4f491ba4650962aa3b4b76b9dc8"/>
                        <w:lock w:val="sdtLocked"/>
                        <w:richText/>
                      </w:sdtPr>
                      <w:sdtContent>
                        <w:p>
                          <w:pPr>
                            <w:widowControl w:val="0"/>
                            <w:suppressAutoHyphens/>
                            <w:ind w:firstLine="567"/>
                            <w:jc w:val="both"/>
                            <w:rPr>
                              <w:color w:val="000000"/>
                            </w:rPr>
                          </w:pPr>
                          <w:sdt>
                            <w:sdtPr>
                              <w:alias w:val="Numeris"/>
                              <w:tag w:val="nr_3f74a4f491ba4650962aa3b4b76b9dc8"/>
                              <w:lock w:val="sdtLocked"/>
                              <w:richText/>
                            </w:sdtPr>
                            <w:sdtContent>
                              <w:r>
                                <w:rPr>
                                  <w:color w:val="000000"/>
                                </w:rPr>
                                <w:t>32.1.1</w:t>
                              </w:r>
                            </w:sdtContent>
                          </w:sdt>
                          <w:r>
                            <w:rPr>
                              <w:color w:val="000000"/>
                            </w:rPr>
                            <w:t>. klausos sutrikimo laipsnis neturi viršyti 40 dB, esant 500 ir 1 000 Hz dažniui;</w:t>
                          </w:r>
                        </w:p>
                      </w:sdtContent>
                    </w:sdt>
                    <w:sdt>
                      <w:sdtPr>
                        <w:alias w:val="12 pr. 32.1.2 p."/>
                        <w:tag w:val="part_b539cfa995c44f0aa48afe47b603acc5"/>
                        <w:lock w:val="sdtLocked"/>
                        <w:richText/>
                      </w:sdtPr>
                      <w:sdtContent>
                        <w:p>
                          <w:pPr>
                            <w:widowControl w:val="0"/>
                            <w:suppressAutoHyphens/>
                            <w:ind w:firstLine="567"/>
                            <w:jc w:val="both"/>
                            <w:rPr>
                              <w:color w:val="000000"/>
                            </w:rPr>
                          </w:pPr>
                          <w:sdt>
                            <w:sdtPr>
                              <w:alias w:val="Numeris"/>
                              <w:tag w:val="nr_b539cfa995c44f0aa48afe47b603acc5"/>
                              <w:lock w:val="sdtLocked"/>
                              <w:richText/>
                            </w:sdtPr>
                            <w:sdtContent>
                              <w:r>
                                <w:rPr>
                                  <w:color w:val="000000"/>
                                </w:rPr>
                                <w:t>32.1.2</w:t>
                              </w:r>
                            </w:sdtContent>
                          </w:sdt>
                          <w:r>
                            <w:rPr>
                              <w:color w:val="000000"/>
                            </w:rPr>
                            <w:t>. tos ausies, kurioje oro laidumas garsui yra blogesnis, klausos sutrikimo laipsnis neturi viršyti 45 dB, esant 2 000 Hz dažniui;</w:t>
                          </w:r>
                        </w:p>
                      </w:sdtContent>
                    </w:sdt>
                  </w:sdtContent>
                </w:sdt>
                <w:sdt>
                  <w:sdtPr>
                    <w:alias w:val="12 pr. 32.2 p."/>
                    <w:tag w:val="part_c79f8fd167ae44c9927b33b1aec0a9fa"/>
                    <w:lock w:val="sdtLocked"/>
                    <w:richText/>
                  </w:sdtPr>
                  <w:sdtContent>
                    <w:p>
                      <w:pPr>
                        <w:widowControl w:val="0"/>
                        <w:suppressAutoHyphens/>
                        <w:ind w:firstLine="567"/>
                        <w:jc w:val="both"/>
                        <w:rPr>
                          <w:color w:val="000000"/>
                        </w:rPr>
                      </w:pPr>
                      <w:sdt>
                        <w:sdtPr>
                          <w:alias w:val="Numeris"/>
                          <w:tag w:val="nr_c79f8fd167ae44c9927b33b1aec0a9fa"/>
                          <w:lock w:val="sdtLocked"/>
                          <w:richText/>
                        </w:sdtPr>
                        <w:sdtContent>
                          <w:r>
                            <w:rPr>
                              <w:color w:val="000000"/>
                            </w:rPr>
                            <w:t>32.2</w:t>
                          </w:r>
                        </w:sdtContent>
                      </w:sdt>
                      <w:r>
                        <w:rPr>
                          <w:color w:val="000000"/>
                        </w:rPr>
                        <w:t>. traukinio mašinistui: neturi būti jokių vestibulinės sistemos anomalijų;</w:t>
                      </w:r>
                    </w:p>
                  </w:sdtContent>
                </w:sdt>
                <w:sdt>
                  <w:sdtPr>
                    <w:alias w:val="12 pr. 32.3 p."/>
                    <w:tag w:val="part_73d74b00dd5b4b4ca7f3206aa76228bd"/>
                    <w:lock w:val="sdtLocked"/>
                    <w:richText/>
                  </w:sdtPr>
                  <w:sdtContent>
                    <w:p>
                      <w:pPr>
                        <w:widowControl w:val="0"/>
                        <w:suppressAutoHyphens/>
                        <w:ind w:firstLine="567"/>
                        <w:jc w:val="both"/>
                        <w:rPr>
                          <w:color w:val="000000"/>
                        </w:rPr>
                      </w:pPr>
                      <w:sdt>
                        <w:sdtPr>
                          <w:alias w:val="Numeris"/>
                          <w:tag w:val="nr_73d74b00dd5b4b4ca7f3206aa76228bd"/>
                          <w:lock w:val="sdtLocked"/>
                          <w:richText/>
                        </w:sdtPr>
                        <w:sdtContent>
                          <w:r>
                            <w:rPr>
                              <w:color w:val="000000"/>
                            </w:rPr>
                            <w:t>32.3</w:t>
                          </w:r>
                        </w:sdtContent>
                      </w:sdt>
                      <w:r>
                        <w:rPr>
                          <w:color w:val="000000"/>
                        </w:rPr>
                        <w:t>. traukinio mašinistui: neleistini jokie lėtiniai kalbos sutrikimai (dėl būtinybės garsiai ir aiškiai perduoti pranešimus);</w:t>
                      </w:r>
                    </w:p>
                  </w:sdtContent>
                </w:sdt>
                <w:sdt>
                  <w:sdtPr>
                    <w:alias w:val="12 pr. 32.4 p."/>
                    <w:tag w:val="part_9ac8b773f7364e46a2d4df480fdfefbd"/>
                    <w:lock w:val="sdtLocked"/>
                    <w:richText/>
                  </w:sdtPr>
                  <w:sdtContent>
                    <w:p>
                      <w:pPr>
                        <w:widowControl w:val="0"/>
                        <w:suppressAutoHyphens/>
                        <w:ind w:firstLine="567"/>
                        <w:jc w:val="both"/>
                        <w:rPr>
                          <w:color w:val="000000"/>
                        </w:rPr>
                      </w:pPr>
                      <w:sdt>
                        <w:sdtPr>
                          <w:alias w:val="Numeris"/>
                          <w:tag w:val="nr_9ac8b773f7364e46a2d4df480fdfefbd"/>
                          <w:lock w:val="sdtLocked"/>
                          <w:richText/>
                        </w:sdtPr>
                        <w:sdtContent>
                          <w:r>
                            <w:rPr>
                              <w:color w:val="000000"/>
                            </w:rPr>
                            <w:t>32.4</w:t>
                          </w:r>
                        </w:sdtContent>
                      </w:sdt>
                      <w:r>
                        <w:rPr>
                          <w:color w:val="000000"/>
                        </w:rPr>
                        <w:t>. traukinio mašinistui: ypatingais atvejais leidžiama naudoti klausos aparatus.</w:t>
                      </w:r>
                    </w:p>
                  </w:sdtContent>
                </w:sdt>
              </w:sdtContent>
            </w:sdt>
            <w:sdt>
              <w:sdtPr>
                <w:alias w:val="12 pr. 33 p."/>
                <w:tag w:val="part_b5c7b0b578f244729491570d75954096"/>
                <w:lock w:val="sdtLocked"/>
                <w:richText/>
              </w:sdtPr>
              <w:sdtContent>
                <w:p>
                  <w:pPr>
                    <w:widowControl w:val="0"/>
                    <w:suppressAutoHyphens/>
                    <w:ind w:firstLine="567"/>
                    <w:jc w:val="both"/>
                    <w:rPr>
                      <w:color w:val="000000"/>
                    </w:rPr>
                  </w:pPr>
                  <w:sdt>
                    <w:sdtPr>
                      <w:alias w:val="Numeris"/>
                      <w:tag w:val="nr_b5c7b0b578f244729491570d75954096"/>
                      <w:lock w:val="sdtLocked"/>
                      <w:richText/>
                    </w:sdtPr>
                    <w:sdtContent>
                      <w:r>
                        <w:rPr>
                          <w:color w:val="000000"/>
                        </w:rPr>
                        <w:t>33</w:t>
                      </w:r>
                    </w:sdtContent>
                  </w:sdt>
                  <w:r>
                    <w:rPr>
                      <w:color w:val="000000"/>
                    </w:rPr>
                    <w:t>. Minimalios psichologinio tinkamumo normos:</w:t>
                  </w:r>
                </w:p>
                <w:sdt>
                  <w:sdtPr>
                    <w:alias w:val="12 pr. 33.1 p."/>
                    <w:tag w:val="part_b7784fc94c324826912410ddb16af185"/>
                    <w:lock w:val="sdtLocked"/>
                    <w:richText/>
                  </w:sdtPr>
                  <w:sdtContent>
                    <w:p>
                      <w:pPr>
                        <w:widowControl w:val="0"/>
                        <w:suppressAutoHyphens/>
                        <w:ind w:firstLine="567"/>
                        <w:jc w:val="both"/>
                        <w:rPr>
                          <w:color w:val="000000"/>
                        </w:rPr>
                      </w:pPr>
                      <w:sdt>
                        <w:sdtPr>
                          <w:alias w:val="Numeris"/>
                          <w:tag w:val="nr_b7784fc94c324826912410ddb16af185"/>
                          <w:lock w:val="sdtLocked"/>
                          <w:richText/>
                        </w:sdtPr>
                        <w:sdtContent>
                          <w:r>
                            <w:rPr>
                              <w:color w:val="000000"/>
                            </w:rPr>
                            <w:t>33.1</w:t>
                          </w:r>
                        </w:sdtContent>
                      </w:sdt>
                      <w:r>
                        <w:rPr>
                          <w:color w:val="000000"/>
                        </w:rPr>
                        <w:t>. normalus arba greitas reakcijos laikas;</w:t>
                      </w:r>
                    </w:p>
                  </w:sdtContent>
                </w:sdt>
                <w:sdt>
                  <w:sdtPr>
                    <w:alias w:val="12 pr. 33.2 p."/>
                    <w:tag w:val="part_35b635caf1e14099a169f61fa70fc3d1"/>
                    <w:lock w:val="sdtLocked"/>
                    <w:richText/>
                  </w:sdtPr>
                  <w:sdtContent>
                    <w:p>
                      <w:pPr>
                        <w:widowControl w:val="0"/>
                        <w:suppressAutoHyphens/>
                        <w:ind w:firstLine="567"/>
                        <w:jc w:val="both"/>
                        <w:rPr>
                          <w:color w:val="000000"/>
                        </w:rPr>
                      </w:pPr>
                      <w:sdt>
                        <w:sdtPr>
                          <w:alias w:val="Numeris"/>
                          <w:tag w:val="nr_35b635caf1e14099a169f61fa70fc3d1"/>
                          <w:lock w:val="sdtLocked"/>
                          <w:richText/>
                        </w:sdtPr>
                        <w:sdtContent>
                          <w:r>
                            <w:rPr>
                              <w:color w:val="000000"/>
                            </w:rPr>
                            <w:t>33.2</w:t>
                          </w:r>
                        </w:sdtContent>
                      </w:sdt>
                      <w:r>
                        <w:rPr>
                          <w:color w:val="000000"/>
                        </w:rPr>
                        <w:t>. adekvatus regimųjų ir girdimųjų stimulų suvokimas;</w:t>
                      </w:r>
                    </w:p>
                  </w:sdtContent>
                </w:sdt>
                <w:sdt>
                  <w:sdtPr>
                    <w:alias w:val="12 pr. 33.3 p."/>
                    <w:tag w:val="part_d0b23ec0059246d6a8f3b36482d98923"/>
                    <w:lock w:val="sdtLocked"/>
                    <w:richText/>
                  </w:sdtPr>
                  <w:sdtContent>
                    <w:p>
                      <w:pPr>
                        <w:widowControl w:val="0"/>
                        <w:suppressAutoHyphens/>
                        <w:ind w:firstLine="567"/>
                        <w:jc w:val="both"/>
                        <w:rPr>
                          <w:color w:val="000000"/>
                        </w:rPr>
                      </w:pPr>
                      <w:sdt>
                        <w:sdtPr>
                          <w:alias w:val="Numeris"/>
                          <w:tag w:val="nr_d0b23ec0059246d6a8f3b36482d98923"/>
                          <w:lock w:val="sdtLocked"/>
                          <w:richText/>
                        </w:sdtPr>
                        <w:sdtContent>
                          <w:r>
                            <w:rPr>
                              <w:color w:val="000000"/>
                            </w:rPr>
                            <w:t>33.3</w:t>
                          </w:r>
                        </w:sdtContent>
                      </w:sdt>
                      <w:r>
                        <w:rPr>
                          <w:color w:val="000000"/>
                        </w:rPr>
                        <w:t>. normalus vidutinis kalbos tempas, aiškus žodžių tarimas, pakankamas instrukcijų suvokimas;</w:t>
                      </w:r>
                    </w:p>
                  </w:sdtContent>
                </w:sdt>
                <w:sdt>
                  <w:sdtPr>
                    <w:alias w:val="12 pr. 33.4 p."/>
                    <w:tag w:val="part_d0537561503e45199ca6a947f6212dcc"/>
                    <w:lock w:val="sdtLocked"/>
                    <w:richText/>
                  </w:sdtPr>
                  <w:sdtContent>
                    <w:p>
                      <w:pPr>
                        <w:widowControl w:val="0"/>
                        <w:suppressAutoHyphens/>
                        <w:ind w:firstLine="567"/>
                        <w:jc w:val="both"/>
                        <w:rPr>
                          <w:color w:val="000000"/>
                        </w:rPr>
                      </w:pPr>
                      <w:sdt>
                        <w:sdtPr>
                          <w:alias w:val="Numeris"/>
                          <w:tag w:val="nr_d0537561503e45199ca6a947f6212dcc"/>
                          <w:lock w:val="sdtLocked"/>
                          <w:richText/>
                        </w:sdtPr>
                        <w:sdtContent>
                          <w:r>
                            <w:rPr>
                              <w:color w:val="000000"/>
                            </w:rPr>
                            <w:t>33.4</w:t>
                          </w:r>
                        </w:sdtContent>
                      </w:sdt>
                      <w:r>
                        <w:rPr>
                          <w:color w:val="000000"/>
                        </w:rPr>
                        <w:t>. gebėjimas sutelkti ir išlaikyti dėmesį, ryškių dėmesio išsekimo požymių nebuvimas;</w:t>
                      </w:r>
                    </w:p>
                  </w:sdtContent>
                </w:sdt>
                <w:sdt>
                  <w:sdtPr>
                    <w:alias w:val="12 pr. 33.5 p."/>
                    <w:tag w:val="part_00875e3b736b410d99e748e330cfdcc3"/>
                    <w:lock w:val="sdtLocked"/>
                    <w:richText/>
                  </w:sdtPr>
                  <w:sdtContent>
                    <w:p>
                      <w:pPr>
                        <w:widowControl w:val="0"/>
                        <w:suppressAutoHyphens/>
                        <w:ind w:firstLine="567"/>
                        <w:jc w:val="both"/>
                        <w:rPr>
                          <w:color w:val="000000"/>
                        </w:rPr>
                      </w:pPr>
                      <w:sdt>
                        <w:sdtPr>
                          <w:alias w:val="Numeris"/>
                          <w:tag w:val="nr_00875e3b736b410d99e748e330cfdcc3"/>
                          <w:lock w:val="sdtLocked"/>
                          <w:richText/>
                        </w:sdtPr>
                        <w:sdtContent>
                          <w:r>
                            <w:rPr>
                              <w:color w:val="000000"/>
                            </w:rPr>
                            <w:t>33.5</w:t>
                          </w:r>
                        </w:sdtContent>
                      </w:sdt>
                      <w:r>
                        <w:rPr>
                          <w:color w:val="000000"/>
                        </w:rPr>
                        <w:t>. informacijos įsiminimo ir išlaikymo atmintyje sutrikimų nebuvimas.</w:t>
                      </w:r>
                    </w:p>
                  </w:sdtContent>
                </w:sdt>
              </w:sdtContent>
            </w:sdt>
            <w:sdt>
              <w:sdtPr>
                <w:alias w:val="12 pr. 34 p."/>
                <w:tag w:val="part_01cad51e0d654791ac894fc177dd5af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01cad51e0d654791ac894fc177dd5afb"/>
                      <w:lock w:val="sdtLocked"/>
                      <w:richText/>
                    </w:sdtPr>
                    <w:sdtContent>
                      <w:r>
                        <w:rPr>
                          <w:szCs w:val="24"/>
                        </w:rPr>
                        <w:t>34</w:t>
                      </w:r>
                    </w:sdtContent>
                  </w:sdt>
                  <w:r>
                    <w:rPr>
                      <w:szCs w:val="24"/>
                    </w:rPr>
                    <w:t xml:space="preserve">. </w:t>
                  </w:r>
                  <w:r>
                    <w:rPr>
                      <w:color w:val="000000"/>
                      <w:szCs w:val="24"/>
                    </w:rPr>
                    <w:t xml:space="preserve">Nustačius nėštumo patologiją ar kitų, nėštumą komplikuojančių veiksnių, teikiama rekomendacija </w:t>
                  </w:r>
                  <w:r>
                    <w:rPr>
                      <w:szCs w:val="24"/>
                    </w:rPr>
                    <w:t>perkelti traukinio mašinistę į kitas pareigas, kuriose yra saugesnės darbo sąlygos.</w:t>
                  </w:r>
                  <w:r>
                    <w:rPr>
                      <w:b/>
                      <w:bCs/>
                      <w:szCs w:val="24"/>
                    </w:rPr>
                    <w:t xml:space="preserve"> </w:t>
                  </w:r>
                  <w:r>
                    <w:rPr>
                      <w:szCs w:val="24"/>
                    </w:rPr>
                    <w:t>Turi būti taikomas Lietuvos Respublikos Vyriausybės 2017 m. birželio 21 d. nutarimas Nr. 469 „Dėl Nėščių, neseniai pagimdžiusių, krūtimi maitinančių darbuotojų darbo sąlygų aprašo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skyrius"/>
            <w:tag w:val="part_f511e02c493a45778464059dffb75368"/>
            <w:lock w:val="sdtLocked"/>
            <w:richText/>
          </w:sdtPr>
          <w:sdtContent>
            <w:p>
              <w:pPr>
                <w:widowControl w:val="0"/>
                <w:suppressAutoHyphens/>
                <w:jc w:val="center"/>
                <w:rPr>
                  <w:b/>
                  <w:bCs/>
                  <w:caps/>
                  <w:color w:val="000000"/>
                </w:rPr>
              </w:pPr>
              <w:sdt>
                <w:sdtPr>
                  <w:alias w:val="Numeris"/>
                  <w:tag w:val="nr_f511e02c493a45778464059dffb75368"/>
                  <w:lock w:val="sdtLocked"/>
                  <w:richText/>
                </w:sdtPr>
                <w:sdtContent>
                  <w:r>
                    <w:rPr>
                      <w:b/>
                      <w:bCs/>
                      <w:caps/>
                      <w:color w:val="000000"/>
                    </w:rPr>
                    <w:t>IV</w:t>
                  </w:r>
                </w:sdtContent>
              </w:sdt>
              <w:r>
                <w:rPr>
                  <w:b/>
                  <w:bCs/>
                  <w:caps/>
                  <w:color w:val="000000"/>
                </w:rPr>
                <w:t xml:space="preserve">. </w:t>
              </w:r>
              <w:sdt>
                <w:sdtPr>
                  <w:alias w:val="Pavadinimas"/>
                  <w:tag w:val="title_f511e02c493a45778464059dffb75368"/>
                  <w:lock w:val="sdtLocked"/>
                  <w:richText/>
                </w:sdtPr>
                <w:sdtContent>
                  <w:r>
                    <w:rPr>
                      <w:b/>
                      <w:bCs/>
                      <w:caps/>
                      <w:color w:val="000000"/>
                    </w:rPr>
                    <w:t>PRIEŠ PRIIMANT Į MOKYMO ĮSTAIGĄ ARBA Į DARBĄ ATLIKTINI BŪTINIAUSI SVEIKATOS PATIKRINIMAI</w:t>
                  </w:r>
                </w:sdtContent>
              </w:sdt>
            </w:p>
            <w:p>
              <w:pPr>
                <w:widowControl w:val="0"/>
                <w:suppressAutoHyphens/>
                <w:ind w:firstLine="567"/>
                <w:jc w:val="both"/>
                <w:rPr>
                  <w:color w:val="000000"/>
                </w:rPr>
              </w:pPr>
            </w:p>
            <w:sdt>
              <w:sdtPr>
                <w:alias w:val="12 pr. 35 p."/>
                <w:tag w:val="part_438625043f7343f5847f4518d8ba8911"/>
                <w:lock w:val="sdtLocked"/>
                <w:richText/>
              </w:sdtPr>
              <w:sdtContent>
                <w:p>
                  <w:pPr>
                    <w:widowControl w:val="0"/>
                    <w:suppressAutoHyphens/>
                    <w:ind w:firstLine="567"/>
                    <w:jc w:val="both"/>
                    <w:rPr>
                      <w:color w:val="000000"/>
                    </w:rPr>
                  </w:pPr>
                  <w:sdt>
                    <w:sdtPr>
                      <w:alias w:val="Numeris"/>
                      <w:tag w:val="nr_438625043f7343f5847f4518d8ba8911"/>
                      <w:lock w:val="sdtLocked"/>
                      <w:richText/>
                    </w:sdtPr>
                    <w:sdtContent>
                      <w:r>
                        <w:rPr>
                          <w:color w:val="000000"/>
                        </w:rPr>
                        <w:t>35</w:t>
                      </w:r>
                    </w:sdtContent>
                  </w:sdt>
                  <w:r>
                    <w:rPr>
                      <w:color w:val="000000"/>
                    </w:rPr>
                    <w:t xml:space="preserve">. Traukinio mašinistui – bendras sveikatos patikrinimas (t. y. profilaktinis sveikatos tikrinimas, atliktas vadovaujantis Neinfekcinių ligų profilaktikos ir kontrolės tvarka (6 priedas), patvirtinta Lietuvos Respublikos sveikatos apsaugos ministro 2000 m. gegužės 31 d. įsakymu Nr. 301 „Dėl profilaktinių sveikatos tikrinimų sveikatos priežiūros įstaigose“ (Žin., 2000, Nr. </w:t>
                  </w:r>
                  <w:hyperlink r:id="rId65" w:tgtFrame="_blank" w:history="1">
                    <w:r>
                      <w:rPr>
                        <w:color w:val="0000FF" w:themeColor="hyperlink"/>
                        <w:u w:val="single"/>
                      </w:rPr>
                      <w:t>47-1365</w:t>
                    </w:r>
                  </w:hyperlink>
                  <w:r>
                    <w:rPr>
                      <w:color w:val="000000"/>
                    </w:rPr>
                    <w:t>). Antropometriniai darbuotojų matmenys turi būti tinkami saugiai naudoti geležinkelių riedmenis. Neturi būti reikalaujama arba leidžiama, kad traukinio mašinistas valdytų tam tikrų tipų geležinkelių riedmenis, jeigu dėl jo ūgio, svorio arba kitų fizinių ypatybių tai būtų nesaugu.</w:t>
                  </w:r>
                </w:p>
              </w:sdtContent>
            </w:sdt>
            <w:sdt>
              <w:sdtPr>
                <w:alias w:val="12 pr. 36 p."/>
                <w:tag w:val="part_ea457b53610545f681211cd2e82d83bb"/>
                <w:lock w:val="sdtLocked"/>
                <w:richText/>
              </w:sdtPr>
              <w:sdtContent>
                <w:p>
                  <w:pPr>
                    <w:widowControl w:val="0"/>
                    <w:suppressAutoHyphens/>
                    <w:ind w:firstLine="567"/>
                    <w:jc w:val="both"/>
                    <w:rPr>
                      <w:color w:val="000000"/>
                    </w:rPr>
                  </w:pPr>
                  <w:sdt>
                    <w:sdtPr>
                      <w:alias w:val="Numeris"/>
                      <w:tag w:val="nr_ea457b53610545f681211cd2e82d83bb"/>
                      <w:lock w:val="sdtLocked"/>
                      <w:richText/>
                    </w:sdtPr>
                    <w:sdtContent>
                      <w:r>
                        <w:rPr>
                          <w:color w:val="000000"/>
                        </w:rPr>
                        <w:t>36</w:t>
                      </w:r>
                    </w:sdtContent>
                  </w:sdt>
                  <w:r>
                    <w:rPr>
                      <w:color w:val="000000"/>
                    </w:rPr>
                    <w:t>. Traukinio mašinistui – sensorinių funkcijų patikrinimas:</w:t>
                  </w:r>
                </w:p>
                <w:sdt>
                  <w:sdtPr>
                    <w:alias w:val="12 pr. 36.1 p."/>
                    <w:tag w:val="part_436fdc6c691740a2a38a80178c2e6663"/>
                    <w:lock w:val="sdtLocked"/>
                    <w:richText/>
                  </w:sdtPr>
                  <w:sdtContent>
                    <w:p>
                      <w:pPr>
                        <w:widowControl w:val="0"/>
                        <w:suppressAutoHyphens/>
                        <w:ind w:firstLine="567"/>
                        <w:jc w:val="both"/>
                        <w:rPr>
                          <w:color w:val="000000"/>
                        </w:rPr>
                      </w:pPr>
                      <w:sdt>
                        <w:sdtPr>
                          <w:alias w:val="Numeris"/>
                          <w:tag w:val="nr_436fdc6c691740a2a38a80178c2e6663"/>
                          <w:lock w:val="sdtLocked"/>
                          <w:richText/>
                        </w:sdtPr>
                        <w:sdtContent>
                          <w:r>
                            <w:rPr>
                              <w:color w:val="000000"/>
                            </w:rPr>
                            <w:t>36.1</w:t>
                          </w:r>
                        </w:sdtContent>
                      </w:sdt>
                      <w:r>
                        <w:rPr>
                          <w:color w:val="000000"/>
                        </w:rPr>
                        <w:t>. regėjimo – tikrina gydytojas oftalmologas:</w:t>
                      </w:r>
                    </w:p>
                    <w:sdt>
                      <w:sdtPr>
                        <w:alias w:val="12 pr. 36.1.1 p."/>
                        <w:tag w:val="part_c7088d2f711d4f35ac0fd8b63c2d3a53"/>
                        <w:lock w:val="sdtLocked"/>
                        <w:richText/>
                      </w:sdtPr>
                      <w:sdtContent>
                        <w:p>
                          <w:pPr>
                            <w:widowControl w:val="0"/>
                            <w:suppressAutoHyphens/>
                            <w:ind w:firstLine="567"/>
                            <w:jc w:val="both"/>
                            <w:rPr>
                              <w:color w:val="000000"/>
                            </w:rPr>
                          </w:pPr>
                          <w:sdt>
                            <w:sdtPr>
                              <w:alias w:val="Numeris"/>
                              <w:tag w:val="nr_c7088d2f711d4f35ac0fd8b63c2d3a53"/>
                              <w:lock w:val="sdtLocked"/>
                              <w:richText/>
                            </w:sdtPr>
                            <w:sdtContent>
                              <w:r>
                                <w:rPr>
                                  <w:color w:val="000000"/>
                                </w:rPr>
                                <w:t>36.1.1</w:t>
                              </w:r>
                            </w:sdtContent>
                          </w:sdt>
                          <w:r>
                            <w:rPr>
                              <w:color w:val="000000"/>
                            </w:rPr>
                            <w:t>. regėjimo aštrumo;</w:t>
                          </w:r>
                        </w:p>
                      </w:sdtContent>
                    </w:sdt>
                    <w:sdt>
                      <w:sdtPr>
                        <w:alias w:val="12 pr. 36.1.2 p."/>
                        <w:tag w:val="part_8ead3b1e458146ea92b8f6f5c91c165c"/>
                        <w:lock w:val="sdtLocked"/>
                        <w:richText/>
                      </w:sdtPr>
                      <w:sdtContent>
                        <w:p>
                          <w:pPr>
                            <w:widowControl w:val="0"/>
                            <w:suppressAutoHyphens/>
                            <w:ind w:firstLine="567"/>
                            <w:jc w:val="both"/>
                            <w:rPr>
                              <w:color w:val="000000"/>
                            </w:rPr>
                          </w:pPr>
                          <w:sdt>
                            <w:sdtPr>
                              <w:alias w:val="Numeris"/>
                              <w:tag w:val="nr_8ead3b1e458146ea92b8f6f5c91c165c"/>
                              <w:lock w:val="sdtLocked"/>
                              <w:richText/>
                            </w:sdtPr>
                            <w:sdtContent>
                              <w:r>
                                <w:rPr>
                                  <w:color w:val="000000"/>
                                </w:rPr>
                                <w:t>36.1.2</w:t>
                              </w:r>
                            </w:sdtContent>
                          </w:sdt>
                          <w:r>
                            <w:rPr>
                              <w:color w:val="000000"/>
                            </w:rPr>
                            <w:t>. regėjimo lauko (akipločio);</w:t>
                          </w:r>
                        </w:p>
                      </w:sdtContent>
                    </w:sdt>
                    <w:sdt>
                      <w:sdtPr>
                        <w:alias w:val="12 pr. 36.1.3 p."/>
                        <w:tag w:val="part_fef262ddfa454834bb6190db158c8018"/>
                        <w:lock w:val="sdtLocked"/>
                        <w:richText/>
                      </w:sdtPr>
                      <w:sdtContent>
                        <w:p>
                          <w:pPr>
                            <w:widowControl w:val="0"/>
                            <w:suppressAutoHyphens/>
                            <w:ind w:firstLine="567"/>
                            <w:jc w:val="both"/>
                            <w:rPr>
                              <w:color w:val="000000"/>
                            </w:rPr>
                          </w:pPr>
                          <w:sdt>
                            <w:sdtPr>
                              <w:alias w:val="Numeris"/>
                              <w:tag w:val="nr_fef262ddfa454834bb6190db158c8018"/>
                              <w:lock w:val="sdtLocked"/>
                              <w:richText/>
                            </w:sdtPr>
                            <w:sdtContent>
                              <w:r>
                                <w:rPr>
                                  <w:color w:val="000000"/>
                                </w:rPr>
                                <w:t>36.1.3</w:t>
                              </w:r>
                            </w:sdtContent>
                          </w:sdt>
                          <w:r>
                            <w:rPr>
                              <w:color w:val="000000"/>
                            </w:rPr>
                            <w:t>. regėjimo prieblandoje (adaptacijos tamsai);</w:t>
                          </w:r>
                        </w:p>
                      </w:sdtContent>
                    </w:sdt>
                    <w:sdt>
                      <w:sdtPr>
                        <w:alias w:val="12 pr. 36.1.4 p."/>
                        <w:tag w:val="part_f34be6369ed541a59d3ce0e4ca17d893"/>
                        <w:lock w:val="sdtLocked"/>
                        <w:richText/>
                      </w:sdtPr>
                      <w:sdtContent>
                        <w:p>
                          <w:pPr>
                            <w:widowControl w:val="0"/>
                            <w:suppressAutoHyphens/>
                            <w:ind w:firstLine="567"/>
                            <w:jc w:val="both"/>
                            <w:rPr>
                              <w:color w:val="000000"/>
                            </w:rPr>
                          </w:pPr>
                          <w:sdt>
                            <w:sdtPr>
                              <w:alias w:val="Numeris"/>
                              <w:tag w:val="nr_f34be6369ed541a59d3ce0e4ca17d893"/>
                              <w:lock w:val="sdtLocked"/>
                              <w:richText/>
                            </w:sdtPr>
                            <w:sdtContent>
                              <w:r>
                                <w:rPr>
                                  <w:color w:val="000000"/>
                                </w:rPr>
                                <w:t>36.1.4</w:t>
                              </w:r>
                            </w:sdtContent>
                          </w:sdt>
                          <w:r>
                            <w:rPr>
                              <w:color w:val="000000"/>
                            </w:rPr>
                            <w:t>. akispūdžio matavimas (asmenims nuo 40 m.);</w:t>
                          </w:r>
                        </w:p>
                      </w:sdtContent>
                    </w:sdt>
                    <w:sdt>
                      <w:sdtPr>
                        <w:alias w:val="12 pr. 36.1.5 p."/>
                        <w:tag w:val="part_84038b237eea43568ab8e46a6b6487b1"/>
                        <w:lock w:val="sdtLocked"/>
                        <w:richText/>
                      </w:sdtPr>
                      <w:sdtContent>
                        <w:p>
                          <w:pPr>
                            <w:widowControl w:val="0"/>
                            <w:suppressAutoHyphens/>
                            <w:ind w:firstLine="567"/>
                            <w:jc w:val="both"/>
                            <w:rPr>
                              <w:color w:val="000000"/>
                            </w:rPr>
                          </w:pPr>
                          <w:sdt>
                            <w:sdtPr>
                              <w:alias w:val="Numeris"/>
                              <w:tag w:val="nr_84038b237eea43568ab8e46a6b6487b1"/>
                              <w:lock w:val="sdtLocked"/>
                              <w:richText/>
                            </w:sdtPr>
                            <w:sdtContent>
                              <w:r>
                                <w:rPr>
                                  <w:color w:val="000000"/>
                                </w:rPr>
                                <w:t>36.1.5</w:t>
                              </w:r>
                            </w:sdtContent>
                          </w:sdt>
                          <w:r>
                            <w:rPr>
                              <w:color w:val="000000"/>
                            </w:rPr>
                            <w:t>. kontrastų jutimo;</w:t>
                          </w:r>
                        </w:p>
                      </w:sdtContent>
                    </w:sdt>
                    <w:sdt>
                      <w:sdtPr>
                        <w:alias w:val="12 pr. 36.1.6 p."/>
                        <w:tag w:val="part_bb3a2da4dbd0470496c427a5c6e1b5bb"/>
                        <w:lock w:val="sdtLocked"/>
                        <w:richText/>
                      </w:sdtPr>
                      <w:sdtContent>
                        <w:p>
                          <w:pPr>
                            <w:widowControl w:val="0"/>
                            <w:suppressAutoHyphens/>
                            <w:ind w:firstLine="567"/>
                            <w:jc w:val="both"/>
                            <w:rPr>
                              <w:color w:val="000000"/>
                            </w:rPr>
                          </w:pPr>
                          <w:sdt>
                            <w:sdtPr>
                              <w:alias w:val="Numeris"/>
                              <w:tag w:val="nr_bb3a2da4dbd0470496c427a5c6e1b5bb"/>
                              <w:lock w:val="sdtLocked"/>
                              <w:richText/>
                            </w:sdtPr>
                            <w:sdtContent>
                              <w:r>
                                <w:rPr>
                                  <w:color w:val="000000"/>
                                </w:rPr>
                                <w:t>36.1.6</w:t>
                              </w:r>
                            </w:sdtContent>
                          </w:sdt>
                          <w:r>
                            <w:rPr>
                              <w:color w:val="000000"/>
                            </w:rPr>
                            <w:t>. spalvų jutimo:</w:t>
                          </w:r>
                        </w:p>
                        <w:sdt>
                          <w:sdtPr>
                            <w:alias w:val="12 pr. 36.1.6.1 p."/>
                            <w:tag w:val="part_8d8dc9a994cb4f7ab0e8d808693ba5c5"/>
                            <w:lock w:val="sdtLocked"/>
                            <w:richText/>
                          </w:sdtPr>
                          <w:sdtContent>
                            <w:p>
                              <w:pPr>
                                <w:widowControl w:val="0"/>
                                <w:suppressAutoHyphens/>
                                <w:ind w:firstLine="567"/>
                                <w:jc w:val="both"/>
                                <w:rPr>
                                  <w:color w:val="000000"/>
                                </w:rPr>
                              </w:pPr>
                              <w:sdt>
                                <w:sdtPr>
                                  <w:alias w:val="Numeris"/>
                                  <w:tag w:val="nr_8d8dc9a994cb4f7ab0e8d808693ba5c5"/>
                                  <w:lock w:val="sdtLocked"/>
                                  <w:richText/>
                                </w:sdtPr>
                                <w:sdtContent>
                                  <w:r>
                                    <w:rPr>
                                      <w:color w:val="000000"/>
                                    </w:rPr>
                                    <w:t>36.1.6.1</w:t>
                                  </w:r>
                                </w:sdtContent>
                              </w:sdt>
                              <w:r>
                                <w:rPr>
                                  <w:color w:val="000000"/>
                                </w:rPr>
                                <w:t>. spalvinio jutimo (įsigyjant traukinio mašinisto pažymėjimą);</w:t>
                              </w:r>
                            </w:p>
                          </w:sdtContent>
                        </w:sdt>
                        <w:sdt>
                          <w:sdtPr>
                            <w:alias w:val="12 pr. 36.1.6.2 p."/>
                            <w:tag w:val="part_cedb97dab54343dc91f521ca2e6eacad"/>
                            <w:lock w:val="sdtLocked"/>
                            <w:richText/>
                          </w:sdtPr>
                          <w:sdtContent>
                            <w:p>
                              <w:pPr>
                                <w:widowControl w:val="0"/>
                                <w:suppressAutoHyphens/>
                                <w:ind w:firstLine="567"/>
                                <w:jc w:val="both"/>
                                <w:rPr>
                                  <w:color w:val="000000"/>
                                </w:rPr>
                              </w:pPr>
                              <w:sdt>
                                <w:sdtPr>
                                  <w:alias w:val="Numeris"/>
                                  <w:tag w:val="nr_cedb97dab54343dc91f521ca2e6eacad"/>
                                  <w:lock w:val="sdtLocked"/>
                                  <w:richText/>
                                </w:sdtPr>
                                <w:sdtContent>
                                  <w:r>
                                    <w:rPr>
                                      <w:color w:val="000000"/>
                                    </w:rPr>
                                    <w:t>36.1.6.2</w:t>
                                  </w:r>
                                </w:sdtContent>
                              </w:sdt>
                              <w:r>
                                <w:rPr>
                                  <w:color w:val="000000"/>
                                </w:rPr>
                                <w:t>. spalvų signalo atpažinimo;</w:t>
                              </w:r>
                            </w:p>
                          </w:sdtContent>
                        </w:sdt>
                      </w:sdtContent>
                    </w:sdt>
                    <w:sdt>
                      <w:sdtPr>
                        <w:alias w:val="12 pr. 36.1.7 p."/>
                        <w:tag w:val="part_58d4c28e82d4424aa84f0f36803c651f"/>
                        <w:lock w:val="sdtLocked"/>
                        <w:richText/>
                      </w:sdtPr>
                      <w:sdtContent>
                        <w:p>
                          <w:pPr>
                            <w:widowControl w:val="0"/>
                            <w:suppressAutoHyphens/>
                            <w:ind w:firstLine="567"/>
                            <w:jc w:val="both"/>
                            <w:rPr>
                              <w:color w:val="000000"/>
                            </w:rPr>
                          </w:pPr>
                          <w:sdt>
                            <w:sdtPr>
                              <w:alias w:val="Numeris"/>
                              <w:tag w:val="nr_58d4c28e82d4424aa84f0f36803c651f"/>
                              <w:lock w:val="sdtLocked"/>
                              <w:richText/>
                            </w:sdtPr>
                            <w:sdtContent>
                              <w:r>
                                <w:rPr>
                                  <w:color w:val="000000"/>
                                </w:rPr>
                                <w:t>36.1.7</w:t>
                              </w:r>
                            </w:sdtContent>
                          </w:sdt>
                          <w:r>
                            <w:rPr>
                              <w:color w:val="000000"/>
                            </w:rPr>
                            <w:t>. atsparumo akinimui;</w:t>
                          </w:r>
                        </w:p>
                      </w:sdtContent>
                    </w:sdt>
                  </w:sdtContent>
                </w:sdt>
                <w:sdt>
                  <w:sdtPr>
                    <w:alias w:val="12 pr. 36.2 p."/>
                    <w:tag w:val="part_adc493ee7602418e82ddcc6016f48352"/>
                    <w:lock w:val="sdtLocked"/>
                    <w:richText/>
                  </w:sdtPr>
                  <w:sdtContent>
                    <w:p>
                      <w:pPr>
                        <w:widowControl w:val="0"/>
                        <w:suppressAutoHyphens/>
                        <w:ind w:firstLine="567"/>
                        <w:jc w:val="both"/>
                        <w:rPr>
                          <w:color w:val="000000"/>
                        </w:rPr>
                      </w:pPr>
                      <w:sdt>
                        <w:sdtPr>
                          <w:alias w:val="Numeris"/>
                          <w:tag w:val="nr_adc493ee7602418e82ddcc6016f48352"/>
                          <w:lock w:val="sdtLocked"/>
                          <w:richText/>
                        </w:sdtPr>
                        <w:sdtContent>
                          <w:r>
                            <w:rPr>
                              <w:color w:val="000000"/>
                            </w:rPr>
                            <w:t>36.2</w:t>
                          </w:r>
                        </w:sdtContent>
                      </w:sdt>
                      <w:r>
                        <w:rPr>
                          <w:color w:val="000000"/>
                        </w:rPr>
                        <w:t>. klausos – tikrina gydytojas otorinolaringologas:</w:t>
                      </w:r>
                    </w:p>
                    <w:sdt>
                      <w:sdtPr>
                        <w:alias w:val="12 pr. 36.2.1 p."/>
                        <w:tag w:val="part_6e694e08feda4b09ba5139da6d00d77c"/>
                        <w:lock w:val="sdtLocked"/>
                        <w:richText/>
                      </w:sdtPr>
                      <w:sdtContent>
                        <w:p>
                          <w:pPr>
                            <w:widowControl w:val="0"/>
                            <w:suppressAutoHyphens/>
                            <w:ind w:firstLine="567"/>
                            <w:jc w:val="both"/>
                            <w:rPr>
                              <w:color w:val="000000"/>
                            </w:rPr>
                          </w:pPr>
                          <w:sdt>
                            <w:sdtPr>
                              <w:alias w:val="Numeris"/>
                              <w:tag w:val="nr_6e694e08feda4b09ba5139da6d00d77c"/>
                              <w:lock w:val="sdtLocked"/>
                              <w:richText/>
                            </w:sdtPr>
                            <w:sdtContent>
                              <w:r>
                                <w:rPr>
                                  <w:color w:val="000000"/>
                                </w:rPr>
                                <w:t>36.2.1</w:t>
                              </w:r>
                            </w:sdtContent>
                          </w:sdt>
                          <w:r>
                            <w:rPr>
                              <w:color w:val="000000"/>
                            </w:rPr>
                            <w:t>. klausos aštrumo, šnabždesiu abipus;</w:t>
                          </w:r>
                        </w:p>
                      </w:sdtContent>
                    </w:sdt>
                    <w:sdt>
                      <w:sdtPr>
                        <w:alias w:val="12 pr. 36.2.2 p."/>
                        <w:tag w:val="part_9421d8b70184460b97755e5491f2e161"/>
                        <w:lock w:val="sdtLocked"/>
                        <w:richText/>
                      </w:sdtPr>
                      <w:sdtContent>
                        <w:p>
                          <w:pPr>
                            <w:widowControl w:val="0"/>
                            <w:suppressAutoHyphens/>
                            <w:ind w:firstLine="567"/>
                            <w:jc w:val="both"/>
                            <w:rPr>
                              <w:color w:val="000000"/>
                            </w:rPr>
                          </w:pPr>
                          <w:sdt>
                            <w:sdtPr>
                              <w:alias w:val="Numeris"/>
                              <w:tag w:val="nr_9421d8b70184460b97755e5491f2e161"/>
                              <w:lock w:val="sdtLocked"/>
                              <w:richText/>
                            </w:sdtPr>
                            <w:sdtContent>
                              <w:r>
                                <w:rPr>
                                  <w:color w:val="000000"/>
                                </w:rPr>
                                <w:t>36.2.2</w:t>
                              </w:r>
                            </w:sdtContent>
                          </w:sdt>
                          <w:r>
                            <w:rPr>
                              <w:color w:val="000000"/>
                            </w:rPr>
                            <w:t>. audiograma;</w:t>
                          </w:r>
                        </w:p>
                      </w:sdtContent>
                    </w:sdt>
                  </w:sdtContent>
                </w:sdt>
                <w:sdt>
                  <w:sdtPr>
                    <w:alias w:val="12 pr. 36.3 p."/>
                    <w:tag w:val="part_fbbad57886a84900b5cf926507e125b4"/>
                    <w:lock w:val="sdtLocked"/>
                    <w:richText/>
                  </w:sdtPr>
                  <w:sdtContent>
                    <w:p>
                      <w:pPr>
                        <w:widowControl w:val="0"/>
                        <w:suppressAutoHyphens/>
                        <w:ind w:firstLine="567"/>
                        <w:jc w:val="both"/>
                        <w:rPr>
                          <w:color w:val="000000"/>
                        </w:rPr>
                      </w:pPr>
                      <w:sdt>
                        <w:sdtPr>
                          <w:alias w:val="Numeris"/>
                          <w:tag w:val="nr_fbbad57886a84900b5cf926507e125b4"/>
                          <w:lock w:val="sdtLocked"/>
                          <w:richText/>
                        </w:sdtPr>
                        <w:sdtContent>
                          <w:r>
                            <w:rPr>
                              <w:color w:val="000000"/>
                            </w:rPr>
                            <w:t>36.3</w:t>
                          </w:r>
                        </w:sdtContent>
                      </w:sdt>
                      <w:r>
                        <w:rPr>
                          <w:color w:val="000000"/>
                        </w:rPr>
                        <w:t>. vestibulinės funkcijos įvertinimas – tikrina gydytojas otorinolaringologas:</w:t>
                      </w:r>
                    </w:p>
                    <w:sdt>
                      <w:sdtPr>
                        <w:alias w:val="12 pr. 36.3.1 p."/>
                        <w:tag w:val="part_95751bf7ba1f4743b2fe8ca1e55c1678"/>
                        <w:lock w:val="sdtLocked"/>
                        <w:richText/>
                      </w:sdtPr>
                      <w:sdtContent>
                        <w:p>
                          <w:pPr>
                            <w:widowControl w:val="0"/>
                            <w:suppressAutoHyphens/>
                            <w:ind w:firstLine="567"/>
                            <w:jc w:val="both"/>
                            <w:rPr>
                              <w:color w:val="000000"/>
                            </w:rPr>
                          </w:pPr>
                          <w:sdt>
                            <w:sdtPr>
                              <w:alias w:val="Numeris"/>
                              <w:tag w:val="nr_95751bf7ba1f4743b2fe8ca1e55c1678"/>
                              <w:lock w:val="sdtLocked"/>
                              <w:richText/>
                            </w:sdtPr>
                            <w:sdtContent>
                              <w:r>
                                <w:rPr>
                                  <w:color w:val="000000"/>
                                </w:rPr>
                                <w:t>36.3.1</w:t>
                              </w:r>
                            </w:sdtContent>
                          </w:sdt>
                          <w:r>
                            <w:rPr>
                              <w:color w:val="000000"/>
                            </w:rPr>
                            <w:t>. tikrinamas spontaninis nistagmas;</w:t>
                          </w:r>
                        </w:p>
                      </w:sdtContent>
                    </w:sdt>
                    <w:sdt>
                      <w:sdtPr>
                        <w:alias w:val="12 pr. 36.3.2 p."/>
                        <w:tag w:val="part_46c770e9bd3848d699cdd4267a5e09d4"/>
                        <w:lock w:val="sdtLocked"/>
                        <w:richText/>
                      </w:sdtPr>
                      <w:sdtContent>
                        <w:p>
                          <w:pPr>
                            <w:widowControl w:val="0"/>
                            <w:suppressAutoHyphens/>
                            <w:ind w:firstLine="567"/>
                            <w:jc w:val="both"/>
                            <w:rPr>
                              <w:color w:val="000000"/>
                            </w:rPr>
                          </w:pPr>
                          <w:sdt>
                            <w:sdtPr>
                              <w:alias w:val="Numeris"/>
                              <w:tag w:val="nr_46c770e9bd3848d699cdd4267a5e09d4"/>
                              <w:lock w:val="sdtLocked"/>
                              <w:richText/>
                            </w:sdtPr>
                            <w:sdtContent>
                              <w:r>
                                <w:rPr>
                                  <w:color w:val="000000"/>
                                </w:rPr>
                                <w:t>36.3.2</w:t>
                              </w:r>
                            </w:sdtContent>
                          </w:sdt>
                          <w:r>
                            <w:rPr>
                              <w:color w:val="000000"/>
                            </w:rPr>
                            <w:t>. atliekami koordinaciniai mėginiai (Rombergo poza, piršto–nosies mėginys ir kt.);</w:t>
                          </w:r>
                        </w:p>
                      </w:sdtContent>
                    </w:sdt>
                    <w:sdt>
                      <w:sdtPr>
                        <w:alias w:val="12 pr. 36.3.3 p."/>
                        <w:tag w:val="part_16b43914f0bb446686ee709b3f6bae73"/>
                        <w:lock w:val="sdtLocked"/>
                        <w:richText/>
                      </w:sdtPr>
                      <w:sdtContent>
                        <w:p>
                          <w:pPr>
                            <w:widowControl w:val="0"/>
                            <w:suppressAutoHyphens/>
                            <w:ind w:firstLine="567"/>
                            <w:jc w:val="both"/>
                            <w:rPr>
                              <w:color w:val="000000"/>
                            </w:rPr>
                          </w:pPr>
                          <w:sdt>
                            <w:sdtPr>
                              <w:alias w:val="Numeris"/>
                              <w:tag w:val="nr_16b43914f0bb446686ee709b3f6bae73"/>
                              <w:lock w:val="sdtLocked"/>
                              <w:richText/>
                            </w:sdtPr>
                            <w:sdtContent>
                              <w:r>
                                <w:rPr>
                                  <w:color w:val="000000"/>
                                </w:rPr>
                                <w:t>36.3.3</w:t>
                              </w:r>
                            </w:sdtContent>
                          </w:sdt>
                          <w:r>
                            <w:rPr>
                              <w:color w:val="000000"/>
                            </w:rPr>
                            <w:t>. videonistagmometrija atliekama, esant bent vienam patologiniam simptomui, atlikus 35.3.1 ir 35.3.2 punktuose nurodytus tyrimus.</w:t>
                          </w:r>
                        </w:p>
                      </w:sdtContent>
                    </w:sdt>
                  </w:sdtContent>
                </w:sdt>
              </w:sdtContent>
            </w:sdt>
            <w:sdt>
              <w:sdtPr>
                <w:alias w:val="12 pr. 37 p."/>
                <w:tag w:val="part_f9b98a1c7def47a58e623070b1425812"/>
                <w:lock w:val="sdtLocked"/>
                <w:richText/>
              </w:sdtPr>
              <w:sdtContent>
                <w:p>
                  <w:pPr>
                    <w:widowControl w:val="0"/>
                    <w:suppressAutoHyphens/>
                    <w:ind w:firstLine="567"/>
                    <w:jc w:val="both"/>
                    <w:rPr>
                      <w:color w:val="000000"/>
                    </w:rPr>
                  </w:pPr>
                  <w:sdt>
                    <w:sdtPr>
                      <w:alias w:val="Numeris"/>
                      <w:tag w:val="nr_f9b98a1c7def47a58e623070b1425812"/>
                      <w:lock w:val="sdtLocked"/>
                      <w:richText/>
                    </w:sdtPr>
                    <w:sdtContent>
                      <w:r>
                        <w:rPr>
                          <w:color w:val="000000"/>
                        </w:rPr>
                        <w:t>37</w:t>
                      </w:r>
                    </w:sdtContent>
                  </w:sdt>
                  <w:r>
                    <w:rPr>
                      <w:color w:val="000000"/>
                    </w:rPr>
                    <w:t>. Kraujo tyrimas hematologiniu analizatoriumi.</w:t>
                  </w:r>
                </w:p>
              </w:sdtContent>
            </w:sdt>
            <w:sdt>
              <w:sdtPr>
                <w:alias w:val="12 pr. 38 p."/>
                <w:tag w:val="part_8e1129612d0b47828778366a0211f71c"/>
                <w:lock w:val="sdtLocked"/>
                <w:richText/>
              </w:sdtPr>
              <w:sdtContent>
                <w:p>
                  <w:pPr>
                    <w:widowControl w:val="0"/>
                    <w:suppressAutoHyphens/>
                    <w:ind w:firstLine="567"/>
                    <w:jc w:val="both"/>
                    <w:rPr>
                      <w:color w:val="000000"/>
                    </w:rPr>
                  </w:pPr>
                  <w:sdt>
                    <w:sdtPr>
                      <w:alias w:val="Numeris"/>
                      <w:tag w:val="nr_8e1129612d0b47828778366a0211f71c"/>
                      <w:lock w:val="sdtLocked"/>
                      <w:richText/>
                    </w:sdtPr>
                    <w:sdtContent>
                      <w:r>
                        <w:rPr>
                          <w:color w:val="000000"/>
                        </w:rPr>
                        <w:t>38</w:t>
                      </w:r>
                    </w:sdtContent>
                  </w:sdt>
                  <w:r>
                    <w:rPr>
                      <w:color w:val="000000"/>
                    </w:rPr>
                    <w:t>. Kraujo tyrimas dėl cukrinio diabeto (gliukozės kiekio kraujyje nustatymas, esant indikacijų), kiek tai būtina siekiant įvertinti fizinę kandidato būklę.</w:t>
                  </w:r>
                </w:p>
              </w:sdtContent>
            </w:sdt>
            <w:sdt>
              <w:sdtPr>
                <w:alias w:val="12 pr. 39 p."/>
                <w:tag w:val="part_113c3da11b6a4c34a848c7172d22a8bf"/>
                <w:lock w:val="sdtLocked"/>
                <w:richText/>
              </w:sdtPr>
              <w:sdtContent>
                <w:p>
                  <w:pPr>
                    <w:widowControl w:val="0"/>
                    <w:suppressAutoHyphens/>
                    <w:ind w:firstLine="567"/>
                    <w:jc w:val="both"/>
                    <w:rPr>
                      <w:color w:val="000000"/>
                    </w:rPr>
                  </w:pPr>
                  <w:sdt>
                    <w:sdtPr>
                      <w:alias w:val="Numeris"/>
                      <w:tag w:val="nr_113c3da11b6a4c34a848c7172d22a8bf"/>
                      <w:lock w:val="sdtLocked"/>
                      <w:richText/>
                    </w:sdtPr>
                    <w:sdtContent>
                      <w:r>
                        <w:rPr>
                          <w:color w:val="000000"/>
                        </w:rPr>
                        <w:t>39</w:t>
                      </w:r>
                    </w:sdtContent>
                  </w:sdt>
                  <w:r>
                    <w:rPr>
                      <w:color w:val="000000"/>
                    </w:rPr>
                    <w:t>. Bendras šlapimo tyrimas analizatoriumi, įskaitant gliukozės nustatymą (esant indikacijų).</w:t>
                  </w:r>
                </w:p>
              </w:sdtContent>
            </w:sdt>
            <w:sdt>
              <w:sdtPr>
                <w:alias w:val="12 pr. 40 p."/>
                <w:tag w:val="part_1a4e5914601a44b49188a73d61033b85"/>
                <w:lock w:val="sdtLocked"/>
                <w:richText/>
              </w:sdtPr>
              <w:sdtContent>
                <w:p>
                  <w:pPr>
                    <w:widowControl w:val="0"/>
                    <w:suppressAutoHyphens/>
                    <w:ind w:firstLine="567"/>
                    <w:jc w:val="both"/>
                    <w:rPr>
                      <w:color w:val="000000"/>
                    </w:rPr>
                  </w:pPr>
                  <w:sdt>
                    <w:sdtPr>
                      <w:alias w:val="Numeris"/>
                      <w:tag w:val="nr_1a4e5914601a44b49188a73d61033b85"/>
                      <w:lock w:val="sdtLocked"/>
                      <w:richText/>
                    </w:sdtPr>
                    <w:sdtContent>
                      <w:r>
                        <w:rPr>
                          <w:color w:val="000000"/>
                        </w:rPr>
                        <w:t>40</w:t>
                      </w:r>
                    </w:sdtContent>
                  </w:sdt>
                  <w:r>
                    <w:rPr>
                      <w:color w:val="000000"/>
                    </w:rPr>
                    <w:t>. Traukinio mašinistui – elektrokardiograma (EKG) ramybės būsenoje.</w:t>
                  </w:r>
                </w:p>
              </w:sdtContent>
            </w:sdt>
            <w:sdt>
              <w:sdtPr>
                <w:alias w:val="12 pr. 41 p."/>
                <w:tag w:val="part_9641c5fe0f7440ee93fe4b97a62267a0"/>
                <w:lock w:val="sdtLocked"/>
                <w:richText/>
              </w:sdtPr>
              <w:sdtContent>
                <w:p>
                  <w:pPr>
                    <w:widowControl w:val="0"/>
                    <w:suppressAutoHyphens/>
                    <w:ind w:firstLine="567"/>
                    <w:jc w:val="both"/>
                    <w:rPr>
                      <w:color w:val="000000"/>
                    </w:rPr>
                  </w:pPr>
                  <w:sdt>
                    <w:sdtPr>
                      <w:alias w:val="Numeris"/>
                      <w:tag w:val="nr_9641c5fe0f7440ee93fe4b97a62267a0"/>
                      <w:lock w:val="sdtLocked"/>
                      <w:richText/>
                    </w:sdtPr>
                    <w:sdtContent>
                      <w:r>
                        <w:rPr>
                          <w:color w:val="000000"/>
                        </w:rPr>
                        <w:t>41</w:t>
                      </w:r>
                    </w:sdtContent>
                  </w:sdt>
                  <w:r>
                    <w:rPr>
                      <w:color w:val="000000"/>
                    </w:rPr>
                    <w:t>. Patikrinimai dėl psichotropinių medžiagų, pavyzdžiui, neteisėtų narkotinių medžiagų ar psichotropinių medikamentų vartojimo, piktnaudžiavimo alkoholiu, jei dėl to kyla abejonių dėl tinkamumo darbui.</w:t>
                  </w:r>
                </w:p>
              </w:sdtContent>
            </w:sdt>
            <w:sdt>
              <w:sdtPr>
                <w:alias w:val="12 pr. 42 p."/>
                <w:tag w:val="part_8ca96ecdfea14f2ab37d8381cc058b75"/>
                <w:lock w:val="sdtLocked"/>
                <w:richText/>
              </w:sdtPr>
              <w:sdtContent>
                <w:p>
                  <w:pPr>
                    <w:widowControl w:val="0"/>
                    <w:suppressAutoHyphens/>
                    <w:ind w:firstLine="567"/>
                    <w:jc w:val="both"/>
                    <w:rPr>
                      <w:color w:val="000000"/>
                    </w:rPr>
                  </w:pPr>
                  <w:sdt>
                    <w:sdtPr>
                      <w:alias w:val="Numeris"/>
                      <w:tag w:val="nr_8ca96ecdfea14f2ab37d8381cc058b75"/>
                      <w:lock w:val="sdtLocked"/>
                      <w:richText/>
                    </w:sdtPr>
                    <w:sdtContent>
                      <w:r>
                        <w:rPr>
                          <w:color w:val="000000"/>
                        </w:rPr>
                        <w:t>42</w:t>
                      </w:r>
                    </w:sdtContent>
                  </w:sdt>
                  <w:r>
                    <w:rPr>
                      <w:color w:val="000000"/>
                    </w:rPr>
                    <w:t>. Psichikos sveikatos įvertinimas – tikrina gydytojas psichiatras, įvertinęs psichologo atliktus tyrimus:</w:t>
                  </w:r>
                </w:p>
                <w:sdt>
                  <w:sdtPr>
                    <w:alias w:val="12 pr. 42.1 p."/>
                    <w:tag w:val="part_f2c1a7ef7d4140d1b4a45f1e84356cfc"/>
                    <w:lock w:val="sdtLocked"/>
                    <w:richText/>
                  </w:sdtPr>
                  <w:sdtContent>
                    <w:p>
                      <w:pPr>
                        <w:widowControl w:val="0"/>
                        <w:suppressAutoHyphens/>
                        <w:ind w:firstLine="567"/>
                        <w:jc w:val="both"/>
                        <w:rPr>
                          <w:color w:val="000000"/>
                        </w:rPr>
                      </w:pPr>
                      <w:sdt>
                        <w:sdtPr>
                          <w:alias w:val="Numeris"/>
                          <w:tag w:val="nr_f2c1a7ef7d4140d1b4a45f1e84356cfc"/>
                          <w:lock w:val="sdtLocked"/>
                          <w:richText/>
                        </w:sdtPr>
                        <w:sdtContent>
                          <w:r>
                            <w:rPr>
                              <w:color w:val="000000"/>
                            </w:rPr>
                            <w:t>42.1</w:t>
                          </w:r>
                        </w:sdtContent>
                      </w:sdt>
                      <w:r>
                        <w:rPr>
                          <w:color w:val="000000"/>
                        </w:rPr>
                        <w:t>. kognityvines funkcijas:</w:t>
                      </w:r>
                    </w:p>
                    <w:sdt>
                      <w:sdtPr>
                        <w:alias w:val="12 pr. 42.1.1 p."/>
                        <w:tag w:val="part_9290d05568464b5d9202c5d1297fb6d0"/>
                        <w:lock w:val="sdtLocked"/>
                        <w:richText/>
                      </w:sdtPr>
                      <w:sdtContent>
                        <w:p>
                          <w:pPr>
                            <w:widowControl w:val="0"/>
                            <w:suppressAutoHyphens/>
                            <w:ind w:firstLine="567"/>
                            <w:jc w:val="both"/>
                            <w:rPr>
                              <w:color w:val="000000"/>
                            </w:rPr>
                          </w:pPr>
                          <w:sdt>
                            <w:sdtPr>
                              <w:alias w:val="Numeris"/>
                              <w:tag w:val="nr_9290d05568464b5d9202c5d1297fb6d0"/>
                              <w:lock w:val="sdtLocked"/>
                              <w:richText/>
                            </w:sdtPr>
                            <w:sdtContent>
                              <w:r>
                                <w:rPr>
                                  <w:color w:val="000000"/>
                                </w:rPr>
                                <w:t>42.1.1</w:t>
                              </w:r>
                            </w:sdtContent>
                          </w:sdt>
                          <w:r>
                            <w:rPr>
                              <w:color w:val="000000"/>
                            </w:rPr>
                            <w:t>. reakcijos greitį;</w:t>
                          </w:r>
                        </w:p>
                      </w:sdtContent>
                    </w:sdt>
                    <w:sdt>
                      <w:sdtPr>
                        <w:alias w:val="12 pr. 42.1.2 p."/>
                        <w:tag w:val="part_26281daba2404e5da189ac72a3df3245"/>
                        <w:lock w:val="sdtLocked"/>
                        <w:richText/>
                      </w:sdtPr>
                      <w:sdtContent>
                        <w:p>
                          <w:pPr>
                            <w:widowControl w:val="0"/>
                            <w:suppressAutoHyphens/>
                            <w:ind w:firstLine="567"/>
                            <w:jc w:val="both"/>
                            <w:rPr>
                              <w:color w:val="000000"/>
                            </w:rPr>
                          </w:pPr>
                          <w:sdt>
                            <w:sdtPr>
                              <w:alias w:val="Numeris"/>
                              <w:tag w:val="nr_26281daba2404e5da189ac72a3df3245"/>
                              <w:lock w:val="sdtLocked"/>
                              <w:richText/>
                            </w:sdtPr>
                            <w:sdtContent>
                              <w:r>
                                <w:rPr>
                                  <w:color w:val="000000"/>
                                </w:rPr>
                                <w:t>42.1.2</w:t>
                              </w:r>
                            </w:sdtContent>
                          </w:sdt>
                          <w:r>
                            <w:rPr>
                              <w:color w:val="000000"/>
                            </w:rPr>
                            <w:t>. regimųjų ir girdimųjų stimulų suvokimą;</w:t>
                          </w:r>
                        </w:p>
                      </w:sdtContent>
                    </w:sdt>
                    <w:sdt>
                      <w:sdtPr>
                        <w:alias w:val="12 pr. 42.1.3 p."/>
                        <w:tag w:val="part_2706735f1be74d7cb639582aea157c1d"/>
                        <w:lock w:val="sdtLocked"/>
                        <w:richText/>
                      </w:sdtPr>
                      <w:sdtContent>
                        <w:p>
                          <w:pPr>
                            <w:widowControl w:val="0"/>
                            <w:suppressAutoHyphens/>
                            <w:ind w:firstLine="567"/>
                            <w:jc w:val="both"/>
                            <w:rPr>
                              <w:color w:val="000000"/>
                            </w:rPr>
                          </w:pPr>
                          <w:sdt>
                            <w:sdtPr>
                              <w:alias w:val="Numeris"/>
                              <w:tag w:val="nr_2706735f1be74d7cb639582aea157c1d"/>
                              <w:lock w:val="sdtLocked"/>
                              <w:richText/>
                            </w:sdtPr>
                            <w:sdtContent>
                              <w:r>
                                <w:rPr>
                                  <w:color w:val="000000"/>
                                </w:rPr>
                                <w:t>42.1.3</w:t>
                              </w:r>
                            </w:sdtContent>
                          </w:sdt>
                          <w:r>
                            <w:rPr>
                              <w:color w:val="000000"/>
                            </w:rPr>
                            <w:t>. kalbos funkcijas (automatinė kalba, kalbos nuoseklumas, šnekamosios kalbos suvokimas, komunikabilumas);</w:t>
                          </w:r>
                        </w:p>
                      </w:sdtContent>
                    </w:sdt>
                    <w:sdt>
                      <w:sdtPr>
                        <w:alias w:val="12 pr. 42.1.4 p."/>
                        <w:tag w:val="part_e263a1cc2d034797be899618205a0f5d"/>
                        <w:lock w:val="sdtLocked"/>
                        <w:richText/>
                      </w:sdtPr>
                      <w:sdtContent>
                        <w:p>
                          <w:pPr>
                            <w:widowControl w:val="0"/>
                            <w:suppressAutoHyphens/>
                            <w:ind w:firstLine="567"/>
                            <w:jc w:val="both"/>
                            <w:rPr>
                              <w:color w:val="000000"/>
                            </w:rPr>
                          </w:pPr>
                          <w:sdt>
                            <w:sdtPr>
                              <w:alias w:val="Numeris"/>
                              <w:tag w:val="nr_e263a1cc2d034797be899618205a0f5d"/>
                              <w:lock w:val="sdtLocked"/>
                              <w:richText/>
                            </w:sdtPr>
                            <w:sdtContent>
                              <w:r>
                                <w:rPr>
                                  <w:color w:val="000000"/>
                                </w:rPr>
                                <w:t>42.1.4</w:t>
                              </w:r>
                            </w:sdtContent>
                          </w:sdt>
                          <w:r>
                            <w:rPr>
                              <w:color w:val="000000"/>
                            </w:rPr>
                            <w:t>. dėmesį;</w:t>
                          </w:r>
                        </w:p>
                      </w:sdtContent>
                    </w:sdt>
                    <w:sdt>
                      <w:sdtPr>
                        <w:alias w:val="12 pr. 42.1.5 p."/>
                        <w:tag w:val="part_3c7ae568824248749f06f7b92655fc20"/>
                        <w:lock w:val="sdtLocked"/>
                        <w:richText/>
                      </w:sdtPr>
                      <w:sdtContent>
                        <w:p>
                          <w:pPr>
                            <w:widowControl w:val="0"/>
                            <w:suppressAutoHyphens/>
                            <w:ind w:firstLine="567"/>
                            <w:jc w:val="both"/>
                            <w:rPr>
                              <w:color w:val="000000"/>
                            </w:rPr>
                          </w:pPr>
                          <w:sdt>
                            <w:sdtPr>
                              <w:alias w:val="Numeris"/>
                              <w:tag w:val="nr_3c7ae568824248749f06f7b92655fc20"/>
                              <w:lock w:val="sdtLocked"/>
                              <w:richText/>
                            </w:sdtPr>
                            <w:sdtContent>
                              <w:r>
                                <w:rPr>
                                  <w:color w:val="000000"/>
                                </w:rPr>
                                <w:t>42.1.5</w:t>
                              </w:r>
                            </w:sdtContent>
                          </w:sdt>
                          <w:r>
                            <w:rPr>
                              <w:color w:val="000000"/>
                            </w:rPr>
                            <w:t>. atmintį;</w:t>
                          </w:r>
                        </w:p>
                      </w:sdtContent>
                    </w:sdt>
                  </w:sdtContent>
                </w:sdt>
                <w:sdt>
                  <w:sdtPr>
                    <w:alias w:val="12 pr. 42.2 p."/>
                    <w:tag w:val="part_f929626ae7434ec0a9f0c0630d2edea0"/>
                    <w:lock w:val="sdtLocked"/>
                    <w:richText/>
                  </w:sdtPr>
                  <w:sdtContent>
                    <w:p>
                      <w:pPr>
                        <w:widowControl w:val="0"/>
                        <w:suppressAutoHyphens/>
                        <w:ind w:firstLine="567"/>
                        <w:jc w:val="both"/>
                        <w:rPr>
                          <w:color w:val="000000"/>
                        </w:rPr>
                      </w:pPr>
                      <w:sdt>
                        <w:sdtPr>
                          <w:alias w:val="Numeris"/>
                          <w:tag w:val="nr_f929626ae7434ec0a9f0c0630d2edea0"/>
                          <w:lock w:val="sdtLocked"/>
                          <w:richText/>
                        </w:sdtPr>
                        <w:sdtContent>
                          <w:r>
                            <w:rPr>
                              <w:color w:val="000000"/>
                            </w:rPr>
                            <w:t>42.2</w:t>
                          </w:r>
                        </w:sdtContent>
                      </w:sdt>
                      <w:r>
                        <w:rPr>
                          <w:color w:val="000000"/>
                        </w:rPr>
                        <w:t>. mąstymo tyrimą (gydytojui psichiatrui skyrus);</w:t>
                      </w:r>
                    </w:p>
                  </w:sdtContent>
                </w:sdt>
                <w:sdt>
                  <w:sdtPr>
                    <w:alias w:val="12 pr. 42.3 p."/>
                    <w:tag w:val="part_7b23a5a8d1ba41af8ef4cd96d897c6e9"/>
                    <w:lock w:val="sdtLocked"/>
                    <w:richText/>
                  </w:sdtPr>
                  <w:sdtContent>
                    <w:p>
                      <w:pPr>
                        <w:widowControl w:val="0"/>
                        <w:suppressAutoHyphens/>
                        <w:ind w:firstLine="567"/>
                        <w:jc w:val="both"/>
                        <w:rPr>
                          <w:color w:val="000000"/>
                        </w:rPr>
                      </w:pPr>
                      <w:sdt>
                        <w:sdtPr>
                          <w:alias w:val="Numeris"/>
                          <w:tag w:val="nr_7b23a5a8d1ba41af8ef4cd96d897c6e9"/>
                          <w:lock w:val="sdtLocked"/>
                          <w:richText/>
                        </w:sdtPr>
                        <w:sdtContent>
                          <w:r>
                            <w:rPr>
                              <w:color w:val="000000"/>
                            </w:rPr>
                            <w:t>42.3</w:t>
                          </w:r>
                        </w:sdtContent>
                      </w:sdt>
                      <w:r>
                        <w:rPr>
                          <w:color w:val="000000"/>
                        </w:rPr>
                        <w:t>. asmenybės ir emocijų tyrimas (gydytojui psichiatrui skyrus);</w:t>
                      </w:r>
                    </w:p>
                  </w:sdtContent>
                </w:sdt>
                <w:sdt>
                  <w:sdtPr>
                    <w:alias w:val="12 pr. 42.4 p."/>
                    <w:tag w:val="part_31f0aad933644107ae99e67532fa48bb"/>
                    <w:lock w:val="sdtLocked"/>
                    <w:richText/>
                  </w:sdtPr>
                  <w:sdtContent>
                    <w:p>
                      <w:pPr>
                        <w:widowControl w:val="0"/>
                        <w:suppressAutoHyphens/>
                        <w:ind w:firstLine="567"/>
                        <w:jc w:val="both"/>
                        <w:rPr>
                          <w:color w:val="000000"/>
                        </w:rPr>
                      </w:pPr>
                      <w:sdt>
                        <w:sdtPr>
                          <w:alias w:val="Numeris"/>
                          <w:tag w:val="nr_31f0aad933644107ae99e67532fa48bb"/>
                          <w:lock w:val="sdtLocked"/>
                          <w:richText/>
                        </w:sdtPr>
                        <w:sdtContent>
                          <w:r>
                            <w:rPr>
                              <w:color w:val="000000"/>
                            </w:rPr>
                            <w:t>42.4</w:t>
                          </w:r>
                        </w:sdtContent>
                      </w:sdt>
                      <w:r>
                        <w:rPr>
                          <w:color w:val="000000"/>
                        </w:rPr>
                        <w:t>. narkotinių medžiagų naudojimo tyrimai (jei yra klinikinių indikacijų).</w:t>
                      </w:r>
                    </w:p>
                  </w:sdtContent>
                </w:sdt>
              </w:sdtContent>
            </w:sdt>
            <w:sdt>
              <w:sdtPr>
                <w:alias w:val="12 pr. 43 p."/>
                <w:tag w:val="part_2dd6e86783d1472883c02f2e5aea0742"/>
                <w:lock w:val="sdtLocked"/>
                <w:richText/>
              </w:sdtPr>
              <w:sdtContent>
                <w:p>
                  <w:pPr>
                    <w:widowControl w:val="0"/>
                    <w:suppressAutoHyphens/>
                    <w:ind w:firstLine="567"/>
                    <w:jc w:val="both"/>
                    <w:rPr>
                      <w:color w:val="000000"/>
                    </w:rPr>
                  </w:pPr>
                  <w:sdt>
                    <w:sdtPr>
                      <w:alias w:val="Numeris"/>
                      <w:tag w:val="nr_2dd6e86783d1472883c02f2e5aea0742"/>
                      <w:lock w:val="sdtLocked"/>
                      <w:richText/>
                    </w:sdtPr>
                    <w:sdtContent>
                      <w:r>
                        <w:rPr>
                          <w:color w:val="000000"/>
                        </w:rPr>
                        <w:t>43</w:t>
                      </w:r>
                    </w:sdtContent>
                  </w:sdt>
                  <w:r>
                    <w:rPr>
                      <w:color w:val="000000"/>
                    </w:rPr>
                    <w:t>. Neurologo įvertinimas:</w:t>
                  </w:r>
                </w:p>
                <w:sdt>
                  <w:sdtPr>
                    <w:alias w:val="12 pr. 43.1 p."/>
                    <w:tag w:val="part_da1f038d473c4c028b327a0dbc6acaa1"/>
                    <w:lock w:val="sdtLocked"/>
                    <w:richText/>
                  </w:sdtPr>
                  <w:sdtContent>
                    <w:p>
                      <w:pPr>
                        <w:widowControl w:val="0"/>
                        <w:suppressAutoHyphens/>
                        <w:ind w:firstLine="567"/>
                        <w:jc w:val="both"/>
                        <w:rPr>
                          <w:color w:val="000000"/>
                        </w:rPr>
                      </w:pPr>
                      <w:sdt>
                        <w:sdtPr>
                          <w:alias w:val="Numeris"/>
                          <w:tag w:val="nr_da1f038d473c4c028b327a0dbc6acaa1"/>
                          <w:lock w:val="sdtLocked"/>
                          <w:richText/>
                        </w:sdtPr>
                        <w:sdtContent>
                          <w:r>
                            <w:rPr>
                              <w:color w:val="000000"/>
                            </w:rPr>
                            <w:t>43.1</w:t>
                          </w:r>
                        </w:sdtContent>
                      </w:sdt>
                      <w:r>
                        <w:rPr>
                          <w:color w:val="000000"/>
                        </w:rPr>
                        <w:t>. jutimų, motorikos ir koordinacijos įvertinimas;</w:t>
                      </w:r>
                    </w:p>
                  </w:sdtContent>
                </w:sdt>
                <w:sdt>
                  <w:sdtPr>
                    <w:alias w:val="12 pr. 43.2 p."/>
                    <w:tag w:val="part_c8527ddeebf54589af07f308c9f89e15"/>
                    <w:lock w:val="sdtLocked"/>
                    <w:richText/>
                  </w:sdtPr>
                  <w:sdtContent>
                    <w:p>
                      <w:pPr>
                        <w:widowControl w:val="0"/>
                        <w:suppressAutoHyphens/>
                        <w:ind w:firstLine="567"/>
                        <w:jc w:val="both"/>
                        <w:rPr>
                          <w:color w:val="000000"/>
                        </w:rPr>
                      </w:pPr>
                      <w:sdt>
                        <w:sdtPr>
                          <w:alias w:val="Numeris"/>
                          <w:tag w:val="nr_c8527ddeebf54589af07f308c9f89e15"/>
                          <w:lock w:val="sdtLocked"/>
                          <w:richText/>
                        </w:sdtPr>
                        <w:sdtContent>
                          <w:r>
                            <w:rPr>
                              <w:color w:val="000000"/>
                            </w:rPr>
                            <w:t>43.2</w:t>
                          </w:r>
                        </w:sdtContent>
                      </w:sdt>
                      <w:r>
                        <w:rPr>
                          <w:color w:val="000000"/>
                        </w:rPr>
                        <w:t>. kalbos funkcijų įvertinimas (afazija, dizartrija).</w:t>
                      </w:r>
                    </w:p>
                  </w:sdtContent>
                </w:sdt>
              </w:sdtContent>
            </w:sdt>
            <w:sdt>
              <w:sdtPr>
                <w:alias w:val="12 pr. 44 p."/>
                <w:tag w:val="part_6ee185065db34791981a24f6744f2763"/>
                <w:lock w:val="sdtLocked"/>
                <w:richText/>
              </w:sdtPr>
              <w:sdtContent>
                <w:p>
                  <w:pPr>
                    <w:widowControl w:val="0"/>
                    <w:suppressAutoHyphens/>
                    <w:ind w:firstLine="567"/>
                    <w:jc w:val="both"/>
                    <w:rPr>
                      <w:color w:val="000000"/>
                    </w:rPr>
                  </w:pPr>
                  <w:sdt>
                    <w:sdtPr>
                      <w:alias w:val="Numeris"/>
                      <w:tag w:val="nr_6ee185065db34791981a24f6744f2763"/>
                      <w:lock w:val="sdtLocked"/>
                      <w:richText/>
                    </w:sdtPr>
                    <w:sdtContent>
                      <w:r>
                        <w:rPr>
                          <w:color w:val="000000"/>
                        </w:rPr>
                        <w:t>44</w:t>
                      </w:r>
                    </w:sdtContent>
                  </w:sdt>
                  <w:r>
                    <w:rPr>
                      <w:color w:val="000000"/>
                    </w:rPr>
                    <w:t>. Krūtinės ląstos rentgenograma – esant indikacijų.</w:t>
                  </w:r>
                </w:p>
                <w:p>
                  <w:pPr>
                    <w:widowControl w:val="0"/>
                    <w:suppressAutoHyphens/>
                    <w:ind w:firstLine="567"/>
                    <w:jc w:val="both"/>
                    <w:rPr>
                      <w:color w:val="000000"/>
                    </w:rPr>
                  </w:pPr>
                </w:p>
              </w:sdtContent>
            </w:sdt>
          </w:sdtContent>
        </w:sdt>
        <w:sdt>
          <w:sdtPr>
            <w:alias w:val="skyrius"/>
            <w:tag w:val="part_fd42abe091ab4a17a3eb3f9d60a0bab2"/>
            <w:lock w:val="sdtLocked"/>
            <w:richText/>
          </w:sdtPr>
          <w:sdtContent>
            <w:p>
              <w:pPr>
                <w:widowControl w:val="0"/>
                <w:suppressAutoHyphens/>
                <w:jc w:val="center"/>
                <w:rPr>
                  <w:b/>
                  <w:bCs/>
                  <w:caps/>
                  <w:color w:val="000000"/>
                </w:rPr>
              </w:pPr>
              <w:sdt>
                <w:sdtPr>
                  <w:alias w:val="Numeris"/>
                  <w:tag w:val="nr_fd42abe091ab4a17a3eb3f9d60a0bab2"/>
                  <w:lock w:val="sdtLocked"/>
                  <w:richText/>
                </w:sdtPr>
                <w:sdtContent>
                  <w:r>
                    <w:rPr>
                      <w:b/>
                      <w:bCs/>
                      <w:caps/>
                      <w:color w:val="000000"/>
                    </w:rPr>
                    <w:t>V</w:t>
                  </w:r>
                </w:sdtContent>
              </w:sdt>
              <w:r>
                <w:rPr>
                  <w:b/>
                  <w:bCs/>
                  <w:caps/>
                  <w:color w:val="000000"/>
                </w:rPr>
                <w:t xml:space="preserve">. </w:t>
              </w:r>
              <w:sdt>
                <w:sdtPr>
                  <w:alias w:val="Pavadinimas"/>
                  <w:tag w:val="title_fd42abe091ab4a17a3eb3f9d60a0bab2"/>
                  <w:lock w:val="sdtLocked"/>
                  <w:richText/>
                </w:sdtPr>
                <w:sdtContent>
                  <w:r>
                    <w:rPr>
                      <w:b/>
                      <w:bCs/>
                      <w:caps/>
                      <w:color w:val="000000"/>
                    </w:rPr>
                    <w:t>PERIODINIAI DARBUOTOJŲ SVEIKATOS PATIKRINIMAI IR BŪTINIAUSI PERIODINIO SVEIKATOS PATIKRINIMO REIKALAVIMAI</w:t>
                  </w:r>
                </w:sdtContent>
              </w:sdt>
            </w:p>
            <w:p>
              <w:pPr>
                <w:widowControl w:val="0"/>
                <w:suppressAutoHyphens/>
                <w:ind w:firstLine="567"/>
                <w:jc w:val="both"/>
                <w:rPr>
                  <w:color w:val="000000"/>
                </w:rPr>
              </w:pPr>
            </w:p>
            <w:sdt>
              <w:sdtPr>
                <w:alias w:val="12 pr. 45 p."/>
                <w:tag w:val="part_9d79114995a444a6bda6848576ab67b4"/>
                <w:lock w:val="sdtLocked"/>
                <w:richText/>
              </w:sdtPr>
              <w:sdtContent>
                <w:p>
                  <w:pPr>
                    <w:widowControl w:val="0"/>
                    <w:suppressAutoHyphens/>
                    <w:ind w:firstLine="567"/>
                    <w:jc w:val="both"/>
                    <w:rPr>
                      <w:color w:val="000000"/>
                    </w:rPr>
                  </w:pPr>
                  <w:sdt>
                    <w:sdtPr>
                      <w:alias w:val="Numeris"/>
                      <w:tag w:val="nr_9d79114995a444a6bda6848576ab67b4"/>
                      <w:lock w:val="sdtLocked"/>
                      <w:richText/>
                    </w:sdtPr>
                    <w:sdtContent>
                      <w:r>
                        <w:rPr>
                          <w:color w:val="000000"/>
                        </w:rPr>
                        <w:t>45</w:t>
                      </w:r>
                    </w:sdtContent>
                  </w:sdt>
                  <w:r>
                    <w:rPr>
                      <w:color w:val="000000"/>
                    </w:rPr>
                    <w:t>. Dažnumas. Sveikata turi būti tikrinama:</w:t>
                  </w:r>
                </w:p>
                <w:sdt>
                  <w:sdtPr>
                    <w:alias w:val="12 pr. 45.1 p."/>
                    <w:tag w:val="part_688f59a5e7cc43049855cef0dc48d8f1"/>
                    <w:lock w:val="sdtLocked"/>
                    <w:richText/>
                  </w:sdtPr>
                  <w:sdtContent>
                    <w:p>
                      <w:pPr>
                        <w:widowControl w:val="0"/>
                        <w:suppressAutoHyphens/>
                        <w:ind w:firstLine="567"/>
                        <w:jc w:val="both"/>
                        <w:rPr>
                          <w:color w:val="000000"/>
                        </w:rPr>
                      </w:pPr>
                      <w:sdt>
                        <w:sdtPr>
                          <w:alias w:val="Numeris"/>
                          <w:tag w:val="nr_688f59a5e7cc43049855cef0dc48d8f1"/>
                          <w:lock w:val="sdtLocked"/>
                          <w:richText/>
                        </w:sdtPr>
                        <w:sdtContent>
                          <w:r>
                            <w:rPr>
                              <w:color w:val="000000"/>
                            </w:rPr>
                            <w:t>45.1</w:t>
                          </w:r>
                        </w:sdtContent>
                      </w:sdt>
                      <w:r>
                        <w:rPr>
                          <w:color w:val="000000"/>
                        </w:rPr>
                        <w:t>. traukinio mašinistams – ne rečiau kaip kas treji metai, jei asmuo yra jaunesnis nei 55 metų, vėliau – kasmet;</w:t>
                      </w:r>
                    </w:p>
                  </w:sdtContent>
                </w:sdt>
                <w:sdt>
                  <w:sdtPr>
                    <w:alias w:val="12 pr. 45.2 p."/>
                    <w:tag w:val="part_bddf3439affd4ffd85cc3880355e0fe7"/>
                    <w:lock w:val="sdtLocked"/>
                    <w:richText/>
                  </w:sdtPr>
                  <w:sdtContent>
                    <w:p>
                      <w:pPr>
                        <w:widowControl w:val="0"/>
                        <w:suppressAutoHyphens/>
                        <w:ind w:firstLine="567"/>
                        <w:jc w:val="both"/>
                        <w:rPr>
                          <w:color w:val="000000"/>
                        </w:rPr>
                      </w:pPr>
                      <w:sdt>
                        <w:sdtPr>
                          <w:alias w:val="Numeris"/>
                          <w:tag w:val="nr_bddf3439affd4ffd85cc3880355e0fe7"/>
                          <w:lock w:val="sdtLocked"/>
                          <w:richText/>
                        </w:sdtPr>
                        <w:sdtContent>
                          <w:r>
                            <w:rPr>
                              <w:color w:val="000000"/>
                            </w:rPr>
                            <w:t>45.2</w:t>
                          </w:r>
                        </w:sdtContent>
                      </w:sdt>
                      <w:r>
                        <w:rPr>
                          <w:color w:val="000000"/>
                        </w:rPr>
                        <w:t>. darbuotojams, jaunesniems kaip 40 m. – kas 5 metus; 41–62 m. amžiaus darbuotojams – kas 3 metus, vyresniems kaip 62 metų darbuotojams – kasmet.</w:t>
                      </w:r>
                    </w:p>
                  </w:sdtContent>
                </w:sdt>
                <w:sdt>
                  <w:sdtPr>
                    <w:alias w:val="12 pr. 45.3 p."/>
                    <w:tag w:val="part_f806c7ce52984da4904b4e1be9a25f49"/>
                    <w:lock w:val="sdtLocked"/>
                    <w:richText/>
                  </w:sdtPr>
                  <w:sdtContent>
                    <w:p>
                      <w:pPr>
                        <w:widowControl w:val="0"/>
                        <w:suppressAutoHyphens/>
                        <w:ind w:firstLine="567"/>
                        <w:jc w:val="both"/>
                        <w:rPr>
                          <w:color w:val="000000"/>
                        </w:rPr>
                      </w:pPr>
                      <w:sdt>
                        <w:sdtPr>
                          <w:alias w:val="Numeris"/>
                          <w:tag w:val="nr_f806c7ce52984da4904b4e1be9a25f49"/>
                          <w:lock w:val="sdtLocked"/>
                          <w:richText/>
                        </w:sdtPr>
                        <w:sdtContent>
                          <w:r>
                            <w:rPr>
                              <w:color w:val="000000"/>
                            </w:rPr>
                            <w:t>45.3</w:t>
                          </w:r>
                        </w:sdtContent>
                      </w:sdt>
                      <w:r>
                        <w:rPr>
                          <w:color w:val="000000"/>
                        </w:rPr>
                        <w:t>. Gydytojas sveikatos patikrinimus gali skirti dažniau, jei to reikia dėl traukinio mašinisto ar darbuotojo sveikatos: jis gali nuspręsti, kad traukinio mašinisto ar darbuotojo, turinčio galiojančią išvadą dėl tinkamumo dirbti F Nr. 048/a, sveikata turi būti neeilinį kartą patikrinta, pirmiausia, grįžtant į darbą po ilgo nedarbingumo periodo, jeigu jo nedarbingumas tęsiasi ilgiau kaip 30 dienų, atsižvelgiant į jo nedarbingumo priežastį, ar kitais atvejais.</w:t>
                      </w:r>
                    </w:p>
                  </w:sdtContent>
                </w:sdt>
                <w:sdt>
                  <w:sdtPr>
                    <w:alias w:val="12 pr. 45.4 p."/>
                    <w:tag w:val="part_b8648f6c80c1491eab90583876816aae"/>
                    <w:lock w:val="sdtLocked"/>
                    <w:richText/>
                  </w:sdtPr>
                  <w:sdtContent>
                    <w:p>
                      <w:pPr>
                        <w:widowControl w:val="0"/>
                        <w:suppressAutoHyphens/>
                        <w:ind w:firstLine="567"/>
                        <w:jc w:val="both"/>
                        <w:rPr>
                          <w:color w:val="000000"/>
                        </w:rPr>
                      </w:pPr>
                      <w:sdt>
                        <w:sdtPr>
                          <w:alias w:val="Numeris"/>
                          <w:tag w:val="nr_b8648f6c80c1491eab90583876816aae"/>
                          <w:lock w:val="sdtLocked"/>
                          <w:richText/>
                        </w:sdtPr>
                        <w:sdtContent>
                          <w:r>
                            <w:rPr>
                              <w:color w:val="000000"/>
                            </w:rPr>
                            <w:t>45.4</w:t>
                          </w:r>
                        </w:sdtContent>
                      </w:sdt>
                      <w:r>
                        <w:rPr>
                          <w:color w:val="000000"/>
                        </w:rPr>
                        <w:t>. Sveikatos patikrinimas turi būti atliktas, jei yra pagrindas abejoti, kad pažymėjimo ar sertifikato turėtojo sveikatos būklė nebeatitinka bendrųjų reikalavimų sveikatos būklei, nurodytų šio Aprašo III skyriuje.</w:t>
                      </w:r>
                    </w:p>
                  </w:sdtContent>
                </w:sdt>
                <w:sdt>
                  <w:sdtPr>
                    <w:alias w:val="12 pr. 45.5 p."/>
                    <w:tag w:val="part_97101217ec6743d09cd0995ed6b14eec"/>
                    <w:lock w:val="sdtLocked"/>
                    <w:richText/>
                  </w:sdtPr>
                  <w:sdtContent>
                    <w:p>
                      <w:pPr>
                        <w:widowControl w:val="0"/>
                        <w:suppressAutoHyphens/>
                        <w:ind w:firstLine="567"/>
                        <w:jc w:val="both"/>
                        <w:rPr>
                          <w:color w:val="000000"/>
                        </w:rPr>
                      </w:pPr>
                      <w:sdt>
                        <w:sdtPr>
                          <w:alias w:val="Numeris"/>
                          <w:tag w:val="nr_97101217ec6743d09cd0995ed6b14eec"/>
                          <w:lock w:val="sdtLocked"/>
                          <w:richText/>
                        </w:sdtPr>
                        <w:sdtContent>
                          <w:r>
                            <w:rPr>
                              <w:color w:val="000000"/>
                            </w:rPr>
                            <w:t>45.5</w:t>
                          </w:r>
                        </w:sdtContent>
                      </w:sdt>
                      <w:r>
                        <w:rPr>
                          <w:color w:val="000000"/>
                        </w:rPr>
                        <w:t>. Darbdaviui atstovaujantis ar jo įgaliotas asmuo turi teisę, nurodę priežastį, siųsti darbuotojus neeilinio sveikatos tikrinimo:</w:t>
                      </w:r>
                    </w:p>
                    <w:sdt>
                      <w:sdtPr>
                        <w:alias w:val="12 pr. 45.5.1 p."/>
                        <w:tag w:val="part_e3ff855a90ba4037af19e845dff49254"/>
                        <w:lock w:val="sdtLocked"/>
                        <w:richText/>
                      </w:sdtPr>
                      <w:sdtContent>
                        <w:p>
                          <w:pPr>
                            <w:widowControl w:val="0"/>
                            <w:suppressAutoHyphens/>
                            <w:ind w:firstLine="567"/>
                            <w:jc w:val="both"/>
                            <w:rPr>
                              <w:color w:val="000000"/>
                            </w:rPr>
                          </w:pPr>
                          <w:sdt>
                            <w:sdtPr>
                              <w:alias w:val="Numeris"/>
                              <w:tag w:val="nr_e3ff855a90ba4037af19e845dff49254"/>
                              <w:lock w:val="sdtLocked"/>
                              <w:richText/>
                            </w:sdtPr>
                            <w:sdtContent>
                              <w:r>
                                <w:rPr>
                                  <w:color w:val="000000"/>
                                </w:rPr>
                                <w:t>45.5.1</w:t>
                              </w:r>
                            </w:sdtContent>
                          </w:sdt>
                          <w:r>
                            <w:rPr>
                              <w:color w:val="000000"/>
                            </w:rPr>
                            <w:t>. po kiekvieno nelaimingo atsitikimo darbe, ypač – po rikto arba avarijos, kurių priežastis –žmogaus padaryta klaida;</w:t>
                          </w:r>
                        </w:p>
                      </w:sdtContent>
                    </w:sdt>
                    <w:sdt>
                      <w:sdtPr>
                        <w:alias w:val="12 pr. 45.5.2 p."/>
                        <w:tag w:val="part_e59f1c0db1ff495d9a3195f62f516f71"/>
                        <w:lock w:val="sdtLocked"/>
                        <w:richText/>
                      </w:sdtPr>
                      <w:sdtContent>
                        <w:p>
                          <w:pPr>
                            <w:widowControl w:val="0"/>
                            <w:suppressAutoHyphens/>
                            <w:ind w:firstLine="567"/>
                            <w:jc w:val="both"/>
                            <w:rPr>
                              <w:color w:val="000000"/>
                            </w:rPr>
                          </w:pPr>
                          <w:sdt>
                            <w:sdtPr>
                              <w:alias w:val="Numeris"/>
                              <w:tag w:val="nr_e59f1c0db1ff495d9a3195f62f516f71"/>
                              <w:lock w:val="sdtLocked"/>
                              <w:richText/>
                            </w:sdtPr>
                            <w:sdtContent>
                              <w:r>
                                <w:rPr>
                                  <w:color w:val="000000"/>
                                </w:rPr>
                                <w:t>45.5.2</w:t>
                              </w:r>
                            </w:sdtContent>
                          </w:sdt>
                          <w:r>
                            <w:rPr>
                              <w:color w:val="000000"/>
                            </w:rPr>
                            <w:t>. po nebuvimo darbe dėl nelaimingo atsitikimo, per kurį nukentėjo asmenys;</w:t>
                          </w:r>
                        </w:p>
                      </w:sdtContent>
                    </w:sdt>
                    <w:sdt>
                      <w:sdtPr>
                        <w:alias w:val="12 pr. 45.5.3 p."/>
                        <w:tag w:val="part_b71a96452e9a40dcafb8df0c6993081e"/>
                        <w:lock w:val="sdtLocked"/>
                        <w:richText/>
                      </w:sdtPr>
                      <w:sdtContent>
                        <w:p>
                          <w:pPr>
                            <w:widowControl w:val="0"/>
                            <w:suppressAutoHyphens/>
                            <w:ind w:firstLine="567"/>
                            <w:jc w:val="both"/>
                            <w:rPr>
                              <w:color w:val="000000"/>
                            </w:rPr>
                          </w:pPr>
                          <w:sdt>
                            <w:sdtPr>
                              <w:alias w:val="Numeris"/>
                              <w:tag w:val="nr_b71a96452e9a40dcafb8df0c6993081e"/>
                              <w:lock w:val="sdtLocked"/>
                              <w:richText/>
                            </w:sdtPr>
                            <w:sdtContent>
                              <w:r>
                                <w:rPr>
                                  <w:color w:val="000000"/>
                                </w:rPr>
                                <w:t>45.5.3</w:t>
                              </w:r>
                            </w:sdtContent>
                          </w:sdt>
                          <w:r>
                            <w:rPr>
                              <w:color w:val="000000"/>
                            </w:rPr>
                            <w:t>. jeigu darbdaviui atstovaujantis ar jo įgaliotas asmuo turėjo nušalinti traukinio mašinistą nuo pareigų, kai dėl jo veikos iškilo grėsmė eismo saugai;</w:t>
                          </w:r>
                        </w:p>
                      </w:sdtContent>
                    </w:sdt>
                    <w:sdt>
                      <w:sdtPr>
                        <w:alias w:val="12 pr. 45.5.4 p."/>
                        <w:tag w:val="part_9e6202146e9e488d8ced80cbfe7ac17c"/>
                        <w:lock w:val="sdtLocked"/>
                        <w:richText/>
                      </w:sdtPr>
                      <w:sdtContent>
                        <w:p>
                          <w:pPr>
                            <w:widowControl w:val="0"/>
                            <w:suppressAutoHyphens/>
                            <w:ind w:firstLine="567"/>
                            <w:jc w:val="both"/>
                            <w:rPr>
                              <w:color w:val="000000"/>
                            </w:rPr>
                          </w:pPr>
                          <w:sdt>
                            <w:sdtPr>
                              <w:alias w:val="Numeris"/>
                              <w:tag w:val="nr_9e6202146e9e488d8ced80cbfe7ac17c"/>
                              <w:lock w:val="sdtLocked"/>
                              <w:richText/>
                            </w:sdtPr>
                            <w:sdtContent>
                              <w:r>
                                <w:rPr>
                                  <w:color w:val="000000"/>
                                </w:rPr>
                                <w:t>45.5.4</w:t>
                              </w:r>
                            </w:sdtContent>
                          </w:sdt>
                          <w:r>
                            <w:rPr>
                              <w:color w:val="000000"/>
                            </w:rPr>
                            <w:t>. dėl tokio tikrinimo turi teisę kreiptis ir pats darbuotojas – jei mano, kad dėl jo sveikatos būklės kyla abejonių dėl jo tinkamumo dirbti šį darbą, jis tuojau pat praneša apie tai darbdaviui atstovaujančiam ar jo įgaliotam asmeniui.</w:t>
                          </w:r>
                        </w:p>
                      </w:sdtContent>
                    </w:sdt>
                  </w:sdtContent>
                </w:sdt>
              </w:sdtContent>
            </w:sdt>
            <w:sdt>
              <w:sdtPr>
                <w:alias w:val="12 pr. 46 p."/>
                <w:tag w:val="part_68fb33d330014086819d7c1344dd8c82"/>
                <w:lock w:val="sdtLocked"/>
                <w:richText/>
              </w:sdtPr>
              <w:sdtContent>
                <w:p>
                  <w:pPr>
                    <w:widowControl w:val="0"/>
                    <w:suppressAutoHyphens/>
                    <w:ind w:firstLine="567"/>
                    <w:jc w:val="both"/>
                    <w:rPr>
                      <w:color w:val="000000"/>
                    </w:rPr>
                  </w:pPr>
                  <w:sdt>
                    <w:sdtPr>
                      <w:alias w:val="Numeris"/>
                      <w:tag w:val="nr_68fb33d330014086819d7c1344dd8c82"/>
                      <w:lock w:val="sdtLocked"/>
                      <w:richText/>
                    </w:sdtPr>
                    <w:sdtContent>
                      <w:r>
                        <w:rPr>
                          <w:color w:val="000000"/>
                        </w:rPr>
                        <w:t>46</w:t>
                      </w:r>
                    </w:sdtContent>
                  </w:sdt>
                  <w:r>
                    <w:rPr>
                      <w:color w:val="000000"/>
                    </w:rPr>
                    <w:t>. Būtiniausi periodinio sveikatos patikrinimo reikalavimai. Jei traukinio mašinistas ar darbuotojas atitinka visus sveikatos patikrinimo prieš priimant į darbą kriterijus, periodiniai patikrinimai privalo apimti bent:</w:t>
                  </w:r>
                </w:p>
                <w:sdt>
                  <w:sdtPr>
                    <w:alias w:val="12 pr. 46.1 p."/>
                    <w:tag w:val="part_1610657fc7e740a381ca5d77b56da028"/>
                    <w:lock w:val="sdtLocked"/>
                    <w:richText/>
                  </w:sdtPr>
                  <w:sdtContent>
                    <w:p>
                      <w:pPr>
                        <w:widowControl w:val="0"/>
                        <w:suppressAutoHyphens/>
                        <w:ind w:firstLine="567"/>
                        <w:jc w:val="both"/>
                        <w:rPr>
                          <w:color w:val="000000"/>
                        </w:rPr>
                      </w:pPr>
                      <w:sdt>
                        <w:sdtPr>
                          <w:alias w:val="Numeris"/>
                          <w:tag w:val="nr_1610657fc7e740a381ca5d77b56da028"/>
                          <w:lock w:val="sdtLocked"/>
                          <w:richText/>
                        </w:sdtPr>
                        <w:sdtContent>
                          <w:r>
                            <w:rPr>
                              <w:color w:val="000000"/>
                            </w:rPr>
                            <w:t>46.1</w:t>
                          </w:r>
                        </w:sdtContent>
                      </w:sdt>
                      <w:r>
                        <w:rPr>
                          <w:color w:val="000000"/>
                        </w:rPr>
                        <w:t>. bendrą sveikatos patikrinimą vadovaujantis šio Aprašo 35 punktu;</w:t>
                      </w:r>
                    </w:p>
                  </w:sdtContent>
                </w:sdt>
                <w:sdt>
                  <w:sdtPr>
                    <w:alias w:val="12 pr. 46.2 p."/>
                    <w:tag w:val="part_9be872f0af4e4c76b9c245f4f801d26f"/>
                    <w:lock w:val="sdtLocked"/>
                    <w:richText/>
                  </w:sdtPr>
                  <w:sdtContent>
                    <w:p>
                      <w:pPr>
                        <w:widowControl w:val="0"/>
                        <w:suppressAutoHyphens/>
                        <w:ind w:firstLine="567"/>
                        <w:jc w:val="both"/>
                        <w:rPr>
                          <w:color w:val="000000"/>
                        </w:rPr>
                      </w:pPr>
                      <w:sdt>
                        <w:sdtPr>
                          <w:alias w:val="Numeris"/>
                          <w:tag w:val="nr_9be872f0af4e4c76b9c245f4f801d26f"/>
                          <w:lock w:val="sdtLocked"/>
                          <w:richText/>
                        </w:sdtPr>
                        <w:sdtContent>
                          <w:r>
                            <w:rPr>
                              <w:color w:val="000000"/>
                            </w:rPr>
                            <w:t>46.2</w:t>
                          </w:r>
                        </w:sdtContent>
                      </w:sdt>
                      <w:r>
                        <w:rPr>
                          <w:color w:val="000000"/>
                        </w:rPr>
                        <w:t>. sensorinių funkcijų patikrinimą (regėjimas, klausa, spalvų jutimas);</w:t>
                      </w:r>
                    </w:p>
                  </w:sdtContent>
                </w:sdt>
                <w:sdt>
                  <w:sdtPr>
                    <w:alias w:val="12 pr. 46.3 p."/>
                    <w:tag w:val="part_1fd979c1dd6440948ad27a8e94439c04"/>
                    <w:lock w:val="sdtLocked"/>
                    <w:richText/>
                  </w:sdtPr>
                  <w:sdtContent>
                    <w:p>
                      <w:pPr>
                        <w:widowControl w:val="0"/>
                        <w:suppressAutoHyphens/>
                        <w:ind w:firstLine="567"/>
                        <w:jc w:val="both"/>
                        <w:rPr>
                          <w:color w:val="000000"/>
                        </w:rPr>
                      </w:pPr>
                      <w:sdt>
                        <w:sdtPr>
                          <w:alias w:val="Numeris"/>
                          <w:tag w:val="nr_1fd979c1dd6440948ad27a8e94439c04"/>
                          <w:lock w:val="sdtLocked"/>
                          <w:richText/>
                        </w:sdtPr>
                        <w:sdtContent>
                          <w:r>
                            <w:rPr>
                              <w:color w:val="000000"/>
                            </w:rPr>
                            <w:t>46.3</w:t>
                          </w:r>
                        </w:sdtContent>
                      </w:sdt>
                      <w:r>
                        <w:rPr>
                          <w:color w:val="000000"/>
                        </w:rPr>
                        <w:t>. kraujo tyrimą hematologiniu analizatoriumi;</w:t>
                      </w:r>
                    </w:p>
                  </w:sdtContent>
                </w:sdt>
                <w:sdt>
                  <w:sdtPr>
                    <w:alias w:val="12 pr. 46.4 p."/>
                    <w:tag w:val="part_106530b9e9114c57b8aa7e363f7b9834"/>
                    <w:lock w:val="sdtLocked"/>
                    <w:richText/>
                  </w:sdtPr>
                  <w:sdtContent>
                    <w:p>
                      <w:pPr>
                        <w:widowControl w:val="0"/>
                        <w:suppressAutoHyphens/>
                        <w:ind w:firstLine="567"/>
                        <w:jc w:val="both"/>
                        <w:rPr>
                          <w:color w:val="000000"/>
                        </w:rPr>
                      </w:pPr>
                      <w:sdt>
                        <w:sdtPr>
                          <w:alias w:val="Numeris"/>
                          <w:tag w:val="nr_106530b9e9114c57b8aa7e363f7b9834"/>
                          <w:lock w:val="sdtLocked"/>
                          <w:richText/>
                        </w:sdtPr>
                        <w:sdtContent>
                          <w:r>
                            <w:rPr>
                              <w:color w:val="000000"/>
                            </w:rPr>
                            <w:t>46.4</w:t>
                          </w:r>
                        </w:sdtContent>
                      </w:sdt>
                      <w:r>
                        <w:rPr>
                          <w:color w:val="000000"/>
                        </w:rPr>
                        <w:t>. bendrą šlapimo tyrimą analizatoriumi (įskaitant tyrimą dėl cukrinio diabeto), kiek tai būtina siekiant įvertinti fizinę kandidato būklę, kaip nurodyta, atlikus klinikinius tyrimus;</w:t>
                      </w:r>
                    </w:p>
                  </w:sdtContent>
                </w:sdt>
                <w:sdt>
                  <w:sdtPr>
                    <w:alias w:val="12 pr. 46.5 p."/>
                    <w:tag w:val="part_4093d6be72f14eee87cb6f78735f7748"/>
                    <w:lock w:val="sdtLocked"/>
                    <w:richText/>
                  </w:sdtPr>
                  <w:sdtContent>
                    <w:p>
                      <w:pPr>
                        <w:widowControl w:val="0"/>
                        <w:suppressAutoHyphens/>
                        <w:ind w:firstLine="567"/>
                        <w:jc w:val="both"/>
                        <w:rPr>
                          <w:color w:val="000000"/>
                        </w:rPr>
                      </w:pPr>
                      <w:sdt>
                        <w:sdtPr>
                          <w:alias w:val="Numeris"/>
                          <w:tag w:val="nr_4093d6be72f14eee87cb6f78735f7748"/>
                          <w:lock w:val="sdtLocked"/>
                          <w:richText/>
                        </w:sdtPr>
                        <w:sdtContent>
                          <w:r>
                            <w:rPr>
                              <w:color w:val="000000"/>
                            </w:rPr>
                            <w:t>46.5</w:t>
                          </w:r>
                        </w:sdtContent>
                      </w:sdt>
                      <w:r>
                        <w:rPr>
                          <w:color w:val="000000"/>
                        </w:rPr>
                        <w:t>. narkotinių medžiagų naudojimo tyrimus, jei yra klinikinių indikacijų;</w:t>
                      </w:r>
                    </w:p>
                  </w:sdtContent>
                </w:sdt>
                <w:sdt>
                  <w:sdtPr>
                    <w:alias w:val="12 pr. 46.6 p."/>
                    <w:tag w:val="part_9e0a9325f4f6487bbab96559a5391e64"/>
                    <w:lock w:val="sdtLocked"/>
                    <w:richText/>
                  </w:sdtPr>
                  <w:sdtContent>
                    <w:p>
                      <w:pPr>
                        <w:widowControl w:val="0"/>
                        <w:suppressAutoHyphens/>
                        <w:ind w:firstLine="567"/>
                        <w:jc w:val="both"/>
                        <w:rPr>
                          <w:color w:val="000000"/>
                        </w:rPr>
                      </w:pPr>
                      <w:sdt>
                        <w:sdtPr>
                          <w:alias w:val="Numeris"/>
                          <w:tag w:val="nr_9e0a9325f4f6487bbab96559a5391e64"/>
                          <w:lock w:val="sdtLocked"/>
                          <w:richText/>
                        </w:sdtPr>
                        <w:sdtContent>
                          <w:r>
                            <w:rPr>
                              <w:color w:val="000000"/>
                            </w:rPr>
                            <w:t>46.6</w:t>
                          </w:r>
                        </w:sdtContent>
                      </w:sdt>
                      <w:r>
                        <w:rPr>
                          <w:color w:val="000000"/>
                        </w:rPr>
                        <w:t>. vyresniems nei 40 metų traukinio mašinistams būtina atlikti EKG ramybės būsenoje.</w:t>
                      </w:r>
                    </w:p>
                    <w:p>
                      <w:pPr>
                        <w:widowControl w:val="0"/>
                        <w:suppressAutoHyphens/>
                        <w:ind w:firstLine="567"/>
                        <w:jc w:val="both"/>
                        <w:rPr>
                          <w:color w:val="000000"/>
                        </w:rPr>
                      </w:pPr>
                    </w:p>
                  </w:sdtContent>
                </w:sdt>
              </w:sdtContent>
            </w:sdt>
          </w:sdtContent>
        </w:sdt>
        <w:sdt>
          <w:sdtPr>
            <w:alias w:val="skyrius"/>
            <w:tag w:val="part_bfcf35bfff24491fafe2cc312faaee63"/>
            <w:lock w:val="sdtLocked"/>
            <w:richText/>
          </w:sdtPr>
          <w:sdtContent>
            <w:p>
              <w:pPr>
                <w:widowControl w:val="0"/>
                <w:suppressAutoHyphens/>
                <w:jc w:val="center"/>
                <w:rPr>
                  <w:b/>
                  <w:bCs/>
                  <w:caps/>
                  <w:color w:val="000000"/>
                </w:rPr>
              </w:pPr>
              <w:sdt>
                <w:sdtPr>
                  <w:alias w:val="Numeris"/>
                  <w:tag w:val="nr_bfcf35bfff24491fafe2cc312faaee63"/>
                  <w:lock w:val="sdtLocked"/>
                  <w:richText/>
                </w:sdtPr>
                <w:sdtContent>
                  <w:r>
                    <w:rPr>
                      <w:b/>
                      <w:bCs/>
                      <w:caps/>
                      <w:color w:val="000000"/>
                    </w:rPr>
                    <w:t>VI</w:t>
                  </w:r>
                </w:sdtContent>
              </w:sdt>
              <w:r>
                <w:rPr>
                  <w:b/>
                  <w:bCs/>
                  <w:caps/>
                  <w:color w:val="000000"/>
                </w:rPr>
                <w:t xml:space="preserve">. </w:t>
              </w:r>
              <w:sdt>
                <w:sdtPr>
                  <w:alias w:val="Pavadinimas"/>
                  <w:tag w:val="title_bfcf35bfff24491fafe2cc312faaee63"/>
                  <w:lock w:val="sdtLocked"/>
                  <w:richText/>
                </w:sdtPr>
                <w:sdtContent>
                  <w:r>
                    <w:rPr>
                      <w:b/>
                      <w:bCs/>
                      <w:caps/>
                      <w:color w:val="000000"/>
                    </w:rPr>
                    <w:t>BAIGIAMOSIOS NUOSTATOS</w:t>
                  </w:r>
                </w:sdtContent>
              </w:sdt>
            </w:p>
            <w:p>
              <w:pPr>
                <w:widowControl w:val="0"/>
                <w:suppressAutoHyphens/>
                <w:ind w:firstLine="567"/>
                <w:jc w:val="both"/>
                <w:rPr>
                  <w:color w:val="000000"/>
                </w:rPr>
              </w:pPr>
            </w:p>
            <w:sdt>
              <w:sdtPr>
                <w:alias w:val="12 pr. 47 p."/>
                <w:tag w:val="part_b53ae6a954cb4681be092e1c6d58f0b8"/>
                <w:lock w:val="sdtLocked"/>
                <w:richText/>
              </w:sdtPr>
              <w:sdtContent>
                <w:p>
                  <w:pPr>
                    <w:widowControl w:val="0"/>
                    <w:suppressAutoHyphens/>
                    <w:ind w:firstLine="567"/>
                    <w:jc w:val="both"/>
                    <w:rPr>
                      <w:color w:val="000000"/>
                    </w:rPr>
                  </w:pPr>
                  <w:sdt>
                    <w:sdtPr>
                      <w:alias w:val="Numeris"/>
                      <w:tag w:val="nr_b53ae6a954cb4681be092e1c6d58f0b8"/>
                      <w:lock w:val="sdtLocked"/>
                      <w:richText/>
                    </w:sdtPr>
                    <w:sdtContent>
                      <w:r>
                        <w:rPr>
                          <w:color w:val="000000"/>
                        </w:rPr>
                        <w:t>47</w:t>
                      </w:r>
                    </w:sdtContent>
                  </w:sdt>
                  <w:r>
                    <w:rPr>
                      <w:color w:val="000000"/>
                    </w:rPr>
                    <w:t>. Atlikus sveikatos patikrinimą F Nr. 047/a ar F Nr. 048/a atiduodama pacientui, kuris pats ją pateikia darbdaviui atstovaujančiam ar jo įgaliotam asmeniui. Jos saugomos teisės aktų nustatyta tvarka.</w:t>
                  </w:r>
                </w:p>
              </w:sdtContent>
            </w:sdt>
            <w:sdt>
              <w:sdtPr>
                <w:alias w:val="12 pr. 48 p."/>
                <w:tag w:val="part_328a178ddb3b47ce80e7bd2c6acb069e"/>
                <w:lock w:val="sdtLocked"/>
                <w:richText/>
              </w:sdtPr>
              <w:sdtContent>
                <w:p>
                  <w:pPr>
                    <w:widowControl w:val="0"/>
                    <w:suppressAutoHyphens/>
                    <w:ind w:firstLine="567"/>
                    <w:jc w:val="both"/>
                    <w:rPr>
                      <w:color w:val="000000"/>
                    </w:rPr>
                  </w:pPr>
                  <w:sdt>
                    <w:sdtPr>
                      <w:alias w:val="Numeris"/>
                      <w:tag w:val="nr_328a178ddb3b47ce80e7bd2c6acb069e"/>
                      <w:lock w:val="sdtLocked"/>
                      <w:richText/>
                    </w:sdtPr>
                    <w:sdtContent>
                      <w:r>
                        <w:rPr>
                          <w:color w:val="000000"/>
                        </w:rPr>
                        <w:t>48</w:t>
                      </w:r>
                    </w:sdtContent>
                  </w:sdt>
                  <w:r>
                    <w:rPr>
                      <w:color w:val="000000"/>
                    </w:rPr>
                    <w:t>. Sudėtingais ir ginčytinais (kai dėl išvados reikia spręsti individualiai) atvejais apie tinkamumą mokytis ar dirbti traukinio mašinistu, darbuotoju sprendžia ASPĮ gydytojų konsultacinė komisija (toliau – GKK).</w:t>
                  </w:r>
                </w:p>
              </w:sdtContent>
            </w:sdt>
            <w:sdt>
              <w:sdtPr>
                <w:alias w:val="12 pr. 49 p."/>
                <w:tag w:val="part_eeb72d2fe9c5460891606b30922ff505"/>
                <w:lock w:val="sdtLocked"/>
                <w:richText/>
              </w:sdtPr>
              <w:sdtContent>
                <w:p>
                  <w:pPr>
                    <w:widowControl w:val="0"/>
                    <w:suppressAutoHyphens/>
                    <w:ind w:firstLine="567"/>
                    <w:jc w:val="both"/>
                    <w:rPr>
                      <w:color w:val="000000"/>
                    </w:rPr>
                  </w:pPr>
                  <w:sdt>
                    <w:sdtPr>
                      <w:alias w:val="Numeris"/>
                      <w:tag w:val="nr_eeb72d2fe9c5460891606b30922ff505"/>
                      <w:lock w:val="sdtLocked"/>
                      <w:richText/>
                    </w:sdtPr>
                    <w:sdtContent>
                      <w:r>
                        <w:rPr>
                          <w:color w:val="000000"/>
                        </w:rPr>
                        <w:t>49</w:t>
                      </w:r>
                    </w:sdtContent>
                  </w:sdt>
                  <w:r>
                    <w:rPr>
                      <w:color w:val="000000"/>
                    </w:rPr>
                    <w:t>. Kai kyla klausimai dėl individualaus tinkamumo mokytis ar dirbti dėl psichikos sveikatos būklės, sprendžia psichikos sveikatos priežiūros įstaigos GKK, sudaryta iš gydytojų psichiatrų. Į šią komisiją gali būti įtraukti ir kiti psichikos sveikatos priežiūros specialistai.</w:t>
                  </w:r>
                </w:p>
              </w:sdtContent>
            </w:sdt>
            <w:sdt>
              <w:sdtPr>
                <w:alias w:val="12 pr. 50 p."/>
                <w:tag w:val="part_c9ed5804398d44b980c718b03b5443f0"/>
                <w:lock w:val="sdtLocked"/>
                <w:richText/>
              </w:sdtPr>
              <w:sdtContent>
                <w:p>
                  <w:pPr>
                    <w:widowControl w:val="0"/>
                    <w:suppressAutoHyphens/>
                    <w:ind w:firstLine="567"/>
                    <w:jc w:val="both"/>
                    <w:rPr>
                      <w:color w:val="000000"/>
                    </w:rPr>
                  </w:pPr>
                  <w:sdt>
                    <w:sdtPr>
                      <w:alias w:val="Numeris"/>
                      <w:tag w:val="nr_c9ed5804398d44b980c718b03b5443f0"/>
                      <w:lock w:val="sdtLocked"/>
                      <w:richText/>
                    </w:sdtPr>
                    <w:sdtContent>
                      <w:r>
                        <w:rPr>
                          <w:color w:val="000000"/>
                        </w:rPr>
                        <w:t>50</w:t>
                      </w:r>
                    </w:sdtContent>
                  </w:sdt>
                  <w:r>
                    <w:rPr>
                      <w:color w:val="000000"/>
                    </w:rPr>
                    <w:t xml:space="preserve">. Pacientas, nesutinkantis su privalomo sveikatos patikrinimo išvadomis, gali jas apskųsti Lietuvos Respublikos pacientų teisių ir žalos sveikatai atlyginimo įstatymo (Žin., 1996, Nr. </w:t>
                  </w:r>
                  <w:hyperlink r:id="rId66" w:tgtFrame="_blank" w:history="1">
                    <w:r>
                      <w:rPr>
                        <w:color w:val="0000FF" w:themeColor="hyperlink"/>
                        <w:u w:val="single"/>
                      </w:rPr>
                      <w:t>102-2317</w:t>
                    </w:r>
                  </w:hyperlink>
                  <w:r>
                    <w:rPr>
                      <w:color w:val="000000"/>
                    </w:rPr>
                    <w:t>; 2004, Nr. 115-4284) nustatyta tvarka.</w:t>
                  </w:r>
                </w:p>
                <w:p>
                  <w:pPr>
                    <w:widowControl w:val="0"/>
                    <w:suppressAutoHyphens/>
                    <w:jc w:val="both"/>
                    <w:rPr>
                      <w:color w:val="000000"/>
                    </w:rPr>
                  </w:pPr>
                </w:p>
                <w:p>
                  <w:pPr>
                    <w:widowControl w:val="0"/>
                    <w:suppressAutoHyphens/>
                    <w:jc w:val="center"/>
                    <w:rPr>
                      <w:color w:val="000000"/>
                    </w:rPr>
                  </w:pPr>
                  <w:r>
                    <w:rPr>
                      <w:color w:val="000000"/>
                    </w:rPr>
                    <w:t>_________________</w:t>
                  </w:r>
                </w:p>
                <w:p>
                  <w:pPr>
                    <w:widowControl w:val="0"/>
                    <w:suppressAutoHyphens/>
                    <w:rPr>
                      <w:color w:val="000000"/>
                    </w:rPr>
                  </w:pPr>
                </w:p>
                <w:p>
                  <w:pPr>
                    <w:widowControl w:val="0"/>
                    <w:suppressAutoHyphens/>
                    <w:jc w:val="both"/>
                    <w:rPr>
                      <w:color w:val="000000"/>
                    </w:rPr>
                    <w:sectPr>
                      <w:pgSz w:w="11906" w:h="16838"/>
                      <w:pgMar w:top="1134" w:right="1134" w:bottom="1134" w:left="1701" w:header="567" w:footer="567" w:gutter="0"/>
                      <w:pgNumType w:start="1"/>
                      <w:cols w:space="1296"/>
                      <w:noEndnote/>
                      <w:titlePg/>
                      <w:docGrid w:linePitch="326"/>
                    </w:sectPr>
                  </w:pPr>
                </w:p>
              </w:sdtContent>
            </w:sdt>
            <w:sdt>
              <w:sdtPr>
                <w:alias w:val="lentele"/>
                <w:tag w:val="part_f7ff817d826645c9bdc9b5f076af4ee7"/>
                <w:lock w:val="sdtLocked"/>
                <w:richText/>
              </w:sdtPr>
              <w:sdtContent>
                <w:p>
                  <w:pPr>
                    <w:ind w:left="9000"/>
                  </w:pPr>
                  <w:r>
                    <w:t>1 lentelė</w:t>
                  </w:r>
                </w:p>
                <w:p>
                  <w:pPr>
                    <w:jc w:val="both"/>
                    <w:rPr>
                      <w:rFonts w:eastAsia="MS Mincho"/>
                    </w:rPr>
                  </w:pPr>
                </w:p>
                <w:p>
                  <w:pPr>
                    <w:jc w:val="center"/>
                    <w:rPr>
                      <w:b/>
                    </w:rPr>
                  </w:pPr>
                  <w:r>
                    <w:rPr>
                      <w:b/>
                    </w:rPr>
                    <w:t xml:space="preserve">KONTRAINDIKACIJOS, TAIKOMOS </w:t>
                  </w:r>
                  <w:r>
                    <w:rPr>
                      <w:b/>
                      <w:bCs/>
                    </w:rPr>
                    <w:t xml:space="preserve">ASMENIMS, </w:t>
                  </w:r>
                  <w:r>
                    <w:rPr>
                      <w:b/>
                    </w:rPr>
                    <w:t>PRIEŠ PRIIMANT Į MOKYMO ĮSTAIGĄ ARBA Į DARBĄ, ARBA DIRBANTIEMS TRAUKINIO MAŠINISTAIS</w:t>
                  </w:r>
                </w:p>
                <w:p/>
                <w:tbl>
                  <w:tblPr>
                    <w:tblW w:w="1422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20"/>
                    <w:gridCol w:w="8820"/>
                    <w:gridCol w:w="2340"/>
                    <w:gridCol w:w="2340"/>
                  </w:tblGrid>
                  <w:tr>
                    <w:trPr>
                      <w:cantSplit/>
                      <w:trHeight w:val="20"/>
                      <w:tblHeader/>
                    </w:trPr>
                    <w:tc>
                      <w:tcPr>
                        <w:tcW w:w="720" w:type="dxa"/>
                        <w:vMerge w:val="restart"/>
                        <w:vAlign w:val="center"/>
                      </w:tcPr>
                      <w:p>
                        <w:pPr>
                          <w:jc w:val="center"/>
                          <w:rPr>
                            <w:sz w:val="22"/>
                            <w:szCs w:val="22"/>
                          </w:rPr>
                        </w:pPr>
                        <w:r>
                          <w:rPr>
                            <w:sz w:val="22"/>
                            <w:szCs w:val="22"/>
                          </w:rPr>
                          <w:t>Eil.</w:t>
                        </w:r>
                      </w:p>
                      <w:p>
                        <w:pPr>
                          <w:jc w:val="center"/>
                          <w:rPr>
                            <w:sz w:val="22"/>
                            <w:szCs w:val="22"/>
                          </w:rPr>
                        </w:pPr>
                        <w:r>
                          <w:rPr>
                            <w:sz w:val="22"/>
                            <w:szCs w:val="22"/>
                          </w:rPr>
                          <w:t>Nr.</w:t>
                        </w:r>
                      </w:p>
                    </w:tc>
                    <w:tc>
                      <w:tcPr>
                        <w:tcW w:w="8820" w:type="dxa"/>
                        <w:vMerge w:val="restart"/>
                        <w:vAlign w:val="center"/>
                      </w:tcPr>
                      <w:p>
                        <w:pPr>
                          <w:jc w:val="center"/>
                          <w:rPr>
                            <w:sz w:val="22"/>
                            <w:szCs w:val="22"/>
                            <w:lang w:val="pt-BR"/>
                          </w:rPr>
                        </w:pPr>
                        <w:r>
                          <w:rPr>
                            <w:sz w:val="22"/>
                            <w:szCs w:val="22"/>
                            <w:lang w:val="pt-BR"/>
                          </w:rPr>
                          <w:t>Ligos ir sveikatos problemos (kodai pagal TLK-10), dėl kurių ribojama teisė</w:t>
                        </w:r>
                        <w:r>
                          <w:rPr>
                            <w:bCs/>
                            <w:sz w:val="22"/>
                            <w:szCs w:val="22"/>
                          </w:rPr>
                          <w:t xml:space="preserve"> mokytis ar</w:t>
                        </w:r>
                        <w:r>
                          <w:rPr>
                            <w:sz w:val="22"/>
                            <w:szCs w:val="22"/>
                          </w:rPr>
                          <w:t xml:space="preserve"> dirbti traukinio mašinistais</w:t>
                        </w:r>
                      </w:p>
                    </w:tc>
                    <w:tc>
                      <w:tcPr>
                        <w:tcW w:w="4680" w:type="dxa"/>
                        <w:gridSpan w:val="2"/>
                        <w:vAlign w:val="center"/>
                      </w:tcPr>
                      <w:p>
                        <w:pPr>
                          <w:jc w:val="center"/>
                          <w:rPr>
                            <w:sz w:val="22"/>
                            <w:szCs w:val="22"/>
                          </w:rPr>
                        </w:pPr>
                        <w:r>
                          <w:rPr>
                            <w:b/>
                            <w:bCs/>
                            <w:sz w:val="22"/>
                            <w:szCs w:val="22"/>
                            <w:lang w:val="pt-BR"/>
                          </w:rPr>
                          <w:t>Draudžiama</w:t>
                        </w:r>
                      </w:p>
                    </w:tc>
                  </w:tr>
                  <w:tr>
                    <w:trPr>
                      <w:cantSplit/>
                      <w:trHeight w:val="20"/>
                      <w:tblHeader/>
                    </w:trPr>
                    <w:tc>
                      <w:tcPr>
                        <w:tcW w:w="720" w:type="dxa"/>
                        <w:vMerge/>
                      </w:tcPr>
                      <w:p>
                        <w:pPr>
                          <w:jc w:val="center"/>
                          <w:rPr>
                            <w:sz w:val="22"/>
                            <w:szCs w:val="22"/>
                          </w:rPr>
                        </w:pPr>
                      </w:p>
                    </w:tc>
                    <w:tc>
                      <w:tcPr>
                        <w:tcW w:w="8820" w:type="dxa"/>
                        <w:vMerge/>
                      </w:tcPr>
                      <w:p>
                        <w:pPr>
                          <w:jc w:val="center"/>
                          <w:rPr>
                            <w:rFonts w:eastAsia="MS Mincho"/>
                            <w:bCs/>
                            <w:sz w:val="22"/>
                            <w:szCs w:val="22"/>
                          </w:rPr>
                        </w:pPr>
                      </w:p>
                    </w:tc>
                    <w:tc>
                      <w:tcPr>
                        <w:tcW w:w="2340" w:type="dxa"/>
                      </w:tcPr>
                      <w:p>
                        <w:pPr>
                          <w:jc w:val="center"/>
                          <w:rPr>
                            <w:sz w:val="22"/>
                            <w:szCs w:val="22"/>
                          </w:rPr>
                        </w:pPr>
                        <w:r>
                          <w:rPr>
                            <w:sz w:val="22"/>
                            <w:szCs w:val="22"/>
                          </w:rPr>
                          <w:t>Prieš priimant į mokymo įstaigą arba į darbą</w:t>
                        </w:r>
                      </w:p>
                    </w:tc>
                    <w:tc>
                      <w:tcPr>
                        <w:tcW w:w="2340" w:type="dxa"/>
                      </w:tcPr>
                      <w:p>
                        <w:pPr>
                          <w:jc w:val="center"/>
                          <w:rPr>
                            <w:sz w:val="22"/>
                            <w:szCs w:val="22"/>
                          </w:rPr>
                        </w:pPr>
                        <w:r>
                          <w:rPr>
                            <w:sz w:val="22"/>
                            <w:szCs w:val="22"/>
                          </w:rPr>
                          <w:t>Periodiškai</w:t>
                        </w:r>
                      </w:p>
                      <w:p>
                        <w:pPr>
                          <w:jc w:val="center"/>
                          <w:rPr>
                            <w:sz w:val="22"/>
                            <w:szCs w:val="22"/>
                          </w:rPr>
                        </w:pPr>
                        <w:r>
                          <w:rPr>
                            <w:sz w:val="22"/>
                            <w:szCs w:val="22"/>
                          </w:rPr>
                          <w:t>(dirbant)</w:t>
                        </w:r>
                      </w:p>
                    </w:tc>
                  </w:tr>
                  <w:tr>
                    <w:trPr>
                      <w:cantSplit/>
                      <w:trHeight w:val="20"/>
                      <w:tblHeader/>
                    </w:trPr>
                    <w:tc>
                      <w:tcPr>
                        <w:tcW w:w="720" w:type="dxa"/>
                      </w:tcPr>
                      <w:p>
                        <w:pPr>
                          <w:jc w:val="center"/>
                          <w:rPr>
                            <w:sz w:val="22"/>
                            <w:szCs w:val="22"/>
                          </w:rPr>
                        </w:pPr>
                        <w:r>
                          <w:rPr>
                            <w:sz w:val="22"/>
                            <w:szCs w:val="22"/>
                          </w:rPr>
                          <w:t>1.</w:t>
                        </w:r>
                      </w:p>
                    </w:tc>
                    <w:tc>
                      <w:tcPr>
                        <w:tcW w:w="8820" w:type="dxa"/>
                      </w:tcPr>
                      <w:p>
                        <w:pPr>
                          <w:jc w:val="center"/>
                          <w:rPr>
                            <w:sz w:val="22"/>
                            <w:szCs w:val="22"/>
                          </w:rPr>
                        </w:pPr>
                        <w:r>
                          <w:rPr>
                            <w:sz w:val="22"/>
                            <w:szCs w:val="22"/>
                          </w:rPr>
                          <w:t>2</w:t>
                        </w:r>
                      </w:p>
                    </w:tc>
                    <w:tc>
                      <w:tcPr>
                        <w:tcW w:w="2340" w:type="dxa"/>
                      </w:tcPr>
                      <w:p>
                        <w:pPr>
                          <w:jc w:val="center"/>
                          <w:rPr>
                            <w:sz w:val="22"/>
                            <w:szCs w:val="22"/>
                          </w:rPr>
                        </w:pPr>
                        <w:r>
                          <w:rPr>
                            <w:sz w:val="22"/>
                            <w:szCs w:val="22"/>
                          </w:rPr>
                          <w:t>3</w:t>
                        </w:r>
                      </w:p>
                    </w:tc>
                    <w:tc>
                      <w:tcPr>
                        <w:tcW w:w="2340" w:type="dxa"/>
                      </w:tcPr>
                      <w:p>
                        <w:pPr>
                          <w:jc w:val="center"/>
                          <w:rPr>
                            <w:sz w:val="22"/>
                            <w:szCs w:val="22"/>
                          </w:rPr>
                        </w:pPr>
                        <w:r>
                          <w:rPr>
                            <w:sz w:val="22"/>
                            <w:szCs w:val="22"/>
                          </w:rPr>
                          <w:t>4</w:t>
                        </w:r>
                      </w:p>
                    </w:tc>
                  </w:tr>
                  <w:tr>
                    <w:trPr>
                      <w:cantSplit/>
                      <w:trHeight w:val="20"/>
                    </w:trPr>
                    <w:tc>
                      <w:tcPr>
                        <w:tcW w:w="720" w:type="dxa"/>
                      </w:tcPr>
                      <w:p>
                        <w:pPr>
                          <w:rPr>
                            <w:sz w:val="22"/>
                            <w:szCs w:val="22"/>
                          </w:rPr>
                        </w:pPr>
                        <w:r>
                          <w:rPr>
                            <w:sz w:val="22"/>
                            <w:szCs w:val="22"/>
                          </w:rPr>
                          <w:t>1.</w:t>
                        </w:r>
                      </w:p>
                    </w:tc>
                    <w:tc>
                      <w:tcPr>
                        <w:tcW w:w="8820" w:type="dxa"/>
                      </w:tcPr>
                      <w:p>
                        <w:pPr>
                          <w:rPr>
                            <w:sz w:val="22"/>
                            <w:szCs w:val="22"/>
                          </w:rPr>
                        </w:pPr>
                        <w:r>
                          <w:rPr>
                            <w:b/>
                            <w:sz w:val="22"/>
                            <w:szCs w:val="22"/>
                          </w:rPr>
                          <w:t>REGĖJIMAS</w:t>
                        </w:r>
                        <w:r>
                          <w:rPr>
                            <w:sz w:val="22"/>
                            <w:szCs w:val="22"/>
                          </w:rPr>
                          <w:t xml:space="preserve"> Turi būti laikomasi šių su regėjimu susijusių reikalavimų: regėjimo į tolį aštrumas su pagalba ar be jos: 1,0; blogiau matančios akies – mažiausiai 0,5</w:t>
                        </w:r>
                      </w:p>
                      <w:p>
                        <w:pPr>
                          <w:rPr>
                            <w:sz w:val="22"/>
                            <w:szCs w:val="22"/>
                          </w:rPr>
                        </w:pPr>
                        <w:r>
                          <w:rPr>
                            <w:sz w:val="22"/>
                            <w:szCs w:val="22"/>
                          </w:rPr>
                          <w:t>Pastaba. Įsidarbinančiųjų traukinio mašinisto pažymėjimui gauti arba tokiam pažymėjimui atnaujinti sveikesnės akies regėjimo aštrumas, jeigu reikia, su korekciniais lęšiais, privalo būti ne mažesnis kaip1,0, o silpnesnės akies – ne mažesnis kaip 0,5. Jei korekciniai lęšiai naudojami tam, kad regėjimo aštrumas būtų 1,0 ir 0,5, regėjimo aštrumas kiekviena akimi be korekcinių lęšių privalo būti 0,05 arba minimalus regėjimo aštrumas (1,0 ir 0,5) privalo būti pasiektas nešiojant akinius, kurių stiprumas neturi būti didesnis kaip plius ar minus penkios dioptrijos, arba nešiojant kontaktinius lęšius (nekoreguotas regėjimas ne mažiau kaip 0,05). Korekcija turi būti gerai toleruojama. Mašinisto pažymėjimai neišduodami tiems kandidatams į mašinistus ar neatnaujinami tiems, kurių binokuliarinis regėjimo laukas nėra normalus arba kurie serga diplopija.</w:t>
                        </w:r>
                      </w:p>
                    </w:tc>
                    <w:tc>
                      <w:tcPr>
                        <w:tcW w:w="2340" w:type="dxa"/>
                      </w:tcPr>
                      <w:p>
                        <w:pPr>
                          <w:jc w:val="center"/>
                          <w:rPr>
                            <w:sz w:val="22"/>
                            <w:szCs w:val="22"/>
                          </w:rPr>
                        </w:pPr>
                        <w:r>
                          <w:rPr>
                            <w:sz w:val="22"/>
                            <w:szCs w:val="22"/>
                          </w:rPr>
                          <w:t>Žr. pastabą</w:t>
                        </w:r>
                      </w:p>
                    </w:tc>
                    <w:tc>
                      <w:tcPr>
                        <w:tcW w:w="2340" w:type="dxa"/>
                      </w:tcPr>
                      <w:p>
                        <w:pPr>
                          <w:jc w:val="center"/>
                          <w:rPr>
                            <w:sz w:val="22"/>
                            <w:szCs w:val="22"/>
                          </w:rPr>
                        </w:pPr>
                        <w:r>
                          <w:rPr>
                            <w:sz w:val="22"/>
                            <w:szCs w:val="22"/>
                          </w:rPr>
                          <w:t>Žr. pastabą</w:t>
                        </w:r>
                      </w:p>
                    </w:tc>
                  </w:tr>
                  <w:tr>
                    <w:trPr>
                      <w:cantSplit/>
                      <w:trHeight w:val="20"/>
                    </w:trPr>
                    <w:tc>
                      <w:tcPr>
                        <w:tcW w:w="720" w:type="dxa"/>
                      </w:tcPr>
                      <w:p>
                        <w:pPr>
                          <w:rPr>
                            <w:sz w:val="22"/>
                            <w:szCs w:val="22"/>
                          </w:rPr>
                        </w:pPr>
                        <w:r>
                          <w:rPr>
                            <w:sz w:val="22"/>
                            <w:szCs w:val="22"/>
                          </w:rPr>
                          <w:t>1.1.</w:t>
                        </w:r>
                      </w:p>
                    </w:tc>
                    <w:tc>
                      <w:tcPr>
                        <w:tcW w:w="8820" w:type="dxa"/>
                      </w:tcPr>
                      <w:p>
                        <w:pPr>
                          <w:rPr>
                            <w:sz w:val="22"/>
                            <w:szCs w:val="22"/>
                            <w:lang w:val="pt-BR"/>
                          </w:rPr>
                        </w:pPr>
                        <w:r>
                          <w:rPr>
                            <w:sz w:val="22"/>
                            <w:szCs w:val="22"/>
                            <w:lang w:val="pt-BR"/>
                          </w:rPr>
                          <w:t xml:space="preserve">Toliaregystė H52.0 arba trumparegystė H52.1 </w:t>
                        </w:r>
                      </w:p>
                      <w:p>
                        <w:pPr>
                          <w:rPr>
                            <w:sz w:val="22"/>
                            <w:szCs w:val="22"/>
                          </w:rPr>
                        </w:pPr>
                        <w:r>
                          <w:rPr>
                            <w:sz w:val="22"/>
                            <w:szCs w:val="22"/>
                            <w:lang w:val="pt-BR"/>
                          </w:rPr>
                          <w:t xml:space="preserve">Pastaba. Leidžiama naudoti kontaktinius lęšius ar akinius, jei regėjimą periodiškai tikrina gydytojas oftalmologas. Korekciniams lęšiams taikomi maksimumai: +5 D ir -8 D. Jei mašinistas daug metų dirbo tą darbą </w:t>
                        </w:r>
                        <w:r>
                          <w:rPr>
                            <w:sz w:val="22"/>
                            <w:szCs w:val="22"/>
                          </w:rPr>
                          <w:t>– spręsti individualiai.</w:t>
                        </w:r>
                        <w:r>
                          <w:rPr>
                            <w:sz w:val="22"/>
                            <w:szCs w:val="22"/>
                            <w:lang w:val="pt-BR"/>
                          </w:rPr>
                          <w:t xml:space="preserve"> Išimtis galima daryti ypatingais atvejais, sprendimą priima gydytojas oftalmologas.</w:t>
                        </w:r>
                      </w:p>
                    </w:tc>
                    <w:tc>
                      <w:tcPr>
                        <w:tcW w:w="2340" w:type="dxa"/>
                      </w:tcPr>
                      <w:p>
                        <w:pPr>
                          <w:jc w:val="center"/>
                          <w:rPr>
                            <w:sz w:val="22"/>
                            <w:szCs w:val="22"/>
                            <w:lang w:val="pt-BR"/>
                          </w:rPr>
                        </w:pPr>
                        <w:r>
                          <w:rPr>
                            <w:sz w:val="22"/>
                            <w:szCs w:val="22"/>
                            <w:lang w:val="pt-BR"/>
                          </w:rPr>
                          <w:t xml:space="preserve">Jei toliaregystė daugiau kaip +5 D ir trumparegystė daugiau kaip -5 D </w:t>
                        </w:r>
                      </w:p>
                      <w:p>
                        <w:pPr>
                          <w:jc w:val="center"/>
                          <w:rPr>
                            <w:sz w:val="22"/>
                            <w:szCs w:val="22"/>
                            <w:lang w:val="pt-BR"/>
                          </w:rPr>
                        </w:pPr>
                        <w:r>
                          <w:rPr>
                            <w:sz w:val="22"/>
                            <w:szCs w:val="22"/>
                            <w:lang w:val="pt-BR"/>
                          </w:rPr>
                          <w:t>žr. Pastabą</w:t>
                        </w:r>
                      </w:p>
                    </w:tc>
                    <w:tc>
                      <w:tcPr>
                        <w:tcW w:w="2340" w:type="dxa"/>
                      </w:tcPr>
                      <w:p>
                        <w:pPr>
                          <w:jc w:val="center"/>
                          <w:rPr>
                            <w:sz w:val="22"/>
                            <w:szCs w:val="22"/>
                            <w:lang w:val="pt-BR"/>
                          </w:rPr>
                        </w:pPr>
                        <w:r>
                          <w:rPr>
                            <w:sz w:val="22"/>
                            <w:szCs w:val="22"/>
                            <w:lang w:val="pt-BR"/>
                          </w:rPr>
                          <w:t xml:space="preserve">Jei toliaregystė daugiau kaip +5 D ir trumparegystė </w:t>
                          <w:br/>
                          <w:t>daugiau kaip -8 D</w:t>
                        </w:r>
                      </w:p>
                      <w:p>
                        <w:pPr>
                          <w:ind w:firstLine="55"/>
                          <w:jc w:val="center"/>
                          <w:rPr>
                            <w:sz w:val="22"/>
                            <w:szCs w:val="22"/>
                            <w:lang w:val="pt-BR"/>
                          </w:rPr>
                        </w:pPr>
                        <w:r>
                          <w:rPr>
                            <w:sz w:val="22"/>
                            <w:szCs w:val="22"/>
                            <w:lang w:val="pt-BR"/>
                          </w:rPr>
                          <w:t>žr. Pastabą</w:t>
                        </w:r>
                      </w:p>
                    </w:tc>
                  </w:tr>
                  <w:tr>
                    <w:trPr>
                      <w:cantSplit/>
                      <w:trHeight w:val="20"/>
                    </w:trPr>
                    <w:tc>
                      <w:tcPr>
                        <w:tcW w:w="720" w:type="dxa"/>
                      </w:tcPr>
                      <w:p>
                        <w:pPr>
                          <w:ind w:right="-119"/>
                          <w:rPr>
                            <w:sz w:val="22"/>
                            <w:szCs w:val="22"/>
                          </w:rPr>
                        </w:pPr>
                        <w:r>
                          <w:rPr>
                            <w:sz w:val="22"/>
                            <w:szCs w:val="22"/>
                          </w:rPr>
                          <w:t>1.2</w:t>
                        </w:r>
                      </w:p>
                    </w:tc>
                    <w:tc>
                      <w:tcPr>
                        <w:tcW w:w="8820" w:type="dxa"/>
                      </w:tcPr>
                      <w:p>
                        <w:pPr>
                          <w:rPr>
                            <w:sz w:val="22"/>
                            <w:szCs w:val="22"/>
                            <w:lang w:val="pt-BR"/>
                          </w:rPr>
                        </w:pPr>
                        <w:r>
                          <w:rPr>
                            <w:sz w:val="22"/>
                            <w:szCs w:val="22"/>
                            <w:lang w:val="pt-BR"/>
                          </w:rPr>
                          <w:t>Glaukoma H40.1–H42 (II–III stadija)</w:t>
                        </w:r>
                      </w:p>
                      <w:p>
                        <w:pPr>
                          <w:rPr>
                            <w:sz w:val="22"/>
                            <w:szCs w:val="22"/>
                            <w:lang w:val="pt-BR"/>
                          </w:rPr>
                        </w:pPr>
                        <w:r>
                          <w:rPr>
                            <w:sz w:val="22"/>
                            <w:szCs w:val="22"/>
                            <w:lang w:val="pt-BR"/>
                          </w:rPr>
                          <w:t>Kitos tinklainės ligos H35–H36 (Progresuojančios akių ligos)</w:t>
                        </w:r>
                      </w:p>
                      <w:p>
                        <w:pPr>
                          <w:rPr>
                            <w:sz w:val="22"/>
                            <w:szCs w:val="22"/>
                            <w:lang w:val="pt-BR"/>
                          </w:rPr>
                        </w:pPr>
                        <w:r>
                          <w:rPr>
                            <w:sz w:val="22"/>
                            <w:szCs w:val="22"/>
                            <w:lang w:val="pt-BR"/>
                          </w:rPr>
                          <w:t xml:space="preserve">Pastaba. I stadijos glaukoma ir jei traukinio mašinistas dirbo tą darbą ne mažiau kaip 10 metų </w:t>
                        </w:r>
                        <w:r>
                          <w:rPr>
                            <w:sz w:val="22"/>
                            <w:szCs w:val="22"/>
                          </w:rPr>
                          <w:t>– spręsti individualiai.</w:t>
                        </w:r>
                        <w:r>
                          <w:rPr>
                            <w:sz w:val="22"/>
                            <w:szCs w:val="22"/>
                            <w:lang w:val="pt-BR"/>
                          </w:rPr>
                          <w:t xml:space="preserve"> Išimtis galima daryti ypatingais atvejais, individualiu gydytojo oftalmologo sprendimu.</w:t>
                        </w:r>
                      </w:p>
                    </w:tc>
                    <w:tc>
                      <w:tcPr>
                        <w:tcW w:w="2340" w:type="dxa"/>
                        <w:shd w:val="clear" w:color="auto" w:fill="auto"/>
                      </w:tcPr>
                      <w:p>
                        <w:pPr>
                          <w:jc w:val="center"/>
                          <w:rPr>
                            <w:sz w:val="22"/>
                            <w:szCs w:val="22"/>
                          </w:rPr>
                        </w:pPr>
                        <w:r>
                          <w:rPr>
                            <w:sz w:val="22"/>
                            <w:szCs w:val="22"/>
                          </w:rPr>
                          <w:t>Draudžiama</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1.3.</w:t>
                        </w:r>
                      </w:p>
                    </w:tc>
                    <w:tc>
                      <w:tcPr>
                        <w:tcW w:w="8820" w:type="dxa"/>
                        <w:tcBorders>
                          <w:top w:val="single" w:sz="6" w:space="0" w:color="auto"/>
                          <w:left w:val="single" w:sz="6" w:space="0" w:color="auto"/>
                          <w:bottom w:val="single" w:sz="6" w:space="0" w:color="auto"/>
                          <w:right w:val="single" w:sz="6" w:space="0" w:color="auto"/>
                        </w:tcBorders>
                      </w:tcPr>
                      <w:p>
                        <w:pPr>
                          <w:tabs>
                            <w:tab w:val="left" w:pos="1296"/>
                            <w:tab w:val="center" w:pos="4153"/>
                            <w:tab w:val="right" w:pos="8306"/>
                          </w:tabs>
                          <w:rPr>
                            <w:sz w:val="22"/>
                            <w:szCs w:val="22"/>
                          </w:rPr>
                        </w:pPr>
                        <w:r>
                          <w:rPr>
                            <w:sz w:val="22"/>
                            <w:szCs w:val="22"/>
                          </w:rPr>
                          <w:t>Vokų ligos su regėjimo funkcijos sutrikimu, stabilūs vokų gleivinės pakitimai, vokų raumenų parezės, trukdantys regėjimui arba ribojantys akies obuolio judesius: H02.0–H02.5. Įgimtos vokų, ašarų aparato ir akiduobės formavimosi ydos Q10.0–Q10.3.</w:t>
                        </w:r>
                      </w:p>
                      <w:p>
                        <w:pPr>
                          <w:tabs>
                            <w:tab w:val="left" w:pos="1296"/>
                            <w:tab w:val="center" w:pos="4153"/>
                            <w:tab w:val="right" w:pos="8306"/>
                          </w:tabs>
                          <w:rPr>
                            <w:sz w:val="22"/>
                            <w:szCs w:val="22"/>
                          </w:rPr>
                        </w:pPr>
                        <w:r>
                          <w:rPr>
                            <w:sz w:val="22"/>
                            <w:szCs w:val="22"/>
                            <w:lang w:val="pt-BR"/>
                          </w:rPr>
                          <w:t xml:space="preserve">Pastaba. </w:t>
                        </w:r>
                        <w:r>
                          <w:rPr>
                            <w:sz w:val="22"/>
                            <w:szCs w:val="22"/>
                          </w:rPr>
                          <w:t>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1.4.</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Lėtinės ašarų sistemos ligos, neišgydomas ašarojimas: H04.2, H04.4, H04.5, H04.6; H04.8; H04.9</w:t>
                        </w:r>
                      </w:p>
                      <w:p>
                        <w:pPr>
                          <w:rPr>
                            <w:sz w:val="22"/>
                            <w:szCs w:val="22"/>
                            <w:lang w:val="pt-BR"/>
                          </w:rPr>
                        </w:pPr>
                        <w:r>
                          <w:rPr>
                            <w:sz w:val="22"/>
                            <w:szCs w:val="22"/>
                            <w:lang w:val="pt-BR"/>
                          </w:rPr>
                          <w:t>Pastaba. 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1.5.</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 xml:space="preserve">Diplopija ir žvairumas: H49–H50 </w:t>
                        </w:r>
                      </w:p>
                      <w:p>
                        <w:pPr>
                          <w:rPr>
                            <w:sz w:val="22"/>
                            <w:szCs w:val="22"/>
                            <w:lang w:val="pt-BR"/>
                          </w:rPr>
                        </w:pPr>
                        <w:r>
                          <w:rPr>
                            <w:sz w:val="22"/>
                            <w:szCs w:val="22"/>
                            <w:lang w:val="pt-BR"/>
                          </w:rPr>
                          <w:t>Pastaba. Traukinio mašinistu mokytis ir dirbti gali</w:t>
                        </w:r>
                        <w:r>
                          <w:rPr>
                            <w:sz w:val="22"/>
                            <w:szCs w:val="22"/>
                          </w:rPr>
                          <w:t>.</w:t>
                        </w:r>
                        <w:r>
                          <w:rPr>
                            <w:sz w:val="22"/>
                            <w:szCs w:val="22"/>
                            <w:lang w:val="pt-BR"/>
                          </w:rPr>
                          <w:t xml:space="preserve"> Išimtis galima daryti ypatingais atvejais, individualiu gydytojo oftalmologo sprendimu.</w:t>
                        </w:r>
                        <w:r>
                          <w:rPr>
                            <w:i/>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1.6.</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 xml:space="preserve">Lęšiuko ligos H 25–H 28, gyslainės ir tinklainės uždegimas H30–H36, </w:t>
                        </w:r>
                      </w:p>
                      <w:p>
                        <w:pPr>
                          <w:rPr>
                            <w:sz w:val="22"/>
                            <w:szCs w:val="22"/>
                            <w:lang w:val="pt-BR"/>
                          </w:rPr>
                        </w:pPr>
                        <w:r>
                          <w:rPr>
                            <w:sz w:val="22"/>
                            <w:szCs w:val="22"/>
                            <w:lang w:val="pt-BR"/>
                          </w:rPr>
                          <w:t>kitos regos nervo (2-ojo) ir regos takų ligos H47</w:t>
                        </w:r>
                      </w:p>
                      <w:p>
                        <w:pPr>
                          <w:rPr>
                            <w:sz w:val="22"/>
                            <w:szCs w:val="22"/>
                            <w:lang w:val="pt-BR"/>
                          </w:rPr>
                        </w:pPr>
                        <w:r>
                          <w:rPr>
                            <w:sz w:val="22"/>
                            <w:szCs w:val="22"/>
                            <w:lang w:val="pt-BR"/>
                          </w:rPr>
                          <w:t>Pastaba. Regėjimo susilpnėjimas dėl nuolatinio šviesos laužiamųjų skaidrių terpių drumstumo arba akių dugno pakitimų, refrakcijos anomalijų ir kitų organinio pobūdžio priežasčių.</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r>
                          <w:rPr>
                            <w:sz w:val="22"/>
                            <w:szCs w:val="22"/>
                            <w:lang w:val="pt-BR"/>
                          </w:rPr>
                          <w:t>Jei regėjimas mažesnis kaip 1,0 geresniosios akies ir mažiau kaip 0,5 su korekcija blogiau matančios akies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r>
                          <w:rPr>
                            <w:sz w:val="22"/>
                            <w:szCs w:val="22"/>
                            <w:lang w:val="pt-BR"/>
                          </w:rPr>
                          <w:t>Jei regėjimas mažesnis kaip 1,0 geresniosios akies ir mažiau kaip 0,5 su korekcija blogiau matančios akies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1.7.</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 xml:space="preserve">Silpnas abiejų akių regėjimas H54.2 </w:t>
                        </w:r>
                      </w:p>
                      <w:p>
                        <w:pP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Regėjimas su korekcija silpnesnis kaip 0,5 žiūrint abiem akimis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Regėjimas su korekcija silpnesnis kaip 0,5 žiūrint abiem akimis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1.8.</w:t>
                        </w:r>
                      </w:p>
                    </w:tc>
                    <w:tc>
                      <w:tcPr>
                        <w:tcW w:w="8820"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Akipločio defektai H53.4</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1.9.</w:t>
                        </w:r>
                      </w:p>
                    </w:tc>
                    <w:tc>
                      <w:tcPr>
                        <w:tcW w:w="8820"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Spalvinio matymo trūkumai H53.5</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r>
                          <w:rPr>
                            <w:sz w:val="22"/>
                            <w:szCs w:val="22"/>
                          </w:rPr>
                          <w:t>Draudžiama</w:t>
                        </w:r>
                      </w:p>
                    </w:tc>
                  </w:tr>
                  <w:tr>
                    <w:trPr>
                      <w:cantSplit/>
                      <w:trHeight w:val="20"/>
                    </w:trPr>
                    <w:tc>
                      <w:tcPr>
                        <w:tcW w:w="720" w:type="dxa"/>
                      </w:tcPr>
                      <w:p>
                        <w:pPr>
                          <w:rPr>
                            <w:sz w:val="22"/>
                            <w:szCs w:val="22"/>
                          </w:rPr>
                        </w:pPr>
                        <w:r>
                          <w:rPr>
                            <w:sz w:val="22"/>
                            <w:szCs w:val="22"/>
                          </w:rPr>
                          <w:t xml:space="preserve">2 </w:t>
                        </w:r>
                      </w:p>
                    </w:tc>
                    <w:tc>
                      <w:tcPr>
                        <w:tcW w:w="8820" w:type="dxa"/>
                      </w:tcPr>
                      <w:p>
                        <w:pPr>
                          <w:rPr>
                            <w:b/>
                            <w:bCs/>
                            <w:sz w:val="22"/>
                            <w:szCs w:val="22"/>
                            <w:lang w:val="pt-BR"/>
                          </w:rPr>
                        </w:pPr>
                        <w:r>
                          <w:rPr>
                            <w:b/>
                            <w:bCs/>
                            <w:sz w:val="22"/>
                            <w:szCs w:val="22"/>
                            <w:lang w:val="pt-BR"/>
                          </w:rPr>
                          <w:t>KLAUSA</w:t>
                        </w:r>
                      </w:p>
                      <w:p>
                        <w:pPr>
                          <w:rPr>
                            <w:sz w:val="22"/>
                            <w:szCs w:val="22"/>
                            <w:lang w:val="pt-BR"/>
                          </w:rPr>
                        </w:pPr>
                        <w:r>
                          <w:rPr>
                            <w:bCs/>
                            <w:sz w:val="22"/>
                            <w:szCs w:val="22"/>
                            <w:lang w:val="pt-BR"/>
                          </w:rPr>
                          <w:t>Sergant šiomis ausies ir speninės ataugos ligomis:</w:t>
                        </w:r>
                      </w:p>
                    </w:tc>
                    <w:tc>
                      <w:tcPr>
                        <w:tcW w:w="2340" w:type="dxa"/>
                        <w:shd w:val="clear" w:color="auto" w:fill="auto"/>
                      </w:tcPr>
                      <w:p>
                        <w:pPr>
                          <w:jc w:val="center"/>
                          <w:rPr>
                            <w:sz w:val="22"/>
                            <w:szCs w:val="22"/>
                            <w:lang w:val="pt-BR"/>
                          </w:rPr>
                        </w:pPr>
                      </w:p>
                    </w:tc>
                    <w:tc>
                      <w:tcPr>
                        <w:tcW w:w="2340" w:type="dxa"/>
                        <w:shd w:val="clear" w:color="auto" w:fill="auto"/>
                      </w:tcPr>
                      <w:p>
                        <w:pPr>
                          <w:jc w:val="center"/>
                          <w:rPr>
                            <w:sz w:val="22"/>
                            <w:szCs w:val="22"/>
                            <w:lang w:val="pt-BR"/>
                          </w:rPr>
                        </w:pPr>
                      </w:p>
                    </w:tc>
                  </w:tr>
                  <w:tr>
                    <w:trPr>
                      <w:cantSplit/>
                      <w:trHeight w:val="20"/>
                    </w:trPr>
                    <w:tc>
                      <w:tcPr>
                        <w:tcW w:w="720" w:type="dxa"/>
                      </w:tcPr>
                      <w:p>
                        <w:pPr>
                          <w:rPr>
                            <w:sz w:val="22"/>
                            <w:szCs w:val="22"/>
                          </w:rPr>
                        </w:pPr>
                        <w:r>
                          <w:rPr>
                            <w:sz w:val="22"/>
                            <w:szCs w:val="22"/>
                          </w:rPr>
                          <w:t>2.1.</w:t>
                        </w:r>
                      </w:p>
                    </w:tc>
                    <w:tc>
                      <w:tcPr>
                        <w:tcW w:w="8820" w:type="dxa"/>
                      </w:tcPr>
                      <w:p>
                        <w:pPr>
                          <w:rPr>
                            <w:sz w:val="22"/>
                            <w:szCs w:val="22"/>
                            <w:lang w:val="pt-BR"/>
                          </w:rPr>
                        </w:pPr>
                        <w:r>
                          <w:rPr>
                            <w:bCs/>
                            <w:sz w:val="22"/>
                            <w:szCs w:val="22"/>
                            <w:lang w:val="pt-BR"/>
                          </w:rPr>
                          <w:t>Vienpusiu ar abipusiu kurtumu H91.3</w:t>
                        </w:r>
                      </w:p>
                    </w:tc>
                    <w:tc>
                      <w:tcPr>
                        <w:tcW w:w="2340" w:type="dxa"/>
                        <w:shd w:val="clear" w:color="auto" w:fill="auto"/>
                      </w:tcPr>
                      <w:p>
                        <w:pPr>
                          <w:jc w:val="center"/>
                          <w:rPr>
                            <w:sz w:val="22"/>
                            <w:szCs w:val="22"/>
                          </w:rPr>
                        </w:pPr>
                        <w:r>
                          <w:rPr>
                            <w:sz w:val="22"/>
                            <w:szCs w:val="22"/>
                          </w:rPr>
                          <w:t>Draudžiama</w:t>
                        </w:r>
                      </w:p>
                    </w:tc>
                    <w:tc>
                      <w:tcPr>
                        <w:tcW w:w="2340" w:type="dxa"/>
                        <w:shd w:val="clear" w:color="auto" w:fill="auto"/>
                      </w:tcPr>
                      <w:p>
                        <w:pPr>
                          <w:jc w:val="center"/>
                          <w:rPr>
                            <w:sz w:val="22"/>
                            <w:szCs w:val="22"/>
                          </w:rPr>
                        </w:pPr>
                        <w:r>
                          <w:rPr>
                            <w:sz w:val="22"/>
                            <w:szCs w:val="22"/>
                          </w:rPr>
                          <w:t>Draudžiama</w:t>
                        </w:r>
                      </w:p>
                    </w:tc>
                  </w:tr>
                  <w:tr>
                    <w:trPr>
                      <w:cantSplit/>
                      <w:trHeight w:val="20"/>
                    </w:trPr>
                    <w:tc>
                      <w:tcPr>
                        <w:tcW w:w="720" w:type="dxa"/>
                      </w:tcPr>
                      <w:p>
                        <w:pPr>
                          <w:rPr>
                            <w:sz w:val="22"/>
                            <w:szCs w:val="22"/>
                          </w:rPr>
                        </w:pPr>
                        <w:r>
                          <w:rPr>
                            <w:sz w:val="22"/>
                            <w:szCs w:val="22"/>
                          </w:rPr>
                          <w:t>2.2.</w:t>
                        </w:r>
                      </w:p>
                    </w:tc>
                    <w:tc>
                      <w:tcPr>
                        <w:tcW w:w="8820" w:type="dxa"/>
                      </w:tcPr>
                      <w:p>
                        <w:pPr>
                          <w:rPr>
                            <w:bCs/>
                            <w:sz w:val="22"/>
                            <w:szCs w:val="22"/>
                          </w:rPr>
                        </w:pPr>
                        <w:r>
                          <w:rPr>
                            <w:bCs/>
                            <w:sz w:val="22"/>
                            <w:szCs w:val="22"/>
                          </w:rPr>
                          <w:t>otosclerozė H80.0</w:t>
                        </w:r>
                      </w:p>
                      <w:p>
                        <w:pPr>
                          <w:rPr>
                            <w:sz w:val="22"/>
                            <w:szCs w:val="22"/>
                          </w:rPr>
                        </w:pPr>
                        <w:r>
                          <w:rPr>
                            <w:sz w:val="22"/>
                            <w:szCs w:val="22"/>
                            <w:lang w:val="pt-BR"/>
                          </w:rPr>
                          <w:t>Pastaba. J</w:t>
                        </w:r>
                        <w:r>
                          <w:rPr>
                            <w:bCs/>
                            <w:sz w:val="22"/>
                            <w:szCs w:val="22"/>
                          </w:rPr>
                          <w:t>ei po gydymo pasveikstama (ausis nepūliuoja, nėra svaigimo, klausa atitinka reikalavimus) apie tinkamumą mokytis ir dirbti sprendžia gydytojas otorinolaringologas</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Pr>
                      <w:p>
                        <w:pPr>
                          <w:rPr>
                            <w:sz w:val="22"/>
                            <w:szCs w:val="22"/>
                          </w:rPr>
                        </w:pPr>
                        <w:r>
                          <w:rPr>
                            <w:sz w:val="22"/>
                            <w:szCs w:val="22"/>
                          </w:rPr>
                          <w:t>2.3.</w:t>
                        </w:r>
                      </w:p>
                    </w:tc>
                    <w:tc>
                      <w:tcPr>
                        <w:tcW w:w="8820" w:type="dxa"/>
                      </w:tcPr>
                      <w:p>
                        <w:pPr>
                          <w:rPr>
                            <w:bCs/>
                            <w:sz w:val="22"/>
                            <w:szCs w:val="22"/>
                          </w:rPr>
                        </w:pPr>
                        <w:r>
                          <w:rPr>
                            <w:bCs/>
                            <w:sz w:val="22"/>
                            <w:szCs w:val="22"/>
                          </w:rPr>
                          <w:t>lėtine atikoantraline liga H66.2 svaigimas</w:t>
                        </w:r>
                      </w:p>
                      <w:p>
                        <w:pPr>
                          <w:rPr>
                            <w:sz w:val="22"/>
                            <w:szCs w:val="22"/>
                          </w:rPr>
                        </w:pPr>
                        <w:r>
                          <w:rPr>
                            <w:bCs/>
                            <w:sz w:val="22"/>
                            <w:szCs w:val="22"/>
                          </w:rPr>
                          <w:t>Pastaba. Jei po gydymo pasveikstama: ausis nepūliuoja, nėra svaigimo, klausa atitinka reikalavimus apie tinkamumą mokytis ir dirbti sprendžia gydytojas otorinolaringologas.</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Pr>
                      <w:p>
                        <w:pPr>
                          <w:rPr>
                            <w:sz w:val="22"/>
                            <w:szCs w:val="22"/>
                          </w:rPr>
                        </w:pPr>
                        <w:r>
                          <w:rPr>
                            <w:sz w:val="22"/>
                            <w:szCs w:val="22"/>
                          </w:rPr>
                          <w:t>2.4.</w:t>
                        </w:r>
                      </w:p>
                    </w:tc>
                    <w:tc>
                      <w:tcPr>
                        <w:tcW w:w="8820" w:type="dxa"/>
                      </w:tcPr>
                      <w:p>
                        <w:pPr>
                          <w:rPr>
                            <w:bCs/>
                            <w:sz w:val="22"/>
                            <w:szCs w:val="22"/>
                            <w:lang w:val="pt-BR"/>
                          </w:rPr>
                        </w:pPr>
                        <w:r>
                          <w:rPr>
                            <w:bCs/>
                            <w:sz w:val="22"/>
                            <w:szCs w:val="22"/>
                            <w:lang w:val="pt-BR"/>
                          </w:rPr>
                          <w:t>Sergant kitomis ausų, nosies, gerklės ligomis:</w:t>
                        </w:r>
                      </w:p>
                    </w:tc>
                    <w:tc>
                      <w:tcPr>
                        <w:tcW w:w="2340" w:type="dxa"/>
                        <w:shd w:val="clear" w:color="auto" w:fill="auto"/>
                      </w:tcPr>
                      <w:p>
                        <w:pPr>
                          <w:jc w:val="center"/>
                          <w:rPr>
                            <w:sz w:val="22"/>
                            <w:szCs w:val="22"/>
                            <w:lang w:val="fr-FR"/>
                          </w:rPr>
                        </w:pPr>
                      </w:p>
                    </w:tc>
                    <w:tc>
                      <w:tcPr>
                        <w:tcW w:w="2340" w:type="dxa"/>
                        <w:shd w:val="clear" w:color="auto" w:fill="auto"/>
                      </w:tcPr>
                      <w:p>
                        <w:pPr>
                          <w:jc w:val="center"/>
                          <w:rPr>
                            <w:sz w:val="22"/>
                            <w:szCs w:val="22"/>
                            <w:lang w:val="fr-FR"/>
                          </w:rPr>
                        </w:pPr>
                      </w:p>
                    </w:tc>
                  </w:tr>
                  <w:tr>
                    <w:trPr>
                      <w:cantSplit/>
                      <w:trHeight w:val="20"/>
                    </w:trPr>
                    <w:tc>
                      <w:tcPr>
                        <w:tcW w:w="720" w:type="dxa"/>
                      </w:tcPr>
                      <w:p>
                        <w:pPr>
                          <w:rPr>
                            <w:sz w:val="22"/>
                            <w:szCs w:val="22"/>
                          </w:rPr>
                        </w:pPr>
                        <w:r>
                          <w:rPr>
                            <w:sz w:val="22"/>
                            <w:szCs w:val="22"/>
                          </w:rPr>
                          <w:t>2.5.</w:t>
                        </w:r>
                      </w:p>
                    </w:tc>
                    <w:tc>
                      <w:tcPr>
                        <w:tcW w:w="8820" w:type="dxa"/>
                      </w:tcPr>
                      <w:p>
                        <w:pPr>
                          <w:rPr>
                            <w:sz w:val="22"/>
                            <w:szCs w:val="22"/>
                          </w:rPr>
                        </w:pPr>
                        <w:r>
                          <w:rPr>
                            <w:bCs/>
                            <w:sz w:val="22"/>
                            <w:szCs w:val="22"/>
                            <w:lang w:val="pt-BR"/>
                          </w:rPr>
                          <w:t>Menjero liga H81.0 svaigimas</w:t>
                        </w:r>
                      </w:p>
                    </w:tc>
                    <w:tc>
                      <w:tcPr>
                        <w:tcW w:w="2340" w:type="dxa"/>
                        <w:shd w:val="clear" w:color="auto" w:fill="auto"/>
                      </w:tcPr>
                      <w:p>
                        <w:pPr>
                          <w:jc w:val="center"/>
                          <w:rPr>
                            <w:sz w:val="22"/>
                            <w:szCs w:val="22"/>
                          </w:rPr>
                        </w:pPr>
                        <w:r>
                          <w:rPr>
                            <w:sz w:val="22"/>
                            <w:szCs w:val="22"/>
                          </w:rPr>
                          <w:t>Draudžiama</w:t>
                        </w:r>
                      </w:p>
                    </w:tc>
                    <w:tc>
                      <w:tcPr>
                        <w:tcW w:w="2340" w:type="dxa"/>
                        <w:shd w:val="clear" w:color="auto" w:fill="auto"/>
                      </w:tcPr>
                      <w:p>
                        <w:pPr>
                          <w:jc w:val="center"/>
                          <w:rPr>
                            <w:sz w:val="22"/>
                            <w:szCs w:val="22"/>
                          </w:rPr>
                        </w:pPr>
                        <w:r>
                          <w:rPr>
                            <w:sz w:val="22"/>
                            <w:szCs w:val="22"/>
                          </w:rPr>
                          <w:t>Draudžiama</w:t>
                        </w:r>
                      </w:p>
                    </w:tc>
                  </w:tr>
                  <w:tr>
                    <w:trPr>
                      <w:cantSplit/>
                      <w:trHeight w:val="20"/>
                    </w:trPr>
                    <w:tc>
                      <w:tcPr>
                        <w:tcW w:w="720" w:type="dxa"/>
                      </w:tcPr>
                      <w:p>
                        <w:pPr>
                          <w:rPr>
                            <w:sz w:val="22"/>
                            <w:szCs w:val="22"/>
                          </w:rPr>
                        </w:pPr>
                        <w:r>
                          <w:rPr>
                            <w:sz w:val="22"/>
                            <w:szCs w:val="22"/>
                          </w:rPr>
                          <w:t>2.6.</w:t>
                        </w:r>
                      </w:p>
                    </w:tc>
                    <w:tc>
                      <w:tcPr>
                        <w:tcW w:w="8820" w:type="dxa"/>
                      </w:tcPr>
                      <w:p>
                        <w:pPr>
                          <w:rPr>
                            <w:bCs/>
                            <w:sz w:val="22"/>
                            <w:szCs w:val="22"/>
                          </w:rPr>
                        </w:pPr>
                        <w:r>
                          <w:rPr>
                            <w:bCs/>
                            <w:sz w:val="22"/>
                            <w:szCs w:val="22"/>
                          </w:rPr>
                          <w:t xml:space="preserve">Kitų ir nepatikslintų lokalizacijų gerybiniai navikai D36 klausos </w:t>
                        </w:r>
                        <w:r>
                          <w:rPr>
                            <w:sz w:val="22"/>
                            <w:szCs w:val="22"/>
                          </w:rPr>
                          <w:t>(8-ojo)</w:t>
                        </w:r>
                        <w:r>
                          <w:rPr>
                            <w:bCs/>
                            <w:sz w:val="22"/>
                            <w:szCs w:val="22"/>
                          </w:rPr>
                          <w:t xml:space="preserve"> nervo neurinoma D36.1) svaigimas</w:t>
                        </w:r>
                      </w:p>
                    </w:tc>
                    <w:tc>
                      <w:tcPr>
                        <w:tcW w:w="2340" w:type="dxa"/>
                        <w:shd w:val="clear" w:color="auto" w:fill="auto"/>
                      </w:tcPr>
                      <w:p>
                        <w:pPr>
                          <w:jc w:val="center"/>
                          <w:rPr>
                            <w:sz w:val="22"/>
                            <w:szCs w:val="22"/>
                          </w:rPr>
                        </w:pPr>
                        <w:r>
                          <w:rPr>
                            <w:sz w:val="22"/>
                            <w:szCs w:val="22"/>
                          </w:rPr>
                          <w:t>Draudžiama</w:t>
                        </w:r>
                      </w:p>
                    </w:tc>
                    <w:tc>
                      <w:tcPr>
                        <w:tcW w:w="2340" w:type="dxa"/>
                        <w:shd w:val="clear" w:color="auto" w:fill="auto"/>
                      </w:tcPr>
                      <w:p>
                        <w:pPr>
                          <w:jc w:val="center"/>
                          <w:rPr>
                            <w:sz w:val="22"/>
                            <w:szCs w:val="22"/>
                          </w:rPr>
                        </w:pPr>
                        <w:r>
                          <w:rPr>
                            <w:sz w:val="22"/>
                            <w:szCs w:val="22"/>
                          </w:rPr>
                          <w:t>Draudžiama</w:t>
                        </w:r>
                      </w:p>
                    </w:tc>
                  </w:tr>
                  <w:tr>
                    <w:trPr>
                      <w:cantSplit/>
                      <w:trHeight w:val="20"/>
                    </w:trPr>
                    <w:tc>
                      <w:tcPr>
                        <w:tcW w:w="720" w:type="dxa"/>
                      </w:tcPr>
                      <w:p>
                        <w:pPr>
                          <w:rPr>
                            <w:sz w:val="22"/>
                            <w:szCs w:val="22"/>
                          </w:rPr>
                        </w:pPr>
                        <w:r>
                          <w:rPr>
                            <w:sz w:val="22"/>
                            <w:szCs w:val="22"/>
                          </w:rPr>
                          <w:t>2.7.</w:t>
                        </w:r>
                      </w:p>
                    </w:tc>
                    <w:tc>
                      <w:tcPr>
                        <w:tcW w:w="8820" w:type="dxa"/>
                      </w:tcPr>
                      <w:p>
                        <w:pPr>
                          <w:rPr>
                            <w:bCs/>
                            <w:sz w:val="22"/>
                            <w:szCs w:val="22"/>
                          </w:rPr>
                        </w:pPr>
                        <w:r>
                          <w:rPr>
                            <w:bCs/>
                            <w:sz w:val="22"/>
                            <w:szCs w:val="22"/>
                          </w:rPr>
                          <w:t>Gerklų stenoze su ryškiu kvėpavimo ir kalbos funkcijų sutrikimu: gerklų papilomatoze D14.0</w:t>
                        </w:r>
                      </w:p>
                    </w:tc>
                    <w:tc>
                      <w:tcPr>
                        <w:tcW w:w="2340" w:type="dxa"/>
                        <w:shd w:val="clear" w:color="auto" w:fill="auto"/>
                      </w:tcPr>
                      <w:p>
                        <w:pPr>
                          <w:jc w:val="center"/>
                          <w:rPr>
                            <w:sz w:val="22"/>
                            <w:szCs w:val="22"/>
                          </w:rPr>
                        </w:pPr>
                        <w:r>
                          <w:rPr>
                            <w:sz w:val="22"/>
                            <w:szCs w:val="22"/>
                          </w:rPr>
                          <w:t>Draudžiama</w:t>
                        </w:r>
                      </w:p>
                    </w:tc>
                    <w:tc>
                      <w:tcPr>
                        <w:tcW w:w="2340" w:type="dxa"/>
                        <w:shd w:val="clear" w:color="auto" w:fill="auto"/>
                      </w:tcPr>
                      <w:p>
                        <w:pPr>
                          <w:jc w:val="center"/>
                          <w:rPr>
                            <w:sz w:val="22"/>
                            <w:szCs w:val="22"/>
                          </w:rPr>
                        </w:pPr>
                        <w:r>
                          <w:rPr>
                            <w:sz w:val="22"/>
                            <w:szCs w:val="22"/>
                          </w:rPr>
                          <w:t>Draudžiama</w:t>
                        </w:r>
                      </w:p>
                    </w:tc>
                  </w:tr>
                  <w:tr>
                    <w:trPr>
                      <w:cantSplit/>
                      <w:trHeight w:val="20"/>
                    </w:trPr>
                    <w:tc>
                      <w:tcPr>
                        <w:tcW w:w="720" w:type="dxa"/>
                      </w:tcPr>
                      <w:p>
                        <w:pPr>
                          <w:rPr>
                            <w:sz w:val="22"/>
                            <w:szCs w:val="22"/>
                          </w:rPr>
                        </w:pPr>
                        <w:r>
                          <w:rPr>
                            <w:sz w:val="22"/>
                            <w:szCs w:val="22"/>
                          </w:rPr>
                          <w:t>2.8.</w:t>
                        </w:r>
                      </w:p>
                    </w:tc>
                    <w:tc>
                      <w:tcPr>
                        <w:tcW w:w="8820" w:type="dxa"/>
                      </w:tcPr>
                      <w:p>
                        <w:pPr>
                          <w:rPr>
                            <w:bCs/>
                            <w:sz w:val="22"/>
                            <w:szCs w:val="22"/>
                          </w:rPr>
                        </w:pPr>
                        <w:r>
                          <w:rPr>
                            <w:bCs/>
                            <w:sz w:val="22"/>
                            <w:szCs w:val="22"/>
                          </w:rPr>
                          <w:t>abipusiu balso klosčių paralyžiumi J38.0</w:t>
                        </w:r>
                      </w:p>
                      <w:p>
                        <w:pPr>
                          <w:rPr>
                            <w:bCs/>
                            <w:sz w:val="22"/>
                            <w:szCs w:val="22"/>
                          </w:rPr>
                        </w:pPr>
                        <w:r>
                          <w:rPr>
                            <w:bCs/>
                            <w:sz w:val="22"/>
                            <w:szCs w:val="22"/>
                          </w:rPr>
                          <w:t>Pastaba: jei po gydymo kvėpavimo ir kalbos funkcijų sutrikimų nėra, gali būti tinkami dirbti.</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Pr>
                      <w:p>
                        <w:pPr>
                          <w:rPr>
                            <w:sz w:val="22"/>
                            <w:szCs w:val="22"/>
                          </w:rPr>
                        </w:pPr>
                        <w:r>
                          <w:rPr>
                            <w:sz w:val="22"/>
                            <w:szCs w:val="22"/>
                          </w:rPr>
                          <w:t>2.9.</w:t>
                        </w:r>
                      </w:p>
                    </w:tc>
                    <w:tc>
                      <w:tcPr>
                        <w:tcW w:w="8820" w:type="dxa"/>
                      </w:tcPr>
                      <w:p>
                        <w:pPr>
                          <w:rPr>
                            <w:bCs/>
                            <w:sz w:val="22"/>
                            <w:szCs w:val="22"/>
                            <w:lang w:val="pt-BR"/>
                          </w:rPr>
                        </w:pPr>
                        <w:r>
                          <w:rPr>
                            <w:bCs/>
                            <w:sz w:val="22"/>
                            <w:szCs w:val="22"/>
                            <w:lang w:val="pt-BR"/>
                          </w:rPr>
                          <w:t>gerklų ir ryklės onkologinėmis ligomis C14.0–C32.0</w:t>
                        </w:r>
                      </w:p>
                      <w:p>
                        <w:pPr>
                          <w:rPr>
                            <w:bCs/>
                            <w:sz w:val="22"/>
                            <w:szCs w:val="22"/>
                            <w:lang w:val="pt-BR"/>
                          </w:rPr>
                        </w:pPr>
                        <w:r>
                          <w:rPr>
                            <w:bCs/>
                            <w:sz w:val="22"/>
                            <w:szCs w:val="22"/>
                            <w:lang w:val="pt-BR"/>
                          </w:rPr>
                          <w:t>Pastaba: jei po gydymo kvėpavimo ir kalbos funkcijų sutrikimų nėra, gali būti tinkami dirbti.</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Pr>
                      <w:p>
                        <w:pPr>
                          <w:rPr>
                            <w:sz w:val="22"/>
                            <w:szCs w:val="22"/>
                          </w:rPr>
                        </w:pPr>
                        <w:r>
                          <w:rPr>
                            <w:sz w:val="22"/>
                            <w:szCs w:val="22"/>
                          </w:rPr>
                          <w:t>2.10.</w:t>
                        </w:r>
                      </w:p>
                    </w:tc>
                    <w:tc>
                      <w:tcPr>
                        <w:tcW w:w="8820" w:type="dxa"/>
                      </w:tcPr>
                      <w:p>
                        <w:pPr>
                          <w:rPr>
                            <w:bCs/>
                            <w:sz w:val="22"/>
                            <w:szCs w:val="22"/>
                          </w:rPr>
                        </w:pPr>
                        <w:r>
                          <w:rPr>
                            <w:bCs/>
                            <w:sz w:val="22"/>
                            <w:szCs w:val="22"/>
                          </w:rPr>
                          <w:t xml:space="preserve">Gerklų tuberkulioze A16.4 </w:t>
                        </w:r>
                      </w:p>
                      <w:p>
                        <w:pPr>
                          <w:rPr>
                            <w:bCs/>
                            <w:sz w:val="22"/>
                            <w:szCs w:val="22"/>
                          </w:rPr>
                        </w:pPr>
                        <w:r>
                          <w:rPr>
                            <w:bCs/>
                            <w:sz w:val="22"/>
                            <w:szCs w:val="22"/>
                          </w:rPr>
                          <w:t>Pastaba: jei po gydymo kvėpavimo ir kalbos funkcijų sutrikimų nėra, gali būti tinkami dirbti.</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Pr>
                      <w:p>
                        <w:pPr>
                          <w:rPr>
                            <w:sz w:val="22"/>
                            <w:szCs w:val="22"/>
                          </w:rPr>
                        </w:pPr>
                        <w:r>
                          <w:rPr>
                            <w:sz w:val="22"/>
                            <w:szCs w:val="22"/>
                          </w:rPr>
                          <w:t>2.11.</w:t>
                        </w:r>
                      </w:p>
                    </w:tc>
                    <w:tc>
                      <w:tcPr>
                        <w:tcW w:w="8820" w:type="dxa"/>
                      </w:tcPr>
                      <w:p>
                        <w:pPr>
                          <w:rPr>
                            <w:sz w:val="22"/>
                            <w:szCs w:val="22"/>
                          </w:rPr>
                        </w:pPr>
                        <w:r>
                          <w:rPr>
                            <w:sz w:val="22"/>
                            <w:szCs w:val="22"/>
                          </w:rPr>
                          <w:t xml:space="preserve">Pastaba. </w:t>
                        </w:r>
                        <w:r>
                          <w:rPr>
                            <w:sz w:val="22"/>
                            <w:szCs w:val="22"/>
                            <w:lang w:val="pt-BR"/>
                          </w:rPr>
                          <w:t xml:space="preserve">Individualiais atvejais, kai trauma ar nelaimingas atsitikimas sutrikdo klausos ar kalbos bei kvėpavimo funkcijas, sprendžia gydytojas otorinolaringologas. </w:t>
                        </w:r>
                        <w:r>
                          <w:rPr>
                            <w:sz w:val="22"/>
                            <w:szCs w:val="22"/>
                          </w:rPr>
                          <w:t>Ypatingais atvejais leidžiama naudoti klausos aparatus.</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Pr>
                      <w:p>
                        <w:pPr>
                          <w:rPr>
                            <w:sz w:val="22"/>
                            <w:szCs w:val="22"/>
                          </w:rPr>
                        </w:pPr>
                        <w:r>
                          <w:rPr>
                            <w:sz w:val="22"/>
                            <w:szCs w:val="22"/>
                          </w:rPr>
                          <w:t>3.</w:t>
                        </w:r>
                      </w:p>
                    </w:tc>
                    <w:tc>
                      <w:tcPr>
                        <w:tcW w:w="8820" w:type="dxa"/>
                      </w:tcPr>
                      <w:p>
                        <w:pPr>
                          <w:rPr>
                            <w:b/>
                            <w:sz w:val="22"/>
                            <w:szCs w:val="22"/>
                          </w:rPr>
                        </w:pPr>
                        <w:r>
                          <w:rPr>
                            <w:b/>
                            <w:sz w:val="22"/>
                            <w:szCs w:val="22"/>
                          </w:rPr>
                          <w:t>NĖŠTUMAS.</w:t>
                        </w:r>
                      </w:p>
                      <w:p>
                        <w:pPr>
                          <w:rPr>
                            <w:sz w:val="22"/>
                            <w:szCs w:val="22"/>
                          </w:rPr>
                        </w:pPr>
                        <w:r>
                          <w:rPr>
                            <w:sz w:val="22"/>
                            <w:szCs w:val="22"/>
                            <w:lang w:val="pt-BR"/>
                          </w:rPr>
                          <w:t xml:space="preserve">Esant nėštumo patologijai ar kitiems veiksniams, komplikuojantiems nėštumą, </w:t>
                        </w:r>
                        <w:r>
                          <w:rPr>
                            <w:sz w:val="22"/>
                            <w:szCs w:val="22"/>
                          </w:rPr>
                          <w:t>nėštumas turi būti laikomas priežastimi laikinai nušalinti traukinio mašinistę nuo pareigų. Turi būti taikomos nėščioms traukinio mašinistėms apsaugą teikiančios teisės aktų normos.</w:t>
                        </w:r>
                      </w:p>
                      <w:p>
                        <w:pPr>
                          <w:rPr>
                            <w:sz w:val="22"/>
                            <w:szCs w:val="22"/>
                          </w:rPr>
                        </w:pPr>
                        <w:r>
                          <w:rPr>
                            <w:sz w:val="22"/>
                            <w:szCs w:val="22"/>
                          </w:rPr>
                          <w:t xml:space="preserve">Vadovaujamasi Lietuvos Respublikos Vyriausybės 2003 m. kovo 19 d. nutarimu Nr. 340 „Dėl Nėščioms, neseniai pagimdžiusioms ar krūtimi maitinančioms moterims kenksmingų darbo sąlygų ir pavojingų veiksnių sąrašo patvirtinimo“ (Žin., 2003, Nr. </w:t>
                        </w:r>
                        <w:hyperlink r:id="rId67" w:tgtFrame="_blank" w:history="1">
                          <w:r>
                            <w:rPr>
                              <w:color w:val="0000FF" w:themeColor="hyperlink"/>
                              <w:sz w:val="22"/>
                              <w:szCs w:val="22"/>
                              <w:u w:val="single"/>
                            </w:rPr>
                            <w:t>29-1184</w:t>
                          </w:r>
                        </w:hyperlink>
                        <w:r>
                          <w:rPr>
                            <w:sz w:val="22"/>
                            <w:szCs w:val="22"/>
                          </w:rPr>
                          <w:t>) ir kitais teisės aktais.</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Pr>
                      <w:p>
                        <w:pPr>
                          <w:rPr>
                            <w:sz w:val="22"/>
                            <w:szCs w:val="22"/>
                          </w:rPr>
                        </w:pPr>
                        <w:r>
                          <w:rPr>
                            <w:sz w:val="22"/>
                            <w:szCs w:val="22"/>
                          </w:rPr>
                          <w:t>4.</w:t>
                        </w:r>
                      </w:p>
                    </w:tc>
                    <w:tc>
                      <w:tcPr>
                        <w:tcW w:w="8820" w:type="dxa"/>
                      </w:tcPr>
                      <w:p>
                        <w:pPr>
                          <w:tabs>
                            <w:tab w:val="left" w:pos="900"/>
                          </w:tabs>
                          <w:rPr>
                            <w:b/>
                            <w:sz w:val="22"/>
                            <w:szCs w:val="22"/>
                          </w:rPr>
                        </w:pPr>
                        <w:r>
                          <w:rPr>
                            <w:b/>
                            <w:sz w:val="22"/>
                            <w:szCs w:val="22"/>
                          </w:rPr>
                          <w:t>ŠIRDIES IR KRAUJAGYSLIŲ LIGOS</w:t>
                        </w:r>
                      </w:p>
                      <w:p>
                        <w:pPr>
                          <w:rPr>
                            <w:sz w:val="22"/>
                            <w:szCs w:val="22"/>
                          </w:rPr>
                        </w:pPr>
                        <w:r>
                          <w:rPr>
                            <w:sz w:val="22"/>
                            <w:szCs w:val="22"/>
                          </w:rPr>
                          <w:t xml:space="preserve">4.1. Išduoti ar neišduoti pažymėjimą įsidarbinantiesiems, kurie skundžiasi padidintu arteriniu kraujospūdžiu, sprendžiama remiantis išplėstinės klinikinės kardiologo apžiūros rezultatais, atsižvelgiant į galimas komplikacijas ir pavojų, kurį jos galėtų sukelti geležinkelių transporto eismo saugai. Dirbantiems traukinio mašinistams, sergantiems didelės rizikos arterine hipertenzija, turėtų būti nustatomi individualūs sveikatos tikrinimo terminai ir pažymėjimai atnaujinami po kardiologo konsultacijos. </w:t>
                        </w:r>
                      </w:p>
                      <w:p>
                        <w:pPr>
                          <w:rPr>
                            <w:sz w:val="22"/>
                            <w:szCs w:val="22"/>
                          </w:rPr>
                        </w:pPr>
                        <w:r>
                          <w:rPr>
                            <w:sz w:val="22"/>
                            <w:szCs w:val="22"/>
                          </w:rPr>
                          <w:t xml:space="preserve">4.2. Pažymėjimas neišduodamas įsidarbinantiesiems ar neatnaujinamas traukinio mašinistams, kurie serga stabilia III–IV f. klasės krūtinės angina ar yra persirgę ūminiais išeminiais sindromais – nestabiliąja krūtinės angina ar ūminiu miokardo infarktu be kardiologo konsultacijos. </w:t>
                        </w:r>
                      </w:p>
                      <w:p>
                        <w:pPr>
                          <w:rPr>
                            <w:sz w:val="22"/>
                            <w:szCs w:val="22"/>
                          </w:rPr>
                        </w:pPr>
                        <w:r>
                          <w:rPr>
                            <w:sz w:val="22"/>
                            <w:szCs w:val="22"/>
                          </w:rPr>
                          <w:t>4.3. Be kardiologo konsultacijos pažymėjimas neišduodamas įsidarbinantiesiems ar neatnaujinamas traukinio mašinistams, kurie serga pasikartojančiais paroksizminiais laidumo sutrikimais arba jiems diagnozuoti atrioventrikulinio ritmo sutrikimai, reikalingi gydymo.</w:t>
                        </w:r>
                      </w:p>
                      <w:p>
                        <w:pPr>
                          <w:rPr>
                            <w:sz w:val="22"/>
                            <w:szCs w:val="22"/>
                          </w:rPr>
                        </w:pPr>
                        <w:r>
                          <w:rPr>
                            <w:sz w:val="22"/>
                            <w:szCs w:val="22"/>
                          </w:rPr>
                          <w:t>Pastaba: Esant sunkiems širdies ir kraujagyslių funkcijos sutrikimams, juos koregavus, individualiu sprendimu išduoti ar neišduoti pažymėjimo įsidarbinantiesiems ir dirbti traukinio mašinistu leidžiama vadovaujantis gydytojo kardiologo išvada.</w:t>
                        </w:r>
                      </w:p>
                    </w:tc>
                    <w:tc>
                      <w:tcPr>
                        <w:tcW w:w="2340" w:type="dxa"/>
                        <w:shd w:val="clear" w:color="auto" w:fill="auto"/>
                      </w:tcPr>
                      <w:p>
                        <w:pPr>
                          <w:jc w:val="center"/>
                          <w:rPr>
                            <w:sz w:val="22"/>
                            <w:szCs w:val="22"/>
                          </w:rPr>
                        </w:pPr>
                      </w:p>
                    </w:tc>
                    <w:tc>
                      <w:tcPr>
                        <w:tcW w:w="2340" w:type="dxa"/>
                        <w:shd w:val="clear" w:color="auto" w:fill="auto"/>
                      </w:tcPr>
                      <w:p>
                        <w:pPr>
                          <w:jc w:val="center"/>
                          <w:rPr>
                            <w:sz w:val="22"/>
                            <w:szCs w:val="22"/>
                          </w:rPr>
                        </w:pPr>
                      </w:p>
                    </w:tc>
                  </w:tr>
                  <w:tr>
                    <w:trPr>
                      <w:cantSplit/>
                      <w:trHeight w:val="20"/>
                    </w:trPr>
                    <w:tc>
                      <w:tcPr>
                        <w:tcW w:w="720" w:type="dxa"/>
                      </w:tcPr>
                      <w:p>
                        <w:pPr>
                          <w:rPr>
                            <w:sz w:val="22"/>
                            <w:szCs w:val="22"/>
                          </w:rPr>
                        </w:pPr>
                        <w:r>
                          <w:rPr>
                            <w:sz w:val="22"/>
                            <w:szCs w:val="22"/>
                          </w:rPr>
                          <w:t>4.1.</w:t>
                        </w:r>
                      </w:p>
                    </w:tc>
                    <w:tc>
                      <w:tcPr>
                        <w:tcW w:w="8820" w:type="dxa"/>
                      </w:tcPr>
                      <w:p>
                        <w:pPr>
                          <w:rPr>
                            <w:sz w:val="22"/>
                            <w:szCs w:val="22"/>
                            <w:lang w:val="pt-BR"/>
                          </w:rPr>
                        </w:pPr>
                        <w:r>
                          <w:rPr>
                            <w:sz w:val="22"/>
                            <w:szCs w:val="22"/>
                            <w:lang w:val="pt-BR"/>
                          </w:rPr>
                          <w:t xml:space="preserve">II laipsnio su didele rizika ir III laipsnio arterinė hipertenzija I11–I15 </w:t>
                        </w:r>
                      </w:p>
                      <w:p>
                        <w:pPr>
                          <w:rPr>
                            <w:sz w:val="22"/>
                            <w:szCs w:val="22"/>
                            <w:lang w:val="pt-BR"/>
                          </w:rPr>
                        </w:pPr>
                        <w:r>
                          <w:rPr>
                            <w:sz w:val="22"/>
                            <w:szCs w:val="22"/>
                            <w:lang w:val="pt-BR"/>
                          </w:rPr>
                          <w:t>Pastaba: Tikrinimo terminai nustatomi individualiai.</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Pr>
                      <w:p>
                        <w:pPr>
                          <w:rPr>
                            <w:sz w:val="22"/>
                            <w:szCs w:val="22"/>
                          </w:rPr>
                        </w:pPr>
                        <w:r>
                          <w:rPr>
                            <w:sz w:val="22"/>
                            <w:szCs w:val="22"/>
                          </w:rPr>
                          <w:t>4.2.</w:t>
                        </w:r>
                      </w:p>
                    </w:tc>
                    <w:tc>
                      <w:tcPr>
                        <w:tcW w:w="8820" w:type="dxa"/>
                      </w:tcPr>
                      <w:p>
                        <w:pPr>
                          <w:rPr>
                            <w:sz w:val="22"/>
                            <w:szCs w:val="22"/>
                          </w:rPr>
                        </w:pPr>
                        <w:r>
                          <w:rPr>
                            <w:sz w:val="22"/>
                            <w:szCs w:val="22"/>
                          </w:rPr>
                          <w:t>Nekoreguoti ir pasikartojantys paroksizminės skilvelinės tachikardijos epizodai su hemodinamikos sutrikimais I 47.2.</w:t>
                        </w:r>
                      </w:p>
                    </w:tc>
                    <w:tc>
                      <w:tcPr>
                        <w:tcW w:w="2340" w:type="dxa"/>
                        <w:shd w:val="clear" w:color="auto" w:fill="auto"/>
                      </w:tcPr>
                      <w:p>
                        <w:pPr>
                          <w:jc w:val="center"/>
                          <w:rPr>
                            <w:sz w:val="22"/>
                            <w:szCs w:val="22"/>
                          </w:rPr>
                        </w:pPr>
                        <w:r>
                          <w:rPr>
                            <w:sz w:val="22"/>
                            <w:szCs w:val="22"/>
                          </w:rPr>
                          <w:t>Draudžiama</w:t>
                        </w:r>
                      </w:p>
                    </w:tc>
                    <w:tc>
                      <w:tcPr>
                        <w:tcW w:w="2340" w:type="dxa"/>
                        <w:shd w:val="clear" w:color="auto" w:fill="auto"/>
                      </w:tcPr>
                      <w:p>
                        <w:pPr>
                          <w:jc w:val="center"/>
                          <w:rPr>
                            <w:sz w:val="22"/>
                            <w:szCs w:val="22"/>
                          </w:rPr>
                        </w:pPr>
                        <w:r>
                          <w:rPr>
                            <w:sz w:val="22"/>
                            <w:szCs w:val="22"/>
                          </w:rPr>
                          <w:t>Draudžiama</w:t>
                        </w:r>
                      </w:p>
                    </w:tc>
                  </w:tr>
                  <w:tr>
                    <w:trPr>
                      <w:cantSplit/>
                      <w:trHeight w:val="20"/>
                    </w:trPr>
                    <w:tc>
                      <w:tcPr>
                        <w:tcW w:w="720" w:type="dxa"/>
                      </w:tcPr>
                      <w:p>
                        <w:pPr>
                          <w:rPr>
                            <w:sz w:val="22"/>
                            <w:szCs w:val="22"/>
                          </w:rPr>
                        </w:pPr>
                        <w:r>
                          <w:rPr>
                            <w:sz w:val="22"/>
                            <w:szCs w:val="22"/>
                          </w:rPr>
                          <w:t>4.3.</w:t>
                        </w:r>
                      </w:p>
                    </w:tc>
                    <w:tc>
                      <w:tcPr>
                        <w:tcW w:w="8820" w:type="dxa"/>
                      </w:tcPr>
                      <w:p>
                        <w:pPr>
                          <w:tabs>
                            <w:tab w:val="left" w:pos="900"/>
                          </w:tabs>
                          <w:rPr>
                            <w:sz w:val="22"/>
                            <w:szCs w:val="22"/>
                          </w:rPr>
                        </w:pPr>
                        <w:r>
                          <w:rPr>
                            <w:sz w:val="22"/>
                            <w:szCs w:val="22"/>
                          </w:rPr>
                          <w:t>Nekoreguota atrioventrikulinė blokada su hemodinamikos sutrikimais I 44.2.</w:t>
                        </w:r>
                      </w:p>
                    </w:tc>
                    <w:tc>
                      <w:tcPr>
                        <w:tcW w:w="2340" w:type="dxa"/>
                        <w:shd w:val="clear" w:color="auto" w:fill="auto"/>
                      </w:tcPr>
                      <w:p>
                        <w:pPr>
                          <w:jc w:val="center"/>
                          <w:rPr>
                            <w:sz w:val="22"/>
                            <w:szCs w:val="22"/>
                          </w:rPr>
                        </w:pPr>
                        <w:r>
                          <w:rPr>
                            <w:sz w:val="22"/>
                            <w:szCs w:val="22"/>
                          </w:rPr>
                          <w:t>Draudžiama</w:t>
                        </w:r>
                      </w:p>
                    </w:tc>
                    <w:tc>
                      <w:tcPr>
                        <w:tcW w:w="2340" w:type="dxa"/>
                        <w:shd w:val="clear" w:color="auto" w:fill="auto"/>
                      </w:tcPr>
                      <w:p>
                        <w:pPr>
                          <w:jc w:val="center"/>
                          <w:rPr>
                            <w:sz w:val="22"/>
                            <w:szCs w:val="22"/>
                          </w:rPr>
                        </w:pPr>
                        <w:r>
                          <w:rPr>
                            <w:sz w:val="22"/>
                            <w:szCs w:val="22"/>
                          </w:rPr>
                          <w:t>Draudžiama</w:t>
                        </w:r>
                      </w:p>
                    </w:tc>
                  </w:tr>
                  <w:tr>
                    <w:trPr>
                      <w:cantSplit/>
                      <w:trHeight w:val="20"/>
                    </w:trPr>
                    <w:tc>
                      <w:tcPr>
                        <w:tcW w:w="720" w:type="dxa"/>
                      </w:tcPr>
                      <w:p>
                        <w:pPr>
                          <w:rPr>
                            <w:sz w:val="22"/>
                            <w:szCs w:val="22"/>
                          </w:rPr>
                        </w:pPr>
                        <w:r>
                          <w:rPr>
                            <w:sz w:val="22"/>
                            <w:szCs w:val="22"/>
                          </w:rPr>
                          <w:t>5.</w:t>
                        </w:r>
                      </w:p>
                    </w:tc>
                    <w:tc>
                      <w:tcPr>
                        <w:tcW w:w="8820" w:type="dxa"/>
                      </w:tcPr>
                      <w:p>
                        <w:pPr>
                          <w:rPr>
                            <w:sz w:val="22"/>
                            <w:szCs w:val="22"/>
                            <w:lang w:val="pt-BR"/>
                          </w:rPr>
                        </w:pPr>
                        <w:r>
                          <w:rPr>
                            <w:b/>
                            <w:sz w:val="22"/>
                            <w:szCs w:val="22"/>
                            <w:lang w:val="pt-BR"/>
                          </w:rPr>
                          <w:t>KVĖPAVIMO SISTEMOS LIGOS</w:t>
                        </w:r>
                      </w:p>
                      <w:p>
                        <w:pPr>
                          <w:rPr>
                            <w:sz w:val="22"/>
                            <w:szCs w:val="22"/>
                            <w:lang w:val="pt-BR"/>
                          </w:rPr>
                        </w:pPr>
                        <w:r>
                          <w:rPr>
                            <w:sz w:val="22"/>
                            <w:szCs w:val="22"/>
                            <w:lang w:val="pt-BR"/>
                          </w:rPr>
                          <w:t>Sunkios lėtinės plaučių ligos esant kvėpavimo funkcijos nepakankamumui.</w:t>
                        </w:r>
                      </w:p>
                      <w:p>
                        <w:pPr>
                          <w:rPr>
                            <w:sz w:val="22"/>
                            <w:szCs w:val="22"/>
                            <w:lang w:val="pt-BR"/>
                          </w:rPr>
                        </w:pPr>
                        <w:r>
                          <w:rPr>
                            <w:sz w:val="22"/>
                            <w:szCs w:val="22"/>
                            <w:lang w:val="pt-BR"/>
                          </w:rPr>
                          <w:t>Pastaba: Esant sunkiems kvėpavimo funkcijos sutrikimams, juos koregavus, individualiu sprendimu išduoti ar neišduoti pažymėjimo įsidarbinantiesiems ir dirbti traukinio mašinistu leidžiama vadovaujantis gydytojo pulmonologo išvada.</w:t>
                        </w:r>
                      </w:p>
                    </w:tc>
                    <w:tc>
                      <w:tcPr>
                        <w:tcW w:w="2340" w:type="dxa"/>
                        <w:shd w:val="clear" w:color="auto" w:fill="auto"/>
                      </w:tcPr>
                      <w:p>
                        <w:pPr>
                          <w:jc w:val="center"/>
                          <w:rPr>
                            <w:sz w:val="22"/>
                            <w:szCs w:val="22"/>
                            <w:lang w:val="pt-BR"/>
                          </w:rPr>
                        </w:pPr>
                        <w:r>
                          <w:rPr>
                            <w:sz w:val="22"/>
                            <w:szCs w:val="22"/>
                          </w:rPr>
                          <w:t>Spręsti individualiai</w:t>
                        </w:r>
                        <w:r>
                          <w:rPr>
                            <w:sz w:val="22"/>
                            <w:szCs w:val="22"/>
                            <w:lang w:val="pt-BR"/>
                          </w:rPr>
                          <w:t xml:space="preserve"> </w:t>
                        </w:r>
                      </w:p>
                    </w:tc>
                    <w:tc>
                      <w:tcPr>
                        <w:tcW w:w="2340" w:type="dxa"/>
                        <w:shd w:val="clear" w:color="auto" w:fill="auto"/>
                      </w:tcPr>
                      <w:p>
                        <w:pPr>
                          <w:jc w:val="center"/>
                          <w:rPr>
                            <w:sz w:val="22"/>
                            <w:szCs w:val="22"/>
                            <w:lang w:val="pt-BR"/>
                          </w:rPr>
                        </w:pPr>
                        <w:r>
                          <w:rPr>
                            <w:sz w:val="22"/>
                            <w:szCs w:val="22"/>
                          </w:rPr>
                          <w:t>Spręsti individualiai</w:t>
                        </w:r>
                        <w:r>
                          <w:rPr>
                            <w:sz w:val="22"/>
                            <w:szCs w:val="22"/>
                            <w:lang w:val="pt-BR"/>
                          </w:rPr>
                          <w:t xml:space="preserve"> </w:t>
                        </w:r>
                      </w:p>
                    </w:tc>
                  </w:tr>
                  <w:tr>
                    <w:trPr>
                      <w:cantSplit/>
                      <w:trHeight w:val="20"/>
                    </w:trPr>
                    <w:tc>
                      <w:tcPr>
                        <w:tcW w:w="720" w:type="dxa"/>
                      </w:tcPr>
                      <w:p>
                        <w:pPr>
                          <w:jc w:val="both"/>
                          <w:rPr>
                            <w:sz w:val="22"/>
                            <w:szCs w:val="22"/>
                          </w:rPr>
                        </w:pPr>
                        <w:r>
                          <w:rPr>
                            <w:sz w:val="22"/>
                            <w:szCs w:val="22"/>
                          </w:rPr>
                          <w:t xml:space="preserve">6. </w:t>
                        </w:r>
                      </w:p>
                    </w:tc>
                    <w:tc>
                      <w:tcPr>
                        <w:tcW w:w="8820" w:type="dxa"/>
                      </w:tcPr>
                      <w:p>
                        <w:pPr>
                          <w:rPr>
                            <w:b/>
                            <w:sz w:val="22"/>
                            <w:szCs w:val="22"/>
                            <w:lang w:val="pt-BR"/>
                          </w:rPr>
                        </w:pPr>
                        <w:r>
                          <w:rPr>
                            <w:b/>
                            <w:sz w:val="22"/>
                            <w:szCs w:val="22"/>
                            <w:lang w:val="pt-BR"/>
                          </w:rPr>
                          <w:t>ENDOKRININĖS, MITYBOS IR MEDŽIAGŲ APYKAITOS LIGOS.</w:t>
                        </w:r>
                      </w:p>
                      <w:p>
                        <w:pPr>
                          <w:rPr>
                            <w:sz w:val="22"/>
                            <w:szCs w:val="22"/>
                            <w:lang w:val="pt-BR"/>
                          </w:rPr>
                        </w:pPr>
                        <w:r>
                          <w:rPr>
                            <w:b/>
                            <w:sz w:val="22"/>
                            <w:szCs w:val="22"/>
                            <w:lang w:val="pt-BR"/>
                          </w:rPr>
                          <w:t>CUKRINIS DIABETAS: E10, E11, E12, E13, E14</w:t>
                        </w:r>
                      </w:p>
                      <w:p>
                        <w:pPr>
                          <w:rPr>
                            <w:sz w:val="22"/>
                            <w:szCs w:val="22"/>
                            <w:lang w:val="pt-BR"/>
                          </w:rPr>
                        </w:pPr>
                        <w:r>
                          <w:rPr>
                            <w:sz w:val="22"/>
                            <w:szCs w:val="22"/>
                            <w:lang w:val="pt-BR"/>
                          </w:rPr>
                          <w:t>Pažymėjimai dirbti t</w:t>
                        </w:r>
                        <w:r>
                          <w:rPr>
                            <w:sz w:val="22"/>
                            <w:szCs w:val="22"/>
                          </w:rPr>
                          <w:t>raukinio</w:t>
                        </w:r>
                        <w:r>
                          <w:rPr>
                            <w:sz w:val="22"/>
                            <w:szCs w:val="22"/>
                            <w:lang w:val="pt-BR"/>
                          </w:rPr>
                          <w:t xml:space="preserve"> mašinistu gali būti išduodami, sergantiems cukriniu diabetu, pateikus gydytojo endokrinologo išvadą ir reguliariai atliekant medicinines apžiūras kiekvienu atitinkamu atveju. </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Pr>
                      <w:p>
                        <w:pPr>
                          <w:rPr>
                            <w:sz w:val="22"/>
                            <w:szCs w:val="22"/>
                          </w:rPr>
                        </w:pPr>
                        <w:r>
                          <w:rPr>
                            <w:sz w:val="22"/>
                            <w:szCs w:val="22"/>
                          </w:rPr>
                          <w:t>7.</w:t>
                        </w:r>
                      </w:p>
                    </w:tc>
                    <w:tc>
                      <w:tcPr>
                        <w:tcW w:w="8820" w:type="dxa"/>
                      </w:tcPr>
                      <w:p>
                        <w:pPr>
                          <w:rPr>
                            <w:b/>
                            <w:sz w:val="22"/>
                            <w:szCs w:val="22"/>
                          </w:rPr>
                        </w:pPr>
                        <w:r>
                          <w:rPr>
                            <w:b/>
                            <w:sz w:val="22"/>
                            <w:szCs w:val="22"/>
                          </w:rPr>
                          <w:t>NEUROLOGINĖS LIGOS</w:t>
                        </w:r>
                      </w:p>
                      <w:p>
                        <w:pPr>
                          <w:rPr>
                            <w:sz w:val="22"/>
                            <w:szCs w:val="22"/>
                          </w:rPr>
                        </w:pPr>
                        <w:r>
                          <w:rPr>
                            <w:sz w:val="22"/>
                            <w:szCs w:val="22"/>
                          </w:rPr>
                          <w:t>Traukinio mašinistų pažymėjimai neišduodami įsidarbinantiesiems ar neatnaujinami traukinio mašinistams, sergantiems sunkiomis nervų sistemos ligomis, išskyrus atvejus, kai prie prašymo pridedama gydytojo neurologo išvada. Centrinės ar periferinės nervų sistemos neurologiniai sutrikimai ar chirurgine intervencija, dėl kurių atsiranda sensoriniai ar motoriniai sutrikimai, darantys poveikį pusiausvyrai bei koordinacijai, privalo būti tinkamai įvertinti atsižvelgiant į jų funkcinius padarinius ir progresavimo riziką. Jei yra ligos progresavimo rizika, traukinio mašinisto pažymėjimai gali būti išduodami ar atnaujinami tik periodiškai įvertinant sveikatos būklę, vadovaujantis gydytojo neurologo išvada.</w:t>
                        </w:r>
                      </w:p>
                    </w:tc>
                    <w:tc>
                      <w:tcPr>
                        <w:tcW w:w="2340" w:type="dxa"/>
                        <w:shd w:val="clear" w:color="auto" w:fill="auto"/>
                      </w:tcPr>
                      <w:p>
                        <w:pPr>
                          <w:jc w:val="center"/>
                          <w:rPr>
                            <w:sz w:val="22"/>
                            <w:szCs w:val="22"/>
                          </w:rPr>
                        </w:pPr>
                      </w:p>
                    </w:tc>
                    <w:tc>
                      <w:tcPr>
                        <w:tcW w:w="2340" w:type="dxa"/>
                        <w:shd w:val="clear" w:color="auto" w:fill="auto"/>
                      </w:tcPr>
                      <w:p>
                        <w:pPr>
                          <w:jc w:val="center"/>
                          <w:rPr>
                            <w:sz w:val="22"/>
                            <w:szCs w:val="22"/>
                          </w:rPr>
                        </w:pPr>
                      </w:p>
                    </w:tc>
                  </w:tr>
                  <w:tr>
                    <w:trPr>
                      <w:cantSplit/>
                      <w:trHeight w:val="20"/>
                    </w:trPr>
                    <w:tc>
                      <w:tcPr>
                        <w:tcW w:w="720" w:type="dxa"/>
                      </w:tcPr>
                      <w:p>
                        <w:pPr>
                          <w:rPr>
                            <w:sz w:val="22"/>
                            <w:szCs w:val="22"/>
                          </w:rPr>
                        </w:pPr>
                        <w:r>
                          <w:rPr>
                            <w:sz w:val="22"/>
                            <w:szCs w:val="22"/>
                          </w:rPr>
                          <w:t>7.1.</w:t>
                        </w:r>
                      </w:p>
                    </w:tc>
                    <w:tc>
                      <w:tcPr>
                        <w:tcW w:w="8820" w:type="dxa"/>
                      </w:tcPr>
                      <w:p>
                        <w:pPr>
                          <w:rPr>
                            <w:sz w:val="22"/>
                            <w:szCs w:val="22"/>
                            <w:lang w:val="pt-BR"/>
                          </w:rPr>
                        </w:pPr>
                        <w:r>
                          <w:rPr>
                            <w:sz w:val="22"/>
                            <w:szCs w:val="22"/>
                            <w:lang w:val="pt-BR"/>
                          </w:rPr>
                          <w:t xml:space="preserve">Epilepsija su įvairaus pobūdžio priepuoliais: G40 </w:t>
                        </w:r>
                      </w:p>
                      <w:p>
                        <w:pPr>
                          <w:rPr>
                            <w:b/>
                            <w:sz w:val="22"/>
                            <w:szCs w:val="22"/>
                            <w:lang w:val="pt-BR"/>
                          </w:rPr>
                        </w:pPr>
                        <w:r>
                          <w:rPr>
                            <w:b/>
                            <w:sz w:val="22"/>
                            <w:szCs w:val="22"/>
                            <w:lang w:val="pt-BR"/>
                          </w:rPr>
                          <w:t>PASTABOS:</w:t>
                        </w:r>
                      </w:p>
                      <w:p>
                        <w:pPr>
                          <w:tabs>
                            <w:tab w:val="left" w:pos="720"/>
                            <w:tab w:val="center" w:pos="4153"/>
                            <w:tab w:val="right" w:pos="8306"/>
                          </w:tabs>
                          <w:rPr>
                            <w:sz w:val="22"/>
                            <w:szCs w:val="22"/>
                            <w:lang w:val="pt-BR"/>
                          </w:rPr>
                        </w:pPr>
                        <w:r>
                          <w:rPr>
                            <w:sz w:val="22"/>
                            <w:szCs w:val="22"/>
                            <w:lang w:val="pt-BR"/>
                          </w:rPr>
                          <w:t xml:space="preserve">1. Po pirmo (vienintelio) epilepsijos priepuolio negali dirbti mašinistu 2 metus. </w:t>
                        </w:r>
                      </w:p>
                      <w:p>
                        <w:pPr>
                          <w:rPr>
                            <w:sz w:val="22"/>
                            <w:szCs w:val="22"/>
                            <w:lang w:val="pt-BR"/>
                          </w:rPr>
                        </w:pPr>
                        <w:r>
                          <w:rPr>
                            <w:sz w:val="22"/>
                            <w:szCs w:val="22"/>
                            <w:lang w:val="pt-BR"/>
                          </w:rPr>
                          <w:t>2. Diagnozavus epilepsiją (buvus 2 ir daugiau epilepsijos priepuolių) ir priepuoliams nesikartojant, negali dirbti mašinistu 10 metų.</w:t>
                        </w:r>
                      </w:p>
                    </w:tc>
                    <w:tc>
                      <w:tcPr>
                        <w:tcW w:w="2340" w:type="dxa"/>
                        <w:shd w:val="clear" w:color="auto" w:fill="auto"/>
                      </w:tcPr>
                      <w:p>
                        <w:pPr>
                          <w:jc w:val="center"/>
                          <w:rPr>
                            <w:sz w:val="22"/>
                            <w:szCs w:val="22"/>
                            <w:lang w:val="pt-BR"/>
                          </w:rPr>
                        </w:pPr>
                      </w:p>
                      <w:p>
                        <w:pPr>
                          <w:jc w:val="center"/>
                          <w:rPr>
                            <w:sz w:val="22"/>
                            <w:szCs w:val="22"/>
                          </w:rPr>
                        </w:pPr>
                        <w:r>
                          <w:rPr>
                            <w:sz w:val="22"/>
                            <w:szCs w:val="22"/>
                          </w:rPr>
                          <w:t>Spręsti individualiai</w:t>
                        </w:r>
                      </w:p>
                    </w:tc>
                    <w:tc>
                      <w:tcPr>
                        <w:tcW w:w="2340" w:type="dxa"/>
                        <w:shd w:val="clear" w:color="auto" w:fill="auto"/>
                      </w:tcPr>
                      <w:p>
                        <w:pPr>
                          <w:jc w:val="center"/>
                          <w:rPr>
                            <w:sz w:val="22"/>
                            <w:szCs w:val="22"/>
                          </w:rPr>
                        </w:pPr>
                      </w:p>
                      <w:p>
                        <w:pPr>
                          <w:jc w:val="center"/>
                          <w:rPr>
                            <w:sz w:val="22"/>
                            <w:szCs w:val="22"/>
                          </w:rPr>
                        </w:pPr>
                        <w:r>
                          <w:rPr>
                            <w:sz w:val="22"/>
                            <w:szCs w:val="22"/>
                          </w:rPr>
                          <w:t>Spręsti individualiai</w:t>
                        </w:r>
                      </w:p>
                    </w:tc>
                  </w:tr>
                  <w:tr>
                    <w:trPr>
                      <w:cantSplit/>
                      <w:trHeight w:val="20"/>
                    </w:trPr>
                    <w:tc>
                      <w:tcPr>
                        <w:tcW w:w="720" w:type="dxa"/>
                      </w:tcPr>
                      <w:p>
                        <w:pPr>
                          <w:rPr>
                            <w:sz w:val="22"/>
                            <w:szCs w:val="22"/>
                          </w:rPr>
                        </w:pPr>
                        <w:r>
                          <w:rPr>
                            <w:sz w:val="22"/>
                            <w:szCs w:val="22"/>
                          </w:rPr>
                          <w:t>7.2.</w:t>
                        </w:r>
                      </w:p>
                    </w:tc>
                    <w:tc>
                      <w:tcPr>
                        <w:tcW w:w="8820" w:type="dxa"/>
                      </w:tcPr>
                      <w:p>
                        <w:pPr>
                          <w:rPr>
                            <w:sz w:val="22"/>
                            <w:szCs w:val="22"/>
                            <w:lang w:val="pt-BR"/>
                          </w:rPr>
                        </w:pPr>
                        <w:r>
                          <w:rPr>
                            <w:sz w:val="22"/>
                            <w:szCs w:val="22"/>
                            <w:lang w:val="pt-BR"/>
                          </w:rPr>
                          <w:t>Kiti sąmonės sutrikimo epizodai: R56.8</w:t>
                        </w:r>
                      </w:p>
                      <w:p>
                        <w:pPr>
                          <w:rPr>
                            <w:sz w:val="22"/>
                            <w:szCs w:val="22"/>
                            <w:lang w:val="pt-BR"/>
                          </w:rPr>
                        </w:pPr>
                        <w:r>
                          <w:rPr>
                            <w:sz w:val="22"/>
                            <w:szCs w:val="22"/>
                            <w:lang w:val="pt-BR"/>
                          </w:rPr>
                          <w:t>Pastaba: Po nepatikslinto sąmonės sutrikimo epizodo negali dirbti traukinio mašinistu 2 metus.</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Spręsti individualiai</w:t>
                        </w:r>
                      </w:p>
                    </w:tc>
                  </w:tr>
                  <w:tr>
                    <w:trPr>
                      <w:cantSplit/>
                      <w:trHeight w:val="20"/>
                    </w:trPr>
                    <w:tc>
                      <w:tcPr>
                        <w:tcW w:w="720" w:type="dxa"/>
                      </w:tcPr>
                      <w:p>
                        <w:pPr>
                          <w:rPr>
                            <w:sz w:val="22"/>
                            <w:szCs w:val="22"/>
                          </w:rPr>
                        </w:pPr>
                        <w:r>
                          <w:rPr>
                            <w:sz w:val="22"/>
                            <w:szCs w:val="22"/>
                          </w:rPr>
                          <w:t>7.3.</w:t>
                        </w:r>
                      </w:p>
                    </w:tc>
                    <w:tc>
                      <w:tcPr>
                        <w:tcW w:w="8820" w:type="dxa"/>
                      </w:tcPr>
                      <w:p>
                        <w:pPr>
                          <w:rPr>
                            <w:sz w:val="22"/>
                            <w:szCs w:val="22"/>
                          </w:rPr>
                        </w:pPr>
                        <w:r>
                          <w:rPr>
                            <w:sz w:val="22"/>
                            <w:szCs w:val="22"/>
                          </w:rPr>
                          <w:t>Ūminės ir lėtinės nervų sistemos ligos ir jų liekamieji reiškiniai (išlikus reikšmingiems judėjimo, koordinacijos ir jautros sutrikimams).</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w:t>
                        </w:r>
                      </w:p>
                    </w:tc>
                    <w:tc>
                      <w:tcPr>
                        <w:tcW w:w="8820" w:type="dxa"/>
                        <w:tcBorders>
                          <w:top w:val="single" w:sz="6" w:space="0" w:color="auto"/>
                          <w:left w:val="single" w:sz="6" w:space="0" w:color="auto"/>
                          <w:bottom w:val="single" w:sz="6" w:space="0" w:color="auto"/>
                        </w:tcBorders>
                        <w:shd w:val="clear" w:color="auto" w:fill="auto"/>
                      </w:tcPr>
                      <w:p>
                        <w:pPr>
                          <w:tabs>
                            <w:tab w:val="center" w:pos="4153"/>
                            <w:tab w:val="right" w:pos="8306"/>
                          </w:tabs>
                          <w:rPr>
                            <w:b/>
                            <w:caps/>
                            <w:sz w:val="22"/>
                            <w:szCs w:val="22"/>
                          </w:rPr>
                        </w:pPr>
                        <w:r>
                          <w:rPr>
                            <w:b/>
                            <w:caps/>
                            <w:sz w:val="22"/>
                            <w:szCs w:val="22"/>
                          </w:rPr>
                          <w:t>PSICHIkos ir elgesio SUTRIKIMAI</w:t>
                        </w:r>
                      </w:p>
                      <w:p>
                        <w:pPr>
                          <w:tabs>
                            <w:tab w:val="center" w:pos="4153"/>
                            <w:tab w:val="right" w:pos="8306"/>
                          </w:tabs>
                          <w:rPr>
                            <w:sz w:val="22"/>
                            <w:szCs w:val="22"/>
                          </w:rPr>
                        </w:pPr>
                        <w:r>
                          <w:rPr>
                            <w:sz w:val="22"/>
                            <w:szCs w:val="22"/>
                          </w:rPr>
                          <w:t>Traukinio mašinisto pažymėjimai neišduodami įsidarbinantiesiems ar neatnaujinami traukinio mašinistams, turintiems:</w:t>
                        </w:r>
                      </w:p>
                      <w:p>
                        <w:pPr>
                          <w:tabs>
                            <w:tab w:val="center" w:pos="4153"/>
                            <w:tab w:val="right" w:pos="8306"/>
                          </w:tabs>
                          <w:rPr>
                            <w:sz w:val="22"/>
                            <w:szCs w:val="22"/>
                          </w:rPr>
                        </w:pPr>
                        <w:r>
                          <w:rPr>
                            <w:sz w:val="22"/>
                            <w:szCs w:val="22"/>
                          </w:rPr>
                          <w:t>– sunkių psichikos sutrikimų, įgimtų ar įgytų, sukeltų ligos, traumų ar neurochirurginių operacijų,</w:t>
                        </w:r>
                      </w:p>
                      <w:p>
                        <w:pPr>
                          <w:tabs>
                            <w:tab w:val="center" w:pos="4153"/>
                            <w:tab w:val="right" w:pos="8306"/>
                          </w:tabs>
                          <w:rPr>
                            <w:sz w:val="22"/>
                            <w:szCs w:val="22"/>
                          </w:rPr>
                        </w:pPr>
                        <w:r>
                          <w:rPr>
                            <w:sz w:val="22"/>
                            <w:szCs w:val="22"/>
                          </w:rPr>
                          <w:t>– sunkų protinį atsilikimą,</w:t>
                        </w:r>
                      </w:p>
                      <w:p>
                        <w:pPr>
                          <w:tabs>
                            <w:tab w:val="center" w:pos="4153"/>
                            <w:tab w:val="right" w:pos="8306"/>
                          </w:tabs>
                          <w:rPr>
                            <w:sz w:val="22"/>
                            <w:szCs w:val="22"/>
                          </w:rPr>
                        </w:pPr>
                        <w:r>
                          <w:rPr>
                            <w:sz w:val="22"/>
                            <w:szCs w:val="22"/>
                          </w:rPr>
                          <w:t>– sunkių elgesio sutrikimų dėl senėjimo proceso; arba asmenybės sutrikimų, kurie labai trikdo nuovoką, elgesį ar sugebėjimą prisitaikyti, išskyrus atvejus, kai kartu su prašymu pateikiama gydytojo psichiatro išvada ir prireikus reguliariai atliekant medicinines apžiūras.</w:t>
                        </w:r>
                      </w:p>
                      <w:p>
                        <w:pPr>
                          <w:rPr>
                            <w:sz w:val="22"/>
                            <w:szCs w:val="22"/>
                          </w:rPr>
                        </w:pPr>
                        <w:r>
                          <w:rPr>
                            <w:sz w:val="22"/>
                            <w:szCs w:val="22"/>
                          </w:rPr>
                          <w:t>Gydytojas psichiatras tinkamai įvertina papildomą riziką ir pavojus, kurie kyla, dirbant traukinio mašinistu.</w:t>
                        </w:r>
                      </w:p>
                    </w:tc>
                    <w:tc>
                      <w:tcPr>
                        <w:tcW w:w="2340" w:type="dxa"/>
                        <w:shd w:val="clear" w:color="auto" w:fill="auto"/>
                      </w:tcPr>
                      <w:p>
                        <w:pPr>
                          <w:jc w:val="center"/>
                          <w:rPr>
                            <w:sz w:val="22"/>
                            <w:szCs w:val="22"/>
                            <w:lang w:val="pt-BR"/>
                          </w:rPr>
                        </w:pPr>
                      </w:p>
                    </w:tc>
                    <w:tc>
                      <w:tcPr>
                        <w:tcW w:w="2340" w:type="dxa"/>
                        <w:shd w:val="clear" w:color="auto" w:fill="auto"/>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8.1.</w:t>
                        </w:r>
                      </w:p>
                    </w:tc>
                    <w:tc>
                      <w:tcPr>
                        <w:tcW w:w="8820" w:type="dxa"/>
                        <w:tcBorders>
                          <w:top w:val="single" w:sz="6" w:space="0" w:color="auto"/>
                          <w:left w:val="single" w:sz="6" w:space="0" w:color="auto"/>
                          <w:bottom w:val="single" w:sz="4" w:space="0" w:color="auto"/>
                        </w:tcBorders>
                        <w:shd w:val="clear" w:color="auto" w:fill="auto"/>
                      </w:tcPr>
                      <w:p>
                        <w:pPr>
                          <w:rPr>
                            <w:sz w:val="22"/>
                            <w:szCs w:val="22"/>
                            <w:lang w:val="pt-BR"/>
                          </w:rPr>
                        </w:pPr>
                        <w:r>
                          <w:rPr>
                            <w:sz w:val="22"/>
                            <w:szCs w:val="22"/>
                            <w:lang w:val="pt-BR"/>
                          </w:rPr>
                          <w:t>Visų etiologijų demencijos F00–F03, G30</w:t>
                        </w:r>
                      </w:p>
                    </w:tc>
                    <w:tc>
                      <w:tcPr>
                        <w:tcW w:w="2340" w:type="dxa"/>
                        <w:shd w:val="clear" w:color="auto" w:fill="auto"/>
                      </w:tcPr>
                      <w:p>
                        <w:pPr>
                          <w:jc w:val="center"/>
                          <w:rPr>
                            <w:sz w:val="22"/>
                            <w:szCs w:val="22"/>
                            <w:lang w:val="pt-BR"/>
                          </w:rPr>
                        </w:pPr>
                        <w:r>
                          <w:rPr>
                            <w:sz w:val="22"/>
                            <w:szCs w:val="22"/>
                          </w:rPr>
                          <w:t>Draudžiama</w:t>
                        </w:r>
                      </w:p>
                    </w:tc>
                    <w:tc>
                      <w:tcPr>
                        <w:tcW w:w="2340" w:type="dxa"/>
                        <w:shd w:val="clear" w:color="auto" w:fill="auto"/>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8.2.</w:t>
                        </w:r>
                      </w:p>
                    </w:tc>
                    <w:tc>
                      <w:tcPr>
                        <w:tcW w:w="8820" w:type="dxa"/>
                        <w:tcBorders>
                          <w:top w:val="single" w:sz="4" w:space="0" w:color="auto"/>
                          <w:left w:val="single" w:sz="6" w:space="0" w:color="auto"/>
                          <w:bottom w:val="single" w:sz="6" w:space="0" w:color="auto"/>
                        </w:tcBorders>
                        <w:shd w:val="clear" w:color="auto" w:fill="auto"/>
                      </w:tcPr>
                      <w:p>
                        <w:pPr>
                          <w:outlineLvl w:val="7"/>
                          <w:rPr>
                            <w:iCs/>
                            <w:sz w:val="22"/>
                            <w:szCs w:val="22"/>
                            <w:lang w:val="pt-BR"/>
                          </w:rPr>
                        </w:pPr>
                        <w:r>
                          <w:rPr>
                            <w:iCs/>
                            <w:sz w:val="22"/>
                            <w:szCs w:val="22"/>
                            <w:lang w:val="pt-BR"/>
                          </w:rPr>
                          <w:t xml:space="preserve">Organiniai ir simptominiai psichikos sutrikimai F04; F05; F06 – </w:t>
                        </w:r>
                      </w:p>
                      <w:p>
                        <w:pPr>
                          <w:rPr>
                            <w:sz w:val="22"/>
                            <w:szCs w:val="22"/>
                            <w:lang w:val="pt-BR"/>
                          </w:rPr>
                        </w:pPr>
                        <w:r>
                          <w:rPr>
                            <w:sz w:val="22"/>
                            <w:szCs w:val="22"/>
                            <w:lang w:val="pt-BR"/>
                          </w:rPr>
                          <w:t>sprendžiama individualiai, įvertinus kompleksinio tyrimo duomenis, kompensacijos stabilumą, skiriamą medikamentinį gydymą ar pasveikus.</w:t>
                        </w:r>
                      </w:p>
                    </w:tc>
                    <w:tc>
                      <w:tcPr>
                        <w:tcW w:w="2340" w:type="dxa"/>
                        <w:shd w:val="clear" w:color="auto" w:fill="auto"/>
                      </w:tcPr>
                      <w:p>
                        <w:pPr>
                          <w:jc w:val="center"/>
                          <w:rPr>
                            <w:sz w:val="22"/>
                            <w:szCs w:val="22"/>
                          </w:rPr>
                        </w:pPr>
                        <w:r>
                          <w:rPr>
                            <w:sz w:val="22"/>
                            <w:szCs w:val="22"/>
                          </w:rPr>
                          <w:t>Žr. pastabą</w:t>
                        </w:r>
                      </w:p>
                      <w:p>
                        <w:pPr>
                          <w:jc w:val="center"/>
                          <w:rPr>
                            <w:sz w:val="22"/>
                            <w:szCs w:val="22"/>
                          </w:rPr>
                        </w:pPr>
                        <w:r>
                          <w:rPr>
                            <w:sz w:val="22"/>
                            <w:szCs w:val="22"/>
                          </w:rPr>
                          <w:t>Spręsti individualiai</w:t>
                        </w:r>
                      </w:p>
                    </w:tc>
                    <w:tc>
                      <w:tcPr>
                        <w:tcW w:w="2340" w:type="dxa"/>
                        <w:shd w:val="clear" w:color="auto" w:fill="auto"/>
                      </w:tcPr>
                      <w:p>
                        <w:pPr>
                          <w:jc w:val="center"/>
                          <w:rPr>
                            <w:sz w:val="22"/>
                            <w:szCs w:val="22"/>
                            <w:lang w:val="pt-BR"/>
                          </w:rPr>
                        </w:pPr>
                        <w:r>
                          <w:rPr>
                            <w:sz w:val="22"/>
                            <w:szCs w:val="22"/>
                            <w:lang w:val="pt-BR"/>
                          </w:rPr>
                          <w:t>Žr. pastabą</w:t>
                        </w:r>
                      </w:p>
                      <w:p>
                        <w:pPr>
                          <w:jc w:val="center"/>
                          <w:rPr>
                            <w:sz w:val="22"/>
                            <w:szCs w:val="22"/>
                            <w:lang w:val="pt-BR"/>
                          </w:rPr>
                        </w:pPr>
                        <w:r>
                          <w:rPr>
                            <w:sz w:val="22"/>
                            <w:szCs w:val="22"/>
                            <w:lang w:val="pt-BR"/>
                          </w:rPr>
                          <w:t xml:space="preserve">Pasveikus spręsti individualiai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8.3.</w:t>
                        </w:r>
                      </w:p>
                    </w:tc>
                    <w:tc>
                      <w:tcPr>
                        <w:tcW w:w="8820" w:type="dxa"/>
                        <w:tcBorders>
                          <w:top w:val="single" w:sz="6" w:space="0" w:color="auto"/>
                          <w:left w:val="single" w:sz="6" w:space="0" w:color="auto"/>
                          <w:bottom w:val="single" w:sz="6" w:space="0" w:color="auto"/>
                        </w:tcBorders>
                        <w:shd w:val="clear" w:color="auto" w:fill="auto"/>
                      </w:tcPr>
                      <w:p>
                        <w:pPr>
                          <w:rPr>
                            <w:sz w:val="22"/>
                            <w:szCs w:val="22"/>
                          </w:rPr>
                        </w:pPr>
                        <w:r>
                          <w:rPr>
                            <w:sz w:val="22"/>
                            <w:szCs w:val="22"/>
                          </w:rPr>
                          <w:t xml:space="preserve">Organiniai asmenybės ir elgesio sutrikimai </w:t>
                        </w:r>
                      </w:p>
                      <w:p>
                        <w:pPr>
                          <w:rPr>
                            <w:sz w:val="22"/>
                            <w:szCs w:val="22"/>
                          </w:rPr>
                        </w:pPr>
                        <w:r>
                          <w:rPr>
                            <w:sz w:val="22"/>
                            <w:szCs w:val="22"/>
                          </w:rPr>
                          <w:t xml:space="preserve">F07 – sprendžiama individualiai, įvertinus kompleksinio tyrimo duomenis, kompensacijos stabilumą, adaptacijos kokybę, skiriamą medikamentinį gydymą. </w:t>
                        </w:r>
                      </w:p>
                    </w:tc>
                    <w:tc>
                      <w:tcPr>
                        <w:tcW w:w="2340" w:type="dxa"/>
                        <w:shd w:val="clear" w:color="auto" w:fill="auto"/>
                      </w:tcPr>
                      <w:p>
                        <w:pPr>
                          <w:jc w:val="center"/>
                          <w:rPr>
                            <w:strike/>
                            <w:sz w:val="22"/>
                            <w:szCs w:val="22"/>
                          </w:rPr>
                        </w:pPr>
                        <w:r>
                          <w:rPr>
                            <w:sz w:val="22"/>
                            <w:szCs w:val="22"/>
                          </w:rPr>
                          <w:t>Spręsti individualiai</w:t>
                        </w:r>
                      </w:p>
                    </w:tc>
                    <w:tc>
                      <w:tcPr>
                        <w:tcW w:w="2340" w:type="dxa"/>
                        <w:shd w:val="clear" w:color="auto" w:fill="auto"/>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8.4.</w:t>
                        </w:r>
                      </w:p>
                    </w:tc>
                    <w:tc>
                      <w:tcPr>
                        <w:tcW w:w="8820" w:type="dxa"/>
                        <w:tcBorders>
                          <w:top w:val="single" w:sz="6" w:space="0" w:color="auto"/>
                          <w:left w:val="single" w:sz="6" w:space="0" w:color="auto"/>
                          <w:bottom w:val="single" w:sz="6" w:space="0" w:color="auto"/>
                        </w:tcBorders>
                        <w:shd w:val="clear" w:color="auto" w:fill="auto"/>
                      </w:tcPr>
                      <w:p>
                        <w:pPr>
                          <w:tabs>
                            <w:tab w:val="left" w:pos="1296"/>
                            <w:tab w:val="center" w:pos="4153"/>
                            <w:tab w:val="right" w:pos="8306"/>
                          </w:tabs>
                          <w:rPr>
                            <w:sz w:val="22"/>
                            <w:szCs w:val="22"/>
                          </w:rPr>
                        </w:pPr>
                        <w:r>
                          <w:rPr>
                            <w:sz w:val="22"/>
                            <w:szCs w:val="22"/>
                          </w:rPr>
                          <w:t>Psichikos ir elgesio sutrikimai, vartojant psichotropines medžiagas</w:t>
                        </w:r>
                      </w:p>
                      <w:p>
                        <w:pPr>
                          <w:rPr>
                            <w:rFonts w:eastAsia="MS Mincho"/>
                            <w:sz w:val="22"/>
                            <w:szCs w:val="22"/>
                          </w:rPr>
                        </w:pPr>
                        <w:r>
                          <w:rPr>
                            <w:rFonts w:eastAsia="MS Mincho"/>
                            <w:sz w:val="22"/>
                            <w:szCs w:val="22"/>
                          </w:rPr>
                          <w:t xml:space="preserve">F1X.1–F1X.9 (remisijų metu sprendžiama individualiai, atsižvelgiant į remisijų trukmę, stabilumą, adaptaciją, skiriamą medikamentinį gydymą) </w:t>
                        </w:r>
                      </w:p>
                      <w:p>
                        <w:pPr>
                          <w:tabs>
                            <w:tab w:val="left" w:pos="1296"/>
                            <w:tab w:val="center" w:pos="4153"/>
                            <w:tab w:val="right" w:pos="8306"/>
                          </w:tabs>
                          <w:rPr>
                            <w:sz w:val="22"/>
                            <w:szCs w:val="22"/>
                          </w:rPr>
                        </w:pPr>
                        <w:r>
                          <w:rPr>
                            <w:sz w:val="22"/>
                            <w:szCs w:val="22"/>
                          </w:rPr>
                          <w:t>(X – bet kuris skaičius nuo 1 iki 9, išskyrus 7)</w:t>
                        </w:r>
                      </w:p>
                    </w:tc>
                    <w:tc>
                      <w:tcPr>
                        <w:tcW w:w="2340" w:type="dxa"/>
                        <w:shd w:val="clear" w:color="auto" w:fill="auto"/>
                      </w:tcPr>
                      <w:p>
                        <w:pPr>
                          <w:jc w:val="center"/>
                          <w:rPr>
                            <w:strike/>
                            <w:sz w:val="22"/>
                            <w:szCs w:val="22"/>
                          </w:rPr>
                        </w:pPr>
                        <w:r>
                          <w:rPr>
                            <w:sz w:val="22"/>
                            <w:szCs w:val="22"/>
                          </w:rPr>
                          <w:t>Spręsti individualiai</w:t>
                        </w:r>
                      </w:p>
                    </w:tc>
                    <w:tc>
                      <w:tcPr>
                        <w:tcW w:w="2340" w:type="dxa"/>
                        <w:shd w:val="clear" w:color="auto" w:fill="auto"/>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8.5.</w:t>
                        </w:r>
                      </w:p>
                    </w:tc>
                    <w:tc>
                      <w:tcPr>
                        <w:tcW w:w="8820" w:type="dxa"/>
                        <w:tcBorders>
                          <w:top w:val="single" w:sz="6" w:space="0" w:color="auto"/>
                          <w:left w:val="single" w:sz="6" w:space="0" w:color="auto"/>
                          <w:bottom w:val="single" w:sz="6" w:space="0" w:color="auto"/>
                        </w:tcBorders>
                        <w:shd w:val="clear" w:color="auto" w:fill="auto"/>
                      </w:tcPr>
                      <w:p>
                        <w:pPr>
                          <w:tabs>
                            <w:tab w:val="left" w:pos="1296"/>
                            <w:tab w:val="center" w:pos="4153"/>
                            <w:tab w:val="right" w:pos="8306"/>
                          </w:tabs>
                          <w:rPr>
                            <w:sz w:val="22"/>
                            <w:szCs w:val="22"/>
                          </w:rPr>
                        </w:pPr>
                        <w:r>
                          <w:rPr>
                            <w:sz w:val="22"/>
                            <w:szCs w:val="22"/>
                          </w:rPr>
                          <w:t xml:space="preserve">Schizofrenija, schizotipinis ir kliedesinis sutrikimas F20–29 </w:t>
                        </w:r>
                      </w:p>
                      <w:p>
                        <w:pPr>
                          <w:tabs>
                            <w:tab w:val="left" w:pos="1296"/>
                            <w:tab w:val="center" w:pos="4153"/>
                            <w:tab w:val="right" w:pos="8306"/>
                          </w:tabs>
                          <w:rPr>
                            <w:sz w:val="22"/>
                            <w:szCs w:val="22"/>
                          </w:rPr>
                        </w:pPr>
                        <w:r>
                          <w:rPr>
                            <w:sz w:val="22"/>
                            <w:szCs w:val="22"/>
                          </w:rPr>
                          <w:t xml:space="preserve">(esant remisijai ar ribinio lygio rezidualinei simptomatikai, galimybės dirbti traukinio mašinistu klausimas sprendžiamas individualiai, atsižvelgiant į kompleksinio tyrimo duomenis – remisijos trukmę, kokybę, rezidualinę simptomatiką, adaptacijos kokybę, skiriamą medikamentinį gydymą) </w:t>
                        </w:r>
                      </w:p>
                    </w:tc>
                    <w:tc>
                      <w:tcPr>
                        <w:tcW w:w="2340" w:type="dxa"/>
                        <w:shd w:val="clear" w:color="auto" w:fill="auto"/>
                      </w:tcPr>
                      <w:p>
                        <w:pPr>
                          <w:tabs>
                            <w:tab w:val="left" w:pos="1296"/>
                            <w:tab w:val="center" w:pos="4153"/>
                            <w:tab w:val="right" w:pos="8306"/>
                          </w:tabs>
                          <w:jc w:val="center"/>
                          <w:rPr>
                            <w:strike/>
                            <w:sz w:val="22"/>
                            <w:szCs w:val="22"/>
                          </w:rPr>
                        </w:pPr>
                        <w:r>
                          <w:rPr>
                            <w:sz w:val="22"/>
                            <w:szCs w:val="22"/>
                          </w:rPr>
                          <w:t>Spręsti individualiai</w:t>
                        </w:r>
                      </w:p>
                    </w:tc>
                    <w:tc>
                      <w:tcPr>
                        <w:tcW w:w="2340" w:type="dxa"/>
                        <w:shd w:val="clear" w:color="auto" w:fill="auto"/>
                      </w:tcPr>
                      <w:p>
                        <w:pPr>
                          <w:tabs>
                            <w:tab w:val="left" w:pos="1296"/>
                            <w:tab w:val="center" w:pos="4153"/>
                            <w:tab w:val="right" w:pos="8306"/>
                          </w:tabs>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8.6.</w:t>
                        </w:r>
                      </w:p>
                    </w:tc>
                    <w:tc>
                      <w:tcPr>
                        <w:tcW w:w="8820" w:type="dxa"/>
                        <w:tcBorders>
                          <w:top w:val="single" w:sz="6" w:space="0" w:color="auto"/>
                          <w:left w:val="single" w:sz="6" w:space="0" w:color="auto"/>
                          <w:bottom w:val="single" w:sz="6" w:space="0" w:color="auto"/>
                        </w:tcBorders>
                        <w:shd w:val="clear" w:color="auto" w:fill="auto"/>
                      </w:tcPr>
                      <w:p>
                        <w:pPr>
                          <w:rPr>
                            <w:sz w:val="22"/>
                            <w:szCs w:val="22"/>
                          </w:rPr>
                        </w:pPr>
                        <w:r>
                          <w:rPr>
                            <w:sz w:val="22"/>
                            <w:szCs w:val="22"/>
                          </w:rPr>
                          <w:t>Afektiniai sutrikimai – F30.1–F 0.9; F31.1–F31.9; F32.1–F32.9; F33.0–F33.9, F39 (remisijų metu klausimas sprendžiamas individualiai, atsižvelgiant į remisijos trukmę, stabilumą, adaptaciją, skiriamą medikamentinį gydymą).</w:t>
                        </w:r>
                      </w:p>
                      <w:p>
                        <w:pPr>
                          <w:rPr>
                            <w:sz w:val="22"/>
                            <w:szCs w:val="22"/>
                          </w:rPr>
                        </w:pPr>
                        <w:r>
                          <w:rPr>
                            <w:sz w:val="22"/>
                            <w:szCs w:val="22"/>
                          </w:rPr>
                          <w:t xml:space="preserve">Afektiniai sutrikimai F34; F38 (sprendžiama individualiai, atsižvelgiant į psichikos sutrikimo simptomų išreikštumą, adaptaciją, skiriamą medikamentinį gydymą) </w:t>
                        </w:r>
                      </w:p>
                    </w:tc>
                    <w:tc>
                      <w:tcPr>
                        <w:tcW w:w="2340" w:type="dxa"/>
                        <w:shd w:val="clear" w:color="auto" w:fill="auto"/>
                      </w:tcPr>
                      <w:p>
                        <w:pPr>
                          <w:tabs>
                            <w:tab w:val="left" w:pos="1296"/>
                            <w:tab w:val="center" w:pos="4153"/>
                            <w:tab w:val="right" w:pos="8306"/>
                          </w:tabs>
                          <w:jc w:val="center"/>
                          <w:rPr>
                            <w:strike/>
                            <w:sz w:val="22"/>
                            <w:szCs w:val="22"/>
                          </w:rPr>
                        </w:pPr>
                        <w:r>
                          <w:rPr>
                            <w:sz w:val="22"/>
                            <w:szCs w:val="22"/>
                          </w:rPr>
                          <w:t>Spręsti individualiai</w:t>
                        </w:r>
                      </w:p>
                    </w:tc>
                    <w:tc>
                      <w:tcPr>
                        <w:tcW w:w="2340" w:type="dxa"/>
                        <w:shd w:val="clear" w:color="auto" w:fill="auto"/>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8.7.</w:t>
                        </w:r>
                      </w:p>
                    </w:tc>
                    <w:tc>
                      <w:tcPr>
                        <w:tcW w:w="8820" w:type="dxa"/>
                        <w:tcBorders>
                          <w:top w:val="single" w:sz="6" w:space="0" w:color="auto"/>
                          <w:left w:val="single" w:sz="6" w:space="0" w:color="auto"/>
                          <w:bottom w:val="single" w:sz="6" w:space="0" w:color="auto"/>
                        </w:tcBorders>
                        <w:shd w:val="clear" w:color="auto" w:fill="auto"/>
                      </w:tcPr>
                      <w:p>
                        <w:pPr>
                          <w:rPr>
                            <w:sz w:val="22"/>
                            <w:szCs w:val="22"/>
                          </w:rPr>
                        </w:pPr>
                        <w:r>
                          <w:rPr>
                            <w:sz w:val="22"/>
                            <w:szCs w:val="22"/>
                          </w:rPr>
                          <w:t xml:space="preserve">Neuroziniai, stresiniai ir somatoforminiai sutrikimai F40–F48 – sprendžiama individualiai, atsižvelgiant į sutrikimus, adaptacijos, ilgalaikio psichotropinių vaistų vartojimo būtinumą </w:t>
                        </w:r>
                      </w:p>
                    </w:tc>
                    <w:tc>
                      <w:tcPr>
                        <w:tcW w:w="2340" w:type="dxa"/>
                        <w:shd w:val="clear" w:color="auto" w:fill="auto"/>
                      </w:tcPr>
                      <w:p>
                        <w:pPr>
                          <w:jc w:val="center"/>
                          <w:rPr>
                            <w:strike/>
                            <w:sz w:val="22"/>
                            <w:szCs w:val="22"/>
                          </w:rPr>
                        </w:pPr>
                        <w:r>
                          <w:rPr>
                            <w:sz w:val="22"/>
                            <w:szCs w:val="22"/>
                          </w:rPr>
                          <w:t>Spręsti individualiai</w:t>
                        </w:r>
                      </w:p>
                    </w:tc>
                    <w:tc>
                      <w:tcPr>
                        <w:tcW w:w="2340" w:type="dxa"/>
                        <w:shd w:val="clear" w:color="auto" w:fill="auto"/>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8.8.</w:t>
                        </w:r>
                      </w:p>
                    </w:tc>
                    <w:tc>
                      <w:tcPr>
                        <w:tcW w:w="8820" w:type="dxa"/>
                        <w:tcBorders>
                          <w:top w:val="single" w:sz="6" w:space="0" w:color="auto"/>
                          <w:left w:val="single" w:sz="6" w:space="0" w:color="auto"/>
                          <w:bottom w:val="single" w:sz="6" w:space="0" w:color="auto"/>
                        </w:tcBorders>
                        <w:shd w:val="clear" w:color="auto" w:fill="auto"/>
                      </w:tcPr>
                      <w:p>
                        <w:pPr>
                          <w:rPr>
                            <w:sz w:val="22"/>
                            <w:szCs w:val="22"/>
                          </w:rPr>
                        </w:pPr>
                        <w:r>
                          <w:rPr>
                            <w:sz w:val="22"/>
                            <w:szCs w:val="22"/>
                          </w:rPr>
                          <w:t>Elgesio sindromai, susiję su fiziologiniais sutrikimais bei somatiniais veiksniais F50; F51: F53–F59 – sprendžiama individualiai, atsižvelgiant į sutrikimus, adaptaciją, ilgalaikio psichotropinių vaistų vartojimo būtinumą</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8.9.</w:t>
                        </w:r>
                      </w:p>
                    </w:tc>
                    <w:tc>
                      <w:tcPr>
                        <w:tcW w:w="8820" w:type="dxa"/>
                        <w:tcBorders>
                          <w:top w:val="single" w:sz="6" w:space="0" w:color="auto"/>
                          <w:left w:val="single" w:sz="6" w:space="0" w:color="auto"/>
                          <w:bottom w:val="single" w:sz="6" w:space="0" w:color="auto"/>
                        </w:tcBorders>
                        <w:shd w:val="clear" w:color="auto" w:fill="auto"/>
                      </w:tcPr>
                      <w:p>
                        <w:pPr>
                          <w:rPr>
                            <w:sz w:val="22"/>
                            <w:szCs w:val="22"/>
                          </w:rPr>
                        </w:pPr>
                        <w:r>
                          <w:rPr>
                            <w:sz w:val="22"/>
                            <w:szCs w:val="22"/>
                          </w:rPr>
                          <w:t xml:space="preserve">Suaugusiųjų asmenybės ir elgesio sutrikimai F60–F63; F68; F69 – sprendžiama individualiai, atsižvelgiant į dekompensacijų dažnumą, laipsnį, adaptacijos kokybę, ilgalaikio psichotropinių vaistų vartojimo būtinumą </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8.10</w:t>
                        </w:r>
                      </w:p>
                    </w:tc>
                    <w:tc>
                      <w:tcPr>
                        <w:tcW w:w="8820" w:type="dxa"/>
                        <w:tcBorders>
                          <w:top w:val="single" w:sz="6" w:space="0" w:color="auto"/>
                          <w:left w:val="single" w:sz="6" w:space="0" w:color="auto"/>
                          <w:bottom w:val="single" w:sz="6" w:space="0" w:color="auto"/>
                        </w:tcBorders>
                        <w:shd w:val="clear" w:color="auto" w:fill="auto"/>
                      </w:tcPr>
                      <w:p>
                        <w:pPr>
                          <w:rPr>
                            <w:sz w:val="22"/>
                            <w:szCs w:val="22"/>
                          </w:rPr>
                        </w:pPr>
                        <w:r>
                          <w:rPr>
                            <w:sz w:val="22"/>
                            <w:szCs w:val="22"/>
                          </w:rPr>
                          <w:t>Protinis atsilikimas F70–F71– sprendžiama individualiai, remiantis psichologo išvada, atsižvelgiant į praktinius įgūdžius bei adaptacijos kokybę.</w:t>
                        </w:r>
                      </w:p>
                      <w:p>
                        <w:pPr>
                          <w:rPr>
                            <w:sz w:val="22"/>
                            <w:szCs w:val="22"/>
                            <w:lang w:val="pt-BR"/>
                          </w:rPr>
                        </w:pPr>
                        <w:r>
                          <w:rPr>
                            <w:sz w:val="22"/>
                            <w:szCs w:val="22"/>
                            <w:lang w:val="pt-BR"/>
                          </w:rPr>
                          <w:t>Pakartotinis sveikatos tikrinimas skiriamas po 3 metų.</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8.11</w:t>
                        </w:r>
                      </w:p>
                    </w:tc>
                    <w:tc>
                      <w:tcPr>
                        <w:tcW w:w="8820" w:type="dxa"/>
                        <w:tcBorders>
                          <w:top w:val="single" w:sz="6" w:space="0" w:color="auto"/>
                          <w:left w:val="single" w:sz="6" w:space="0" w:color="auto"/>
                          <w:bottom w:val="single" w:sz="6" w:space="0" w:color="auto"/>
                        </w:tcBorders>
                        <w:shd w:val="clear" w:color="auto" w:fill="auto"/>
                      </w:tcPr>
                      <w:p>
                        <w:pPr>
                          <w:rPr>
                            <w:sz w:val="22"/>
                            <w:szCs w:val="22"/>
                          </w:rPr>
                        </w:pPr>
                        <w:r>
                          <w:rPr>
                            <w:sz w:val="22"/>
                            <w:szCs w:val="22"/>
                          </w:rPr>
                          <w:t>Protinis atsilikimas F72–F79</w:t>
                        </w:r>
                      </w:p>
                    </w:tc>
                    <w:tc>
                      <w:tcPr>
                        <w:tcW w:w="2340" w:type="dxa"/>
                        <w:shd w:val="clear" w:color="auto" w:fill="auto"/>
                      </w:tcPr>
                      <w:p>
                        <w:pPr>
                          <w:jc w:val="center"/>
                          <w:rPr>
                            <w:sz w:val="22"/>
                            <w:szCs w:val="22"/>
                          </w:rPr>
                        </w:pPr>
                        <w:r>
                          <w:rPr>
                            <w:sz w:val="22"/>
                            <w:szCs w:val="22"/>
                          </w:rPr>
                          <w:t>Draudžiama</w:t>
                        </w:r>
                      </w:p>
                    </w:tc>
                    <w:tc>
                      <w:tcPr>
                        <w:tcW w:w="2340" w:type="dxa"/>
                        <w:shd w:val="clear" w:color="auto" w:fill="auto"/>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8.12.</w:t>
                        </w:r>
                      </w:p>
                    </w:tc>
                    <w:tc>
                      <w:tcPr>
                        <w:tcW w:w="8820" w:type="dxa"/>
                        <w:tcBorders>
                          <w:top w:val="single" w:sz="6" w:space="0" w:color="auto"/>
                          <w:left w:val="single" w:sz="6" w:space="0" w:color="auto"/>
                          <w:bottom w:val="single" w:sz="6" w:space="0" w:color="auto"/>
                        </w:tcBorders>
                        <w:shd w:val="clear" w:color="auto" w:fill="auto"/>
                      </w:tcPr>
                      <w:p>
                        <w:pPr>
                          <w:rPr>
                            <w:sz w:val="22"/>
                            <w:szCs w:val="22"/>
                            <w:lang w:val="pt-BR"/>
                          </w:rPr>
                        </w:pPr>
                        <w:r>
                          <w:rPr>
                            <w:sz w:val="22"/>
                            <w:szCs w:val="22"/>
                            <w:lang w:val="pt-BR"/>
                          </w:rPr>
                          <w:t>Psichologinės raidos sutrikimai F72–F79</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sz w:val="22"/>
                            <w:szCs w:val="22"/>
                          </w:rPr>
                        </w:pPr>
                        <w:r>
                          <w:rPr>
                            <w:sz w:val="22"/>
                            <w:szCs w:val="22"/>
                          </w:rPr>
                          <w:t>8.13</w:t>
                        </w:r>
                      </w:p>
                    </w:tc>
                    <w:tc>
                      <w:tcPr>
                        <w:tcW w:w="8820" w:type="dxa"/>
                        <w:tcBorders>
                          <w:top w:val="single" w:sz="6" w:space="0" w:color="auto"/>
                          <w:left w:val="single" w:sz="6" w:space="0" w:color="auto"/>
                          <w:bottom w:val="single" w:sz="6" w:space="0" w:color="auto"/>
                        </w:tcBorders>
                        <w:shd w:val="clear" w:color="auto" w:fill="auto"/>
                      </w:tcPr>
                      <w:p>
                        <w:pPr>
                          <w:rPr>
                            <w:sz w:val="22"/>
                            <w:szCs w:val="22"/>
                            <w:lang w:val="pt-BR"/>
                          </w:rPr>
                        </w:pPr>
                        <w:r>
                          <w:rPr>
                            <w:sz w:val="22"/>
                            <w:szCs w:val="22"/>
                            <w:lang w:val="pt-BR"/>
                          </w:rPr>
                          <w:t>Elgesio ir emocijų sutrikimai, prasidedantys vaikystėje ir paauglystėje F90–F98</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shd w:val="clear" w:color="auto" w:fill="auto"/>
                      </w:tcPr>
                      <w:p>
                        <w:pPr>
                          <w:rPr>
                            <w:b/>
                            <w:strike/>
                            <w:sz w:val="22"/>
                            <w:szCs w:val="22"/>
                          </w:rPr>
                        </w:pPr>
                      </w:p>
                    </w:tc>
                    <w:tc>
                      <w:tcPr>
                        <w:tcW w:w="8820" w:type="dxa"/>
                        <w:tcBorders>
                          <w:top w:val="single" w:sz="6" w:space="0" w:color="auto"/>
                          <w:left w:val="single" w:sz="6" w:space="0" w:color="auto"/>
                          <w:bottom w:val="single" w:sz="6" w:space="0" w:color="auto"/>
                        </w:tcBorders>
                        <w:shd w:val="clear" w:color="auto" w:fill="auto"/>
                      </w:tcPr>
                      <w:p>
                        <w:pPr>
                          <w:rPr>
                            <w:sz w:val="22"/>
                            <w:szCs w:val="22"/>
                          </w:rPr>
                        </w:pPr>
                        <w:r>
                          <w:rPr>
                            <w:sz w:val="22"/>
                            <w:szCs w:val="22"/>
                          </w:rPr>
                          <w:t>PASTABA: Psichozinio lygio sutrikimų atveju kokybiška remisija turėtų trukti ne trumpiau kaip 3 metus</w:t>
                        </w:r>
                      </w:p>
                      <w:p>
                        <w:pPr>
                          <w:rPr>
                            <w:sz w:val="22"/>
                            <w:szCs w:val="22"/>
                          </w:rPr>
                        </w:pPr>
                        <w:r>
                          <w:rPr>
                            <w:sz w:val="22"/>
                            <w:szCs w:val="22"/>
                          </w:rPr>
                          <w:t>Nepsichozinio lygio psichikos sutrikimų atveju remisija turėtų trukti ne trumpiau kaip 1 metus</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Žr. pastabą</w:t>
                        </w:r>
                      </w:p>
                    </w:tc>
                  </w:tr>
                  <w:tr>
                    <w:trPr>
                      <w:cantSplit/>
                      <w:trHeight w:val="20"/>
                    </w:trPr>
                    <w:tc>
                      <w:tcPr>
                        <w:tcW w:w="720" w:type="dxa"/>
                      </w:tcPr>
                      <w:p>
                        <w:pPr>
                          <w:rPr>
                            <w:sz w:val="22"/>
                            <w:szCs w:val="22"/>
                          </w:rPr>
                        </w:pPr>
                        <w:r>
                          <w:rPr>
                            <w:sz w:val="22"/>
                            <w:szCs w:val="22"/>
                          </w:rPr>
                          <w:t>9.</w:t>
                        </w:r>
                      </w:p>
                    </w:tc>
                    <w:tc>
                      <w:tcPr>
                        <w:tcW w:w="8820" w:type="dxa"/>
                      </w:tcPr>
                      <w:p>
                        <w:pPr>
                          <w:rPr>
                            <w:b/>
                            <w:sz w:val="22"/>
                            <w:szCs w:val="22"/>
                          </w:rPr>
                        </w:pPr>
                        <w:r>
                          <w:rPr>
                            <w:b/>
                            <w:sz w:val="22"/>
                            <w:szCs w:val="22"/>
                          </w:rPr>
                          <w:t xml:space="preserve">UROGENITALINĖS SISTEMOS LIGOS: </w:t>
                        </w:r>
                      </w:p>
                      <w:p>
                        <w:pPr>
                          <w:tabs>
                            <w:tab w:val="left" w:pos="1080"/>
                          </w:tabs>
                          <w:rPr>
                            <w:rFonts w:eastAsia="MS Mincho"/>
                            <w:sz w:val="22"/>
                            <w:szCs w:val="22"/>
                          </w:rPr>
                        </w:pPr>
                        <w:r>
                          <w:rPr>
                            <w:sz w:val="22"/>
                            <w:szCs w:val="22"/>
                          </w:rPr>
                          <w:t>PASTABA: Pažymėjimai negali būti išduodami sergantiems sunkiu inkstų nepakankamumu, išskyrus atvejus, kai inkstų nepakankamumas yra lengvesnio laipsnio ir tai yra pagrįsta gydytojo nefrologo išvada, paremta reguliariai atliekamomis medicininėmis apžiūromis.</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Spręsti individualiai</w:t>
                        </w:r>
                      </w:p>
                    </w:tc>
                  </w:tr>
                  <w:tr>
                    <w:trPr>
                      <w:cantSplit/>
                      <w:trHeight w:val="20"/>
                    </w:trPr>
                    <w:tc>
                      <w:tcPr>
                        <w:tcW w:w="720" w:type="dxa"/>
                      </w:tcPr>
                      <w:p>
                        <w:pPr>
                          <w:rPr>
                            <w:sz w:val="22"/>
                            <w:szCs w:val="22"/>
                          </w:rPr>
                        </w:pPr>
                      </w:p>
                    </w:tc>
                    <w:tc>
                      <w:tcPr>
                        <w:tcW w:w="8820" w:type="dxa"/>
                      </w:tcPr>
                      <w:p>
                        <w:pPr>
                          <w:rPr>
                            <w:i/>
                            <w:sz w:val="22"/>
                            <w:szCs w:val="22"/>
                          </w:rPr>
                        </w:pPr>
                        <w:r>
                          <w:rPr>
                            <w:sz w:val="22"/>
                            <w:szCs w:val="22"/>
                          </w:rPr>
                          <w:t>Lėtinis inkstų nepakankamumas N18</w:t>
                        </w:r>
                      </w:p>
                    </w:tc>
                    <w:tc>
                      <w:tcPr>
                        <w:tcW w:w="2340" w:type="dxa"/>
                        <w:shd w:val="clear" w:color="auto" w:fill="auto"/>
                      </w:tcPr>
                      <w:p>
                        <w:pPr>
                          <w:jc w:val="center"/>
                          <w:rPr>
                            <w:sz w:val="22"/>
                            <w:szCs w:val="22"/>
                          </w:rPr>
                        </w:pPr>
                        <w:r>
                          <w:rPr>
                            <w:sz w:val="22"/>
                            <w:szCs w:val="22"/>
                          </w:rPr>
                          <w:t>Spręsti individualiai</w:t>
                        </w:r>
                      </w:p>
                    </w:tc>
                    <w:tc>
                      <w:tcPr>
                        <w:tcW w:w="2340" w:type="dxa"/>
                        <w:shd w:val="clear" w:color="auto" w:fill="auto"/>
                      </w:tcPr>
                      <w:p>
                        <w:pPr>
                          <w:jc w:val="center"/>
                          <w:rPr>
                            <w:sz w:val="22"/>
                            <w:szCs w:val="22"/>
                          </w:rPr>
                        </w:pPr>
                        <w:r>
                          <w:rPr>
                            <w:sz w:val="22"/>
                            <w:szCs w:val="22"/>
                          </w:rPr>
                          <w:t>Spręsti individualiai</w:t>
                        </w:r>
                      </w:p>
                    </w:tc>
                  </w:tr>
                  <w:tr>
                    <w:trPr>
                      <w:cantSplit/>
                      <w:trHeight w:val="20"/>
                    </w:trPr>
                    <w:tc>
                      <w:tcPr>
                        <w:tcW w:w="720" w:type="dxa"/>
                      </w:tcPr>
                      <w:p>
                        <w:pPr>
                          <w:rPr>
                            <w:sz w:val="22"/>
                            <w:szCs w:val="22"/>
                          </w:rPr>
                        </w:pPr>
                        <w:r>
                          <w:rPr>
                            <w:sz w:val="22"/>
                            <w:szCs w:val="22"/>
                          </w:rPr>
                          <w:t>10.</w:t>
                        </w:r>
                      </w:p>
                    </w:tc>
                    <w:tc>
                      <w:tcPr>
                        <w:tcW w:w="8820" w:type="dxa"/>
                      </w:tcPr>
                      <w:p>
                        <w:pPr>
                          <w:rPr>
                            <w:i/>
                            <w:sz w:val="22"/>
                            <w:szCs w:val="22"/>
                          </w:rPr>
                        </w:pPr>
                        <w:r>
                          <w:rPr>
                            <w:b/>
                            <w:sz w:val="22"/>
                            <w:szCs w:val="22"/>
                          </w:rPr>
                          <w:t>KITOS LIGOS AR BŪKLĖS</w:t>
                        </w:r>
                        <w:r>
                          <w:rPr>
                            <w:sz w:val="22"/>
                            <w:szCs w:val="22"/>
                          </w:rPr>
                          <w:t>, kurių nėra šiame sąraše, tačiau dėl kurių, gydytojų konsultacinės komisijos sprendimu, asmuo negali dirbti traukinio mašinistu. Sprendimą priima ASPĮ gydytojų konsultacinė komisija, jį būtina argumentuoti.</w:t>
                        </w:r>
                      </w:p>
                    </w:tc>
                    <w:tc>
                      <w:tcPr>
                        <w:tcW w:w="2340" w:type="dxa"/>
                        <w:shd w:val="clear" w:color="auto" w:fill="auto"/>
                      </w:tcPr>
                      <w:p>
                        <w:pPr>
                          <w:jc w:val="center"/>
                          <w:rPr>
                            <w:sz w:val="22"/>
                            <w:szCs w:val="22"/>
                          </w:rPr>
                        </w:pPr>
                      </w:p>
                    </w:tc>
                    <w:tc>
                      <w:tcPr>
                        <w:tcW w:w="2340" w:type="dxa"/>
                        <w:shd w:val="clear" w:color="auto" w:fill="auto"/>
                      </w:tcPr>
                      <w:p>
                        <w:pPr>
                          <w:jc w:val="center"/>
                          <w:rPr>
                            <w:sz w:val="22"/>
                            <w:szCs w:val="22"/>
                          </w:rPr>
                        </w:pPr>
                      </w:p>
                    </w:tc>
                  </w:tr>
                </w:tbl>
                <w:p/>
                <w:p>
                  <w:pPr>
                    <w:jc w:val="both"/>
                  </w:pPr>
                  <w:r>
                    <w:t>Pastabos:</w:t>
                  </w:r>
                </w:p>
                <w:sdt>
                  <w:sdtPr>
                    <w:alias w:val="12 pr. 1 p."/>
                    <w:tag w:val="part_a2a1703406d040a4b7e2d5bfac8f4367"/>
                    <w:lock w:val="sdtLocked"/>
                    <w:richText/>
                  </w:sdtPr>
                  <w:sdtContent>
                    <w:p>
                      <w:pPr>
                        <w:jc w:val="both"/>
                      </w:pPr>
                      <w:sdt>
                        <w:sdtPr>
                          <w:alias w:val="Numeris"/>
                          <w:tag w:val="nr_a2a1703406d040a4b7e2d5bfac8f4367"/>
                          <w:lock w:val="sdtLocked"/>
                          <w:richText/>
                        </w:sdtPr>
                        <w:sdtContent>
                          <w:r>
                            <w:t>1</w:t>
                          </w:r>
                        </w:sdtContent>
                      </w:sdt>
                      <w:r>
                        <w:t>. „Spręsti individualiai“, „individualiu sprendimu“ reiškia, kad asmuo, atsakingas už sveikatos tikrinimus, o individualiais atvejais – gydytojų konsultacinė komisija, vadovaudamiesi ir specializuotų gydymo įstaigų, kitų profesinių kvalifikacijų gydytojų išvadomis ir rekomendacijomis, atsižvelgdami į susirgimą, kompensaciją, patologinio proceso grįžtamumą, jo progresavimą tęsiant darbuotojo, dirbančio pagal darbo sutartis (atsižvelgiant į darbo krūvį, konkrečias pareigas), darbą, tiriamojo ypatumus, gali priimti individualų sprendimą, leidžiantį asmeniui dirbti traukinio mašinistu.</w:t>
                      </w:r>
                    </w:p>
                  </w:sdtContent>
                </w:sdt>
                <w:sdt>
                  <w:sdtPr>
                    <w:alias w:val="12 pr. 2 p."/>
                    <w:tag w:val="part_8d7388ed9db7464b946fc272fb1206c0"/>
                    <w:lock w:val="sdtLocked"/>
                    <w:richText/>
                  </w:sdtPr>
                  <w:sdtContent>
                    <w:p>
                      <w:pPr>
                        <w:jc w:val="both"/>
                      </w:pPr>
                      <w:sdt>
                        <w:sdtPr>
                          <w:alias w:val="Numeris"/>
                          <w:tag w:val="nr_8d7388ed9db7464b946fc272fb1206c0"/>
                          <w:lock w:val="sdtLocked"/>
                          <w:richText/>
                        </w:sdtPr>
                        <w:sdtContent>
                          <w:r>
                            <w:t>2</w:t>
                          </w:r>
                        </w:sdtContent>
                      </w:sdt>
                      <w:r>
                        <w:t xml:space="preserve">. Apie būtinybę dirbti su akiniais, kontaktiniais lęšiais, klausos aparatu, protezu, draudimą dirbti, privaloma įrašyti į F Nr. 048/a. </w:t>
                      </w:r>
                    </w:p>
                  </w:sdtContent>
                </w:sdt>
                <w:sdt>
                  <w:sdtPr>
                    <w:alias w:val="12 pr. 3 p."/>
                    <w:tag w:val="part_eb5ed564154947a88e0b3c522ca4c4db"/>
                    <w:lock w:val="sdtLocked"/>
                    <w:richText/>
                  </w:sdtPr>
                  <w:sdtContent>
                    <w:p>
                      <w:pPr>
                        <w:jc w:val="both"/>
                      </w:pPr>
                      <w:sdt>
                        <w:sdtPr>
                          <w:alias w:val="Numeris"/>
                          <w:tag w:val="nr_eb5ed564154947a88e0b3c522ca4c4db"/>
                          <w:lock w:val="sdtLocked"/>
                          <w:richText/>
                        </w:sdtPr>
                        <w:sdtContent>
                          <w:r>
                            <w:t>3</w:t>
                          </w:r>
                        </w:sdtContent>
                      </w:sdt>
                      <w:r>
                        <w:t>. Visiems darbuotojams, kurių darbas susijęs su geležinkelių transporto eismu, dirbti leidžiama, jei psichozinio lygio sutrikimų atveju kokybiška remisija trunka ne trumpiau kaip 3 metus. Nepsichozinio lygio psichikos sutrikimų atveju remisija turėtų trukti ne trumpiau kaip 1 metus.</w:t>
                      </w:r>
                    </w:p>
                    <w:p>
                      <w:pPr>
                        <w:jc w:val="both"/>
                      </w:pPr>
                    </w:p>
                    <w:p>
                      <w:pPr>
                        <w:jc w:val="center"/>
                      </w:pPr>
                      <w:r>
                        <w:t>_________________</w:t>
                      </w:r>
                    </w:p>
                    <w:p>
                      <w:pPr>
                        <w:jc w:val="both"/>
                      </w:pPr>
                    </w:p>
                    <w:p>
                      <w:pPr>
                        <w:rPr>
                          <w:sz w:val="20"/>
                        </w:rPr>
                      </w:pPr>
                    </w:p>
                    <w:p>
                      <w:pPr>
                        <w:outlineLvl w:val="7"/>
                        <w:rPr>
                          <w:i/>
                          <w:iCs/>
                        </w:rPr>
                        <w:sectPr>
                          <w:headerReference w:type="even" r:id="rId68"/>
                          <w:footerReference w:type="default" r:id="rId69"/>
                          <w:pgSz w:w="16838" w:h="11906" w:orient="landscape"/>
                          <w:pgMar w:top="1078" w:right="1701" w:bottom="567" w:left="1134" w:header="567" w:footer="567" w:gutter="0"/>
                          <w:pgNumType w:start="1"/>
                          <w:cols w:space="1296"/>
                          <w:titlePg/>
                          <w:docGrid w:linePitch="360"/>
                        </w:sectPr>
                      </w:pPr>
                    </w:p>
                    <w:p>
                      <w:pPr>
                        <w:rPr>
                          <w:sz w:val="6"/>
                          <w:szCs w:val="6"/>
                        </w:rPr>
                      </w:pPr>
                    </w:p>
                  </w:sdtContent>
                </w:sdt>
              </w:sdtContent>
            </w:sdt>
            <w:sdt>
              <w:sdtPr>
                <w:alias w:val="lentele"/>
                <w:tag w:val="part_0c21bcd121574730b780c7f2dc48b52c"/>
                <w:lock w:val="sdtLocked"/>
                <w:richText/>
              </w:sdtPr>
              <w:sdtContent>
                <w:p>
                  <w:pPr>
                    <w:widowControl w:val="0"/>
                    <w:ind w:firstLine="5102"/>
                    <w:outlineLvl w:val="7"/>
                    <w:rPr>
                      <w:iCs/>
                    </w:rPr>
                  </w:pPr>
                  <w:r>
                    <w:rPr>
                      <w:iCs/>
                    </w:rPr>
                    <w:t>2 lentelė</w:t>
                  </w:r>
                </w:p>
                <w:p>
                  <w:pPr>
                    <w:widowControl w:val="0"/>
                    <w:jc w:val="center"/>
                    <w:rPr>
                      <w:rFonts w:eastAsia="MS Mincho"/>
                      <w:b/>
                    </w:rPr>
                  </w:pPr>
                </w:p>
                <w:p>
                  <w:pPr>
                    <w:widowControl w:val="0"/>
                    <w:jc w:val="center"/>
                    <w:rPr>
                      <w:rFonts w:eastAsia="MS Mincho"/>
                      <w:b/>
                    </w:rPr>
                  </w:pPr>
                  <w:r>
                    <w:rPr>
                      <w:rFonts w:eastAsia="MS Mincho"/>
                      <w:b/>
                    </w:rPr>
                    <w:t xml:space="preserve">TRAUKINIO MAŠINISTO GARBĖS DEKLARACIJA </w:t>
                  </w:r>
                </w:p>
                <w:p>
                  <w:pPr>
                    <w:widowControl w:val="0"/>
                    <w:jc w:val="center"/>
                    <w:rPr>
                      <w:rFonts w:eastAsia="MS Mincho"/>
                      <w:b/>
                    </w:rPr>
                  </w:pPr>
                  <w:r>
                    <w:rPr>
                      <w:rFonts w:eastAsia="MS Mincho"/>
                      <w:b/>
                    </w:rPr>
                    <w:t>(SVEIKATOS PATIKRINIMO KLAUSIMYNAS)</w:t>
                  </w:r>
                </w:p>
                <w:p>
                  <w:pPr>
                    <w:widowControl w:val="0"/>
                    <w:rPr>
                      <w:rFonts w:eastAsia="MS Mincho"/>
                      <w:b/>
                    </w:rPr>
                  </w:pPr>
                </w:p>
                <w:p>
                  <w:pPr>
                    <w:tabs>
                      <w:tab w:val="left" w:pos="8789"/>
                    </w:tabs>
                    <w:ind w:right="857"/>
                    <w:jc w:val="center"/>
                    <w:rPr>
                      <w:lang w:val="pt-BR"/>
                    </w:rPr>
                  </w:pPr>
                  <w:r>
                    <w:rPr>
                      <w:lang w:val="pt-BR"/>
                    </w:rPr>
                    <w:t>________________________</w:t>
                  </w:r>
                </w:p>
                <w:p>
                  <w:pPr>
                    <w:tabs>
                      <w:tab w:val="left" w:pos="8789"/>
                    </w:tabs>
                    <w:ind w:right="857"/>
                    <w:jc w:val="center"/>
                    <w:rPr>
                      <w:sz w:val="22"/>
                      <w:lang w:val="pt-BR"/>
                    </w:rPr>
                  </w:pPr>
                  <w:r>
                    <w:rPr>
                      <w:sz w:val="22"/>
                      <w:lang w:val="pt-BR"/>
                    </w:rPr>
                    <w:t>(data)</w:t>
                  </w:r>
                </w:p>
                <w:p>
                  <w:pPr>
                    <w:tabs>
                      <w:tab w:val="left" w:pos="8789"/>
                    </w:tabs>
                    <w:ind w:right="857"/>
                    <w:jc w:val="center"/>
                    <w:rPr>
                      <w:lang w:val="pt-BR"/>
                    </w:rPr>
                  </w:pPr>
                  <w:r>
                    <w:rPr>
                      <w:lang w:val="pt-BR"/>
                    </w:rPr>
                    <w:t>______________________________</w:t>
                  </w:r>
                </w:p>
                <w:p>
                  <w:pPr>
                    <w:tabs>
                      <w:tab w:val="left" w:pos="8789"/>
                    </w:tabs>
                    <w:ind w:right="857"/>
                    <w:jc w:val="center"/>
                    <w:rPr>
                      <w:sz w:val="22"/>
                      <w:lang w:val="pt-BR"/>
                    </w:rPr>
                  </w:pPr>
                  <w:r>
                    <w:rPr>
                      <w:sz w:val="22"/>
                      <w:lang w:val="pt-BR"/>
                    </w:rPr>
                    <w:t>(sudarymo vieta)</w:t>
                  </w:r>
                </w:p>
                <w:p>
                  <w:pPr>
                    <w:tabs>
                      <w:tab w:val="left" w:pos="8789"/>
                    </w:tabs>
                    <w:ind w:right="857"/>
                    <w:jc w:val="center"/>
                    <w:rPr>
                      <w:lang w:val="pt-BR"/>
                    </w:rPr>
                  </w:pPr>
                </w:p>
                <w:tbl>
                  <w:tblPr>
                    <w:tblW w:w="0" w:type="auto"/>
                    <w:tblInd w:w="-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682"/>
                    <w:gridCol w:w="7326"/>
                    <w:gridCol w:w="682"/>
                    <w:gridCol w:w="511"/>
                  </w:tblGrid>
                  <w:tr>
                    <w:trPr>
                      <w:cantSplit/>
                      <w:trHeight w:val="20"/>
                      <w:tblHeader/>
                    </w:trPr>
                    <w:tc>
                      <w:tcPr>
                        <w:tcW w:w="682" w:type="dxa"/>
                        <w:tcBorders>
                          <w:top w:val="single" w:sz="6" w:space="0" w:color="000000"/>
                          <w:left w:val="single" w:sz="6" w:space="0" w:color="000000"/>
                          <w:bottom w:val="single" w:sz="6" w:space="0" w:color="000000"/>
                          <w:right w:val="single" w:sz="6" w:space="0" w:color="000000"/>
                        </w:tcBorders>
                      </w:tcPr>
                      <w:p>
                        <w:pPr>
                          <w:jc w:val="center"/>
                          <w:rPr>
                            <w:sz w:val="22"/>
                          </w:rPr>
                        </w:pPr>
                        <w:r>
                          <w:rPr>
                            <w:sz w:val="22"/>
                          </w:rPr>
                          <w:t>Eil. Nr.</w:t>
                        </w:r>
                      </w:p>
                    </w:tc>
                    <w:tc>
                      <w:tcPr>
                        <w:tcW w:w="7326" w:type="dxa"/>
                        <w:tcBorders>
                          <w:top w:val="single" w:sz="6" w:space="0" w:color="000000"/>
                          <w:left w:val="single" w:sz="6" w:space="0" w:color="000000"/>
                          <w:bottom w:val="single" w:sz="6" w:space="0" w:color="000000"/>
                          <w:right w:val="single" w:sz="6" w:space="0" w:color="000000"/>
                        </w:tcBorders>
                      </w:tcPr>
                      <w:p>
                        <w:pPr>
                          <w:jc w:val="center"/>
                          <w:rPr>
                            <w:sz w:val="22"/>
                          </w:rPr>
                        </w:pPr>
                        <w:r>
                          <w:rPr>
                            <w:sz w:val="22"/>
                          </w:rPr>
                          <w:t xml:space="preserve">Klausimai, į kuriuos prašome atsakyti (tinkamą atsakymą „taip“ arba „ne“ lentelėje pažymėti </w:t>
                          <w:sym w:font="Wingdings" w:char="00FC"/>
                        </w:r>
                        <w:r>
                          <w:rPr>
                            <w:vanish/>
                            <w:sz w:val="22"/>
                          </w:rPr>
                          <w:t>v</w:t>
                        </w:r>
                        <w:r>
                          <w:rPr>
                            <w:sz w:val="22"/>
                          </w:rPr>
                          <w:t>) lankantis pas gydytoją dėl traukinio mašinisto sveikatos pažymėjimo įsigijimo arba jo galiojimo pratęsimo (priežastį pabraukti)</w:t>
                        </w:r>
                      </w:p>
                    </w:tc>
                    <w:tc>
                      <w:tcPr>
                        <w:tcW w:w="682" w:type="dxa"/>
                        <w:tcBorders>
                          <w:top w:val="single" w:sz="6" w:space="0" w:color="000000"/>
                          <w:left w:val="single" w:sz="6" w:space="0" w:color="000000"/>
                          <w:bottom w:val="single" w:sz="6" w:space="0" w:color="000000"/>
                          <w:right w:val="single" w:sz="6" w:space="0" w:color="000000"/>
                        </w:tcBorders>
                      </w:tcPr>
                      <w:p>
                        <w:pPr>
                          <w:jc w:val="center"/>
                          <w:rPr>
                            <w:sz w:val="22"/>
                          </w:rPr>
                        </w:pPr>
                        <w:r>
                          <w:rPr>
                            <w:sz w:val="22"/>
                          </w:rPr>
                          <w:t>Taip</w:t>
                        </w:r>
                      </w:p>
                    </w:tc>
                    <w:tc>
                      <w:tcPr>
                        <w:tcW w:w="511" w:type="dxa"/>
                        <w:tcBorders>
                          <w:top w:val="single" w:sz="6" w:space="0" w:color="000000"/>
                          <w:left w:val="single" w:sz="6" w:space="0" w:color="000000"/>
                          <w:bottom w:val="single" w:sz="6" w:space="0" w:color="000000"/>
                          <w:right w:val="single" w:sz="6" w:space="0" w:color="000000"/>
                        </w:tcBorders>
                      </w:tcPr>
                      <w:p>
                        <w:pPr>
                          <w:jc w:val="center"/>
                          <w:rPr>
                            <w:sz w:val="22"/>
                          </w:rPr>
                        </w:pPr>
                        <w:r>
                          <w:rPr>
                            <w:sz w:val="22"/>
                          </w:rPr>
                          <w:t>Ne</w:t>
                        </w: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A.</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rPr>
                            <w:sz w:val="22"/>
                          </w:rPr>
                        </w:pPr>
                        <w:r>
                          <w:rPr>
                            <w:sz w:val="22"/>
                          </w:rPr>
                          <w:t>Ar sergate kokia nors liga arba gal turite kokią negalią ar kitų medicininių nusiskundimų, galinčių paveikti Jūsų gebėjimą dirbti traukinio mašinistu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tcPr>
                      <w:p>
                        <w:pPr>
                          <w:rPr>
                            <w:sz w:val="22"/>
                          </w:rPr>
                        </w:pPr>
                        <w:r>
                          <w:rPr>
                            <w:sz w:val="22"/>
                          </w:rPr>
                          <w:t>1.</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turite regėjimo sutrikimų, tokių kaip:</w:t>
                        </w:r>
                      </w:p>
                      <w:p>
                        <w:pPr>
                          <w:tabs>
                            <w:tab w:val="center" w:pos="4153"/>
                            <w:tab w:val="right" w:pos="8306"/>
                            <w:tab w:val="left" w:pos="8789"/>
                          </w:tabs>
                          <w:ind w:right="857"/>
                          <w:rPr>
                            <w:sz w:val="22"/>
                          </w:rPr>
                        </w:pPr>
                        <w:r>
                          <w:rPr>
                            <w:sz w:val="22"/>
                          </w:rPr>
                          <w:t>1.1. pablogėjęs matymas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1.2. nevalingi akių judesiai (nistagmas)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1.3. regėjimo lauko defektai (pvz., ribotas matymas į šonus)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1.4. dvigubinimasis (dvejinimasis)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1.5. akivaizdus matymo pablogėjimas prieblandoje ar tamsoje (vištakumas)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1.6. pablogėjęs akių judrumas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1.7. jautrumas akinimui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1.8. pablogėjęs atstumo įvertinimas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72"/>
                          <w:rPr>
                            <w:sz w:val="22"/>
                          </w:rPr>
                        </w:pPr>
                        <w:r>
                          <w:rPr>
                            <w:sz w:val="22"/>
                          </w:rPr>
                          <w:t>1.9. kiti sutrikimai (akių skausmai, staigus matymo sutrikimas, buvo / yra nustatytas padidėjęs akispūdis ar kt.)</w:t>
                        </w:r>
                      </w:p>
                      <w:p>
                        <w:pPr>
                          <w:tabs>
                            <w:tab w:val="center" w:pos="4153"/>
                            <w:tab w:val="right" w:pos="8306"/>
                            <w:tab w:val="left" w:pos="8789"/>
                          </w:tabs>
                          <w:ind w:right="857"/>
                          <w:rPr>
                            <w:sz w:val="22"/>
                          </w:rPr>
                        </w:pPr>
                        <w:r>
                          <w:rPr>
                            <w:sz w:val="22"/>
                          </w:rPr>
                          <w:t>(jei „taip“, tinkamą atsakymą pabraukti arba įrašyti):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2.</w:t>
                        </w:r>
                      </w:p>
                    </w:tc>
                    <w:tc>
                      <w:tcPr>
                        <w:tcW w:w="7326" w:type="dxa"/>
                        <w:tcBorders>
                          <w:top w:val="single" w:sz="6" w:space="0" w:color="000000"/>
                          <w:left w:val="single" w:sz="6" w:space="0" w:color="000000"/>
                          <w:bottom w:val="single" w:sz="6" w:space="0" w:color="000000"/>
                          <w:right w:val="single" w:sz="6" w:space="0" w:color="000000"/>
                        </w:tcBorders>
                      </w:tcPr>
                      <w:p>
                        <w:pPr>
                          <w:rPr>
                            <w:sz w:val="22"/>
                            <w:lang w:val="pt-BR"/>
                          </w:rPr>
                        </w:pPr>
                        <w:r>
                          <w:rPr>
                            <w:sz w:val="22"/>
                            <w:lang w:val="pt-BR"/>
                          </w:rPr>
                          <w:t>Ar Jums svaigo / svaigsta galva?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3.</w:t>
                        </w:r>
                      </w:p>
                    </w:tc>
                    <w:tc>
                      <w:tcPr>
                        <w:tcW w:w="7326" w:type="dxa"/>
                        <w:tcBorders>
                          <w:top w:val="single" w:sz="6" w:space="0" w:color="000000"/>
                          <w:left w:val="single" w:sz="6" w:space="0" w:color="000000"/>
                          <w:bottom w:val="single" w:sz="6" w:space="0" w:color="000000"/>
                          <w:right w:val="single" w:sz="6" w:space="0" w:color="000000"/>
                        </w:tcBorders>
                      </w:tcPr>
                      <w:p>
                        <w:pPr>
                          <w:rPr>
                            <w:sz w:val="22"/>
                            <w:lang w:val="pt-BR"/>
                          </w:rPr>
                        </w:pPr>
                        <w:r>
                          <w:rPr>
                            <w:sz w:val="22"/>
                            <w:lang w:val="pt-BR"/>
                          </w:rPr>
                          <w:t>Ar skundžiatės pablogėjusia klausa, ar sirgote ausų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4.</w:t>
                        </w:r>
                      </w:p>
                    </w:tc>
                    <w:tc>
                      <w:tcPr>
                        <w:tcW w:w="7326" w:type="dxa"/>
                        <w:tcBorders>
                          <w:top w:val="single" w:sz="6" w:space="0" w:color="000000"/>
                          <w:left w:val="single" w:sz="6" w:space="0" w:color="000000"/>
                          <w:bottom w:val="single" w:sz="6" w:space="0" w:color="000000"/>
                          <w:right w:val="single" w:sz="6" w:space="0" w:color="000000"/>
                        </w:tcBorders>
                      </w:tcPr>
                      <w:p>
                        <w:pPr>
                          <w:rPr>
                            <w:sz w:val="22"/>
                            <w:lang w:val="pt-BR"/>
                          </w:rPr>
                        </w:pPr>
                        <w:r>
                          <w:rPr>
                            <w:sz w:val="22"/>
                            <w:lang w:val="pt-BR"/>
                          </w:rPr>
                          <w:t>Ar yra galūnių judesių funkcijos sutrikimų arba gal sergate kokia nors su tuo susijusia liga?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tcPr>
                      <w:p>
                        <w:pPr>
                          <w:rPr>
                            <w:sz w:val="22"/>
                          </w:rPr>
                        </w:pPr>
                        <w:r>
                          <w:rPr>
                            <w:sz w:val="22"/>
                          </w:rPr>
                          <w:t>5.</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sirgote / sergate širdies ir / ar širdies ir kraujagyslių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rPr>
                            <w:sz w:val="22"/>
                          </w:rPr>
                        </w:pPr>
                        <w:r>
                          <w:rPr>
                            <w:sz w:val="22"/>
                          </w:rPr>
                          <w:t>5.1. insultas (paralyžius)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rPr>
                            <w:sz w:val="22"/>
                          </w:rPr>
                        </w:pPr>
                        <w:r>
                          <w:rPr>
                            <w:sz w:val="22"/>
                          </w:rPr>
                          <w:t>5.2. širdies ritmo sutrikimai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rPr>
                            <w:sz w:val="22"/>
                          </w:rPr>
                        </w:pPr>
                        <w:r>
                          <w:rPr>
                            <w:sz w:val="22"/>
                          </w:rPr>
                          <w:t>5.3. širdies infarktas ar krūtinės angina (stenokardija)</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rPr>
                            <w:sz w:val="22"/>
                            <w:lang w:val="pt-BR"/>
                          </w:rPr>
                        </w:pPr>
                        <w:r>
                          <w:rPr>
                            <w:sz w:val="22"/>
                            <w:lang w:val="pt-BR"/>
                          </w:rPr>
                          <w:t>5.4. širdies įgimta ar įgyta liga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rPr>
                        </w:pPr>
                      </w:p>
                    </w:tc>
                    <w:tc>
                      <w:tcPr>
                        <w:tcW w:w="7326" w:type="dxa"/>
                        <w:tcBorders>
                          <w:top w:val="single" w:sz="6" w:space="0" w:color="000000"/>
                          <w:left w:val="single" w:sz="6" w:space="0" w:color="000000"/>
                          <w:bottom w:val="single" w:sz="6" w:space="0" w:color="000000"/>
                          <w:right w:val="single" w:sz="6" w:space="0" w:color="000000"/>
                        </w:tcBorders>
                      </w:tcPr>
                      <w:p>
                        <w:pPr>
                          <w:rPr>
                            <w:sz w:val="22"/>
                            <w:lang w:val="pt-BR"/>
                          </w:rPr>
                        </w:pPr>
                        <w:r>
                          <w:rPr>
                            <w:sz w:val="22"/>
                            <w:lang w:val="pt-BR"/>
                          </w:rPr>
                          <w:t>5.5. kita širdies ar širdies ir kraujagyslių liga (reumatas ar kt.)</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6.</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sergate cukriniu diabetu?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7.</w:t>
                        </w:r>
                      </w:p>
                    </w:tc>
                    <w:tc>
                      <w:tcPr>
                        <w:tcW w:w="7326" w:type="dxa"/>
                        <w:tcBorders>
                          <w:top w:val="single" w:sz="6" w:space="0" w:color="000000"/>
                          <w:left w:val="single" w:sz="6" w:space="0" w:color="000000"/>
                          <w:bottom w:val="single" w:sz="6" w:space="0" w:color="000000"/>
                          <w:right w:val="single" w:sz="6" w:space="0" w:color="000000"/>
                        </w:tcBorders>
                      </w:tcPr>
                      <w:p>
                        <w:pPr>
                          <w:rPr>
                            <w:sz w:val="22"/>
                            <w:highlight w:val="yellow"/>
                            <w:lang w:val="pt-BR"/>
                          </w:rPr>
                        </w:pPr>
                        <w:r>
                          <w:rPr>
                            <w:sz w:val="22"/>
                            <w:lang w:val="pt-BR"/>
                          </w:rPr>
                          <w:t>Ar turėjote galvos smegenų traumų?</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8.</w:t>
                        </w:r>
                      </w:p>
                    </w:tc>
                    <w:tc>
                      <w:tcPr>
                        <w:tcW w:w="7326" w:type="dxa"/>
                        <w:tcBorders>
                          <w:top w:val="single" w:sz="6" w:space="0" w:color="000000"/>
                          <w:left w:val="single" w:sz="6" w:space="0" w:color="000000"/>
                          <w:bottom w:val="single" w:sz="6" w:space="0" w:color="000000"/>
                          <w:right w:val="single" w:sz="6" w:space="0" w:color="000000"/>
                        </w:tcBorders>
                      </w:tcPr>
                      <w:p>
                        <w:pPr>
                          <w:rPr>
                            <w:sz w:val="22"/>
                            <w:highlight w:val="yellow"/>
                          </w:rPr>
                        </w:pPr>
                        <w:r>
                          <w:rPr>
                            <w:sz w:val="22"/>
                          </w:rPr>
                          <w:t>Ar sirgote / sergate epilepsija?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9.</w:t>
                        </w:r>
                      </w:p>
                    </w:tc>
                    <w:tc>
                      <w:tcPr>
                        <w:tcW w:w="7326" w:type="dxa"/>
                        <w:tcBorders>
                          <w:top w:val="single" w:sz="6" w:space="0" w:color="000000"/>
                          <w:left w:val="single" w:sz="6" w:space="0" w:color="000000"/>
                          <w:bottom w:val="single" w:sz="6" w:space="0" w:color="000000"/>
                          <w:right w:val="single" w:sz="6" w:space="0" w:color="000000"/>
                        </w:tcBorders>
                      </w:tcPr>
                      <w:p>
                        <w:pPr>
                          <w:rPr>
                            <w:sz w:val="22"/>
                          </w:rPr>
                        </w:pPr>
                        <w:r>
                          <w:rPr>
                            <w:sz w:val="22"/>
                          </w:rPr>
                          <w:t>Ar Jums būna / kada nors buvo ištikę ženklūs pusiausvyros sutrikimai?</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10.</w:t>
                        </w:r>
                      </w:p>
                    </w:tc>
                    <w:tc>
                      <w:tcPr>
                        <w:tcW w:w="7326" w:type="dxa"/>
                        <w:tcBorders>
                          <w:top w:val="single" w:sz="6" w:space="0" w:color="000000"/>
                          <w:left w:val="single" w:sz="6" w:space="0" w:color="000000"/>
                          <w:bottom w:val="single" w:sz="6" w:space="0" w:color="000000"/>
                          <w:right w:val="single" w:sz="6" w:space="0" w:color="000000"/>
                        </w:tcBorders>
                      </w:tcPr>
                      <w:p>
                        <w:pPr>
                          <w:rPr>
                            <w:sz w:val="22"/>
                          </w:rPr>
                        </w:pPr>
                        <w:r>
                          <w:rPr>
                            <w:sz w:val="22"/>
                          </w:rPr>
                          <w:t>Ar alpote / alpstate arba turėjote / turite kitų sąmonės sutrikimų?</w:t>
                        </w:r>
                      </w:p>
                      <w:p>
                        <w:pPr>
                          <w:rPr>
                            <w:sz w:val="22"/>
                            <w:highlight w:val="yellow"/>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11.</w:t>
                        </w:r>
                      </w:p>
                    </w:tc>
                    <w:tc>
                      <w:tcPr>
                        <w:tcW w:w="7326" w:type="dxa"/>
                        <w:tcBorders>
                          <w:top w:val="single" w:sz="6" w:space="0" w:color="000000"/>
                          <w:left w:val="single" w:sz="6" w:space="0" w:color="000000"/>
                          <w:bottom w:val="single" w:sz="6" w:space="0" w:color="000000"/>
                          <w:right w:val="single" w:sz="6" w:space="0" w:color="000000"/>
                        </w:tcBorders>
                      </w:tcPr>
                      <w:p>
                        <w:pPr>
                          <w:rPr>
                            <w:sz w:val="22"/>
                          </w:rPr>
                        </w:pPr>
                        <w:r>
                          <w:rPr>
                            <w:sz w:val="22"/>
                          </w:rPr>
                          <w:t>Ar skundžiatės / skundėtės anksčiau šlapinimosi sutrikimais, inkstų veiklos pablogėjimu?</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12.</w:t>
                        </w:r>
                      </w:p>
                    </w:tc>
                    <w:tc>
                      <w:tcPr>
                        <w:tcW w:w="7326" w:type="dxa"/>
                        <w:tcBorders>
                          <w:top w:val="single" w:sz="6" w:space="0" w:color="000000"/>
                          <w:left w:val="single" w:sz="6" w:space="0" w:color="000000"/>
                          <w:bottom w:val="single" w:sz="6" w:space="0" w:color="000000"/>
                          <w:right w:val="single" w:sz="6" w:space="0" w:color="000000"/>
                        </w:tcBorders>
                      </w:tcPr>
                      <w:p>
                        <w:pPr>
                          <w:rPr>
                            <w:sz w:val="22"/>
                            <w:lang w:val="pt-BR"/>
                          </w:rPr>
                        </w:pPr>
                        <w:r>
                          <w:rPr>
                            <w:sz w:val="22"/>
                            <w:lang w:val="pt-BR"/>
                          </w:rPr>
                          <w:t>Ar skundžiatės dėmesio, pastabumo, mąstymo arba atminties sutrikimais?</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tcPr>
                      <w:p>
                        <w:pPr>
                          <w:rPr>
                            <w:sz w:val="22"/>
                          </w:rPr>
                        </w:pPr>
                        <w:r>
                          <w:rPr>
                            <w:sz w:val="22"/>
                          </w:rPr>
                          <w:t>13.</w:t>
                        </w:r>
                      </w:p>
                    </w:tc>
                    <w:tc>
                      <w:tcPr>
                        <w:tcW w:w="7326" w:type="dxa"/>
                        <w:tcBorders>
                          <w:top w:val="single" w:sz="6" w:space="0" w:color="000000"/>
                          <w:left w:val="single" w:sz="6" w:space="0" w:color="000000"/>
                          <w:bottom w:val="single" w:sz="6" w:space="0" w:color="000000"/>
                          <w:right w:val="single" w:sz="6" w:space="0" w:color="000000"/>
                        </w:tcBorders>
                      </w:tcPr>
                      <w:p>
                        <w:pPr>
                          <w:rPr>
                            <w:sz w:val="22"/>
                            <w:lang w:val="pt-BR"/>
                          </w:rPr>
                        </w:pPr>
                        <w:r>
                          <w:rPr>
                            <w:sz w:val="22"/>
                            <w:lang w:val="pt-BR"/>
                          </w:rPr>
                          <w:t>Ar skundžiatės miego sutrikimais:</w:t>
                        </w:r>
                      </w:p>
                      <w:p>
                        <w:pPr>
                          <w:rPr>
                            <w:sz w:val="22"/>
                            <w:lang w:val="pt-BR"/>
                          </w:rPr>
                        </w:pPr>
                        <w:r>
                          <w:rPr>
                            <w:sz w:val="22"/>
                            <w:lang w:val="pt-BR"/>
                          </w:rPr>
                          <w:t>13.1. Ar būnate pavargęs ar mieguistas dieną?</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tcPr>
                      <w:p>
                        <w:pPr>
                          <w:rPr>
                            <w:sz w:val="22"/>
                            <w:lang w:val="pt-BR"/>
                          </w:rPr>
                        </w:pPr>
                      </w:p>
                    </w:tc>
                    <w:tc>
                      <w:tcPr>
                        <w:tcW w:w="7326" w:type="dxa"/>
                        <w:tcBorders>
                          <w:top w:val="single" w:sz="6" w:space="0" w:color="000000"/>
                          <w:left w:val="single" w:sz="6" w:space="0" w:color="000000"/>
                          <w:bottom w:val="single" w:sz="6" w:space="0" w:color="000000"/>
                          <w:right w:val="single" w:sz="6" w:space="0" w:color="000000"/>
                        </w:tcBorders>
                      </w:tcPr>
                      <w:p>
                        <w:pPr>
                          <w:rPr>
                            <w:sz w:val="22"/>
                            <w:lang w:val="pt-BR"/>
                          </w:rPr>
                        </w:pPr>
                        <w:r>
                          <w:rPr>
                            <w:sz w:val="22"/>
                            <w:lang w:val="pt-BR"/>
                          </w:rPr>
                          <w:t>13.2. Ar Jus ištinka nevalingi miego priepuoliai?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14.</w:t>
                        </w:r>
                      </w:p>
                    </w:tc>
                    <w:tc>
                      <w:tcPr>
                        <w:tcW w:w="7326" w:type="dxa"/>
                        <w:tcBorders>
                          <w:top w:val="single" w:sz="6" w:space="0" w:color="000000"/>
                          <w:left w:val="single" w:sz="6" w:space="0" w:color="000000"/>
                          <w:bottom w:val="single" w:sz="6" w:space="0" w:color="000000"/>
                          <w:right w:val="single" w:sz="6" w:space="0" w:color="000000"/>
                        </w:tcBorders>
                      </w:tcPr>
                      <w:p>
                        <w:pPr>
                          <w:rPr>
                            <w:sz w:val="22"/>
                            <w:lang w:val="fi-FI"/>
                          </w:rPr>
                        </w:pPr>
                        <w:r>
                          <w:rPr>
                            <w:sz w:val="22"/>
                            <w:lang w:val="fi-FI"/>
                          </w:rPr>
                          <w:t>Ar piktnaudžiaujate / piktnaudžiavote 5 metų laikotarpiu alkoholiu, rūkalais, narkotikais arba vaistais?</w:t>
                        </w:r>
                      </w:p>
                      <w:p>
                        <w:pPr>
                          <w:rPr>
                            <w:sz w:val="22"/>
                            <w:lang w:val="fi-FI"/>
                          </w:rPr>
                        </w:pPr>
                        <w:r>
                          <w:rPr>
                            <w:sz w:val="22"/>
                            <w:lang w:val="fi-FI"/>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15.</w:t>
                        </w:r>
                      </w:p>
                    </w:tc>
                    <w:tc>
                      <w:tcPr>
                        <w:tcW w:w="7326" w:type="dxa"/>
                        <w:tcBorders>
                          <w:top w:val="single" w:sz="6" w:space="0" w:color="000000"/>
                          <w:left w:val="single" w:sz="6" w:space="0" w:color="000000"/>
                          <w:bottom w:val="single" w:sz="6" w:space="0" w:color="000000"/>
                          <w:right w:val="single" w:sz="6" w:space="0" w:color="000000"/>
                        </w:tcBorders>
                      </w:tcPr>
                      <w:p>
                        <w:pPr>
                          <w:rPr>
                            <w:sz w:val="22"/>
                          </w:rPr>
                        </w:pPr>
                        <w:r>
                          <w:rPr>
                            <w:sz w:val="22"/>
                          </w:rPr>
                          <w:t>Ar turite / turėjote 5 metų laikotarpiu kokių nors psichikos sutrikimų arba gal sirgote kokia nors psichikos liga, ar dėl to buvote gydomas (-a) psichiatro?</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B.</w:t>
                        </w:r>
                      </w:p>
                    </w:tc>
                    <w:tc>
                      <w:tcPr>
                        <w:tcW w:w="7326" w:type="dxa"/>
                        <w:tcBorders>
                          <w:top w:val="single" w:sz="6" w:space="0" w:color="000000"/>
                          <w:left w:val="single" w:sz="6" w:space="0" w:color="000000"/>
                          <w:bottom w:val="single" w:sz="6" w:space="0" w:color="000000"/>
                          <w:right w:val="single" w:sz="6" w:space="0" w:color="000000"/>
                        </w:tcBorders>
                      </w:tcPr>
                      <w:p>
                        <w:pPr>
                          <w:rPr>
                            <w:sz w:val="22"/>
                          </w:rPr>
                        </w:pPr>
                        <w:r>
                          <w:rPr>
                            <w:sz w:val="22"/>
                          </w:rPr>
                          <w:t>Klausimai apie gydymą, vaistų vartojimą ir kt.</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16.</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buvote gydomas (-a) ligoninėje arba kreipėtės į gydytoją dėl anksčiau minėtų priežasčių (A 1–15)?</w:t>
                        </w:r>
                      </w:p>
                      <w:p>
                        <w:pPr>
                          <w:tabs>
                            <w:tab w:val="left" w:pos="284"/>
                            <w:tab w:val="center" w:pos="4153"/>
                            <w:tab w:val="right" w:pos="8306"/>
                            <w:tab w:val="left" w:pos="8789"/>
                          </w:tabs>
                          <w:ind w:right="857"/>
                          <w:rPr>
                            <w:sz w:val="22"/>
                          </w:rPr>
                        </w:pPr>
                        <w:r>
                          <w:rPr>
                            <w:sz w:val="22"/>
                          </w:rPr>
                          <w:t>Jei „taip“, tinkamą atsakymą pabraukti, nurodyti kada ir įstaigos, kurioje gydėtės, pavadinimą, adresą)</w:t>
                        </w:r>
                      </w:p>
                      <w:p>
                        <w:pPr>
                          <w:tabs>
                            <w:tab w:val="left" w:pos="284"/>
                            <w:tab w:val="center" w:pos="4153"/>
                            <w:tab w:val="right" w:pos="8306"/>
                            <w:tab w:val="left" w:pos="8789"/>
                          </w:tabs>
                          <w:ind w:right="857"/>
                          <w:rPr>
                            <w:sz w:val="22"/>
                          </w:rPr>
                        </w:pPr>
                      </w:p>
                      <w:p>
                        <w:pPr>
                          <w:tabs>
                            <w:tab w:val="left" w:pos="284"/>
                            <w:tab w:val="center" w:pos="4153"/>
                            <w:tab w:val="right" w:pos="8306"/>
                            <w:tab w:val="left" w:pos="8789"/>
                          </w:tabs>
                          <w:ind w:right="857"/>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17.</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lang w:val="fi-FI"/>
                          </w:rPr>
                        </w:pPr>
                        <w:r>
                          <w:rPr>
                            <w:sz w:val="22"/>
                            <w:lang w:val="fi-FI"/>
                          </w:rPr>
                          <w:t>Ar šiuo metu vartojate gydytojo paskirtus vaistus (raminamuosius, migdomuosius, nuskausminamuosius ar kitus)?</w:t>
                        </w:r>
                      </w:p>
                      <w:p>
                        <w:pPr>
                          <w:rPr>
                            <w:sz w:val="22"/>
                            <w:lang w:val="fi-FI"/>
                          </w:rPr>
                        </w:pPr>
                        <w:r>
                          <w:rPr>
                            <w:sz w:val="22"/>
                            <w:lang w:val="fi-FI"/>
                          </w:rPr>
                          <w:t>Jei „taip“, tinkamą atsakymą pabraukti, nurodyti, kokius vaistus:</w:t>
                        </w:r>
                      </w:p>
                      <w:p>
                        <w:pPr>
                          <w:rPr>
                            <w:sz w:val="22"/>
                            <w:lang w:val="fi-FI"/>
                          </w:rPr>
                        </w:pPr>
                      </w:p>
                      <w:p>
                        <w:pPr>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18.</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Gal Jums dėl kurios nors anksčiau minėtos ligos (A 1–13) paskirti kokie nors vaistai, kurie turi būti reguliariai vartojami ilgą laiką?</w:t>
                        </w:r>
                      </w:p>
                      <w:p>
                        <w:pPr>
                          <w:tabs>
                            <w:tab w:val="center" w:pos="4153"/>
                            <w:tab w:val="right" w:pos="8306"/>
                            <w:tab w:val="left" w:pos="8789"/>
                          </w:tabs>
                          <w:ind w:right="857"/>
                          <w:rPr>
                            <w:sz w:val="22"/>
                            <w:lang w:val="fi-FI"/>
                          </w:rPr>
                        </w:pPr>
                        <w:r>
                          <w:rPr>
                            <w:sz w:val="22"/>
                            <w:lang w:val="fi-FI"/>
                          </w:rPr>
                          <w:t>Jei atsakymas „taip“, nurodyti, kokie vaistai:</w:t>
                        </w:r>
                      </w:p>
                      <w:p>
                        <w:pPr>
                          <w:tabs>
                            <w:tab w:val="center" w:pos="4153"/>
                            <w:tab w:val="right" w:pos="8306"/>
                            <w:tab w:val="left" w:pos="8789"/>
                          </w:tabs>
                          <w:ind w:right="857"/>
                          <w:rPr>
                            <w:sz w:val="22"/>
                            <w:lang w:val="fi-FI"/>
                          </w:rPr>
                        </w:pPr>
                      </w:p>
                      <w:p>
                        <w:pPr>
                          <w:tabs>
                            <w:tab w:val="center" w:pos="4153"/>
                            <w:tab w:val="right" w:pos="8306"/>
                            <w:tab w:val="left" w:pos="8789"/>
                          </w:tabs>
                          <w:ind w:right="857"/>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19.</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anksčiau buvo tikrinta Jūsų sveikata, norint gauti traukinio mašinisto pažymėjimą?</w:t>
                        </w:r>
                      </w:p>
                      <w:p>
                        <w:pPr>
                          <w:rPr>
                            <w:sz w:val="22"/>
                            <w:lang w:val="fi-FI"/>
                          </w:rPr>
                        </w:pPr>
                        <w:r>
                          <w:rPr>
                            <w:sz w:val="22"/>
                            <w:lang w:val="fi-FI"/>
                          </w:rPr>
                          <w:t>Jei atsakymas „taip“, nurodyti kada: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20.</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turite darbingumo apribojimų dėl ligos ar sveikatos problemos?</w:t>
                        </w:r>
                      </w:p>
                      <w:p>
                        <w:pPr>
                          <w:tabs>
                            <w:tab w:val="center" w:pos="4153"/>
                            <w:tab w:val="left" w:pos="5954"/>
                            <w:tab w:val="left" w:pos="6096"/>
                            <w:tab w:val="right" w:pos="8306"/>
                            <w:tab w:val="left" w:pos="8789"/>
                            <w:tab w:val="left" w:pos="8931"/>
                          </w:tabs>
                          <w:ind w:right="476"/>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tcPr>
                      <w:p>
                        <w:pPr>
                          <w:rPr>
                            <w:sz w:val="22"/>
                          </w:rPr>
                        </w:pPr>
                        <w:r>
                          <w:rPr>
                            <w:sz w:val="22"/>
                          </w:rPr>
                          <w:t>21.</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manote, kad dabar esate visiškai sveikas (-a)?</w:t>
                        </w:r>
                      </w:p>
                      <w:p>
                        <w:pPr>
                          <w:rPr>
                            <w:sz w:val="22"/>
                            <w:lang w:val="pt-BR"/>
                          </w:rPr>
                        </w:pPr>
                        <w:r>
                          <w:rPr>
                            <w:sz w:val="22"/>
                            <w:lang w:val="pt-BR"/>
                          </w:rPr>
                          <w:t>Jei atsakymas „ne“, įrašyti priežastis:</w:t>
                        </w:r>
                      </w:p>
                      <w:p>
                        <w:pPr>
                          <w:rPr>
                            <w:sz w:val="22"/>
                            <w:lang w:val="pt-BR"/>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bl>
                <w:p>
                  <w:pPr>
                    <w:rPr>
                      <w:lang w:val="pt-BR"/>
                    </w:rPr>
                  </w:pPr>
                </w:p>
                <w:p>
                  <w:pPr>
                    <w:ind w:firstLine="567"/>
                    <w:jc w:val="both"/>
                    <w:rPr>
                      <w:lang w:val="pt-BR"/>
                    </w:rPr>
                  </w:pPr>
                  <w:r>
                    <w:rPr>
                      <w:lang w:val="pt-BR"/>
                    </w:rPr>
                    <w:t>Užtikrinu, kad visa mano pateikta informacija yra visiškai teisinga, ir suprantu, kad pablogėjus sveikatos būklei, turiu nedelsdamas (-a) kreiptis į gydytoją.</w:t>
                  </w:r>
                </w:p>
                <w:p>
                  <w:pPr>
                    <w:rPr>
                      <w:lang w:val="pt-BR"/>
                    </w:rPr>
                  </w:pPr>
                </w:p>
                <w:p>
                  <w:pPr>
                    <w:tabs>
                      <w:tab w:val="center" w:pos="4153"/>
                      <w:tab w:val="right" w:leader="underscore" w:pos="9000"/>
                    </w:tabs>
                    <w:ind w:left="4535"/>
                    <w:rPr>
                      <w:lang w:val="pt-BR"/>
                    </w:rPr>
                  </w:pPr>
                  <w:r>
                    <w:rPr>
                      <w:lang w:val="pt-BR"/>
                    </w:rPr>
                    <w:t>___________       </w:t>
                    <w:tab/>
                  </w:r>
                </w:p>
                <w:p>
                  <w:pPr>
                    <w:tabs>
                      <w:tab w:val="center" w:pos="4153"/>
                      <w:tab w:val="center" w:pos="7680"/>
                    </w:tabs>
                    <w:ind w:left="4800"/>
                    <w:rPr>
                      <w:sz w:val="22"/>
                      <w:lang w:val="pt-BR"/>
                    </w:rPr>
                  </w:pPr>
                  <w:r>
                    <w:rPr>
                      <w:sz w:val="22"/>
                      <w:lang w:val="pt-BR"/>
                    </w:rPr>
                    <w:t>(parašas)</w:t>
                    <w:tab/>
                    <w:t>(vardas, pavardė)</w:t>
                  </w:r>
                </w:p>
                <w:p>
                  <w:pPr>
                    <w:tabs>
                      <w:tab w:val="center" w:pos="4153"/>
                      <w:tab w:val="right" w:pos="8306"/>
                      <w:tab w:val="left" w:pos="8789"/>
                    </w:tabs>
                    <w:ind w:right="857"/>
                    <w:rPr>
                      <w:b/>
                      <w:lang w:val="pt-BR"/>
                    </w:rPr>
                  </w:pPr>
                </w:p>
                <w:p>
                  <w:pPr>
                    <w:tabs>
                      <w:tab w:val="left" w:pos="8789"/>
                    </w:tabs>
                    <w:ind w:right="857"/>
                    <w:rPr>
                      <w:lang w:val="pt-BR"/>
                    </w:rPr>
                  </w:pPr>
                  <w:r>
                    <w:rPr>
                      <w:lang w:val="pt-BR"/>
                    </w:rPr>
                    <w:t>Pastaba.</w:t>
                  </w:r>
                  <w:r>
                    <w:rPr>
                      <w:b/>
                      <w:lang w:val="pt-BR"/>
                    </w:rPr>
                    <w:t xml:space="preserve"> </w:t>
                  </w:r>
                  <w:r>
                    <w:rPr>
                      <w:lang w:val="pt-BR"/>
                    </w:rPr>
                    <w:t>Įdedamas į Asmens sveikatos istoriją – F Nr. 025/a.</w:t>
                  </w:r>
                </w:p>
                <w:p>
                  <w:pPr>
                    <w:rPr>
                      <w:lang w:val="pt-BR"/>
                    </w:rPr>
                  </w:pPr>
                </w:p>
                <w:p>
                  <w:pPr>
                    <w:jc w:val="center"/>
                  </w:pPr>
                  <w:r>
                    <w:t>_________________</w:t>
                  </w:r>
                </w:p>
                <w:p>
                  <w:pPr>
                    <w:rPr>
                      <w:color w:val="000000"/>
                    </w:rPr>
                  </w:pP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sdtContent>
    </w:sdt>
    <w:sdt>
      <w:sdtPr>
        <w:alias w:val="13 pr."/>
        <w:tag w:val="part_06c1523e69444b45b81932ebe2d02b41"/>
        <w:lock w:val="sdtLocked"/>
        <w:richText/>
      </w:sdtPr>
      <w:sdtContent>
        <w:p>
          <w:pPr>
            <w:widowControl w:val="0"/>
            <w:suppressAutoHyphens/>
            <w:ind w:left="5102"/>
            <w:sectPr>
              <w:pgSz w:w="11907" w:h="16840" w:code="9"/>
              <w:pgMar w:top="1134" w:right="1134" w:bottom="1134" w:left="1701" w:header="567" w:footer="284" w:gutter="0"/>
              <w:pgNumType w:start="1"/>
              <w:cols w:space="1296"/>
              <w:titlePg/>
              <w:docGrid w:linePitch="360"/>
            </w:sectPr>
          </w:pPr>
        </w:p>
        <w:p>
          <w:pPr>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w:t>
          </w:r>
        </w:p>
        <w:p>
          <w:pPr>
            <w:keepLines/>
            <w:widowControl w:val="0"/>
            <w:suppressAutoHyphens/>
            <w:ind w:firstLine="5102"/>
            <w:rPr>
              <w:color w:val="000000"/>
            </w:rPr>
          </w:pPr>
          <w:r>
            <w:rPr>
              <w:color w:val="000000"/>
            </w:rPr>
            <w:t xml:space="preserve">2009 m. gruodžio 29 d. </w:t>
          </w:r>
        </w:p>
        <w:p>
          <w:pPr>
            <w:keepLines/>
            <w:widowControl w:val="0"/>
            <w:suppressAutoHyphens/>
            <w:ind w:firstLine="5102"/>
            <w:rPr>
              <w:color w:val="000000"/>
            </w:rPr>
          </w:pPr>
          <w:r>
            <w:rPr>
              <w:color w:val="000000"/>
            </w:rPr>
            <w:t>įsakymo Nr. V- 1072 redakcija)</w:t>
          </w:r>
        </w:p>
        <w:p>
          <w:pPr>
            <w:keepLines/>
            <w:widowControl w:val="0"/>
            <w:suppressAutoHyphens/>
            <w:ind w:firstLine="5102"/>
            <w:rPr>
              <w:color w:val="000000"/>
            </w:rPr>
          </w:pPr>
          <w:sdt>
            <w:sdtPr>
              <w:alias w:val="Numeris"/>
              <w:tag w:val="nr_06c1523e69444b45b81932ebe2d02b41"/>
              <w:lock w:val="sdtLocked"/>
              <w:richText/>
            </w:sdtPr>
            <w:sdtContent>
              <w:r>
                <w:rPr>
                  <w:color w:val="000000"/>
                </w:rPr>
                <w:t>13</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06c1523e69444b45b81932ebe2d02b41"/>
              <w:lock w:val="sdtLocked"/>
              <w:richText/>
            </w:sdtPr>
            <w:sdtContent>
              <w:r>
                <w:rPr>
                  <w:b/>
                  <w:bCs/>
                  <w:caps/>
                  <w:color w:val="000000"/>
                </w:rPr>
                <w:t>ASMENŲ, DIRBANČIŲ DARBO APLINKOJE, KURIOJE GALIMA PROFESINĖ RIZIKA (KENKSMINGŲ VEIKSNIŲ POVEIKIS IR (AR) PAVOJINGAS DARBAS), PRIVALOMO SVEIKATOS TIKRINIMO TVARKOS APRAŠAS</w:t>
              </w:r>
            </w:sdtContent>
          </w:sdt>
        </w:p>
        <w:p>
          <w:pPr>
            <w:widowControl w:val="0"/>
            <w:suppressAutoHyphens/>
            <w:ind w:firstLine="567"/>
            <w:jc w:val="both"/>
            <w:rPr>
              <w:b/>
              <w:bCs/>
              <w:caps/>
              <w:color w:val="000000"/>
            </w:rPr>
          </w:pPr>
        </w:p>
        <w:sdt>
          <w:sdtPr>
            <w:alias w:val="skyrius"/>
            <w:tag w:val="part_5f06be7b7457448182516d0cc4b48329"/>
            <w:lock w:val="sdtLocked"/>
            <w:richText/>
          </w:sdtPr>
          <w:sdtContent>
            <w:p>
              <w:pPr>
                <w:keepLines/>
                <w:widowControl w:val="0"/>
                <w:suppressAutoHyphens/>
                <w:jc w:val="center"/>
                <w:rPr>
                  <w:b/>
                  <w:bCs/>
                  <w:caps/>
                  <w:color w:val="000000"/>
                </w:rPr>
              </w:pPr>
              <w:sdt>
                <w:sdtPr>
                  <w:alias w:val="Numeris"/>
                  <w:tag w:val="nr_5f06be7b7457448182516d0cc4b48329"/>
                  <w:lock w:val="sdtLocked"/>
                  <w:richText/>
                </w:sdtPr>
                <w:sdtContent>
                  <w:r>
                    <w:rPr>
                      <w:b/>
                      <w:bCs/>
                      <w:caps/>
                      <w:color w:val="000000"/>
                    </w:rPr>
                    <w:t>I</w:t>
                  </w:r>
                </w:sdtContent>
              </w:sdt>
              <w:r>
                <w:rPr>
                  <w:b/>
                  <w:bCs/>
                  <w:caps/>
                  <w:color w:val="000000"/>
                </w:rPr>
                <w:t xml:space="preserve">. </w:t>
              </w:r>
              <w:sdt>
                <w:sdtPr>
                  <w:alias w:val="Pavadinimas"/>
                  <w:tag w:val="title_5f06be7b7457448182516d0cc4b48329"/>
                  <w:lock w:val="sdtLocked"/>
                  <w:richText/>
                </w:sdtPr>
                <w:sdtContent>
                  <w:r>
                    <w:rPr>
                      <w:b/>
                      <w:bCs/>
                      <w:caps/>
                      <w:color w:val="000000"/>
                    </w:rPr>
                    <w:t>BENDROSIOS NUOSTATOS</w:t>
                  </w:r>
                </w:sdtContent>
              </w:sdt>
            </w:p>
            <w:p>
              <w:pPr>
                <w:widowControl w:val="0"/>
                <w:suppressAutoHyphens/>
                <w:ind w:firstLine="567"/>
                <w:jc w:val="both"/>
                <w:rPr>
                  <w:color w:val="000000"/>
                </w:rPr>
              </w:pPr>
            </w:p>
            <w:sdt>
              <w:sdtPr>
                <w:alias w:val="13 pr. 1 p."/>
                <w:tag w:val="part_41be27b444ff4b2fb994620af8dd4310"/>
                <w:lock w:val="sdtLocked"/>
                <w:richText/>
              </w:sdtPr>
              <w:sdtContent>
                <w:p>
                  <w:pPr>
                    <w:widowControl w:val="0"/>
                    <w:suppressAutoHyphens/>
                    <w:ind w:firstLine="567"/>
                    <w:jc w:val="both"/>
                    <w:rPr>
                      <w:color w:val="000000"/>
                    </w:rPr>
                  </w:pPr>
                  <w:sdt>
                    <w:sdtPr>
                      <w:alias w:val="Numeris"/>
                      <w:tag w:val="nr_41be27b444ff4b2fb994620af8dd4310"/>
                      <w:lock w:val="sdtLocked"/>
                      <w:richText/>
                    </w:sdtPr>
                    <w:sdtContent>
                      <w:r>
                        <w:rPr>
                          <w:color w:val="000000"/>
                        </w:rPr>
                        <w:t>1</w:t>
                      </w:r>
                    </w:sdtContent>
                  </w:sdt>
                  <w:r>
                    <w:rPr>
                      <w:color w:val="000000"/>
                    </w:rPr>
                    <w:t>. Asmenys, norintys įsidarbinti (toliau – įsidarbinantieji) ar dirbantys (toliau – darbuotojai) darbo aplinkoje, kurioje galima profesinė rizika (traumos ar kitokio darbuotojo sveikatos pakenkimo tikimybė dėl kenksmingo ir (ar) pavojingo darbo aplinkos veiksnių poveikio), privalo tikrintis sveikatą prieš įsidarbindami, o dirbdami – tikrintis periodiškai.</w:t>
                  </w:r>
                </w:p>
              </w:sdtContent>
            </w:sdt>
            <w:sdt>
              <w:sdtPr>
                <w:alias w:val="13 pr. 2 p."/>
                <w:tag w:val="part_cdff958ff76f44e9a2f2b5d9532b319d"/>
                <w:lock w:val="sdtLocked"/>
                <w:richText/>
              </w:sdtPr>
              <w:sdtContent>
                <w:p>
                  <w:pPr>
                    <w:ind w:firstLine="567"/>
                    <w:jc w:val="both"/>
                    <w:rPr>
                      <w:color w:val="000000"/>
                    </w:rPr>
                  </w:pPr>
                  <w:sdt>
                    <w:sdtPr>
                      <w:alias w:val="Numeris"/>
                      <w:tag w:val="nr_cdff958ff76f44e9a2f2b5d9532b319d"/>
                      <w:lock w:val="sdtLocked"/>
                      <w:richText/>
                    </w:sdtPr>
                    <w:sdtContent>
                      <w:r>
                        <w:rPr>
                          <w:color w:val="000000"/>
                          <w:szCs w:val="24"/>
                        </w:rPr>
                        <w:t>2</w:t>
                      </w:r>
                    </w:sdtContent>
                  </w:sdt>
                  <w:r>
                    <w:rPr>
                      <w:color w:val="000000"/>
                      <w:szCs w:val="24"/>
                    </w:rPr>
                    <w:t xml:space="preserve">. Asmenų, dirbančių darbo aplinkoje, kurioje galima profesinė rizika (kenksmingų veiksnių poveikis ir (ar) pavojingas darbas), privalomo sveikatos tikrinimo tvarkos aprašas (toliau – Aprašas) nustato įsidarbinančiųjų ir darbuotojų, kurie siekia dirbti ar dirba darbus, įrašytus į Pavojingų darbų sąrašą, patvirtintą 2002 m. rugsėjo 3 d. Lietuvos Respublikos Vyriausybės nutarimu Nr. 1386 „Dėl Pavojingų darbų sąrašo patvirtinimo“, arba darbo aplinkoje, kurioje įvertinus riziką, atsižvelgiant į Profesinės rizikos vertinimo bendruosius nuostatus, patvirtintus Lietuvos Respublikos socialinės apsaugos ir darbo ministro ir Lietuvos Respublikos sveikatos apsaugos ministro 2012 m. spalio 25 d. įsakymu Nr. </w:t>
                  </w:r>
                  <w:r>
                    <w:rPr>
                      <w:color w:val="000000"/>
                      <w:szCs w:val="24"/>
                      <w:lang w:eastAsia="lt-LT"/>
                    </w:rPr>
                    <w:t>A1-457/V-961</w:t>
                  </w:r>
                  <w:r>
                    <w:rPr>
                      <w:color w:val="000000"/>
                      <w:szCs w:val="24"/>
                    </w:rPr>
                    <w:t xml:space="preserve"> „Dėl Profesinės rizikos vertinimo bendrųjų nuostatų patvirtinimo“, nustatyti rizikos veiksniai, išankstinio (prieš pradedant darbą ar veiklą), periodinio (darbo metu ar kai veikla yra tęsiama) bei neeilinio (nesilaikant nustatyto periodiškumo) privalomo profilaktinio sveikatos tikrinimo tikslą, vietą, tvarką: periodiškumą, sveikatos tikrintojus, privalomus tyrimus, kontraindikacijas, dokumentų įforminimo ir kontrolės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
              <w:sdtPr>
                <w:alias w:val="13 pr. 3 p."/>
                <w:tag w:val="part_349fd1768c8242ebaf240b0f5d93352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349fd1768c8242ebaf240b0f5d93352d"/>
                      <w:lock w:val="sdtLocked"/>
                      <w:richText/>
                    </w:sdtPr>
                    <w:sdtContent>
                      <w:r>
                        <w:rPr>
                          <w:szCs w:val="24"/>
                        </w:rPr>
                        <w:t>3.</w:t>
                      </w:r>
                    </w:sdtContent>
                  </w:sdt>
                  <w:r>
                    <w:rPr>
                      <w:szCs w:val="24"/>
                    </w:rPr>
                    <w:t xml:space="preserve"> Darbuotojų, kurie dirba darbo aplinkoje, kurioje galima profesinė rizika, sveikata priimant į darbą, dirbant ir pakeitus darbą ar darbovietę tikrinama periodiškai, vadovaujantis šiuo Aprašu bei Lietuvos Respublikos radiacinės saugos įstatymu, </w:t>
                  </w:r>
                  <w:r>
                    <w:rPr>
                      <w:szCs w:val="24"/>
                      <w:lang w:eastAsia="lt-LT"/>
                    </w:rPr>
                    <w:t>Darbuotojų, kuriems leidžiama dirbti tik iš anksto pasitikrinusiems ir vėliau periodiškai besitikrinantiems, ar neserga užkrečiamosiomis ligomis, sveikatos tikrinimosi tvarkos, patvirtintos</w:t>
                  </w:r>
                  <w:r>
                    <w:rPr>
                      <w:szCs w:val="24"/>
                    </w:rPr>
                    <w:t xml:space="preserve"> 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 ir kitų darbuotojų saugą ir sveikatą reglamentuojančių teisės aktų nuostatomis.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4 p."/>
                <w:tag w:val="part_9f93e41afcdf463796433c74dd2a44d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9f93e41afcdf463796433c74dd2a44da"/>
                      <w:lock w:val="sdtLocked"/>
                      <w:richText/>
                    </w:sdtPr>
                    <w:sdtContent>
                      <w:r>
                        <w:rPr>
                          <w:szCs w:val="24"/>
                        </w:rPr>
                        <w:t>4</w:t>
                      </w:r>
                    </w:sdtContent>
                  </w:sdt>
                  <w:r>
                    <w:rPr>
                      <w:szCs w:val="24"/>
                    </w:rPr>
                    <w:t>.</w:t>
                  </w:r>
                  <w:r>
                    <w:rPr>
                      <w:color w:val="000000"/>
                      <w:szCs w:val="24"/>
                    </w:rPr>
                    <w:t xml:space="preserve"> Aprašu nustatyta tvarka taikoma atsižvelgiant į konkretų pavojingą darbą ir (ar) kenksmingą veiksnį. Vadovaujamasi Aprašo 1 lentelės „Darbai, įrašyti į pavojingų darbų sąrašą, kuriuos dirbant ir (ar) priimant į darbą privaloma tikrintis sveikatą. Tikrinimų periodiškumas ir mastas. Papildomos kontraindikacijos“ ir (ar) 2 lentelės „Privalomų sveikatos tikrinimų tvarka priimant į darbą ir (ar) dirbant kenksmingų rizikos veiksnių poveikyje (kai kuriais atvejais – pakeitus darbą ar darbovietę)“ nuostatomis, išskyrus atvejus, kai dėl žmonių užkrečiamųjų ligų plitimo grėsmės Lietuvos Respublikos Vyriausybės yra paskelbta valstybės lygio ekstremalioji situacija ir (ar) karantinas visoje Lietuvos Respublikos teritorijoje (toliau – ypatingi įvykiai), </w:t>
                  </w:r>
                  <w:r>
                    <w:rPr>
                      <w:szCs w:val="24"/>
                    </w:rPr>
                    <w:t xml:space="preserve">– šiais atvejais Aprašo 1 ir 2 lentelėse nurodytas darbuotojų sveikatos tikrinimo periodiškumas netaikomas ir darbuotojams išduotos F Nr. 047/a ir F Nr. 048/a, kurių galiojimas baigėsi ne anksčiau kaip prieš vieną mėnesį iki ypatingo įvykio paskelbimo dienos arba jo paskelbimo metu, laikomos galiojančiomis </w:t>
                  </w:r>
                  <w:r>
                    <w:rPr>
                      <w:color w:val="000000"/>
                      <w:szCs w:val="24"/>
                      <w:shd w:val="clear" w:color="auto" w:fill="FFFFFF"/>
                    </w:rPr>
                    <w:t>ypatingo įvykio paskelbimo laikotarpiu</w:t>
                  </w:r>
                  <w:r>
                    <w:rPr>
                      <w:szCs w:val="24"/>
                    </w:rPr>
                    <w:t xml:space="preserve"> ir 3 mėnesius po jo pabaigos. Ypatingų įvykių paskelbimo metu įsidarbinančių asmenų, siekiančių dirbti tokioje veiklos srityje, kurioje dirbant patiriamas Aprašo 2 lentelės 2–5 punktuose (išskyrus 3.1 ir 3.8 papunkčius) nurodytų kenksmingų rizikos veiksnių poveikis, privalomas sveikatos patikrinimas gali būti atliktas jiems pradėjus dirbti, bet ne vėliau kaip per 6 mėn. nuo jų įdarbinimo dienos.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b5f42a0ee9f11eaa12ad7c04a383ca0">
                    <w:r w:rsidRPr="00532B9F">
                      <w:rPr>
                        <w:rFonts w:ascii="Times New Roman" w:eastAsia="MS Mincho" w:hAnsi="Times New Roman"/>
                        <w:sz w:val="20"/>
                        <w:i/>
                        <w:iCs/>
                        <w:color w:val="0000FF" w:themeColor="hyperlink"/>
                        <w:u w:val="single"/>
                      </w:rPr>
                      <w:t>V-1978</w:t>
                    </w:r>
                  </w:fldSimple>
                  <w:r>
                    <w:rPr>
                      <w:rFonts w:ascii="Times New Roman" w:eastAsia="MS Mincho" w:hAnsi="Times New Roman"/>
                      <w:sz w:val="20"/>
                      <w:i/>
                      <w:iCs/>
                    </w:rPr>
                    <w:t>,
2020-09-04,
paskelbta TAR 2020-09-04, i. k. 2020-18795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a867da0079e11ebb74de75171d26d52">
                    <w:r w:rsidRPr="00532B9F">
                      <w:rPr>
                        <w:rFonts w:ascii="Times New Roman" w:eastAsia="MS Mincho" w:hAnsi="Times New Roman"/>
                        <w:sz w:val="20"/>
                        <w:i/>
                        <w:iCs/>
                        <w:color w:val="0000FF" w:themeColor="hyperlink"/>
                        <w:u w:val="single"/>
                      </w:rPr>
                      <w:t>V-2191</w:t>
                    </w:r>
                  </w:fldSimple>
                  <w:r>
                    <w:rPr>
                      <w:rFonts w:ascii="Times New Roman" w:eastAsia="MS Mincho" w:hAnsi="Times New Roman"/>
                      <w:sz w:val="20"/>
                      <w:i/>
                      <w:iCs/>
                    </w:rPr>
                    <w:t>,
2020-10-06,
paskelbta TAR 2020-10-06, i. k. 2020-20813            </w:t>
                  </w:r>
                </w:p>
                <w:p/>
              </w:sdtContent>
            </w:sdt>
            <w:sdt>
              <w:sdtPr>
                <w:alias w:val="13 pr. 5 p."/>
                <w:tag w:val="part_28dfbc2a02c04180ab5b358d2f327581"/>
                <w:lock w:val="sdtLocked"/>
                <w:richText/>
              </w:sdtPr>
              <w:sdtContent>
                <w:p>
                  <w:pPr>
                    <w:widowControl w:val="0"/>
                    <w:suppressAutoHyphens/>
                    <w:ind w:firstLine="567"/>
                    <w:jc w:val="both"/>
                    <w:rPr>
                      <w:color w:val="000000"/>
                    </w:rPr>
                  </w:pPr>
                  <w:sdt>
                    <w:sdtPr>
                      <w:alias w:val="Numeris"/>
                      <w:tag w:val="nr_28dfbc2a02c04180ab5b358d2f327581"/>
                      <w:lock w:val="sdtLocked"/>
                      <w:richText/>
                    </w:sdtPr>
                    <w:sdtContent>
                      <w:r>
                        <w:rPr>
                          <w:color w:val="000000"/>
                        </w:rPr>
                        <w:t>5</w:t>
                      </w:r>
                    </w:sdtContent>
                  </w:sdt>
                  <w:r>
                    <w:rPr>
                      <w:color w:val="000000"/>
                    </w:rPr>
                    <w:t>. Privalomo profilaktinio sveikatos tikrinimo tikslas:</w:t>
                  </w:r>
                </w:p>
                <w:sdt>
                  <w:sdtPr>
                    <w:alias w:val="13 pr. 5.1 p."/>
                    <w:tag w:val="part_9c024c3a8ce94270b36acac793660938"/>
                    <w:lock w:val="sdtLocked"/>
                    <w:richText/>
                  </w:sdtPr>
                  <w:sdtContent>
                    <w:p>
                      <w:pPr>
                        <w:widowControl w:val="0"/>
                        <w:suppressAutoHyphens/>
                        <w:ind w:firstLine="567"/>
                        <w:jc w:val="both"/>
                        <w:rPr>
                          <w:color w:val="000000"/>
                        </w:rPr>
                      </w:pPr>
                      <w:sdt>
                        <w:sdtPr>
                          <w:alias w:val="Numeris"/>
                          <w:tag w:val="nr_9c024c3a8ce94270b36acac793660938"/>
                          <w:lock w:val="sdtLocked"/>
                          <w:richText/>
                        </w:sdtPr>
                        <w:sdtContent>
                          <w:r>
                            <w:rPr>
                              <w:color w:val="000000"/>
                            </w:rPr>
                            <w:t>5.1</w:t>
                          </w:r>
                        </w:sdtContent>
                      </w:sdt>
                      <w:r>
                        <w:rPr>
                          <w:color w:val="000000"/>
                        </w:rPr>
                        <w:t>. apsaugoti įsidarbinančių asmenų ir darbuotojų sveikatą nuo galimo profesinės rizikos veiksnių poveikio, siekiant išvengti traumų ar kitokio darbuotojo sveikatos pakenkimo;</w:t>
                      </w:r>
                    </w:p>
                  </w:sdtContent>
                </w:sdt>
                <w:sdt>
                  <w:sdtPr>
                    <w:alias w:val="13 pr. 5.2 p."/>
                    <w:tag w:val="part_2891d33f5d3949dbb20a75777abe1726"/>
                    <w:lock w:val="sdtLocked"/>
                    <w:richText/>
                  </w:sdtPr>
                  <w:sdtContent>
                    <w:p>
                      <w:pPr>
                        <w:widowControl w:val="0"/>
                        <w:suppressAutoHyphens/>
                        <w:ind w:firstLine="567"/>
                        <w:jc w:val="both"/>
                        <w:rPr>
                          <w:color w:val="000000"/>
                        </w:rPr>
                      </w:pPr>
                      <w:sdt>
                        <w:sdtPr>
                          <w:alias w:val="Numeris"/>
                          <w:tag w:val="nr_2891d33f5d3949dbb20a75777abe1726"/>
                          <w:lock w:val="sdtLocked"/>
                          <w:richText/>
                        </w:sdtPr>
                        <w:sdtContent>
                          <w:r>
                            <w:rPr>
                              <w:color w:val="000000"/>
                            </w:rPr>
                            <w:t>5.2</w:t>
                          </w:r>
                        </w:sdtContent>
                      </w:sdt>
                      <w:r>
                        <w:rPr>
                          <w:color w:val="000000"/>
                        </w:rPr>
                        <w:t>. įvertinti, ar efektyvios taikytos profesinės rizikos šalinimo ir mažinimo priemonės;</w:t>
                      </w:r>
                    </w:p>
                  </w:sdtContent>
                </w:sdt>
                <w:sdt>
                  <w:sdtPr>
                    <w:alias w:val="13 pr. 5.3 p."/>
                    <w:tag w:val="part_07eb0034cc7e44df90b634cbf4099105"/>
                    <w:lock w:val="sdtLocked"/>
                    <w:richText/>
                  </w:sdtPr>
                  <w:sdtContent>
                    <w:p>
                      <w:pPr>
                        <w:widowControl w:val="0"/>
                        <w:suppressAutoHyphens/>
                        <w:ind w:firstLine="567"/>
                        <w:jc w:val="both"/>
                        <w:rPr>
                          <w:color w:val="000000"/>
                        </w:rPr>
                      </w:pPr>
                      <w:sdt>
                        <w:sdtPr>
                          <w:alias w:val="Numeris"/>
                          <w:tag w:val="nr_07eb0034cc7e44df90b634cbf4099105"/>
                          <w:lock w:val="sdtLocked"/>
                          <w:richText/>
                        </w:sdtPr>
                        <w:sdtContent>
                          <w:r>
                            <w:rPr>
                              <w:color w:val="000000"/>
                            </w:rPr>
                            <w:t>5.3</w:t>
                          </w:r>
                        </w:sdtContent>
                      </w:sdt>
                      <w:r>
                        <w:rPr>
                          <w:color w:val="000000"/>
                        </w:rPr>
                        <w:t>. įvertinti, ar įsidarbinantys asmenys ir darbuotojai gali dirbti konkretų darbą konkrečiomis galimos profesinės rizikos sąlygomis;</w:t>
                      </w:r>
                    </w:p>
                  </w:sdtContent>
                </w:sdt>
                <w:sdt>
                  <w:sdtPr>
                    <w:alias w:val="13 pr. 5.4 p."/>
                    <w:tag w:val="part_444282bd612d41c0acc3cc9d61d1269e"/>
                    <w:lock w:val="sdtLocked"/>
                    <w:richText/>
                  </w:sdtPr>
                  <w:sdtContent>
                    <w:p>
                      <w:pPr>
                        <w:widowControl w:val="0"/>
                        <w:suppressAutoHyphens/>
                        <w:ind w:firstLine="567"/>
                        <w:jc w:val="both"/>
                        <w:rPr>
                          <w:color w:val="000000"/>
                        </w:rPr>
                      </w:pPr>
                      <w:sdt>
                        <w:sdtPr>
                          <w:alias w:val="Numeris"/>
                          <w:tag w:val="nr_444282bd612d41c0acc3cc9d61d1269e"/>
                          <w:lock w:val="sdtLocked"/>
                          <w:richText/>
                        </w:sdtPr>
                        <w:sdtContent>
                          <w:r>
                            <w:rPr>
                              <w:color w:val="000000"/>
                            </w:rPr>
                            <w:t>5.4</w:t>
                          </w:r>
                        </w:sdtContent>
                      </w:sdt>
                      <w:r>
                        <w:rPr>
                          <w:color w:val="000000"/>
                        </w:rPr>
                        <w:t>. siekti išvengti ar kuo anksčiau diagnozuoti profesines ligas.</w:t>
                      </w:r>
                    </w:p>
                  </w:sdtContent>
                </w:sdt>
              </w:sdtContent>
            </w:sdt>
            <w:sdt>
              <w:sdtPr>
                <w:alias w:val="13 pr. 6 p."/>
                <w:tag w:val="part_a749b58c9b384a1189eae48242a4777d"/>
                <w:lock w:val="sdtLocked"/>
                <w:richText/>
              </w:sdtPr>
              <w:sdtContent>
                <w:p>
                  <w:pPr>
                    <w:widowControl w:val="0"/>
                    <w:suppressAutoHyphens/>
                    <w:ind w:firstLine="567"/>
                    <w:jc w:val="both"/>
                    <w:rPr>
                      <w:color w:val="000000"/>
                    </w:rPr>
                  </w:pPr>
                  <w:sdt>
                    <w:sdtPr>
                      <w:alias w:val="Numeris"/>
                      <w:tag w:val="nr_a749b58c9b384a1189eae48242a4777d"/>
                      <w:lock w:val="sdtLocked"/>
                      <w:richText/>
                    </w:sdtPr>
                    <w:sdtContent>
                      <w:r>
                        <w:rPr>
                          <w:color w:val="000000"/>
                        </w:rPr>
                        <w:t>6</w:t>
                      </w:r>
                    </w:sdtContent>
                  </w:sdt>
                  <w:r>
                    <w:rPr>
                      <w:color w:val="000000"/>
                    </w:rPr>
                    <w:t>. Pagrindinės Apraše vartojamos sąvokos atitinka darbuotojų saugą ir sveikatą reglamentuojančiuose Europos Sąjungos ir Lietuvos Respublikos teisės aktuose apibrėžtas sąvokas.</w:t>
                  </w:r>
                </w:p>
                <w:p>
                  <w:pPr>
                    <w:widowControl w:val="0"/>
                    <w:suppressAutoHyphens/>
                    <w:ind w:firstLine="567"/>
                    <w:jc w:val="both"/>
                    <w:rPr>
                      <w:color w:val="000000"/>
                    </w:rPr>
                  </w:pPr>
                </w:p>
              </w:sdtContent>
            </w:sdt>
          </w:sdtContent>
        </w:sdt>
        <w:sdt>
          <w:sdtPr>
            <w:alias w:val="skyrius"/>
            <w:tag w:val="part_9ebb2ce01cc84154a4908eb5fd2cca07"/>
            <w:lock w:val="sdtLocked"/>
            <w:richText/>
          </w:sdtPr>
          <w:sdtContent>
            <w:p>
              <w:pPr>
                <w:keepLines/>
                <w:widowControl w:val="0"/>
                <w:suppressAutoHyphens/>
                <w:jc w:val="center"/>
                <w:rPr>
                  <w:b/>
                  <w:bCs/>
                  <w:caps/>
                  <w:color w:val="000000"/>
                </w:rPr>
              </w:pPr>
              <w:sdt>
                <w:sdtPr>
                  <w:alias w:val="Numeris"/>
                  <w:tag w:val="nr_9ebb2ce01cc84154a4908eb5fd2cca07"/>
                  <w:lock w:val="sdtLocked"/>
                  <w:richText/>
                </w:sdtPr>
                <w:sdtContent>
                  <w:r>
                    <w:rPr>
                      <w:b/>
                      <w:bCs/>
                      <w:caps/>
                      <w:color w:val="000000"/>
                    </w:rPr>
                    <w:t>II</w:t>
                  </w:r>
                </w:sdtContent>
              </w:sdt>
              <w:r>
                <w:rPr>
                  <w:b/>
                  <w:bCs/>
                  <w:caps/>
                  <w:color w:val="000000"/>
                </w:rPr>
                <w:t xml:space="preserve">. </w:t>
              </w:r>
              <w:sdt>
                <w:sdtPr>
                  <w:alias w:val="Pavadinimas"/>
                  <w:tag w:val="title_9ebb2ce01cc84154a4908eb5fd2cca07"/>
                  <w:lock w:val="sdtLocked"/>
                  <w:richText/>
                </w:sdtPr>
                <w:sdtContent>
                  <w:r>
                    <w:rPr>
                      <w:b/>
                      <w:bCs/>
                      <w:caps/>
                      <w:color w:val="000000"/>
                    </w:rPr>
                    <w:t>PRIVALOMO SVEIKATOS TIKRINIMO TVARKA</w:t>
                  </w:r>
                </w:sdtContent>
              </w:sdt>
            </w:p>
            <w:p>
              <w:pPr>
                <w:widowControl w:val="0"/>
                <w:suppressAutoHyphens/>
                <w:ind w:firstLine="567"/>
                <w:jc w:val="both"/>
                <w:rPr>
                  <w:color w:val="000000"/>
                </w:rPr>
              </w:pPr>
            </w:p>
            <w:sdt>
              <w:sdtPr>
                <w:alias w:val="13 pr. 7 p."/>
                <w:tag w:val="part_8f6aa7b62f9e4783b75434b089b70cb9"/>
                <w:lock w:val="sdtLocked"/>
                <w:richText/>
              </w:sdtPr>
              <w:sdtContent>
                <w:p>
                  <w:pPr>
                    <w:widowControl w:val="0"/>
                    <w:suppressAutoHyphens/>
                    <w:ind w:firstLine="567"/>
                    <w:jc w:val="both"/>
                    <w:rPr>
                      <w:color w:val="000000"/>
                    </w:rPr>
                  </w:pPr>
                  <w:sdt>
                    <w:sdtPr>
                      <w:alias w:val="Numeris"/>
                      <w:tag w:val="nr_8f6aa7b62f9e4783b75434b089b70cb9"/>
                      <w:lock w:val="sdtLocked"/>
                      <w:richText/>
                    </w:sdtPr>
                    <w:sdtContent>
                      <w:r>
                        <w:rPr>
                          <w:color w:val="000000"/>
                        </w:rPr>
                        <w:t>7</w:t>
                      </w:r>
                    </w:sdtContent>
                  </w:sdt>
                  <w:r>
                    <w:rPr>
                      <w:color w:val="000000"/>
                    </w:rPr>
                    <w:t>. Darbdaviui atstovaujantis ar jo įgaliotas asmuo,</w:t>
                  </w:r>
                  <w:r>
                    <w:rPr>
                      <w:i/>
                      <w:iCs/>
                      <w:color w:val="000000"/>
                    </w:rPr>
                    <w:t xml:space="preserve"> </w:t>
                  </w:r>
                  <w:r>
                    <w:rPr>
                      <w:color w:val="000000"/>
                    </w:rPr>
                    <w:t xml:space="preserve">siųsdamas įsidarbinantį ar dirbantį asmenį tikrintis sveikatą, privalo išduoti ir pagal kompetenciją užpildyti Privalomo sveikatos patikrinimo medicininės pažymos formą (toliau – F Nr. 047/a) (įsidarbinančiam) arba Asmens medicininę knygelę (sveikatos pasą) (toliau – F Nr. 048/a) (dirbančiajam), patvirtintą Lietuvos Respublikos sveikatos apsaugos ministro 1999 m. lapkričio 29 d. įsakymu Nr. 515 „Dėl sveikatos priežiūros įstaigų veiklos apskaitos ir atskaitomybės tvarkos“ (Žin., 1999, Nr. </w:t>
                  </w:r>
                  <w:hyperlink r:id="rId70" w:tgtFrame="_blank" w:history="1">
                    <w:r>
                      <w:rPr>
                        <w:color w:val="0000FF" w:themeColor="hyperlink"/>
                        <w:u w:val="single"/>
                      </w:rPr>
                      <w:t>103-2972</w:t>
                    </w:r>
                  </w:hyperlink>
                  <w:r>
                    <w:rPr>
                      <w:color w:val="000000"/>
                    </w:rPr>
                    <w:t>) (toliau – įsakymas Nr. 515), nurodant:</w:t>
                  </w:r>
                </w:p>
                <w:sdt>
                  <w:sdtPr>
                    <w:alias w:val="13 pr. 7.1 p."/>
                    <w:tag w:val="part_85c087a482b04a348ab0092b594ce724"/>
                    <w:lock w:val="sdtLocked"/>
                    <w:richText/>
                  </w:sdtPr>
                  <w:sdtContent>
                    <w:p>
                      <w:pPr>
                        <w:widowControl w:val="0"/>
                        <w:suppressAutoHyphens/>
                        <w:ind w:firstLine="567"/>
                        <w:jc w:val="both"/>
                        <w:rPr>
                          <w:color w:val="000000"/>
                        </w:rPr>
                      </w:pPr>
                      <w:sdt>
                        <w:sdtPr>
                          <w:alias w:val="Numeris"/>
                          <w:tag w:val="nr_85c087a482b04a348ab0092b594ce724"/>
                          <w:lock w:val="sdtLocked"/>
                          <w:richText/>
                        </w:sdtPr>
                        <w:sdtContent>
                          <w:r>
                            <w:rPr>
                              <w:color w:val="000000"/>
                            </w:rPr>
                            <w:t>7.1</w:t>
                          </w:r>
                        </w:sdtContent>
                      </w:sdt>
                      <w:r>
                        <w:rPr>
                          <w:color w:val="000000"/>
                        </w:rPr>
                        <w:t>. vardą, pavardę, darbo stažą pagal profesiją metais;</w:t>
                      </w:r>
                    </w:p>
                  </w:sdtContent>
                </w:sdt>
                <w:sdt>
                  <w:sdtPr>
                    <w:alias w:val="13 pr. 7.2 p."/>
                    <w:tag w:val="part_61682c05cf454b8a870f1756fb58ea64"/>
                    <w:lock w:val="sdtLocked"/>
                    <w:richText/>
                  </w:sdtPr>
                  <w:sdtContent>
                    <w:p>
                      <w:pPr>
                        <w:widowControl w:val="0"/>
                        <w:suppressAutoHyphens/>
                        <w:ind w:firstLine="567"/>
                        <w:jc w:val="both"/>
                        <w:rPr>
                          <w:color w:val="000000"/>
                        </w:rPr>
                      </w:pPr>
                      <w:sdt>
                        <w:sdtPr>
                          <w:alias w:val="Numeris"/>
                          <w:tag w:val="nr_61682c05cf454b8a870f1756fb58ea64"/>
                          <w:lock w:val="sdtLocked"/>
                          <w:richText/>
                        </w:sdtPr>
                        <w:sdtContent>
                          <w:r>
                            <w:rPr>
                              <w:color w:val="000000"/>
                            </w:rPr>
                            <w:t>7.2</w:t>
                          </w:r>
                        </w:sdtContent>
                      </w:sdt>
                      <w:r>
                        <w:rPr>
                          <w:color w:val="000000"/>
                        </w:rPr>
                        <w:t>. kenksmingus darbo aplinkos veiksnius ir jų dydžius konkrečioje darbo vietoje;</w:t>
                      </w:r>
                    </w:p>
                  </w:sdtContent>
                </w:sdt>
                <w:sdt>
                  <w:sdtPr>
                    <w:alias w:val="13 pr. 7.3 p."/>
                    <w:tag w:val="part_a26b63efab0e4781abed941e26b39f1b"/>
                    <w:lock w:val="sdtLocked"/>
                    <w:richText/>
                  </w:sdtPr>
                  <w:sdtContent>
                    <w:p>
                      <w:pPr>
                        <w:widowControl w:val="0"/>
                        <w:suppressAutoHyphens/>
                        <w:ind w:firstLine="567"/>
                        <w:jc w:val="both"/>
                        <w:rPr>
                          <w:color w:val="000000"/>
                        </w:rPr>
                      </w:pPr>
                      <w:sdt>
                        <w:sdtPr>
                          <w:alias w:val="Numeris"/>
                          <w:tag w:val="nr_a26b63efab0e4781abed941e26b39f1b"/>
                          <w:lock w:val="sdtLocked"/>
                          <w:richText/>
                        </w:sdtPr>
                        <w:sdtContent>
                          <w:r>
                            <w:rPr>
                              <w:color w:val="000000"/>
                            </w:rPr>
                            <w:t>7.3</w:t>
                          </w:r>
                        </w:sdtContent>
                      </w:sdt>
                      <w:r>
                        <w:rPr>
                          <w:color w:val="000000"/>
                        </w:rPr>
                        <w:t>. pavojingus darbus konkrečioje darbo vietoje;</w:t>
                      </w:r>
                    </w:p>
                  </w:sdtContent>
                </w:sdt>
                <w:sdt>
                  <w:sdtPr>
                    <w:alias w:val="13 pr. 7.4 p."/>
                    <w:tag w:val="part_8aecf1a8f76d45698c53f4d4ff73e0b8"/>
                    <w:lock w:val="sdtLocked"/>
                    <w:richText/>
                  </w:sdtPr>
                  <w:sdtContent>
                    <w:p>
                      <w:pPr>
                        <w:widowControl w:val="0"/>
                        <w:suppressAutoHyphens/>
                        <w:ind w:firstLine="567"/>
                        <w:jc w:val="both"/>
                        <w:rPr>
                          <w:color w:val="000000"/>
                        </w:rPr>
                      </w:pPr>
                      <w:sdt>
                        <w:sdtPr>
                          <w:alias w:val="Numeris"/>
                          <w:tag w:val="nr_8aecf1a8f76d45698c53f4d4ff73e0b8"/>
                          <w:lock w:val="sdtLocked"/>
                          <w:richText/>
                        </w:sdtPr>
                        <w:sdtContent>
                          <w:r>
                            <w:rPr>
                              <w:color w:val="000000"/>
                            </w:rPr>
                            <w:t>7.4</w:t>
                          </w:r>
                        </w:sdtContent>
                      </w:sdt>
                      <w:r>
                        <w:rPr>
                          <w:color w:val="000000"/>
                        </w:rPr>
                        <w:t xml:space="preserve">. metines efektinės apšvitos dozes bei apšvitos dozes, gautas darbuotojų, dirbančių su jonizuojančiosios spinduliuotės šaltiniais, dirbant ypatingomis sąlygomis, vadovaujantis Lietuvos higienos norma HN 73:2001 „Pagrindinės radiacinės saugos normos“, patvirtinta Lietuvos Respublikos sveikatos apsaugos ministro 2001 m. gruodžio 21 d. įsakymu Nr. 663 „Dėl Lietuvos higienos normos HN 73:2001 „Pagrindinės radiacinės saugos normos“ patvirtinimo“ (Žin., 2002, Nr. </w:t>
                      </w:r>
                      <w:hyperlink r:id="rId71" w:tgtFrame="_blank" w:history="1">
                        <w:r>
                          <w:rPr>
                            <w:color w:val="0000FF" w:themeColor="hyperlink"/>
                            <w:u w:val="single"/>
                          </w:rPr>
                          <w:t>11-388</w:t>
                        </w:r>
                      </w:hyperlink>
                      <w:r>
                        <w:rPr>
                          <w:color w:val="000000"/>
                        </w:rPr>
                        <w:t>);</w:t>
                      </w:r>
                    </w:p>
                  </w:sdtContent>
                </w:sdt>
                <w:sdt>
                  <w:sdtPr>
                    <w:alias w:val="13 pr. 7.5 p."/>
                    <w:tag w:val="part_993fea31494f4f9d8624d2442b99dbe5"/>
                    <w:lock w:val="sdtLocked"/>
                    <w:richText/>
                  </w:sdtPr>
                  <w:sdtContent>
                    <w:p>
                      <w:pPr>
                        <w:widowControl w:val="0"/>
                        <w:suppressAutoHyphens/>
                        <w:ind w:firstLine="567"/>
                        <w:jc w:val="both"/>
                        <w:rPr>
                          <w:color w:val="000000"/>
                        </w:rPr>
                      </w:pPr>
                      <w:sdt>
                        <w:sdtPr>
                          <w:alias w:val="Numeris"/>
                          <w:tag w:val="nr_993fea31494f4f9d8624d2442b99dbe5"/>
                          <w:lock w:val="sdtLocked"/>
                          <w:richText/>
                        </w:sdtPr>
                        <w:sdtContent>
                          <w:r>
                            <w:rPr>
                              <w:color w:val="000000"/>
                            </w:rPr>
                            <w:t>7.5</w:t>
                          </w:r>
                        </w:sdtContent>
                      </w:sdt>
                      <w:r>
                        <w:rPr>
                          <w:color w:val="000000"/>
                        </w:rPr>
                        <w:t>. F Nr. 048/a turi būti su asmens nuotrauka ir patvirtinta darbovietės antspaudu bei darbdaviui atstovaujančio ar jo įgalioto asmens parašu.</w:t>
                      </w:r>
                    </w:p>
                  </w:sdtContent>
                </w:sdt>
              </w:sdtContent>
            </w:sdt>
            <w:sdt>
              <w:sdtPr>
                <w:alias w:val="13 pr. 8 p."/>
                <w:tag w:val="part_fc6c45806ee040729bf833f15545695c"/>
                <w:lock w:val="sdtLocked"/>
                <w:richText/>
              </w:sdtPr>
              <w:sdtContent>
                <w:p>
                  <w:pPr>
                    <w:widowControl w:val="0"/>
                    <w:suppressAutoHyphens/>
                    <w:ind w:firstLine="567"/>
                    <w:jc w:val="both"/>
                    <w:rPr>
                      <w:color w:val="000000"/>
                    </w:rPr>
                  </w:pPr>
                  <w:sdt>
                    <w:sdtPr>
                      <w:alias w:val="Numeris"/>
                      <w:tag w:val="nr_fc6c45806ee040729bf833f15545695c"/>
                      <w:lock w:val="sdtLocked"/>
                      <w:richText/>
                    </w:sdtPr>
                    <w:sdtContent>
                      <w:r>
                        <w:rPr>
                          <w:color w:val="000000"/>
                        </w:rPr>
                        <w:t>8</w:t>
                      </w:r>
                    </w:sdtContent>
                  </w:sdt>
                  <w:r>
                    <w:rPr>
                      <w:color w:val="000000"/>
                    </w:rPr>
                    <w:t>. Privalomai profilaktiškai darbuotojų sveikata tikrinama asmens sveikatos priežiūros įstaigoje (toliau – ASPĮ), turinčioje licenciją asmens sveikatos priežiūros veiklai.</w:t>
                  </w:r>
                </w:p>
              </w:sdtContent>
            </w:sdt>
            <w:sdt>
              <w:sdtPr>
                <w:alias w:val="13 pr. 9 p."/>
                <w:tag w:val="part_2ff4ab6837be459aabb1d06417a4934c"/>
                <w:lock w:val="sdtLocked"/>
                <w:richText/>
              </w:sdtPr>
              <w:sdtContent>
                <w:p>
                  <w:pPr>
                    <w:widowControl w:val="0"/>
                    <w:suppressAutoHyphens/>
                    <w:ind w:firstLine="567"/>
                    <w:jc w:val="both"/>
                    <w:rPr>
                      <w:color w:val="000000"/>
                    </w:rPr>
                  </w:pPr>
                  <w:sdt>
                    <w:sdtPr>
                      <w:alias w:val="Numeris"/>
                      <w:tag w:val="nr_2ff4ab6837be459aabb1d06417a4934c"/>
                      <w:lock w:val="sdtLocked"/>
                      <w:richText/>
                    </w:sdtPr>
                    <w:sdtContent>
                      <w:r>
                        <w:rPr>
                          <w:color w:val="000000"/>
                        </w:rPr>
                        <w:t>9</w:t>
                      </w:r>
                    </w:sdtContent>
                  </w:sdt>
                  <w:r>
                    <w:rPr>
                      <w:color w:val="000000"/>
                    </w:rPr>
                    <w:t>. Prieš privalomą profilaktinį asmens sveikatos tikrinimą, pacientas ASPĮ turi pateikti:</w:t>
                  </w:r>
                </w:p>
                <w:sdt>
                  <w:sdtPr>
                    <w:alias w:val="13 pr. 9.1 p."/>
                    <w:tag w:val="part_ea9b77c0747041d481b019b8da03e7df"/>
                    <w:lock w:val="sdtLocked"/>
                    <w:richText/>
                  </w:sdtPr>
                  <w:sdtContent>
                    <w:p>
                      <w:pPr>
                        <w:widowControl w:val="0"/>
                        <w:suppressAutoHyphens/>
                        <w:ind w:firstLine="567"/>
                        <w:jc w:val="both"/>
                        <w:rPr>
                          <w:color w:val="000000"/>
                        </w:rPr>
                      </w:pPr>
                      <w:sdt>
                        <w:sdtPr>
                          <w:alias w:val="Numeris"/>
                          <w:tag w:val="nr_ea9b77c0747041d481b019b8da03e7df"/>
                          <w:lock w:val="sdtLocked"/>
                          <w:richText/>
                        </w:sdtPr>
                        <w:sdtContent>
                          <w:r>
                            <w:rPr>
                              <w:color w:val="000000"/>
                            </w:rPr>
                            <w:t>9.1</w:t>
                          </w:r>
                        </w:sdtContent>
                      </w:sdt>
                      <w:r>
                        <w:rPr>
                          <w:color w:val="000000"/>
                        </w:rPr>
                        <w:t>. asmens tapatybę patvirtinantį dokumentą;</w:t>
                      </w:r>
                    </w:p>
                  </w:sdtContent>
                </w:sdt>
                <w:sdt>
                  <w:sdtPr>
                    <w:alias w:val="13 pr. 9.2 p."/>
                    <w:tag w:val="part_51c57afa63bb4416b1c5a3a616c07a9e"/>
                    <w:lock w:val="sdtLocked"/>
                    <w:richText/>
                  </w:sdtPr>
                  <w:sdtContent>
                    <w:p>
                      <w:pPr>
                        <w:widowControl w:val="0"/>
                        <w:suppressAutoHyphens/>
                        <w:ind w:firstLine="567"/>
                        <w:jc w:val="both"/>
                        <w:rPr>
                          <w:color w:val="000000"/>
                        </w:rPr>
                      </w:pPr>
                      <w:sdt>
                        <w:sdtPr>
                          <w:alias w:val="Numeris"/>
                          <w:tag w:val="nr_51c57afa63bb4416b1c5a3a616c07a9e"/>
                          <w:lock w:val="sdtLocked"/>
                          <w:richText/>
                        </w:sdtPr>
                        <w:sdtContent>
                          <w:r>
                            <w:rPr>
                              <w:color w:val="000000"/>
                            </w:rPr>
                            <w:t>9.2</w:t>
                          </w:r>
                        </w:sdtContent>
                      </w:sdt>
                      <w:r>
                        <w:rPr>
                          <w:color w:val="000000"/>
                        </w:rPr>
                        <w:t>. darbdaviui atstovaujančio ar jo įgalioto asmens pagal Aprašo 7 punkto nurodymus užpildytą F Nr. 047/a arba F Nr. 048/a, kuriose nurodytus profesinės rizikos veiksnius šeimos medicinos paslaugas teikiantis arba darbo medicinos gydytojas įrašo į paciento Asmens sveikatos istoriją (toliau – F Nr. 025/a) ir patvirtina savo parašu ir asmeniniu spaudu;</w:t>
                      </w:r>
                    </w:p>
                  </w:sdtContent>
                </w:sdt>
                <w:sdt>
                  <w:sdtPr>
                    <w:alias w:val="13 pr. 9.3 p."/>
                    <w:tag w:val="part_44f25c286c1c474fa3a0f525e14fc941"/>
                    <w:lock w:val="sdtLocked"/>
                    <w:richText/>
                  </w:sdtPr>
                  <w:sdtContent>
                    <w:p>
                      <w:pPr>
                        <w:widowControl w:val="0"/>
                        <w:suppressAutoHyphens/>
                        <w:ind w:firstLine="567"/>
                        <w:jc w:val="both"/>
                        <w:rPr>
                          <w:color w:val="000000"/>
                        </w:rPr>
                      </w:pPr>
                      <w:sdt>
                        <w:sdtPr>
                          <w:alias w:val="Numeris"/>
                          <w:tag w:val="nr_44f25c286c1c474fa3a0f525e14fc941"/>
                          <w:lock w:val="sdtLocked"/>
                          <w:richText/>
                        </w:sdtPr>
                        <w:sdtContent>
                          <w:r>
                            <w:rPr>
                              <w:color w:val="000000"/>
                            </w:rPr>
                            <w:t>9.3</w:t>
                          </w:r>
                        </w:sdtContent>
                      </w:sdt>
                      <w:r>
                        <w:rPr>
                          <w:color w:val="000000"/>
                        </w:rPr>
                        <w:t>. jei reikia, kitos profesinės kvalifikacijos gydytojo užpildytą Medicinos dokumentų išrašą pagal F 025/a, F 003/a (toliau – F Nr. 027/a), patvirtintą įsakymu Nr. 515;</w:t>
                      </w:r>
                    </w:p>
                  </w:sdtContent>
                </w:sdt>
                <w:sdt>
                  <w:sdtPr>
                    <w:alias w:val="13 pr. 9.4 p."/>
                    <w:tag w:val="part_8c8fcee348574820be1040944d63d890"/>
                    <w:lock w:val="sdtLocked"/>
                    <w:richText/>
                  </w:sdtPr>
                  <w:sdtContent>
                    <w:p>
                      <w:pPr>
                        <w:pStyle w:val="PlainText"/>
                        <w:ind w:firstLine="567"/>
                        <w:jc w:val="both"/>
                        <w:rPr>
                          <w:rFonts w:ascii="Times New Roman" w:hAnsi="Times New Roman"/>
                          <w:b/>
                          <w:bCs/>
                          <w:sz w:val="22"/>
                        </w:rPr>
                      </w:pPr>
                      <w:r>
                        <w:rPr>
                          <w:rFonts w:ascii="Times New Roman" w:hAnsi="Times New Roman"/>
                          <w:sz w:val="22"/>
                        </w:rPr>
                        <w:t>9.4</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9.5 pp."/>
                    <w:tag w:val="part_ecd90fb37b19407e839b28c2474140b8"/>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ecd90fb37b19407e839b28c2474140b8"/>
                          <w:lock w:val="sdtLocked"/>
                          <w:richText/>
                        </w:sdtPr>
                        <w:sdtContent>
                          <w:r>
                            <w:rPr>
                              <w:szCs w:val="24"/>
                              <w:lang w:eastAsia="lt-LT"/>
                            </w:rPr>
                            <w:t>9.5</w:t>
                          </w:r>
                        </w:sdtContent>
                      </w:sdt>
                      <w:r>
                        <w:rPr>
                          <w:szCs w:val="24"/>
                          <w:lang w:eastAsia="lt-LT"/>
                        </w:rPr>
                        <w:t xml:space="preserve">. jeigu reikalinga gydytojo </w:t>
                      </w:r>
                      <w:r>
                        <w:rPr>
                          <w:szCs w:val="24"/>
                        </w:rPr>
                        <w:t xml:space="preserve">išvada dėl sunkų ar vidutinį neįgalumo lygį ar 40 procentų neviršijantį darbingumo lygį </w:t>
                      </w:r>
                      <w:r>
                        <w:rPr>
                          <w:szCs w:val="24"/>
                          <w:lang w:eastAsia="lt-LT"/>
                        </w:rPr>
                        <w:t xml:space="preserve">arba didelių ar vidutinių specialiųjų poreikių lygį </w:t>
                      </w:r>
                      <w:r>
                        <w:rPr>
                          <w:szCs w:val="24"/>
                        </w:rPr>
                        <w:t xml:space="preserve">turinčių darbuotojų negalios pobūdžio, darbo funkcijos socialinėje įmonėje, kurios neįgalus darbuotojas negali atlikti be asistento pagalbos </w:t>
                      </w:r>
                      <w:r>
                        <w:rPr>
                          <w:color w:val="000000"/>
                          <w:szCs w:val="24"/>
                        </w:rPr>
                        <w:t>–</w:t>
                      </w:r>
                      <w:r>
                        <w:rPr>
                          <w:szCs w:val="24"/>
                        </w:rPr>
                        <w:t xml:space="preserve"> darbdaviui atstovaujančio ar jo įgalioto asmens raštą, kuriame išvardytos tos darbuotojo funkcijos, dėl kurių prašoma gydytojo išvados.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Content>
            </w:sdt>
            <w:sdt>
              <w:sdtPr>
                <w:alias w:val="13 pr. 10 p."/>
                <w:tag w:val="part_1e543171860a43548bb3234e831e7be1"/>
                <w:lock w:val="sdtLocked"/>
                <w:richText/>
              </w:sdtPr>
              <w:sdtContent>
                <w:p>
                  <w:pPr>
                    <w:widowControl w:val="0"/>
                    <w:suppressAutoHyphens/>
                    <w:ind w:firstLine="567"/>
                    <w:jc w:val="both"/>
                    <w:rPr>
                      <w:color w:val="000000"/>
                    </w:rPr>
                  </w:pPr>
                  <w:sdt>
                    <w:sdtPr>
                      <w:alias w:val="Numeris"/>
                      <w:tag w:val="nr_1e543171860a43548bb3234e831e7be1"/>
                      <w:lock w:val="sdtLocked"/>
                      <w:richText/>
                    </w:sdtPr>
                    <w:sdtContent>
                      <w:r>
                        <w:rPr>
                          <w:szCs w:val="24"/>
                        </w:rPr>
                        <w:t>10</w:t>
                      </w:r>
                    </w:sdtContent>
                  </w:sdt>
                  <w:r>
                    <w:rPr>
                      <w:szCs w:val="24"/>
                    </w:rPr>
                    <w:t xml:space="preserve">. Privalomus profilaktinius sveikatos tikrinimus atlieka šeimos medicinos paslaugas teikiantys gydytojai, kurie yra išklausę ne mažiau kaip 36 (trisdešimt šešių) valandų darbo medicinos kursą, kurio programa suderinta su Lietuvos Respublikos sveikatos apsaugos ministerija, arba darbo medicinos gydytojas, įvertinę paciento sveikatos duomenis </w:t>
                  </w:r>
                  <w:r>
                    <w:rPr>
                      <w:rFonts w:eastAsia="Calibri"/>
                      <w:szCs w:val="24"/>
                    </w:rPr>
                    <w:t>Elektroninės sveikatos paslaugų ir bendradarbiavimo infrastruktūros informacinėje sistemoje,</w:t>
                  </w:r>
                  <w:r>
                    <w:rPr>
                      <w:szCs w:val="24"/>
                    </w:rPr>
                    <w:t xml:space="preserve"> privalomai arba prireikus konsultuodamiesi su šiame priede nurodytų kitų profesinių kvalifikacijų gydytojais ir, esant indikacijų, skirdami privalomus arba kitus tyrimus:</w:t>
                  </w:r>
                  <w:r>
                    <w:t xml:space="preserve"> </w:t>
                  </w:r>
                </w:p>
                <w:p>
                  <w:pPr>
                    <w:widowControl w:val="0"/>
                    <w:suppressAutoHyphens/>
                    <w:ind w:firstLine="567"/>
                    <w:jc w:val="both"/>
                    <w:rPr>
                      <w:color w:val="000000"/>
                    </w:rPr>
                  </w:pPr>
                </w:p>
                <w:p>
                  <w:pPr>
                    <w:widowControl w:val="0"/>
                    <w:suppressAutoHyphens/>
                    <w:ind w:firstLine="567"/>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sdt>
                  <w:sdtPr>
                    <w:alias w:val="13 pr. 10.1 p."/>
                    <w:tag w:val="part_81dd46e298504a81a1a0dab5eee966cc"/>
                    <w:lock w:val="sdtLocked"/>
                    <w:richText/>
                  </w:sdtPr>
                  <w:sdtContent>
                    <w:p>
                      <w:pPr>
                        <w:pStyle w:val="PlainText"/>
                        <w:ind w:firstLine="567"/>
                        <w:jc w:val="both"/>
                        <w:rPr>
                          <w:rFonts w:ascii="Times New Roman" w:hAnsi="Times New Roman"/>
                          <w:b/>
                          <w:bCs/>
                          <w:sz w:val="22"/>
                        </w:rPr>
                      </w:pPr>
                      <w:r>
                        <w:rPr>
                          <w:rFonts w:ascii="Times New Roman" w:hAnsi="Times New Roman"/>
                          <w:sz w:val="22"/>
                        </w:rPr>
                        <w:t>10.1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10.2 p."/>
                    <w:tag w:val="part_29f040cf1c644f8fb60fc70a75718a3b"/>
                    <w:lock w:val="sdtLocked"/>
                    <w:richText/>
                  </w:sdtPr>
                  <w:sdtContent>
                    <w:p>
                      <w:pPr>
                        <w:widowControl w:val="0"/>
                        <w:suppressAutoHyphens/>
                        <w:ind w:firstLine="567"/>
                        <w:jc w:val="both"/>
                        <w:rPr>
                          <w:color w:val="000000"/>
                        </w:rPr>
                      </w:pPr>
                      <w:sdt>
                        <w:sdtPr>
                          <w:alias w:val="Numeris"/>
                          <w:tag w:val="nr_29f040cf1c644f8fb60fc70a75718a3b"/>
                          <w:lock w:val="sdtLocked"/>
                          <w:richText/>
                        </w:sdtPr>
                        <w:sdtContent>
                          <w:r>
                            <w:rPr>
                              <w:color w:val="000000"/>
                            </w:rPr>
                            <w:t>10.2</w:t>
                          </w:r>
                        </w:sdtContent>
                      </w:sdt>
                      <w:r>
                        <w:rPr>
                          <w:color w:val="000000"/>
                        </w:rPr>
                        <w:t>. F Nr. 027/a pildydamas gydytojas psichiatras nurodo, kad nėra įregistruota asmeniui teiktų sveikatos priežiūros paslaugų arba – nurodomos suteiktos asmens sveikatos priežiūros paslaugos. Pacientų psichikos sveikatą tikrina ASPĮ, prie kurios jie prisirašę, aptarnaujančio psichikos sveikatos centro gydytojas psichiatras, kuris tikrinimo rezultatus įrašo į F Nr. 025/a ir į ASPĮ antspaudu patvirtintą F Nr. 027/a, pasirašo ir patvirtina savo asmeniniu spaudu;</w:t>
                      </w:r>
                    </w:p>
                  </w:sdtContent>
                </w:sdt>
                <w:sdt>
                  <w:sdtPr>
                    <w:alias w:val="13 pr. 10.3 p."/>
                    <w:tag w:val="part_22774cdfd4af40a9b6eadb1ddc0597ed"/>
                    <w:lock w:val="sdtLocked"/>
                    <w:richText/>
                  </w:sdtPr>
                  <w:sdtContent>
                    <w:p>
                      <w:pPr>
                        <w:widowControl w:val="0"/>
                        <w:suppressAutoHyphens/>
                        <w:ind w:firstLine="567"/>
                        <w:jc w:val="both"/>
                        <w:rPr>
                          <w:color w:val="000000"/>
                        </w:rPr>
                      </w:pPr>
                      <w:sdt>
                        <w:sdtPr>
                          <w:alias w:val="Numeris"/>
                          <w:tag w:val="nr_22774cdfd4af40a9b6eadb1ddc0597ed"/>
                          <w:lock w:val="sdtLocked"/>
                          <w:richText/>
                        </w:sdtPr>
                        <w:sdtContent>
                          <w:r>
                            <w:rPr>
                              <w:color w:val="000000"/>
                            </w:rPr>
                            <w:t>10.3</w:t>
                          </w:r>
                        </w:sdtContent>
                      </w:sdt>
                      <w:r>
                        <w:rPr>
                          <w:color w:val="000000"/>
                        </w:rPr>
                        <w:t>. tikrinantis sveikatą bet kurios profesinės kvalifikacijos ir šeimos medicinos paslaugas teikiantis arba darbo medicinos gydytojas gali kreiptis informacijos apie paciento sveikatos būklę į kitą ASPĮ, o pastarosios tokią informaciją privalo teikti galiojančių teisės aktų nustatyta tvarka;</w:t>
                      </w:r>
                    </w:p>
                  </w:sdtContent>
                </w:sdt>
                <w:sdt>
                  <w:sdtPr>
                    <w:alias w:val="13 pr. 10.4 p."/>
                    <w:tag w:val="part_6f6426ca9d53490dba3127077b716561"/>
                    <w:lock w:val="sdtLocked"/>
                    <w:richText/>
                  </w:sdtPr>
                  <w:sdtContent>
                    <w:p>
                      <w:pPr>
                        <w:widowControl w:val="0"/>
                        <w:suppressAutoHyphens/>
                        <w:ind w:firstLine="567"/>
                        <w:jc w:val="both"/>
                        <w:rPr>
                          <w:color w:val="000000"/>
                        </w:rPr>
                      </w:pPr>
                      <w:sdt>
                        <w:sdtPr>
                          <w:alias w:val="Numeris"/>
                          <w:tag w:val="nr_6f6426ca9d53490dba3127077b716561"/>
                          <w:lock w:val="sdtLocked"/>
                          <w:richText/>
                        </w:sdtPr>
                        <w:sdtContent>
                          <w:r>
                            <w:rPr>
                              <w:color w:val="000000"/>
                            </w:rPr>
                            <w:t>10.4</w:t>
                          </w:r>
                        </w:sdtContent>
                      </w:sdt>
                      <w:r>
                        <w:rPr>
                          <w:color w:val="000000"/>
                        </w:rPr>
                        <w:t>. šeimos medicinos paslaugas teikiantis arba darbo medicinos gydytojas, įvertinęs tyrimų rezultatus, konsultavusių kitų profesinių kvalifikacijų gydytojų išvadas bei kontraindikacijas, nurodytas šio Aprašo III skyriuje ir 1, 2 lentelėse, daro išvadą apie asmens profesinį tinkamumą.</w:t>
                      </w:r>
                    </w:p>
                  </w:sdtContent>
                </w:sdt>
              </w:sdtContent>
            </w:sdt>
            <w:sdt>
              <w:sdtPr>
                <w:alias w:val="13 pr. 11 p."/>
                <w:tag w:val="part_3ff01f25ef364bc8a59d0e34e45004b9"/>
                <w:lock w:val="sdtLocked"/>
                <w:richText/>
              </w:sdtPr>
              <w:sdtContent>
                <w:p>
                  <w:pPr>
                    <w:widowControl w:val="0"/>
                    <w:suppressAutoHyphens/>
                    <w:ind w:firstLine="567"/>
                    <w:jc w:val="both"/>
                    <w:rPr>
                      <w:color w:val="000000"/>
                    </w:rPr>
                  </w:pPr>
                  <w:sdt>
                    <w:sdtPr>
                      <w:alias w:val="Numeris"/>
                      <w:tag w:val="nr_3ff01f25ef364bc8a59d0e34e45004b9"/>
                      <w:lock w:val="sdtLocked"/>
                      <w:richText/>
                    </w:sdtPr>
                    <w:sdtContent>
                      <w:r>
                        <w:rPr>
                          <w:color w:val="000000"/>
                        </w:rPr>
                        <w:t>11</w:t>
                      </w:r>
                    </w:sdtContent>
                  </w:sdt>
                  <w:r>
                    <w:rPr>
                      <w:color w:val="000000"/>
                    </w:rPr>
                    <w:t>. Sveikatos tikrinimo ir tyrimų duomenis bei išvadą dėl profesinio tinkamumo kiekvienas tikrinantis sveikatą gydytojas įrašo į F Nr. 025/a.</w:t>
                  </w:r>
                </w:p>
              </w:sdtContent>
            </w:sdt>
            <w:sdt>
              <w:sdtPr>
                <w:alias w:val="13 pr. 12 p."/>
                <w:tag w:val="part_9034792f355144e18f7ec16d0af11713"/>
                <w:lock w:val="sdtLocked"/>
                <w:richText/>
              </w:sdtPr>
              <w:sdtContent>
                <w:p>
                  <w:pPr>
                    <w:widowControl w:val="0"/>
                    <w:suppressAutoHyphens/>
                    <w:ind w:firstLine="567"/>
                    <w:jc w:val="both"/>
                    <w:rPr>
                      <w:color w:val="000000"/>
                    </w:rPr>
                  </w:pPr>
                  <w:sdt>
                    <w:sdtPr>
                      <w:alias w:val="Numeris"/>
                      <w:tag w:val="nr_9034792f355144e18f7ec16d0af11713"/>
                      <w:lock w:val="sdtLocked"/>
                      <w:richText/>
                    </w:sdtPr>
                    <w:sdtContent>
                      <w:r>
                        <w:rPr>
                          <w:color w:val="000000"/>
                        </w:rPr>
                        <w:t>12</w:t>
                      </w:r>
                    </w:sdtContent>
                  </w:sdt>
                  <w:r>
                    <w:rPr>
                      <w:color w:val="000000"/>
                    </w:rPr>
                    <w:t>. Išvadą dėl darbuotojo profesinio tinkamumo: „dirbti gali“ „dirbti gali, bet ribotai“ (nurodant kaip), „dirbti negali“ įsidarbinančiam – į F Nr. 047/a, dirbančiajam – į F Nr. 048/a įrašo 10.4. punkte nurodytas gydytojas.</w:t>
                  </w:r>
                </w:p>
              </w:sdtContent>
            </w:sdt>
            <w:sdt>
              <w:sdtPr>
                <w:alias w:val="13 pr. 13 p."/>
                <w:tag w:val="part_f7d9d10e0ed54428982d701534bc7025"/>
                <w:lock w:val="sdtLocked"/>
                <w:richText/>
              </w:sdtPr>
              <w:sdtContent>
                <w:p>
                  <w:pPr>
                    <w:widowControl w:val="0"/>
                    <w:suppressAutoHyphens/>
                    <w:ind w:firstLine="567"/>
                    <w:jc w:val="both"/>
                    <w:rPr>
                      <w:color w:val="000000"/>
                    </w:rPr>
                  </w:pPr>
                  <w:sdt>
                    <w:sdtPr>
                      <w:alias w:val="Numeris"/>
                      <w:tag w:val="nr_f7d9d10e0ed54428982d701534bc7025"/>
                      <w:lock w:val="sdtLocked"/>
                      <w:richText/>
                    </w:sdtPr>
                    <w:sdtContent>
                      <w:r>
                        <w:rPr>
                          <w:color w:val="000000"/>
                        </w:rPr>
                        <w:t>13</w:t>
                      </w:r>
                    </w:sdtContent>
                  </w:sdt>
                  <w:r>
                    <w:rPr>
                      <w:color w:val="000000"/>
                    </w:rPr>
                    <w:t>. Tikrinamiesiems dėl darbo su asbestu ir (ar) asbesto turinčiais produktais bei pavojingomis kancerogeninėmis, mutageninėmis medžiagomis ir preparatais gydytojas turi nurodyti, kad medicininė priežiūra turi būti tęsiama ir pasibaigus jų poveikiui.</w:t>
                  </w:r>
                </w:p>
              </w:sdtContent>
            </w:sdt>
            <w:sdt>
              <w:sdtPr>
                <w:alias w:val="13 pr. 14 p."/>
                <w:tag w:val="part_57d9d70244934bd282542798d790af49"/>
                <w:lock w:val="sdtLocked"/>
                <w:richText/>
              </w:sdtPr>
              <w:sdtContent>
                <w:p>
                  <w:pPr>
                    <w:widowControl w:val="0"/>
                    <w:suppressAutoHyphens/>
                    <w:ind w:firstLine="567"/>
                    <w:jc w:val="both"/>
                    <w:rPr>
                      <w:color w:val="000000"/>
                    </w:rPr>
                  </w:pPr>
                  <w:sdt>
                    <w:sdtPr>
                      <w:alias w:val="Numeris"/>
                      <w:tag w:val="nr_57d9d70244934bd282542798d790af49"/>
                      <w:lock w:val="sdtLocked"/>
                      <w:richText/>
                    </w:sdtPr>
                    <w:sdtContent>
                      <w:r>
                        <w:rPr>
                          <w:color w:val="000000"/>
                        </w:rPr>
                        <w:t>14</w:t>
                      </w:r>
                    </w:sdtContent>
                  </w:sdt>
                  <w:r>
                    <w:rPr>
                      <w:color w:val="000000"/>
                    </w:rPr>
                    <w:t>. Darbuotojų, dirbančių su asbestu ir (ar) asbesto turinčiais produktais, pavojingomis kancerogeninėmis, mutageninėmis medžiagomis ir preparatais sveikatos tikrinimo ir tyrimo duomenys turi būti saugomi ne mažiau kaip 40 metų baigus dirbti su asbestu ir (ar) asbesto turinčiais produktais bei pavojingomis kancerogeninėmis, mutageninėmis medžiagomis ir preparatais.</w:t>
                  </w:r>
                </w:p>
              </w:sdtContent>
            </w:sdt>
            <w:sdt>
              <w:sdtPr>
                <w:alias w:val="13 pr. 15 p."/>
                <w:tag w:val="part_d06974d490d44256973f10c2e9473188"/>
                <w:lock w:val="sdtLocked"/>
                <w:richText/>
              </w:sdtPr>
              <w:sdtContent>
                <w:p>
                  <w:pPr>
                    <w:widowControl w:val="0"/>
                    <w:suppressAutoHyphens/>
                    <w:ind w:firstLine="567"/>
                    <w:jc w:val="both"/>
                    <w:rPr>
                      <w:color w:val="000000"/>
                    </w:rPr>
                  </w:pPr>
                  <w:sdt>
                    <w:sdtPr>
                      <w:alias w:val="Numeris"/>
                      <w:tag w:val="nr_d06974d490d44256973f10c2e9473188"/>
                      <w:lock w:val="sdtLocked"/>
                      <w:richText/>
                    </w:sdtPr>
                    <w:sdtContent>
                      <w:r>
                        <w:rPr>
                          <w:color w:val="000000"/>
                        </w:rPr>
                        <w:t>15</w:t>
                      </w:r>
                    </w:sdtContent>
                  </w:sdt>
                  <w:r>
                    <w:rPr>
                      <w:color w:val="000000"/>
                    </w:rPr>
                    <w:t>. Darbuotojų, dirbančių su jonizuojančiosios spinduliuotės šaltiniais, sveikatos tikrinimo ir tyrimo duomenys bei įrašai apie tinkamumą dirbti turi būti saugomi visą darbuotojo veiklos laikotarpį ir jam pasibaigus tol, kol darbuotojui sukaks (arba turi sukakti) 75 metai, taip pat – ne mažiau kaip 30 metų baigus dirbti su jonizuojančiosios spinduliuotės šaltiniais.</w:t>
                  </w:r>
                </w:p>
              </w:sdtContent>
            </w:sdt>
            <w:sdt>
              <w:sdtPr>
                <w:alias w:val="13 pr. 16 p."/>
                <w:tag w:val="part_ac200da4c4664ff0986fc65cd4d63792"/>
                <w:lock w:val="sdtLocked"/>
                <w:richText/>
              </w:sdtPr>
              <w:sdtContent>
                <w:p>
                  <w:pPr>
                    <w:widowControl w:val="0"/>
                    <w:suppressAutoHyphens/>
                    <w:ind w:firstLine="567"/>
                    <w:jc w:val="both"/>
                    <w:rPr>
                      <w:color w:val="000000"/>
                    </w:rPr>
                  </w:pPr>
                  <w:sdt>
                    <w:sdtPr>
                      <w:alias w:val="Numeris"/>
                      <w:tag w:val="nr_ac200da4c4664ff0986fc65cd4d63792"/>
                      <w:lock w:val="sdtLocked"/>
                      <w:richText/>
                    </w:sdtPr>
                    <w:sdtContent>
                      <w:r>
                        <w:rPr>
                          <w:color w:val="000000"/>
                        </w:rPr>
                        <w:t>16</w:t>
                      </w:r>
                    </w:sdtContent>
                  </w:sdt>
                  <w:r>
                    <w:rPr>
                      <w:color w:val="000000"/>
                    </w:rPr>
                    <w:t>. Gydytojas, nurodytas Aprašo 10.4. punkte, pacientui praneša apie su juo asmeniškai susijusius jo profilaktinio sveikatos tikrinimo rezultatus, taip pat informuoja ir pataria, koks sveikatos tikrinimas reikalingas jam, pasibaigus kenksmingo rizikos veiksnio poveikiui. Gydytojas įrašo F Nr. 025/a, kad suteikė pacientui informaciją, ir nurodo kokią.</w:t>
                  </w:r>
                </w:p>
              </w:sdtContent>
            </w:sdt>
            <w:sdt>
              <w:sdtPr>
                <w:alias w:val="13 pr. 17 p."/>
                <w:tag w:val="part_215ed7b52a1044edae884ba078e5063f"/>
                <w:lock w:val="sdtLocked"/>
                <w:richText/>
              </w:sdtPr>
              <w:sdtContent>
                <w:p>
                  <w:pPr>
                    <w:widowControl w:val="0"/>
                    <w:suppressAutoHyphens/>
                    <w:ind w:firstLine="567"/>
                    <w:jc w:val="both"/>
                    <w:rPr>
                      <w:color w:val="000000"/>
                    </w:rPr>
                  </w:pPr>
                  <w:sdt>
                    <w:sdtPr>
                      <w:alias w:val="Numeris"/>
                      <w:tag w:val="nr_215ed7b52a1044edae884ba078e5063f"/>
                      <w:lock w:val="sdtLocked"/>
                      <w:richText/>
                    </w:sdtPr>
                    <w:sdtContent>
                      <w:r>
                        <w:rPr>
                          <w:color w:val="000000"/>
                        </w:rPr>
                        <w:t>17</w:t>
                      </w:r>
                    </w:sdtContent>
                  </w:sdt>
                  <w:r>
                    <w:rPr>
                      <w:color w:val="000000"/>
                    </w:rPr>
                    <w:t>. Gydytojas, nurodytas Aprašo 10.4. punkte, ar už sveikatos priežiūrą atsakinga ASPĮ, ar darbuotojų saugos ir sveikatos tarnyba gali pasiūlyti darbdaviui atstovaujančiam ar jo įgaliotam asmeniui siųsti darbuotoją neeilinio sveikatos tikrinimo. Darbdaviui atstovaujantis ar jo įgaliotas asmuo privalo pasirūpinti, kad būtų atliekamas to darbuotojo ir bet kurio kito darbuotojo, kuris patyrė panašų poveikį, sveikatos patikrinimas:</w:t>
                  </w:r>
                </w:p>
                <w:sdt>
                  <w:sdtPr>
                    <w:alias w:val="13 pr. 17.1 p."/>
                    <w:tag w:val="part_9bfaf8fceec64882ba793ce1c455e0da"/>
                    <w:lock w:val="sdtLocked"/>
                    <w:richText/>
                  </w:sdtPr>
                  <w:sdtContent>
                    <w:p>
                      <w:pPr>
                        <w:widowControl w:val="0"/>
                        <w:suppressAutoHyphens/>
                        <w:ind w:firstLine="567"/>
                        <w:jc w:val="both"/>
                        <w:rPr>
                          <w:color w:val="000000"/>
                        </w:rPr>
                      </w:pPr>
                      <w:sdt>
                        <w:sdtPr>
                          <w:alias w:val="Numeris"/>
                          <w:tag w:val="nr_9bfaf8fceec64882ba793ce1c455e0da"/>
                          <w:lock w:val="sdtLocked"/>
                          <w:richText/>
                        </w:sdtPr>
                        <w:sdtContent>
                          <w:r>
                            <w:rPr>
                              <w:color w:val="000000"/>
                            </w:rPr>
                            <w:t>17.1</w:t>
                          </w:r>
                        </w:sdtContent>
                      </w:sdt>
                      <w:r>
                        <w:rPr>
                          <w:color w:val="000000"/>
                        </w:rPr>
                        <w:t xml:space="preserve">. jei nustatoma rizika darbuotojų sveikatai, vadovaujantis Lietuvos Respublikos socialinės apsaugos ir darbo ministro ir Lietuvos Respublikos sveikatos apsaugos ministro 2001 m. liepos 24 d. įsakymu Nr. 97/406 V-1025 „Dėl Darbuotojų apsaugos nuo cheminių veiksnių darbe nuostatų bei darbuotojų apsaugos nuo kancerogenų ir mutagenų poveikio darbe nuostatų patvirtinimo“ (Žin., 2001, Nr. </w:t>
                      </w:r>
                      <w:hyperlink r:id="rId72" w:tgtFrame="_blank" w:history="1">
                        <w:r>
                          <w:rPr>
                            <w:color w:val="0000FF" w:themeColor="hyperlink"/>
                            <w:u w:val="single"/>
                          </w:rPr>
                          <w:t>65-2396</w:t>
                        </w:r>
                      </w:hyperlink>
                      <w:r>
                        <w:rPr>
                          <w:color w:val="000000"/>
                        </w:rPr>
                        <w:t>);</w:t>
                      </w:r>
                    </w:p>
                  </w:sdtContent>
                </w:sdt>
                <w:sdt>
                  <w:sdtPr>
                    <w:alias w:val="13 pr. 17.2 p."/>
                    <w:tag w:val="part_4fb737dfe0a34e1db3ba3f6c9ffef544"/>
                    <w:lock w:val="sdtLocked"/>
                    <w:richText/>
                  </w:sdtPr>
                  <w:sdtContent>
                    <w:p>
                      <w:pPr>
                        <w:widowControl w:val="0"/>
                        <w:suppressAutoHyphens/>
                        <w:ind w:firstLine="567"/>
                        <w:jc w:val="both"/>
                        <w:rPr>
                          <w:color w:val="000000"/>
                        </w:rPr>
                      </w:pPr>
                      <w:sdt>
                        <w:sdtPr>
                          <w:alias w:val="Numeris"/>
                          <w:tag w:val="nr_4fb737dfe0a34e1db3ba3f6c9ffef544"/>
                          <w:lock w:val="sdtLocked"/>
                          <w:richText/>
                        </w:sdtPr>
                        <w:sdtContent>
                          <w:r>
                            <w:rPr>
                              <w:color w:val="000000"/>
                            </w:rPr>
                            <w:t>17.2</w:t>
                          </w:r>
                        </w:sdtContent>
                      </w:sdt>
                      <w:r>
                        <w:rPr>
                          <w:color w:val="000000"/>
                        </w:rPr>
                        <w:t xml:space="preserve">. jei nustatoma, kad dirbtinės optinės spinduliuotės veikimas viršija ribines vertes, jeigu Lietuvos Respublikos socialinės apsaugos ir darbo ministro ir Lietuvos Respublikos sveikatos apsaugos ministro 2007 m. gruodžio 14 d. įsakymu Nr. A1-366/V-1025 „Dėl darbuotojų apsaugos nuo dirbtinės optinės spinduliuotės keliamos rizikos nuostatų patvirtinimo“ (Žin., 2007, Nr. </w:t>
                      </w:r>
                      <w:hyperlink r:id="rId73" w:tgtFrame="_blank" w:history="1">
                        <w:r>
                          <w:rPr>
                            <w:color w:val="0000FF" w:themeColor="hyperlink"/>
                            <w:u w:val="single"/>
                          </w:rPr>
                          <w:t>136-5540</w:t>
                        </w:r>
                      </w:hyperlink>
                      <w:r>
                        <w:rPr>
                          <w:color w:val="000000"/>
                        </w:rPr>
                        <w:t>) numatyto įvertinimo ir matavimo rezultatai rodo riziką sveikatai ar nustatomas neigiamas poveikis sveikatai (įskaitant ligas ir sveikatos problemas), jei gydytojas, nurodytas 10.4. punkte, nusprendžia, kad to priežastis – dirbtinės optinės spinduliuotės poveikis darbe;</w:t>
                      </w:r>
                    </w:p>
                  </w:sdtContent>
                </w:sdt>
                <w:sdt>
                  <w:sdtPr>
                    <w:alias w:val="13 pr. 17.3 p."/>
                    <w:tag w:val="part_22ed9193e9b04a2584cb896fabcb2248"/>
                    <w:lock w:val="sdtLocked"/>
                    <w:richText/>
                  </w:sdtPr>
                  <w:sdtContent>
                    <w:p>
                      <w:pPr>
                        <w:widowControl w:val="0"/>
                        <w:suppressAutoHyphens/>
                        <w:ind w:firstLine="567"/>
                        <w:jc w:val="both"/>
                        <w:rPr>
                          <w:color w:val="000000"/>
                        </w:rPr>
                      </w:pPr>
                      <w:sdt>
                        <w:sdtPr>
                          <w:alias w:val="Numeris"/>
                          <w:tag w:val="nr_22ed9193e9b04a2584cb896fabcb2248"/>
                          <w:lock w:val="sdtLocked"/>
                          <w:richText/>
                        </w:sdtPr>
                        <w:sdtContent>
                          <w:r>
                            <w:rPr>
                              <w:color w:val="000000"/>
                            </w:rPr>
                            <w:t>17.3</w:t>
                          </w:r>
                        </w:sdtContent>
                      </w:sdt>
                      <w:r>
                        <w:rPr>
                          <w:color w:val="000000"/>
                        </w:rPr>
                        <w:t xml:space="preserve">. jei nustatoma, kad darbuotoją veikia triukšmas, viršijantis kasdienio triukšmo viršutinę ekspozicijos vertę, jis turi teisę, kad jo (jos) klausą patikrintų gydytojas otorinolaringologas. Profilaktinė audiometrija taip pat taikoma darbuotojams, kuriuos veikiantis triukšmas viršija kasdienio triukšmo žemutinę ekspozicijos vertę, jeigu Lietuvos Respublikos socialinės apsaugos ir darbo ministro ir Lietuvos Respublikos sveikatos apsaugos ministro 2005 m. balandžio 15 d. įsakymu Nr. A1-103/V-265 „Dėl darbuotojų apsaugos nuo triukšmo keliamos rizikos nuostatų patvirtinimo“ (Žin., 2005, Nr. </w:t>
                      </w:r>
                      <w:hyperlink r:id="rId74" w:tgtFrame="_blank" w:history="1">
                        <w:r>
                          <w:rPr>
                            <w:color w:val="0000FF" w:themeColor="hyperlink"/>
                            <w:u w:val="single"/>
                          </w:rPr>
                          <w:t>53-1804</w:t>
                        </w:r>
                      </w:hyperlink>
                      <w:r>
                        <w:rPr>
                          <w:color w:val="000000"/>
                        </w:rPr>
                        <w:t>) numatyto įvertinimo ir matavimo rezultatai rodo riziką sveikatai. Tokio patikrinimo tikslas yra anksti diagnozuoti galimą klausos praradimą dėl triukšmo ir išsaugoti klausą;</w:t>
                      </w:r>
                    </w:p>
                  </w:sdtContent>
                </w:sdt>
                <w:sdt>
                  <w:sdtPr>
                    <w:alias w:val="13 pr. 17.4 p."/>
                    <w:tag w:val="part_91f52745d0b24fe6bca5366c9f17366d"/>
                    <w:lock w:val="sdtLocked"/>
                    <w:richText/>
                  </w:sdtPr>
                  <w:sdtContent>
                    <w:p>
                      <w:pPr>
                        <w:widowControl w:val="0"/>
                        <w:suppressAutoHyphens/>
                        <w:ind w:firstLine="567"/>
                        <w:jc w:val="both"/>
                        <w:rPr>
                          <w:color w:val="000000"/>
                        </w:rPr>
                      </w:pPr>
                      <w:sdt>
                        <w:sdtPr>
                          <w:alias w:val="Numeris"/>
                          <w:tag w:val="nr_91f52745d0b24fe6bca5366c9f17366d"/>
                          <w:lock w:val="sdtLocked"/>
                          <w:richText/>
                        </w:sdtPr>
                        <w:sdtContent>
                          <w:r>
                            <w:rPr>
                              <w:color w:val="000000"/>
                            </w:rPr>
                            <w:t>17.4</w:t>
                          </w:r>
                        </w:sdtContent>
                      </w:sdt>
                      <w:r>
                        <w:rPr>
                          <w:color w:val="000000"/>
                        </w:rPr>
                        <w:t xml:space="preserve">. jei mechaninės vibracijos poveikis darbuotojui yra toks, kad dėl jo gali pasireikšti liga ar kenksmingi sveikatai padariniai, ar tikėtina, kad liga ar kenksmingi sveikatai padariniai pasireiškia esant konkrečioms darbuotojo darbo sąlygoms, bet kuriuo atveju, jeigu nustatoma, kad darbuotojus veikia vibracija, kurios veikimo vertės viršija Lietuvos Respublikos socialinės apsaugos ir darbo ministro ir Lietuvos Respublikos sveikatos apsaugos ministro 2004 m. kovo 2 d. įsakymu Nr. A1-55/V-91 „Dėl darbuotojų apsaugos nuo vibracijos keliamos rizikos nuostatų patvirtinimo“ (Žin., 2004, Nr. </w:t>
                      </w:r>
                      <w:hyperlink r:id="rId75" w:tgtFrame="_blank" w:history="1">
                        <w:r>
                          <w:rPr>
                            <w:color w:val="0000FF" w:themeColor="hyperlink"/>
                            <w:u w:val="single"/>
                          </w:rPr>
                          <w:t>41-1350</w:t>
                        </w:r>
                      </w:hyperlink>
                      <w:r>
                        <w:rPr>
                          <w:color w:val="000000"/>
                        </w:rPr>
                        <w:t>) nustatytas vertes;</w:t>
                      </w:r>
                    </w:p>
                  </w:sdtContent>
                </w:sdt>
                <w:sdt>
                  <w:sdtPr>
                    <w:alias w:val="13 pr. 17.5 p."/>
                    <w:tag w:val="part_72184eebbac24ed9bd3179ff90cd5be6"/>
                    <w:lock w:val="sdtLocked"/>
                    <w:richText/>
                  </w:sdtPr>
                  <w:sdtContent>
                    <w:p>
                      <w:pPr>
                        <w:widowControl w:val="0"/>
                        <w:suppressAutoHyphens/>
                        <w:ind w:firstLine="567"/>
                        <w:jc w:val="both"/>
                        <w:rPr>
                          <w:color w:val="000000"/>
                        </w:rPr>
                      </w:pPr>
                      <w:sdt>
                        <w:sdtPr>
                          <w:alias w:val="Numeris"/>
                          <w:tag w:val="nr_72184eebbac24ed9bd3179ff90cd5be6"/>
                          <w:lock w:val="sdtLocked"/>
                          <w:richText/>
                        </w:sdtPr>
                        <w:sdtContent>
                          <w:r>
                            <w:rPr>
                              <w:color w:val="000000"/>
                            </w:rPr>
                            <w:t>17.5</w:t>
                          </w:r>
                        </w:sdtContent>
                      </w:sdt>
                      <w:r>
                        <w:rPr>
                          <w:color w:val="000000"/>
                        </w:rPr>
                        <w:t>. tikrinant sveikatą asmenims, dirbantiesiems su jonizuojančiosios spinduliuotės šaltiniais – vadovautis Lietuvos Respublikos radiacinės saugos įstatymu.</w:t>
                      </w:r>
                    </w:p>
                  </w:sdtContent>
                </w:sdt>
                <w:sdt>
                  <w:sdtPr>
                    <w:alias w:val="13 pr. 17.6 p."/>
                    <w:tag w:val="part_c0a9f321358940f58657503fbdcb3353"/>
                    <w:lock w:val="sdtLocked"/>
                    <w:richText/>
                  </w:sdtPr>
                  <w:sdtContent>
                    <w:p>
                      <w:pPr>
                        <w:widowControl w:val="0"/>
                        <w:suppressAutoHyphens/>
                        <w:ind w:firstLine="567"/>
                        <w:jc w:val="both"/>
                        <w:rPr>
                          <w:color w:val="000000"/>
                        </w:rPr>
                      </w:pPr>
                      <w:sdt>
                        <w:sdtPr>
                          <w:alias w:val="Numeris"/>
                          <w:tag w:val="nr_c0a9f321358940f58657503fbdcb3353"/>
                          <w:lock w:val="sdtLocked"/>
                          <w:richText/>
                        </w:sdtPr>
                        <w:sdtContent>
                          <w:r>
                            <w:rPr>
                              <w:color w:val="000000"/>
                            </w:rPr>
                            <w:t>17.6</w:t>
                          </w:r>
                        </w:sdtContent>
                      </w:sdt>
                      <w:r>
                        <w:rPr>
                          <w:color w:val="000000"/>
                        </w:rPr>
                        <w:t>. kitais teisės aktų nustatytais atvejais.</w:t>
                      </w:r>
                    </w:p>
                  </w:sdtContent>
                </w:sdt>
              </w:sdtContent>
            </w:sdt>
            <w:sdt>
              <w:sdtPr>
                <w:alias w:val="13 pr. 18 p."/>
                <w:tag w:val="part_6f3bf7521a794d05b56dea416a12e9a8"/>
                <w:lock w:val="sdtLocked"/>
                <w:richText/>
              </w:sdtPr>
              <w:sdtContent>
                <w:p>
                  <w:pPr>
                    <w:widowControl w:val="0"/>
                    <w:suppressAutoHyphens/>
                    <w:ind w:firstLine="567"/>
                    <w:jc w:val="both"/>
                    <w:rPr>
                      <w:color w:val="000000"/>
                    </w:rPr>
                  </w:pPr>
                  <w:sdt>
                    <w:sdtPr>
                      <w:alias w:val="Numeris"/>
                      <w:tag w:val="nr_6f3bf7521a794d05b56dea416a12e9a8"/>
                      <w:lock w:val="sdtLocked"/>
                      <w:richText/>
                    </w:sdtPr>
                    <w:sdtContent>
                      <w:r>
                        <w:rPr>
                          <w:color w:val="000000"/>
                        </w:rPr>
                        <w:t>18</w:t>
                      </w:r>
                    </w:sdtContent>
                  </w:sdt>
                  <w:r>
                    <w:rPr>
                      <w:color w:val="000000"/>
                    </w:rPr>
                    <w:t>. ASPĮ gydytojai, darbdaviui atstovaujantis ar jo įgaliotas asmuo turi teisę, nurodę priežastį (ypač po sunkių onkologinių ligų ir jų gydymo, po operacijų, po sunkių traumų su ilgu laikinuoju nedarbingumu ir kt.), siųsti darbuotojus neeilinio sveikatos tikrinimo. Dėl tokio tikrinimo turi teisę kreiptis ir pats darbuotojas.</w:t>
                  </w:r>
                </w:p>
              </w:sdtContent>
            </w:sdt>
            <w:sdt>
              <w:sdtPr>
                <w:alias w:val="13 pr. 19 p."/>
                <w:tag w:val="part_a3d877e0cd114ec892d3b01867b1eae1"/>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a3d877e0cd114ec892d3b01867b1eae1"/>
                      <w:lock w:val="sdtLocked"/>
                      <w:richText/>
                    </w:sdtPr>
                    <w:sdtContent>
                      <w:r>
                        <w:rPr>
                          <w:szCs w:val="24"/>
                        </w:rPr>
                        <w:t>19</w:t>
                      </w:r>
                    </w:sdtContent>
                  </w:sdt>
                  <w:r>
                    <w:rPr>
                      <w:szCs w:val="24"/>
                    </w:rPr>
                    <w:t xml:space="preserve">. </w:t>
                  </w:r>
                  <w:r>
                    <w:rPr>
                      <w:color w:val="000000"/>
                      <w:szCs w:val="24"/>
                      <w:lang w:eastAsia="lt-LT"/>
                    </w:rPr>
                    <w:t>Asmenų iki aštuoniolikos metų, nėščių, neseniai pagimdžiusių ar krūtimi maitinančių darbuotojų, neįgaliųjų ir asmenų, kuriems nustatytas sumažėjęs darbingumo lygis, privalomi sveikatos tikrinimai:</w:t>
                  </w:r>
                </w:p>
                <w:sdt>
                  <w:sdtPr>
                    <w:alias w:val="19.1 pp."/>
                    <w:tag w:val="part_cb8ee80f82084bbdb61b058855fd2eb7"/>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b8ee80f82084bbdb61b058855fd2eb7"/>
                          <w:lock w:val="sdtLocked"/>
                          <w:richText/>
                        </w:sdtPr>
                        <w:sdtContent>
                          <w:r>
                            <w:rPr>
                              <w:color w:val="000000"/>
                              <w:szCs w:val="24"/>
                            </w:rPr>
                            <w:t>19.1</w:t>
                          </w:r>
                        </w:sdtContent>
                      </w:sdt>
                      <w:r>
                        <w:rPr>
                          <w:color w:val="000000"/>
                          <w:szCs w:val="24"/>
                        </w:rPr>
                        <w:t xml:space="preserve">. tikrinant asmenų iki 18 metų amžiaus sveikatą vadovaujamasi </w:t>
                      </w:r>
                      <w:r>
                        <w:rPr>
                          <w:szCs w:val="24"/>
                        </w:rPr>
                        <w:t>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w:t>
                      </w:r>
                    </w:p>
                  </w:sdtContent>
                </w:sdt>
                <w:sdt>
                  <w:sdtPr>
                    <w:alias w:val="19.2 pp."/>
                    <w:tag w:val="part_9bcbc80f0fb3408590d5644c6802337a"/>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9bcbc80f0fb3408590d5644c6802337a"/>
                          <w:lock w:val="sdtLocked"/>
                          <w:richText/>
                        </w:sdtPr>
                        <w:sdtContent>
                          <w:r>
                            <w:rPr>
                              <w:color w:val="000000"/>
                              <w:szCs w:val="24"/>
                            </w:rPr>
                            <w:t>19.2</w:t>
                          </w:r>
                        </w:sdtContent>
                      </w:sdt>
                      <w:r>
                        <w:rPr>
                          <w:color w:val="000000"/>
                          <w:szCs w:val="24"/>
                        </w:rPr>
                        <w:t xml:space="preserve">. tikrinant nėščiųjų, neseniai pagimdžiusių ar krūtimi maitinančių darbuotojų sveikatą vadovaujamasi </w:t>
                      </w:r>
                      <w:r>
                        <w:rPr>
                          <w:szCs w:val="24"/>
                        </w:rPr>
                        <w:t>Nėščių, neseniai pagimdžiusių, krūtimi maitinančių darbuotojų darbo sąlygų aprašu, patvirtintu Lietuvos Respublikos Vyriausybės 2017 m. birželio 21 d. nutarimu Nr. 469 „Dėl Nėščių, neseniai pagimdžiusių, krūtimi maitinančių darbuotojų darbo sąlygų aprašo patvirtinimo“;</w:t>
                      </w:r>
                    </w:p>
                  </w:sdtContent>
                </w:sdt>
                <w:sdt>
                  <w:sdtPr>
                    <w:alias w:val="19.3 pp."/>
                    <w:tag w:val="part_edf1b7aac38647e38f2f74d57fc0cfde"/>
                    <w:lock w:val="sdtLocked"/>
                    <w:richText/>
                  </w:sdtPr>
                  <w:sdtContent>
                    <w:p>
                      <w:pPr>
                        <w:ind w:firstLine="567"/>
                        <w:jc w:val="both"/>
                        <w:rPr>
                          <w:color w:val="000000"/>
                        </w:rPr>
                      </w:pPr>
                      <w:sdt>
                        <w:sdtPr>
                          <w:alias w:val="Numeris"/>
                          <w:tag w:val="nr_edf1b7aac38647e38f2f74d57fc0cfde"/>
                          <w:lock w:val="sdtLocked"/>
                          <w:richText/>
                        </w:sdtPr>
                        <w:sdtContent>
                          <w:r>
                            <w:rPr>
                              <w:color w:val="000000"/>
                              <w:szCs w:val="24"/>
                              <w:lang w:eastAsia="lt-LT"/>
                            </w:rPr>
                            <w:t>19.3</w:t>
                          </w:r>
                        </w:sdtContent>
                      </w:sdt>
                      <w:r>
                        <w:rPr>
                          <w:color w:val="000000"/>
                          <w:szCs w:val="24"/>
                          <w:lang w:eastAsia="lt-LT"/>
                        </w:rPr>
                        <w:t xml:space="preserve">. dėl neįgaliųjų asmenų ar asmenų, netekusių dalies darbingumo, galimybės dirbti konkretų darbą sprendžia Aprašo 10.4 papunktyje nurodytas gydytojas, gavęs Neįgalumo ir darbingumo nustatymo tarnybos prie Socialinės apsaugos ir darbo ministerijos rekomendacijas ir atitinkamos profesinės kvalifikacijos gydytojo išvadą. Jeigu buvo pateiktas Aprašo 9.5 papunktyje nurodytas </w:t>
                      </w:r>
                      <w:r>
                        <w:rPr>
                          <w:szCs w:val="24"/>
                        </w:rPr>
                        <w:t>darbdaviui atstovaujančio ar jo įgalioto asmens raštas, Aprašo 10.4 papunktyje nurodytas gydytojas F Nr. 047/a arba F Nr. 048/a papildomai įrašo išvadą dėl darbo funkcijos (-ų), kurios (-ių) darbuotojas dėl savo negalios pobūdžio negali atlikti be asistento pagalbos.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
              <w:sdtPr>
                <w:alias w:val="13 pr. 19-1 p."/>
                <w:tag w:val="part_fa03475a15524312a30b2ded0d95914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fa03475a15524312a30b2ded0d959143"/>
                      <w:lock w:val="sdtLocked"/>
                      <w:richText/>
                    </w:sdtPr>
                    <w:sdtContent>
                      <w:r>
                        <w:rPr>
                          <w:szCs w:val="24"/>
                        </w:rPr>
                        <w:t>19</w:t>
                      </w:r>
                      <w:r>
                        <w:rPr>
                          <w:szCs w:val="24"/>
                          <w:vertAlign w:val="superscript"/>
                        </w:rPr>
                        <w:t>1</w:t>
                      </w:r>
                    </w:sdtContent>
                  </w:sdt>
                  <w:r>
                    <w:rPr>
                      <w:szCs w:val="24"/>
                    </w:rPr>
                    <w:t>. Tikrinant asmenų, siekiančių verstis ar besiverčiančių asmens sveikatos priežiūros praktika, sveikatą, papildomai vadovaujamasi Ligų, trukdančių verstis asmens sveikatos priežiūros praktika, sąrašu, patvirtintu Lietuvos Respublikos sveikatos apsaugos ministro 2010 m. rugpjūčio 12 d. įsakymu Nr. V-720 „Dėl Ligų, trukdančių verstis asmens sveikatos priežiūros praktika, sąrašo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2331b102b1511eabe008ea93139d588">
                    <w:r w:rsidRPr="00532B9F">
                      <w:rPr>
                        <w:rFonts w:ascii="Times New Roman" w:eastAsia="MS Mincho" w:hAnsi="Times New Roman"/>
                        <w:sz w:val="20"/>
                        <w:i/>
                        <w:iCs/>
                        <w:color w:val="0000FF" w:themeColor="hyperlink"/>
                        <w:u w:val="single"/>
                      </w:rPr>
                      <w:t>V-1512</w:t>
                    </w:r>
                  </w:fldSimple>
                  <w:r>
                    <w:rPr>
                      <w:rFonts w:ascii="Times New Roman" w:eastAsia="MS Mincho" w:hAnsi="Times New Roman"/>
                      <w:sz w:val="20"/>
                      <w:i/>
                      <w:iCs/>
                    </w:rPr>
                    <w:t>,
2019-12-30,
paskelbta TAR 2019-12-31, i. k. 2019-21686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skyrius"/>
            <w:tag w:val="part_8a420506ee0a4fb88ef17ae34c237da7"/>
            <w:lock w:val="sdtLocked"/>
            <w:richText/>
          </w:sdtPr>
          <w:sdtContent>
            <w:p>
              <w:pPr>
                <w:keepLines/>
                <w:widowControl w:val="0"/>
                <w:suppressAutoHyphens/>
                <w:jc w:val="center"/>
                <w:rPr>
                  <w:b/>
                  <w:bCs/>
                  <w:color w:val="000000"/>
                </w:rPr>
              </w:pPr>
              <w:sdt>
                <w:sdtPr>
                  <w:alias w:val="Numeris"/>
                  <w:tag w:val="nr_8a420506ee0a4fb88ef17ae34c237da7"/>
                  <w:lock w:val="sdtLocked"/>
                  <w:richText/>
                </w:sdtPr>
                <w:sdtContent>
                  <w:r>
                    <w:rPr>
                      <w:b/>
                      <w:bCs/>
                      <w:caps/>
                      <w:color w:val="000000"/>
                    </w:rPr>
                    <w:t>III</w:t>
                  </w:r>
                </w:sdtContent>
              </w:sdt>
              <w:r>
                <w:rPr>
                  <w:b/>
                  <w:bCs/>
                  <w:caps/>
                  <w:color w:val="000000"/>
                </w:rPr>
                <w:t xml:space="preserve">. </w:t>
              </w:r>
              <w:sdt>
                <w:sdtPr>
                  <w:alias w:val="Pavadinimas"/>
                  <w:tag w:val="title_8a420506ee0a4fb88ef17ae34c237da7"/>
                  <w:lock w:val="sdtLocked"/>
                  <w:richText/>
                </w:sdtPr>
                <w:sdtContent>
                  <w:r>
                    <w:rPr>
                      <w:b/>
                      <w:bCs/>
                      <w:caps/>
                      <w:color w:val="000000"/>
                    </w:rPr>
                    <w:t xml:space="preserve">LIGŲ IR SVEIKATOS PROBLEMŲ, DĖL KURIŲ DRAUDŽIAMA DIRBTI DARBO APLINKOJE PROFESINĖS RIZIKOS (KENKSMINGŲ VEIKSNIŲ POVEIKIS IR (AR) PAVOJINGAS DARBAS) SĄLYGOMIS, SĄRAŠAS </w:t>
                  </w:r>
                  <w:r>
                    <w:rPr>
                      <w:b/>
                      <w:bCs/>
                      <w:color w:val="000000"/>
                    </w:rPr>
                    <w:t>(BENDROSIOS KONTRAINDIKACIJOS)</w:t>
                  </w:r>
                </w:sdtContent>
              </w:sdt>
            </w:p>
            <w:p>
              <w:pPr>
                <w:widowControl w:val="0"/>
                <w:suppressAutoHyphens/>
                <w:ind w:firstLine="567"/>
                <w:jc w:val="both"/>
                <w:rPr>
                  <w:color w:val="000000"/>
                </w:rPr>
              </w:pPr>
            </w:p>
            <w:sdt>
              <w:sdtPr>
                <w:alias w:val="13 pr. 20 p."/>
                <w:tag w:val="part_a32bbbff8bc540388f7566efa337bbda"/>
                <w:lock w:val="sdtLocked"/>
                <w:richText/>
              </w:sdtPr>
              <w:sdtContent>
                <w:p>
                  <w:pPr>
                    <w:widowControl w:val="0"/>
                    <w:suppressAutoHyphens/>
                    <w:ind w:firstLine="567"/>
                    <w:jc w:val="both"/>
                    <w:rPr>
                      <w:color w:val="000000"/>
                    </w:rPr>
                  </w:pPr>
                  <w:sdt>
                    <w:sdtPr>
                      <w:alias w:val="Numeris"/>
                      <w:tag w:val="nr_a32bbbff8bc540388f7566efa337bbda"/>
                      <w:lock w:val="sdtLocked"/>
                      <w:richText/>
                    </w:sdtPr>
                    <w:sdtContent>
                      <w:r>
                        <w:rPr>
                          <w:color w:val="000000"/>
                        </w:rPr>
                        <w:t>20</w:t>
                      </w:r>
                    </w:sdtContent>
                  </w:sdt>
                  <w:r>
                    <w:rPr>
                      <w:color w:val="000000"/>
                    </w:rPr>
                    <w:t>.</w:t>
                  </w:r>
                  <w:r>
                    <w:rPr>
                      <w:b/>
                      <w:bCs/>
                      <w:color w:val="000000"/>
                    </w:rPr>
                    <w:t xml:space="preserve"> </w:t>
                  </w:r>
                  <w:r>
                    <w:rPr>
                      <w:color w:val="000000"/>
                    </w:rPr>
                    <w:t>Ligos ir sveikatos problemos, kurioms esant draudžiama dirbti profesinės rizikos sąlygomis:</w:t>
                  </w:r>
                </w:p>
                <w:sdt>
                  <w:sdtPr>
                    <w:alias w:val="13 pr. 20.1 p."/>
                    <w:tag w:val="part_f3ff7fc5cb6148c1b8d9b674b972d7e4"/>
                    <w:lock w:val="sdtLocked"/>
                    <w:richText/>
                  </w:sdtPr>
                  <w:sdtContent>
                    <w:p>
                      <w:pPr>
                        <w:widowControl w:val="0"/>
                        <w:suppressAutoHyphens/>
                        <w:ind w:firstLine="567"/>
                        <w:jc w:val="both"/>
                        <w:rPr>
                          <w:color w:val="000000"/>
                        </w:rPr>
                      </w:pPr>
                      <w:sdt>
                        <w:sdtPr>
                          <w:alias w:val="Numeris"/>
                          <w:tag w:val="nr_f3ff7fc5cb6148c1b8d9b674b972d7e4"/>
                          <w:lock w:val="sdtLocked"/>
                          <w:richText/>
                        </w:sdtPr>
                        <w:sdtContent>
                          <w:r>
                            <w:rPr>
                              <w:color w:val="000000"/>
                            </w:rPr>
                            <w:t>20.1</w:t>
                          </w:r>
                        </w:sdtContent>
                      </w:sdt>
                      <w:r>
                        <w:rPr>
                          <w:color w:val="000000"/>
                        </w:rPr>
                        <w:t>. piktybiniai navikai (po gydymo, sprendžiama individualiai);</w:t>
                      </w:r>
                    </w:p>
                  </w:sdtContent>
                </w:sdt>
                <w:sdt>
                  <w:sdtPr>
                    <w:alias w:val="13 pr. 20.2 p."/>
                    <w:tag w:val="part_0760fe57aca0494bb634378c2bbb791d"/>
                    <w:lock w:val="sdtLocked"/>
                    <w:richText/>
                  </w:sdtPr>
                  <w:sdtContent>
                    <w:p>
                      <w:pPr>
                        <w:widowControl w:val="0"/>
                        <w:suppressAutoHyphens/>
                        <w:ind w:firstLine="567"/>
                        <w:jc w:val="both"/>
                        <w:rPr>
                          <w:color w:val="000000"/>
                        </w:rPr>
                      </w:pPr>
                      <w:sdt>
                        <w:sdtPr>
                          <w:alias w:val="Numeris"/>
                          <w:tag w:val="nr_0760fe57aca0494bb634378c2bbb791d"/>
                          <w:lock w:val="sdtLocked"/>
                          <w:richText/>
                        </w:sdtPr>
                        <w:sdtContent>
                          <w:r>
                            <w:rPr>
                              <w:color w:val="000000"/>
                            </w:rPr>
                            <w:t>20.2</w:t>
                          </w:r>
                        </w:sdtContent>
                      </w:sdt>
                      <w:r>
                        <w:rPr>
                          <w:color w:val="000000"/>
                        </w:rPr>
                        <w:t>. bet kurios lokalizacijos tuberkuliozė su mikobakterijų išskyrimu;</w:t>
                      </w:r>
                    </w:p>
                  </w:sdtContent>
                </w:sdt>
                <w:sdt>
                  <w:sdtPr>
                    <w:alias w:val="13 pr. 20.3 p."/>
                    <w:tag w:val="part_6cd69d21c5d24a6096b7b5f2a2e485d9"/>
                    <w:lock w:val="sdtLocked"/>
                    <w:richText/>
                  </w:sdtPr>
                  <w:sdtContent>
                    <w:p>
                      <w:pPr>
                        <w:widowControl w:val="0"/>
                        <w:suppressAutoHyphens/>
                        <w:ind w:firstLine="567"/>
                        <w:jc w:val="both"/>
                        <w:rPr>
                          <w:color w:val="000000"/>
                        </w:rPr>
                      </w:pPr>
                      <w:sdt>
                        <w:sdtPr>
                          <w:alias w:val="Numeris"/>
                          <w:tag w:val="nr_6cd69d21c5d24a6096b7b5f2a2e485d9"/>
                          <w:lock w:val="sdtLocked"/>
                          <w:richText/>
                        </w:sdtPr>
                        <w:sdtContent>
                          <w:r>
                            <w:rPr>
                              <w:color w:val="000000"/>
                            </w:rPr>
                            <w:t>20.3</w:t>
                          </w:r>
                        </w:sdtContent>
                      </w:sdt>
                      <w:r>
                        <w:rPr>
                          <w:color w:val="000000"/>
                        </w:rPr>
                        <w:t>. jungiamojo audinio ir skeleto–raumenų ligos (sąnarių, stuburo) su nuolatiniais, trukdančiais atlikti profesinius veiksmus, funkcijos sutrikimais (esant atramos judėjimo funkcijos sutrikimams, jei jie koreguojami specialiomis priemonėmis, individualiu atveju dėl galimybės dirbti sprendžia gydytojas ortopedas traumatologas);</w:t>
                      </w:r>
                    </w:p>
                  </w:sdtContent>
                </w:sdt>
                <w:sdt>
                  <w:sdtPr>
                    <w:alias w:val="13 pr. 20.4 p."/>
                    <w:tag w:val="part_264cdf4e07434a5595db188583ec76f1"/>
                    <w:lock w:val="sdtLocked"/>
                    <w:richText/>
                  </w:sdtPr>
                  <w:sdtContent>
                    <w:p>
                      <w:pPr>
                        <w:widowControl w:val="0"/>
                        <w:suppressAutoHyphens/>
                        <w:ind w:firstLine="567"/>
                        <w:jc w:val="both"/>
                        <w:rPr>
                          <w:color w:val="000000"/>
                        </w:rPr>
                      </w:pPr>
                      <w:sdt>
                        <w:sdtPr>
                          <w:alias w:val="Numeris"/>
                          <w:tag w:val="nr_264cdf4e07434a5595db188583ec76f1"/>
                          <w:lock w:val="sdtLocked"/>
                          <w:richText/>
                        </w:sdtPr>
                        <w:sdtContent>
                          <w:r>
                            <w:rPr>
                              <w:color w:val="000000"/>
                            </w:rPr>
                            <w:t>20.4</w:t>
                          </w:r>
                        </w:sdtContent>
                      </w:sdt>
                      <w:r>
                        <w:rPr>
                          <w:color w:val="000000"/>
                        </w:rPr>
                        <w:t>. dekompensuota glaukoma.</w:t>
                      </w:r>
                    </w:p>
                  </w:sdtContent>
                </w:sdt>
              </w:sdtContent>
            </w:sdt>
            <w:sdt>
              <w:sdtPr>
                <w:alias w:val="13 pr. 21 p."/>
                <w:tag w:val="part_b0b1c7185578481384e00309f53d421a"/>
                <w:lock w:val="sdtLocked"/>
                <w:richText/>
              </w:sdtPr>
              <w:sdtContent>
                <w:p>
                  <w:pPr>
                    <w:widowControl w:val="0"/>
                    <w:suppressAutoHyphens/>
                    <w:ind w:firstLine="567"/>
                    <w:jc w:val="both"/>
                    <w:rPr>
                      <w:color w:val="000000"/>
                    </w:rPr>
                  </w:pPr>
                  <w:sdt>
                    <w:sdtPr>
                      <w:alias w:val="Numeris"/>
                      <w:tag w:val="nr_b0b1c7185578481384e00309f53d421a"/>
                      <w:lock w:val="sdtLocked"/>
                      <w:richText/>
                    </w:sdtPr>
                    <w:sdtContent>
                      <w:r>
                        <w:rPr>
                          <w:color w:val="000000"/>
                        </w:rPr>
                        <w:t>21</w:t>
                      </w:r>
                    </w:sdtContent>
                  </w:sdt>
                  <w:r>
                    <w:rPr>
                      <w:color w:val="000000"/>
                    </w:rPr>
                    <w:t>. Ligos ir sveikatos problemos, kurioms esant draudžiama dirbti darbus, įrašytus į pavojingų darbų sąrašą: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sdt>
                  <w:sdtPr>
                    <w:alias w:val="13 pr. 21.1 p."/>
                    <w:tag w:val="part_db62ee7a076749e9af6cbafa7e4cfaaa"/>
                    <w:lock w:val="sdtLocked"/>
                    <w:richText/>
                  </w:sdtPr>
                  <w:sdtContent>
                    <w:p>
                      <w:pPr>
                        <w:widowControl w:val="0"/>
                        <w:suppressAutoHyphens/>
                        <w:ind w:firstLine="567"/>
                        <w:jc w:val="both"/>
                        <w:rPr>
                          <w:color w:val="000000"/>
                        </w:rPr>
                      </w:pPr>
                      <w:sdt>
                        <w:sdtPr>
                          <w:alias w:val="Numeris"/>
                          <w:tag w:val="nr_db62ee7a076749e9af6cbafa7e4cfaaa"/>
                          <w:lock w:val="sdtLocked"/>
                          <w:richText/>
                        </w:sdtPr>
                        <w:sdtContent>
                          <w:r>
                            <w:rPr>
                              <w:color w:val="000000"/>
                            </w:rPr>
                            <w:t>21.1</w:t>
                          </w:r>
                        </w:sdtContent>
                      </w:sdt>
                      <w:r>
                        <w:rPr>
                          <w:color w:val="000000"/>
                        </w:rPr>
                        <w:t>. organinės centrinės nervų sistemos ligos su nuolatiniais funkcijos sutrikimais;</w:t>
                      </w:r>
                    </w:p>
                  </w:sdtContent>
                </w:sdt>
                <w:sdt>
                  <w:sdtPr>
                    <w:alias w:val="13 pr. 21.2 p."/>
                    <w:tag w:val="part_125b5bc5b4c44b32a2a1451cbc526b70"/>
                    <w:lock w:val="sdtLocked"/>
                    <w:richText/>
                  </w:sdtPr>
                  <w:sdtContent>
                    <w:p>
                      <w:pPr>
                        <w:widowControl w:val="0"/>
                        <w:suppressAutoHyphens/>
                        <w:ind w:firstLine="567"/>
                        <w:jc w:val="both"/>
                        <w:rPr>
                          <w:color w:val="000000"/>
                        </w:rPr>
                      </w:pPr>
                      <w:sdt>
                        <w:sdtPr>
                          <w:alias w:val="Numeris"/>
                          <w:tag w:val="nr_125b5bc5b4c44b32a2a1451cbc526b70"/>
                          <w:lock w:val="sdtLocked"/>
                          <w:richText/>
                        </w:sdtPr>
                        <w:sdtContent>
                          <w:r>
                            <w:rPr>
                              <w:color w:val="000000"/>
                            </w:rPr>
                            <w:t>21.2</w:t>
                          </w:r>
                        </w:sdtContent>
                      </w:sdt>
                      <w:r>
                        <w:rPr>
                          <w:color w:val="000000"/>
                        </w:rPr>
                        <w:t>. lėtiniai ir dažnai pasikartojantys psichikos sutrikimai ir jiems prilygstančios būklės paūmėjimo metu, kai reikalingas aktyvus psichiatro stebėjimas ir gydymas;</w:t>
                      </w:r>
                    </w:p>
                  </w:sdtContent>
                </w:sdt>
                <w:sdt>
                  <w:sdtPr>
                    <w:alias w:val="13 pr. 21.3 p."/>
                    <w:tag w:val="part_14b34ab46f954395b7d961b481094d7b"/>
                    <w:lock w:val="sdtLocked"/>
                    <w:richText/>
                  </w:sdtPr>
                  <w:sdtContent>
                    <w:p>
                      <w:pPr>
                        <w:widowControl w:val="0"/>
                        <w:suppressAutoHyphens/>
                        <w:ind w:firstLine="567"/>
                        <w:jc w:val="both"/>
                        <w:rPr>
                          <w:color w:val="000000"/>
                        </w:rPr>
                      </w:pPr>
                      <w:sdt>
                        <w:sdtPr>
                          <w:alias w:val="Numeris"/>
                          <w:tag w:val="nr_14b34ab46f954395b7d961b481094d7b"/>
                          <w:lock w:val="sdtLocked"/>
                          <w:richText/>
                        </w:sdtPr>
                        <w:sdtContent>
                          <w:r>
                            <w:rPr>
                              <w:color w:val="000000"/>
                            </w:rPr>
                            <w:t>21.3</w:t>
                          </w:r>
                        </w:sdtContent>
                      </w:sdt>
                      <w:r>
                        <w:rPr>
                          <w:color w:val="000000"/>
                        </w:rPr>
                        <w:t>. epilepsija G40;</w:t>
                      </w:r>
                    </w:p>
                  </w:sdtContent>
                </w:sdt>
                <w:sdt>
                  <w:sdtPr>
                    <w:alias w:val="13 pr. 21.4 p."/>
                    <w:tag w:val="part_2c81ac40b1c44e86aa26ae147f7cc17a"/>
                    <w:lock w:val="sdtLocked"/>
                    <w:richText/>
                  </w:sdtPr>
                  <w:sdtContent>
                    <w:p>
                      <w:pPr>
                        <w:widowControl w:val="0"/>
                        <w:suppressAutoHyphens/>
                        <w:ind w:firstLine="567"/>
                        <w:jc w:val="both"/>
                        <w:rPr>
                          <w:color w:val="000000"/>
                        </w:rPr>
                      </w:pPr>
                      <w:sdt>
                        <w:sdtPr>
                          <w:alias w:val="Numeris"/>
                          <w:tag w:val="nr_2c81ac40b1c44e86aa26ae147f7cc17a"/>
                          <w:lock w:val="sdtLocked"/>
                          <w:richText/>
                        </w:sdtPr>
                        <w:sdtContent>
                          <w:r>
                            <w:rPr>
                              <w:color w:val="000000"/>
                            </w:rPr>
                            <w:t>21.4</w:t>
                          </w:r>
                        </w:sdtContent>
                      </w:sdt>
                      <w:r>
                        <w:rPr>
                          <w:color w:val="000000"/>
                        </w:rPr>
                        <w:t>. lėtinės kraujotakos sistemos ligos:</w:t>
                      </w:r>
                    </w:p>
                    <w:sdt>
                      <w:sdtPr>
                        <w:alias w:val="13 pr. 21.4.1 p."/>
                        <w:tag w:val="part_93c5d6bfcb0742ed822492029b065179"/>
                        <w:lock w:val="sdtLocked"/>
                        <w:richText/>
                      </w:sdtPr>
                      <w:sdtContent>
                        <w:p>
                          <w:pPr>
                            <w:widowControl w:val="0"/>
                            <w:suppressAutoHyphens/>
                            <w:ind w:firstLine="567"/>
                            <w:jc w:val="both"/>
                            <w:rPr>
                              <w:color w:val="000000"/>
                            </w:rPr>
                          </w:pPr>
                          <w:sdt>
                            <w:sdtPr>
                              <w:alias w:val="Numeris"/>
                              <w:tag w:val="nr_93c5d6bfcb0742ed822492029b065179"/>
                              <w:lock w:val="sdtLocked"/>
                              <w:richText/>
                            </w:sdtPr>
                            <w:sdtContent>
                              <w:r>
                                <w:rPr>
                                  <w:color w:val="000000"/>
                                </w:rPr>
                                <w:t>21.4.1</w:t>
                              </w:r>
                            </w:sdtContent>
                          </w:sdt>
                          <w:r>
                            <w:rPr>
                              <w:color w:val="000000"/>
                            </w:rPr>
                            <w:t>. nekoreguoti ir pasikartojantys paroksizminės skilvelinės tachikardijos epizodai su hemodinamikos sutrikimais I47.2;</w:t>
                          </w:r>
                        </w:p>
                      </w:sdtContent>
                    </w:sdt>
                    <w:sdt>
                      <w:sdtPr>
                        <w:alias w:val="13 pr. 21.4.2 p."/>
                        <w:tag w:val="part_0fe85792ae6e4bfdbe3805b5d204553a"/>
                        <w:lock w:val="sdtLocked"/>
                        <w:richText/>
                      </w:sdtPr>
                      <w:sdtContent>
                        <w:p>
                          <w:pPr>
                            <w:widowControl w:val="0"/>
                            <w:suppressAutoHyphens/>
                            <w:ind w:firstLine="567"/>
                            <w:jc w:val="both"/>
                            <w:rPr>
                              <w:color w:val="000000"/>
                            </w:rPr>
                          </w:pPr>
                          <w:sdt>
                            <w:sdtPr>
                              <w:alias w:val="Numeris"/>
                              <w:tag w:val="nr_0fe85792ae6e4bfdbe3805b5d204553a"/>
                              <w:lock w:val="sdtLocked"/>
                              <w:richText/>
                            </w:sdtPr>
                            <w:sdtContent>
                              <w:r>
                                <w:rPr>
                                  <w:color w:val="000000"/>
                                </w:rPr>
                                <w:t>21.4.2</w:t>
                              </w:r>
                            </w:sdtContent>
                          </w:sdt>
                          <w:r>
                            <w:rPr>
                              <w:color w:val="000000"/>
                            </w:rPr>
                            <w:t>. nekoreguota atrioventrikulinė blokada su hemodinamikos sutrikimais I44.2;</w:t>
                          </w:r>
                        </w:p>
                      </w:sdtContent>
                    </w:sdt>
                    <w:sdt>
                      <w:sdtPr>
                        <w:alias w:val="13 pr. 21.4.3 p."/>
                        <w:tag w:val="part_2a50b04df63f4a5babea9a29bd99e5b5"/>
                        <w:lock w:val="sdtLocked"/>
                        <w:richText/>
                      </w:sdtPr>
                      <w:sdtContent>
                        <w:p>
                          <w:pPr>
                            <w:widowControl w:val="0"/>
                            <w:suppressAutoHyphens/>
                            <w:ind w:firstLine="567"/>
                            <w:jc w:val="both"/>
                            <w:rPr>
                              <w:color w:val="000000"/>
                            </w:rPr>
                          </w:pPr>
                          <w:sdt>
                            <w:sdtPr>
                              <w:alias w:val="Numeris"/>
                              <w:tag w:val="nr_2a50b04df63f4a5babea9a29bd99e5b5"/>
                              <w:lock w:val="sdtLocked"/>
                              <w:richText/>
                            </w:sdtPr>
                            <w:sdtContent>
                              <w:r>
                                <w:rPr>
                                  <w:color w:val="000000"/>
                                </w:rPr>
                                <w:t>21.4.3</w:t>
                              </w:r>
                            </w:sdtContent>
                          </w:sdt>
                          <w:r>
                            <w:rPr>
                              <w:color w:val="000000"/>
                            </w:rPr>
                            <w:t>. sunkios lėtinės kraujotakos sistemos ligos su nepakankamumu I50–I52, funkcinė klasė pagal NYHA IV, stadija D; (esant sunkiems širdies ir kraujagyslių funkcijos sutrikimams, juos koregavus, individualiu atveju</w:t>
                          </w:r>
                          <w:r>
                            <w:rPr>
                              <w:b/>
                              <w:bCs/>
                              <w:color w:val="000000"/>
                            </w:rPr>
                            <w:t xml:space="preserve"> </w:t>
                          </w:r>
                          <w:r>
                            <w:rPr>
                              <w:color w:val="000000"/>
                            </w:rPr>
                            <w:t>dėl galimybės dirbti sprendžia gydytojas kardiologas);</w:t>
                          </w:r>
                        </w:p>
                      </w:sdtContent>
                    </w:sdt>
                  </w:sdtContent>
                </w:sdt>
                <w:sdt>
                  <w:sdtPr>
                    <w:alias w:val="13 pr. 21.5 p."/>
                    <w:tag w:val="part_b4e6ce34c8bb4751a0a428b32d999392"/>
                    <w:lock w:val="sdtLocked"/>
                    <w:richText/>
                  </w:sdtPr>
                  <w:sdtContent>
                    <w:p>
                      <w:pPr>
                        <w:widowControl w:val="0"/>
                        <w:suppressAutoHyphens/>
                        <w:ind w:firstLine="567"/>
                        <w:jc w:val="both"/>
                        <w:rPr>
                          <w:color w:val="000000"/>
                        </w:rPr>
                      </w:pPr>
                      <w:sdt>
                        <w:sdtPr>
                          <w:alias w:val="Numeris"/>
                          <w:tag w:val="nr_b4e6ce34c8bb4751a0a428b32d999392"/>
                          <w:lock w:val="sdtLocked"/>
                          <w:richText/>
                        </w:sdtPr>
                        <w:sdtContent>
                          <w:r>
                            <w:rPr>
                              <w:color w:val="000000"/>
                            </w:rPr>
                            <w:t>21.5</w:t>
                          </w:r>
                        </w:sdtContent>
                      </w:sdt>
                      <w:r>
                        <w:rPr>
                          <w:color w:val="000000"/>
                        </w:rPr>
                        <w:t>. lėtinės kvėpavimo takų ligos J41–J47, kai yra indikacijų gydyti ilgalaike oksigenoterapija;</w:t>
                      </w:r>
                    </w:p>
                  </w:sdtContent>
                </w:sdt>
                <w:sdt>
                  <w:sdtPr>
                    <w:alias w:val="13 pr. 21.6 p."/>
                    <w:tag w:val="part_8975c739c00049deafc0283be38ec3e8"/>
                    <w:lock w:val="sdtLocked"/>
                    <w:richText/>
                  </w:sdtPr>
                  <w:sdtContent>
                    <w:p>
                      <w:pPr>
                        <w:widowControl w:val="0"/>
                        <w:suppressAutoHyphens/>
                        <w:ind w:firstLine="567"/>
                        <w:jc w:val="both"/>
                        <w:rPr>
                          <w:color w:val="000000"/>
                        </w:rPr>
                      </w:pPr>
                      <w:sdt>
                        <w:sdtPr>
                          <w:alias w:val="Numeris"/>
                          <w:tag w:val="nr_8975c739c00049deafc0283be38ec3e8"/>
                          <w:lock w:val="sdtLocked"/>
                          <w:richText/>
                        </w:sdtPr>
                        <w:sdtContent>
                          <w:r>
                            <w:rPr>
                              <w:color w:val="000000"/>
                            </w:rPr>
                            <w:t>21.6</w:t>
                          </w:r>
                        </w:sdtContent>
                      </w:sdt>
                      <w:r>
                        <w:rPr>
                          <w:color w:val="000000"/>
                        </w:rPr>
                        <w:t>. cukrinis diabetas, gydomas insulinu, sulfonilkarbamidais ar glinidais, esant hipoglikeminėms būklėms, ir kiti gliukozės apykaitos ir kasos vidinės sekrecijos funkcijos sutrikimai E10.0–E14.0; E15</w:t>
                      </w:r>
                      <w:r>
                        <w:rPr>
                          <w:b/>
                          <w:bCs/>
                          <w:color w:val="000000"/>
                        </w:rPr>
                        <w:t xml:space="preserve"> </w:t>
                      </w:r>
                      <w:r>
                        <w:rPr>
                          <w:color w:val="000000"/>
                        </w:rPr>
                        <w:t>(individualiu atveju</w:t>
                      </w:r>
                      <w:r>
                        <w:rPr>
                          <w:b/>
                          <w:bCs/>
                          <w:color w:val="000000"/>
                        </w:rPr>
                        <w:t xml:space="preserve"> </w:t>
                      </w:r>
                      <w:r>
                        <w:rPr>
                          <w:color w:val="000000"/>
                        </w:rPr>
                        <w:t>dėl galimybės dirbti sprendžia gydytojas endokrinologas).</w:t>
                      </w:r>
                    </w:p>
                    <w:p>
                      <w:pPr>
                        <w:widowControl w:val="0"/>
                        <w:suppressAutoHyphens/>
                        <w:ind w:firstLine="567"/>
                        <w:jc w:val="both"/>
                        <w:rPr>
                          <w:color w:val="000000"/>
                        </w:rPr>
                      </w:pPr>
                    </w:p>
                  </w:sdtContent>
                </w:sdt>
              </w:sdtContent>
            </w:sdt>
          </w:sdtContent>
        </w:sdt>
        <w:sdt>
          <w:sdtPr>
            <w:alias w:val="skyrius"/>
            <w:tag w:val="part_b5c728a06ab44851b2568b63233e8a70"/>
            <w:lock w:val="sdtLocked"/>
            <w:richText/>
          </w:sdtPr>
          <w:sdtContent>
            <w:p>
              <w:pPr>
                <w:keepLines/>
                <w:widowControl w:val="0"/>
                <w:suppressAutoHyphens/>
                <w:jc w:val="center"/>
                <w:rPr>
                  <w:b/>
                  <w:bCs/>
                  <w:caps/>
                  <w:color w:val="000000"/>
                </w:rPr>
              </w:pPr>
              <w:sdt>
                <w:sdtPr>
                  <w:alias w:val="Numeris"/>
                  <w:tag w:val="nr_b5c728a06ab44851b2568b63233e8a70"/>
                  <w:lock w:val="sdtLocked"/>
                  <w:richText/>
                </w:sdtPr>
                <w:sdtContent>
                  <w:r>
                    <w:rPr>
                      <w:b/>
                      <w:bCs/>
                      <w:caps/>
                      <w:color w:val="000000"/>
                    </w:rPr>
                    <w:t>IV</w:t>
                  </w:r>
                </w:sdtContent>
              </w:sdt>
              <w:r>
                <w:rPr>
                  <w:b/>
                  <w:bCs/>
                  <w:caps/>
                  <w:color w:val="000000"/>
                </w:rPr>
                <w:t xml:space="preserve">. </w:t>
              </w:r>
              <w:sdt>
                <w:sdtPr>
                  <w:alias w:val="Pavadinimas"/>
                  <w:tag w:val="title_b5c728a06ab44851b2568b63233e8a70"/>
                  <w:lock w:val="sdtLocked"/>
                  <w:richText/>
                </w:sdtPr>
                <w:sdtContent>
                  <w:r>
                    <w:rPr>
                      <w:b/>
                      <w:bCs/>
                      <w:caps/>
                      <w:color w:val="000000"/>
                    </w:rPr>
                    <w:t>baigiamosios nuostatos</w:t>
                  </w:r>
                </w:sdtContent>
              </w:sdt>
            </w:p>
            <w:p>
              <w:pPr>
                <w:widowControl w:val="0"/>
                <w:suppressAutoHyphens/>
                <w:ind w:firstLine="567"/>
                <w:jc w:val="both"/>
                <w:rPr>
                  <w:color w:val="000000"/>
                </w:rPr>
              </w:pPr>
            </w:p>
            <w:sdt>
              <w:sdtPr>
                <w:alias w:val="13 pr. 22 p."/>
                <w:tag w:val="part_3fbf9480e64d4e1dafa7ce9a7b7f2eef"/>
                <w:lock w:val="sdtLocked"/>
                <w:richText/>
              </w:sdtPr>
              <w:sdtContent>
                <w:p>
                  <w:pPr>
                    <w:widowControl w:val="0"/>
                    <w:suppressAutoHyphens/>
                    <w:ind w:firstLine="567"/>
                    <w:jc w:val="both"/>
                    <w:rPr>
                      <w:color w:val="000000"/>
                    </w:rPr>
                  </w:pPr>
                  <w:sdt>
                    <w:sdtPr>
                      <w:alias w:val="Numeris"/>
                      <w:tag w:val="nr_3fbf9480e64d4e1dafa7ce9a7b7f2eef"/>
                      <w:lock w:val="sdtLocked"/>
                      <w:richText/>
                    </w:sdtPr>
                    <w:sdtContent>
                      <w:r>
                        <w:rPr>
                          <w:color w:val="000000"/>
                        </w:rPr>
                        <w:t>22</w:t>
                      </w:r>
                    </w:sdtContent>
                  </w:sdt>
                  <w:r>
                    <w:rPr>
                      <w:color w:val="000000"/>
                    </w:rPr>
                    <w:t>. Kiekvienas sveikatą tikrinantis gydytojas atsako už sveikatos tikrinimo kokybę ir įrašo tikrinimo rezultatus į F Nr. 025/a, jei reikia – ir į F Nr. 027/a.</w:t>
                  </w:r>
                </w:p>
              </w:sdtContent>
            </w:sdt>
            <w:sdt>
              <w:sdtPr>
                <w:alias w:val="13 pr. 23 p."/>
                <w:tag w:val="part_c8e8cb92b08a4264a5e588d5afe4bfbb"/>
                <w:lock w:val="sdtLocked"/>
                <w:richText/>
              </w:sdtPr>
              <w:sdtContent>
                <w:p>
                  <w:pPr>
                    <w:widowControl w:val="0"/>
                    <w:suppressAutoHyphens/>
                    <w:ind w:firstLine="567"/>
                    <w:jc w:val="both"/>
                    <w:rPr>
                      <w:color w:val="000000"/>
                    </w:rPr>
                  </w:pPr>
                  <w:sdt>
                    <w:sdtPr>
                      <w:alias w:val="Numeris"/>
                      <w:tag w:val="nr_c8e8cb92b08a4264a5e588d5afe4bfbb"/>
                      <w:lock w:val="sdtLocked"/>
                      <w:richText/>
                    </w:sdtPr>
                    <w:sdtContent>
                      <w:r>
                        <w:rPr>
                          <w:color w:val="000000"/>
                        </w:rPr>
                        <w:t>23</w:t>
                      </w:r>
                    </w:sdtContent>
                  </w:sdt>
                  <w:r>
                    <w:rPr>
                      <w:color w:val="000000"/>
                    </w:rPr>
                    <w:t>. Privalomai profilaktiškai patikrinus asmens sveikatą, darbdaviui atstovaujančio ar jo įgalioto asmens prašymu ASPĮ gali būti apibendrinami rezultatai, pateikiamos rekomendacijos dėl įdarbinimo.</w:t>
                  </w:r>
                </w:p>
              </w:sdtContent>
            </w:sdt>
            <w:sdt>
              <w:sdtPr>
                <w:alias w:val="13 pr. 24 p."/>
                <w:tag w:val="part_29610328ceef454b8ee05c4fff66e229"/>
                <w:lock w:val="sdtLocked"/>
                <w:richText/>
              </w:sdtPr>
              <w:sdtContent>
                <w:p>
                  <w:pPr>
                    <w:widowControl w:val="0"/>
                    <w:suppressAutoHyphens/>
                    <w:ind w:firstLine="567"/>
                    <w:jc w:val="both"/>
                    <w:rPr>
                      <w:color w:val="000000"/>
                    </w:rPr>
                  </w:pPr>
                  <w:sdt>
                    <w:sdtPr>
                      <w:alias w:val="Numeris"/>
                      <w:tag w:val="nr_29610328ceef454b8ee05c4fff66e229"/>
                      <w:lock w:val="sdtLocked"/>
                      <w:richText/>
                    </w:sdtPr>
                    <w:sdtContent>
                      <w:r>
                        <w:rPr>
                          <w:color w:val="000000"/>
                        </w:rPr>
                        <w:t>24</w:t>
                      </w:r>
                    </w:sdtContent>
                  </w:sdt>
                  <w:r>
                    <w:rPr>
                      <w:color w:val="000000"/>
                    </w:rPr>
                    <w:t>. Po privalomo profilaktinio periodinio darbuotojų sveikatos tikrinimo darbdaviui atstovaujančio ar jo įgalioto asmens prašymu gali būti surašomas šio priedo 3 lentelėje nurodytus reikalavimus atitinkantis protokolas.</w:t>
                  </w:r>
                </w:p>
              </w:sdtContent>
            </w:sdt>
            <w:sdt>
              <w:sdtPr>
                <w:alias w:val="13 pr. 25 p."/>
                <w:tag w:val="part_a66b32c4e1d748f08bcbb8a667bd83e8"/>
                <w:lock w:val="sdtLocked"/>
                <w:richText/>
              </w:sdtPr>
              <w:sdtContent>
                <w:p>
                  <w:pPr>
                    <w:widowControl w:val="0"/>
                    <w:suppressAutoHyphens/>
                    <w:ind w:firstLine="567"/>
                    <w:jc w:val="both"/>
                    <w:rPr>
                      <w:color w:val="000000"/>
                    </w:rPr>
                  </w:pPr>
                  <w:sdt>
                    <w:sdtPr>
                      <w:alias w:val="Numeris"/>
                      <w:tag w:val="nr_a66b32c4e1d748f08bcbb8a667bd83e8"/>
                      <w:lock w:val="sdtLocked"/>
                      <w:richText/>
                    </w:sdtPr>
                    <w:sdtContent>
                      <w:r>
                        <w:rPr>
                          <w:color w:val="000000"/>
                        </w:rPr>
                        <w:t>25</w:t>
                      </w:r>
                    </w:sdtContent>
                  </w:sdt>
                  <w:r>
                    <w:rPr>
                      <w:color w:val="000000"/>
                    </w:rPr>
                    <w:t>. Atlikus privalomą profilaktinį sveikatos patikrinimą F Nr. 086/a, F Nr. 047/a, arba F Nr.048/a išduodama asmeniui, kuris pats ją pateikia mokymo įstaigai arba darbdaviui atstovaujančiam ar jo įgaliotam asmeniui.</w:t>
                  </w:r>
                </w:p>
              </w:sdtContent>
            </w:sdt>
            <w:sdt>
              <w:sdtPr>
                <w:alias w:val="13 pr. 26 p."/>
                <w:tag w:val="part_5806785b971544a681df754010e3098d"/>
                <w:lock w:val="sdtLocked"/>
                <w:richText/>
              </w:sdtPr>
              <w:sdtContent>
                <w:p>
                  <w:pPr>
                    <w:widowControl w:val="0"/>
                    <w:suppressAutoHyphens/>
                    <w:ind w:firstLine="567"/>
                    <w:jc w:val="both"/>
                    <w:rPr>
                      <w:color w:val="000000"/>
                    </w:rPr>
                  </w:pPr>
                  <w:sdt>
                    <w:sdtPr>
                      <w:alias w:val="Numeris"/>
                      <w:tag w:val="nr_5806785b971544a681df754010e3098d"/>
                      <w:lock w:val="sdtLocked"/>
                      <w:richText/>
                    </w:sdtPr>
                    <w:sdtContent>
                      <w:r>
                        <w:rPr>
                          <w:color w:val="000000"/>
                        </w:rPr>
                        <w:t>26</w:t>
                      </w:r>
                    </w:sdtContent>
                  </w:sdt>
                  <w:r>
                    <w:rPr>
                      <w:color w:val="000000"/>
                    </w:rPr>
                    <w:t>. Pasitikrinę sveikatą asmenys, stojantys mokytis – mokslo ar mokymo įstaigai, įsidarbinantys ar darbuotojai – darbdaviui atstovaujančiam ar jo įgaliotam asmeniui pateikia formas (stojantys mokytis – F Nr. 086/a įsidarbinantys – F Nr. 047/a, darbuotojai – F Nr. 048/a), patvirtintas įsakymu Nr. 515, kurios turi būti saugomos šio ir kitų teisės aktų nustatyta tvarka.</w:t>
                  </w:r>
                </w:p>
              </w:sdtContent>
            </w:sdt>
            <w:sdt>
              <w:sdtPr>
                <w:alias w:val="13 pr. 27 p."/>
                <w:tag w:val="part_2c3677f1232d494983ffdf60d08d784b"/>
                <w:lock w:val="sdtLocked"/>
                <w:richText/>
              </w:sdtPr>
              <w:sdtContent>
                <w:p>
                  <w:pPr>
                    <w:widowControl w:val="0"/>
                    <w:suppressAutoHyphens/>
                    <w:ind w:firstLine="567"/>
                    <w:jc w:val="both"/>
                    <w:rPr>
                      <w:color w:val="000000"/>
                    </w:rPr>
                  </w:pPr>
                  <w:sdt>
                    <w:sdtPr>
                      <w:alias w:val="Numeris"/>
                      <w:tag w:val="nr_2c3677f1232d494983ffdf60d08d784b"/>
                      <w:lock w:val="sdtLocked"/>
                      <w:richText/>
                    </w:sdtPr>
                    <w:sdtContent>
                      <w:r>
                        <w:rPr>
                          <w:color w:val="000000"/>
                        </w:rPr>
                        <w:t>27</w:t>
                      </w:r>
                    </w:sdtContent>
                  </w:sdt>
                  <w:r>
                    <w:rPr>
                      <w:color w:val="000000"/>
                    </w:rPr>
                    <w:t>. Kiekvienas to paprašęs darbuotojas gali susipažinti su savo asmenine medicinine dokumentacija.</w:t>
                  </w:r>
                </w:p>
              </w:sdtContent>
            </w:sdt>
            <w:sdt>
              <w:sdtPr>
                <w:alias w:val="13 pr. 28 p."/>
                <w:tag w:val="part_b5607618db764cd3ba5f653deebf282c"/>
                <w:lock w:val="sdtLocked"/>
                <w:richText/>
              </w:sdtPr>
              <w:sdtContent>
                <w:p>
                  <w:pPr>
                    <w:widowControl w:val="0"/>
                    <w:suppressAutoHyphens/>
                    <w:ind w:firstLine="567"/>
                    <w:jc w:val="both"/>
                    <w:rPr>
                      <w:color w:val="000000"/>
                    </w:rPr>
                  </w:pPr>
                  <w:sdt>
                    <w:sdtPr>
                      <w:alias w:val="Numeris"/>
                      <w:tag w:val="nr_b5607618db764cd3ba5f653deebf282c"/>
                      <w:lock w:val="sdtLocked"/>
                      <w:richText/>
                    </w:sdtPr>
                    <w:sdtContent>
                      <w:r>
                        <w:rPr>
                          <w:color w:val="000000"/>
                        </w:rPr>
                        <w:t>28</w:t>
                      </w:r>
                    </w:sdtContent>
                  </w:sdt>
                  <w:r>
                    <w:rPr>
                      <w:color w:val="000000"/>
                    </w:rPr>
                    <w:t>. Sveikatos tikrinimo ir jo dokumentacijos kontrolę gali vykdyti ASPĮ vadovai ar jų įgalioti asmenys. F Nr. 047/a ir F Nr. 048/a įrašus turi teisę tikrinti darbdavys arba jo įgaliotas asmuo, Valstybinės darbo inspekcijos darbo inspektoriai, ASPĮ vadovai ar jų įgalioti asmenys.</w:t>
                  </w:r>
                </w:p>
              </w:sdtContent>
            </w:sdt>
            <w:sdt>
              <w:sdtPr>
                <w:alias w:val="13 pr. 29 p."/>
                <w:tag w:val="part_54cf3303a93442c69da2581b7bf3ad43"/>
                <w:lock w:val="sdtLocked"/>
                <w:richText/>
              </w:sdtPr>
              <w:sdtContent>
                <w:p>
                  <w:pPr>
                    <w:widowControl w:val="0"/>
                    <w:suppressAutoHyphens/>
                    <w:ind w:firstLine="567"/>
                    <w:jc w:val="both"/>
                    <w:rPr>
                      <w:color w:val="000000"/>
                    </w:rPr>
                  </w:pPr>
                  <w:sdt>
                    <w:sdtPr>
                      <w:alias w:val="Numeris"/>
                      <w:tag w:val="nr_54cf3303a93442c69da2581b7bf3ad43"/>
                      <w:lock w:val="sdtLocked"/>
                      <w:richText/>
                    </w:sdtPr>
                    <w:sdtContent>
                      <w:r>
                        <w:rPr>
                          <w:color w:val="000000"/>
                        </w:rPr>
                        <w:t>29</w:t>
                      </w:r>
                    </w:sdtContent>
                  </w:sdt>
                  <w:r>
                    <w:rPr>
                      <w:color w:val="000000"/>
                    </w:rPr>
                    <w:t>. Gydytojo įrašytos išvados yra privalomos darbdaviui atstovaujančiam ar jo įgaliotam asmeniui ir darbuotojui.</w:t>
                  </w:r>
                </w:p>
              </w:sdtContent>
            </w:sdt>
            <w:sdt>
              <w:sdtPr>
                <w:alias w:val="13 pr. 30 p."/>
                <w:tag w:val="part_c488fd38aad84e1286dd0ad73a145175"/>
                <w:lock w:val="sdtLocked"/>
                <w:richText/>
              </w:sdtPr>
              <w:sdtContent>
                <w:p>
                  <w:pPr>
                    <w:widowControl w:val="0"/>
                    <w:suppressAutoHyphens/>
                    <w:ind w:firstLine="567"/>
                    <w:jc w:val="both"/>
                    <w:rPr>
                      <w:color w:val="000000"/>
                    </w:rPr>
                  </w:pPr>
                  <w:sdt>
                    <w:sdtPr>
                      <w:alias w:val="Numeris"/>
                      <w:tag w:val="nr_c488fd38aad84e1286dd0ad73a145175"/>
                      <w:lock w:val="sdtLocked"/>
                      <w:richText/>
                    </w:sdtPr>
                    <w:sdtContent>
                      <w:r>
                        <w:rPr>
                          <w:color w:val="000000"/>
                        </w:rPr>
                        <w:t>30</w:t>
                      </w:r>
                    </w:sdtContent>
                  </w:sdt>
                  <w:r>
                    <w:rPr>
                      <w:color w:val="000000"/>
                    </w:rPr>
                    <w:t>. Įrašų apie sveikatos būklę informacija turi būti tęstinė, todėl darbdaviui atstovaujantis ar jo įgaliotas asmuo, atleisdamas darbuotoją iš darbo, turi pasilikti F Nr. 048/a patvirtintą kopiją, o F Nr. 048/a originalą atiduoti darbuotojui, kuris įsidarbindamas privalo jį pateikti naujam darbdaviui.</w:t>
                  </w:r>
                </w:p>
              </w:sdtContent>
            </w:sdt>
            <w:sdt>
              <w:sdtPr>
                <w:alias w:val="13 pr. 31 p."/>
                <w:tag w:val="part_01bfcdd64dd74bc9b0c2893e6dc6c605"/>
                <w:lock w:val="sdtLocked"/>
                <w:richText/>
              </w:sdtPr>
              <w:sdtContent>
                <w:p>
                  <w:pPr>
                    <w:widowControl w:val="0"/>
                    <w:suppressAutoHyphens/>
                    <w:ind w:firstLine="567"/>
                    <w:jc w:val="both"/>
                    <w:rPr>
                      <w:color w:val="000000"/>
                    </w:rPr>
                  </w:pPr>
                  <w:sdt>
                    <w:sdtPr>
                      <w:alias w:val="Numeris"/>
                      <w:tag w:val="nr_01bfcdd64dd74bc9b0c2893e6dc6c605"/>
                      <w:lock w:val="sdtLocked"/>
                      <w:richText/>
                    </w:sdtPr>
                    <w:sdtContent>
                      <w:r>
                        <w:rPr>
                          <w:color w:val="000000"/>
                        </w:rPr>
                        <w:t>31</w:t>
                      </w:r>
                    </w:sdtContent>
                  </w:sdt>
                  <w:r>
                    <w:rPr>
                      <w:color w:val="000000"/>
                    </w:rPr>
                    <w:t>. Sudėtingais ir konfliktiniais (kai išvadai reikia priimti individualius sprendimus) atvejais, 10.4. punkte nurodyto gydytojo siuntimu, įvertinusi konkrečios profesinės kvalifikacijos gydytojo išvadą, apie tinkamumą dirbti sprendžia Gydytojų konsultacinė komisija.</w:t>
                  </w:r>
                </w:p>
              </w:sdtContent>
            </w:sdt>
            <w:sdt>
              <w:sdtPr>
                <w:alias w:val="13 pr. 32 p."/>
                <w:tag w:val="part_7861c5eb2fbb4d258dc58640112de86e"/>
                <w:lock w:val="sdtLocked"/>
                <w:richText/>
              </w:sdtPr>
              <w:sdtContent>
                <w:p>
                  <w:pPr>
                    <w:widowControl w:val="0"/>
                    <w:suppressAutoHyphens/>
                    <w:ind w:firstLine="567"/>
                    <w:jc w:val="both"/>
                    <w:rPr>
                      <w:color w:val="000000"/>
                    </w:rPr>
                  </w:pPr>
                  <w:sdt>
                    <w:sdtPr>
                      <w:alias w:val="Numeris"/>
                      <w:tag w:val="nr_7861c5eb2fbb4d258dc58640112de86e"/>
                      <w:lock w:val="sdtLocked"/>
                      <w:richText/>
                    </w:sdtPr>
                    <w:sdtContent>
                      <w:r>
                        <w:rPr>
                          <w:color w:val="000000"/>
                        </w:rPr>
                        <w:t>32</w:t>
                      </w:r>
                    </w:sdtContent>
                  </w:sdt>
                  <w:r>
                    <w:rPr>
                      <w:color w:val="000000"/>
                    </w:rPr>
                    <w:t xml:space="preserve">. Jei privalomo profilaktinio sveikatos tikrinimo metu asmeniui įtariama profesinė liga, apie ją pranešama, vadovaujantis Profesinių ligų tyrimo ir apskaitos nuostatais, patvirtintais Lietuvos Respublikos Vyriausybės 2004 m. balandžio 28 d. nutarimu Nr. 487 „Dėl profesinių ligų tyrimo ir apskaitos nuostatų patvirtinimo“ (Žin., 2004, Nr. </w:t>
                  </w:r>
                  <w:hyperlink r:id="rId76" w:tgtFrame="_blank" w:history="1">
                    <w:r>
                      <w:rPr>
                        <w:color w:val="0000FF" w:themeColor="hyperlink"/>
                        <w:u w:val="single"/>
                      </w:rPr>
                      <w:t>69-2398</w:t>
                    </w:r>
                  </w:hyperlink>
                  <w:r>
                    <w:rPr>
                      <w:color w:val="000000"/>
                    </w:rPr>
                    <w:t>).</w:t>
                  </w:r>
                </w:p>
              </w:sdtContent>
            </w:sdt>
            <w:sdt>
              <w:sdtPr>
                <w:alias w:val="13 pr. 33 p."/>
                <w:tag w:val="part_f68e0d66bc1d4b57a460d6ec957df00c"/>
                <w:lock w:val="sdtLocked"/>
                <w:richText/>
              </w:sdtPr>
              <w:sdtContent>
                <w:p>
                  <w:pPr>
                    <w:widowControl w:val="0"/>
                    <w:suppressAutoHyphens/>
                    <w:ind w:firstLine="567"/>
                    <w:jc w:val="both"/>
                    <w:rPr>
                      <w:color w:val="000000"/>
                    </w:rPr>
                  </w:pPr>
                  <w:sdt>
                    <w:sdtPr>
                      <w:alias w:val="Numeris"/>
                      <w:tag w:val="nr_f68e0d66bc1d4b57a460d6ec957df00c"/>
                      <w:lock w:val="sdtLocked"/>
                      <w:richText/>
                    </w:sdtPr>
                    <w:sdtContent>
                      <w:r>
                        <w:rPr>
                          <w:color w:val="000000"/>
                        </w:rPr>
                        <w:t>33</w:t>
                      </w:r>
                    </w:sdtContent>
                  </w:sdt>
                  <w:r>
                    <w:rPr>
                      <w:color w:val="000000"/>
                    </w:rPr>
                    <w:t xml:space="preserve">. Asmuo, kuris nesutinka su privalomo sveikatos tikrinimo išvadomis, gali jas apskųsti Lietuvos Respublikos pacientų teisių ir žalos sveikatai atlyginimo įstatyme (Žin., 1996, Nr. </w:t>
                  </w:r>
                  <w:hyperlink r:id="rId77" w:tgtFrame="_blank" w:history="1">
                    <w:r>
                      <w:rPr>
                        <w:color w:val="0000FF" w:themeColor="hyperlink"/>
                        <w:u w:val="single"/>
                      </w:rPr>
                      <w:t>102-2317</w:t>
                    </w:r>
                  </w:hyperlink>
                  <w:r>
                    <w:rPr>
                      <w:color w:val="000000"/>
                    </w:rPr>
                    <w:t>; 2004,Nr. 115-4284) numatyta tvarka.</w:t>
                  </w:r>
                </w:p>
                <w:p/>
                <w:p>
                  <w:pPr>
                    <w:jc w:val="center"/>
                  </w:pPr>
                  <w:r>
                    <w:t>_________________</w:t>
                  </w:r>
                </w:p>
              </w:sdtContent>
            </w:sdt>
            <w:sdt>
              <w:sdtPr>
                <w:alias w:val="lentele"/>
                <w:tag w:val="part_3499587077194d49878499fb7fc83cd6"/>
                <w:lock w:val="sdtLocked"/>
                <w:richText/>
              </w:sdtPr>
              <w:sdtContent>
                <w:p/>
                <w:p>
                  <w:pPr>
                    <w:sectPr>
                      <w:pgSz w:w="11907" w:h="16840" w:code="9"/>
                      <w:pgMar w:top="1134" w:right="1134" w:bottom="1134" w:left="1701" w:header="567" w:footer="284" w:gutter="0"/>
                      <w:pgNumType w:start="1"/>
                      <w:cols w:space="1296"/>
                      <w:titlePg/>
                      <w:docGrid w:linePitch="360"/>
                    </w:sectPr>
                  </w:pPr>
                </w:p>
                <w:p>
                  <w:pPr>
                    <w:tabs>
                      <w:tab w:val="left" w:pos="567"/>
                    </w:tabs>
                    <w:jc w:val="right"/>
                    <w:rPr>
                      <w:sz w:val="20"/>
                    </w:rPr>
                  </w:pPr>
                  <w:r>
                    <w:rPr>
                      <w:sz w:val="20"/>
                    </w:rPr>
                    <w:t>1 lentelė</w:t>
                  </w:r>
                </w:p>
                <w:p>
                  <w:pPr>
                    <w:tabs>
                      <w:tab w:val="left" w:pos="567"/>
                    </w:tabs>
                    <w:jc w:val="center"/>
                    <w:rPr>
                      <w:sz w:val="20"/>
                    </w:rPr>
                  </w:pPr>
                </w:p>
                <w:p>
                  <w:pPr>
                    <w:tabs>
                      <w:tab w:val="left" w:pos="567"/>
                    </w:tabs>
                    <w:jc w:val="center"/>
                    <w:rPr>
                      <w:b/>
                      <w:sz w:val="20"/>
                    </w:rPr>
                  </w:pPr>
                  <w:r>
                    <w:rPr>
                      <w:b/>
                      <w:sz w:val="20"/>
                    </w:rPr>
                    <w:t>DARBAI, ĮRAŠYTI Į PAVOJINGŲ DARBŲ SĄRAŠĄ, KURIUOS DIRBANT IR (AR) PRIIMANT Į DARBĄ PRIVALOMA TIKRINTIS SVEIKATĄ.</w:t>
                  </w:r>
                </w:p>
                <w:p>
                  <w:pPr>
                    <w:tabs>
                      <w:tab w:val="left" w:pos="567"/>
                    </w:tabs>
                    <w:jc w:val="center"/>
                    <w:rPr>
                      <w:b/>
                      <w:sz w:val="20"/>
                    </w:rPr>
                  </w:pPr>
                  <w:r>
                    <w:rPr>
                      <w:b/>
                      <w:sz w:val="20"/>
                    </w:rPr>
                    <w:t>TIKRINIMŲ PERIODIŠKUMAS IR MASTAS. PAPILDOMOS KONTRAINDIKACIJOS</w:t>
                  </w:r>
                </w:p>
                <w:p>
                  <w:pPr>
                    <w:tabs>
                      <w:tab w:val="left" w:pos="567"/>
                    </w:tabs>
                    <w:jc w:val="center"/>
                    <w:rPr>
                      <w:b/>
                      <w:sz w:val="20"/>
                    </w:rPr>
                  </w:pPr>
                </w:p>
                <w:tbl>
                  <w:tblPr>
                    <w:tblW w:w="147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70"/>
                    <w:gridCol w:w="1167"/>
                    <w:gridCol w:w="1571"/>
                    <w:gridCol w:w="1397"/>
                    <w:gridCol w:w="1571"/>
                    <w:gridCol w:w="16"/>
                    <w:gridCol w:w="6548"/>
                  </w:tblGrid>
                  <w:tr>
                    <w:trPr>
                      <w:cantSplit/>
                      <w:trHeight w:val="20"/>
                      <w:tblHeader/>
                    </w:trPr>
                    <w:tc>
                      <w:tcPr>
                        <w:tcW w:w="2470" w:type="dxa"/>
                        <w:vMerge w:val="restart"/>
                      </w:tcPr>
                      <w:p>
                        <w:pPr>
                          <w:jc w:val="center"/>
                          <w:rPr>
                            <w:sz w:val="18"/>
                            <w:szCs w:val="18"/>
                          </w:rPr>
                        </w:pPr>
                        <w:r>
                          <w:rPr>
                            <w:sz w:val="18"/>
                            <w:szCs w:val="18"/>
                          </w:rPr>
                          <w:t>Darbai, įrašyti į pavojingų darbų sąrašą</w:t>
                        </w:r>
                      </w:p>
                    </w:tc>
                    <w:tc>
                      <w:tcPr>
                        <w:tcW w:w="1167" w:type="dxa"/>
                        <w:vMerge w:val="restart"/>
                      </w:tcPr>
                      <w:p>
                        <w:pPr>
                          <w:jc w:val="center"/>
                          <w:rPr>
                            <w:sz w:val="18"/>
                            <w:szCs w:val="18"/>
                          </w:rPr>
                        </w:pPr>
                        <w:r>
                          <w:rPr>
                            <w:sz w:val="18"/>
                            <w:szCs w:val="18"/>
                          </w:rPr>
                          <w:t>Tikrinimų periodiškumas</w:t>
                        </w:r>
                      </w:p>
                    </w:tc>
                    <w:tc>
                      <w:tcPr>
                        <w:tcW w:w="2968" w:type="dxa"/>
                        <w:gridSpan w:val="2"/>
                      </w:tcPr>
                      <w:p>
                        <w:pPr>
                          <w:jc w:val="center"/>
                          <w:rPr>
                            <w:sz w:val="18"/>
                            <w:szCs w:val="18"/>
                          </w:rPr>
                        </w:pPr>
                        <w:r>
                          <w:rPr>
                            <w:sz w:val="18"/>
                            <w:szCs w:val="18"/>
                          </w:rPr>
                          <w:t>Sveikatos tikrintojai</w:t>
                        </w:r>
                      </w:p>
                    </w:tc>
                    <w:tc>
                      <w:tcPr>
                        <w:tcW w:w="1587" w:type="dxa"/>
                        <w:gridSpan w:val="2"/>
                        <w:vMerge w:val="restart"/>
                      </w:tcPr>
                      <w:p>
                        <w:pPr>
                          <w:jc w:val="center"/>
                          <w:rPr>
                            <w:sz w:val="18"/>
                            <w:szCs w:val="18"/>
                          </w:rPr>
                        </w:pPr>
                        <w:r>
                          <w:rPr>
                            <w:sz w:val="18"/>
                            <w:szCs w:val="18"/>
                          </w:rPr>
                          <w:t>Privalomi tyrimai</w:t>
                        </w:r>
                      </w:p>
                    </w:tc>
                    <w:tc>
                      <w:tcPr>
                        <w:tcW w:w="6548" w:type="dxa"/>
                        <w:vMerge w:val="restart"/>
                      </w:tcPr>
                      <w:p>
                        <w:pPr>
                          <w:widowControl w:val="0"/>
                          <w:jc w:val="center"/>
                          <w:rPr>
                            <w:sz w:val="18"/>
                            <w:szCs w:val="18"/>
                            <w:lang w:val="en-AU"/>
                          </w:rPr>
                        </w:pPr>
                        <w:r>
                          <w:rPr>
                            <w:rFonts w:ascii="TimesLT" w:hAnsi="TimesLT"/>
                            <w:sz w:val="18"/>
                            <w:szCs w:val="18"/>
                            <w:lang w:val="en-AU"/>
                          </w:rPr>
                          <w:t>Papildomos kontraindikacijos</w:t>
                        </w:r>
                      </w:p>
                    </w:tc>
                  </w:tr>
                  <w:tr>
                    <w:trPr>
                      <w:cantSplit/>
                      <w:trHeight w:val="20"/>
                      <w:tblHeader/>
                    </w:trPr>
                    <w:tc>
                      <w:tcPr>
                        <w:tcW w:w="2470" w:type="dxa"/>
                        <w:vMerge/>
                      </w:tcPr>
                      <w:p>
                        <w:pPr>
                          <w:rPr>
                            <w:sz w:val="18"/>
                            <w:szCs w:val="18"/>
                          </w:rPr>
                        </w:pPr>
                      </w:p>
                    </w:tc>
                    <w:tc>
                      <w:tcPr>
                        <w:tcW w:w="1167" w:type="dxa"/>
                        <w:vMerge/>
                      </w:tcPr>
                      <w:p>
                        <w:pPr>
                          <w:jc w:val="both"/>
                          <w:rPr>
                            <w:sz w:val="18"/>
                            <w:szCs w:val="18"/>
                          </w:rPr>
                        </w:pPr>
                      </w:p>
                    </w:tc>
                    <w:tc>
                      <w:tcPr>
                        <w:tcW w:w="1571" w:type="dxa"/>
                      </w:tcPr>
                      <w:p>
                        <w:pPr>
                          <w:jc w:val="center"/>
                          <w:rPr>
                            <w:sz w:val="18"/>
                            <w:szCs w:val="18"/>
                          </w:rPr>
                        </w:pPr>
                      </w:p>
                    </w:tc>
                    <w:tc>
                      <w:tcPr>
                        <w:tcW w:w="1397" w:type="dxa"/>
                        <w:tcBorders>
                          <w:top w:val="nil"/>
                        </w:tcBorders>
                      </w:tcPr>
                      <w:p>
                        <w:pPr>
                          <w:jc w:val="center"/>
                          <w:rPr>
                            <w:sz w:val="18"/>
                            <w:szCs w:val="18"/>
                          </w:rPr>
                        </w:pPr>
                      </w:p>
                    </w:tc>
                    <w:tc>
                      <w:tcPr>
                        <w:tcW w:w="1587" w:type="dxa"/>
                        <w:gridSpan w:val="2"/>
                        <w:vMerge/>
                      </w:tcPr>
                      <w:p>
                        <w:pPr>
                          <w:rPr>
                            <w:sz w:val="18"/>
                            <w:szCs w:val="18"/>
                          </w:rPr>
                        </w:pPr>
                      </w:p>
                    </w:tc>
                    <w:tc>
                      <w:tcPr>
                        <w:tcW w:w="6548" w:type="dxa"/>
                        <w:vMerge/>
                      </w:tcPr>
                      <w:p>
                        <w:pPr>
                          <w:rPr>
                            <w:sz w:val="18"/>
                            <w:szCs w:val="18"/>
                          </w:rPr>
                        </w:pPr>
                      </w:p>
                    </w:tc>
                  </w:tr>
                  <w:tr>
                    <w:trPr>
                      <w:cantSplit/>
                      <w:trHeight w:val="20"/>
                      <w:tblHeader/>
                    </w:trPr>
                    <w:tc>
                      <w:tcPr>
                        <w:tcW w:w="2470" w:type="dxa"/>
                      </w:tcPr>
                      <w:p>
                        <w:pPr>
                          <w:jc w:val="center"/>
                          <w:rPr>
                            <w:sz w:val="18"/>
                            <w:szCs w:val="18"/>
                          </w:rPr>
                        </w:pPr>
                        <w:r>
                          <w:rPr>
                            <w:sz w:val="18"/>
                            <w:szCs w:val="18"/>
                          </w:rPr>
                          <w:t>1</w:t>
                        </w:r>
                      </w:p>
                    </w:tc>
                    <w:tc>
                      <w:tcPr>
                        <w:tcW w:w="1167" w:type="dxa"/>
                      </w:tcPr>
                      <w:p>
                        <w:pPr>
                          <w:jc w:val="center"/>
                          <w:rPr>
                            <w:sz w:val="18"/>
                            <w:szCs w:val="18"/>
                          </w:rPr>
                        </w:pPr>
                        <w:r>
                          <w:rPr>
                            <w:sz w:val="18"/>
                            <w:szCs w:val="18"/>
                          </w:rPr>
                          <w:t>2</w:t>
                        </w:r>
                      </w:p>
                    </w:tc>
                    <w:tc>
                      <w:tcPr>
                        <w:tcW w:w="1571" w:type="dxa"/>
                        <w:tcBorders>
                          <w:bottom w:val="single" w:sz="4" w:space="0" w:color="auto"/>
                        </w:tcBorders>
                      </w:tcPr>
                      <w:p>
                        <w:pPr>
                          <w:jc w:val="center"/>
                          <w:rPr>
                            <w:bCs/>
                            <w:sz w:val="18"/>
                            <w:szCs w:val="18"/>
                          </w:rPr>
                        </w:pPr>
                        <w:r>
                          <w:rPr>
                            <w:bCs/>
                            <w:sz w:val="18"/>
                            <w:szCs w:val="18"/>
                          </w:rPr>
                          <w:t>3</w:t>
                        </w:r>
                      </w:p>
                    </w:tc>
                    <w:tc>
                      <w:tcPr>
                        <w:tcW w:w="1397" w:type="dxa"/>
                      </w:tcPr>
                      <w:p>
                        <w:pPr>
                          <w:jc w:val="center"/>
                          <w:rPr>
                            <w:sz w:val="18"/>
                            <w:szCs w:val="18"/>
                          </w:rPr>
                        </w:pPr>
                        <w:r>
                          <w:rPr>
                            <w:sz w:val="18"/>
                            <w:szCs w:val="18"/>
                          </w:rPr>
                          <w:t>4</w:t>
                        </w:r>
                      </w:p>
                    </w:tc>
                    <w:tc>
                      <w:tcPr>
                        <w:tcW w:w="1587" w:type="dxa"/>
                        <w:gridSpan w:val="2"/>
                        <w:tcBorders>
                          <w:bottom w:val="single" w:sz="4" w:space="0" w:color="auto"/>
                        </w:tcBorders>
                      </w:tcPr>
                      <w:p>
                        <w:pPr>
                          <w:jc w:val="center"/>
                          <w:rPr>
                            <w:sz w:val="18"/>
                            <w:szCs w:val="18"/>
                          </w:rPr>
                        </w:pPr>
                        <w:r>
                          <w:rPr>
                            <w:sz w:val="18"/>
                            <w:szCs w:val="18"/>
                          </w:rPr>
                          <w:t>5</w:t>
                        </w:r>
                      </w:p>
                    </w:tc>
                    <w:tc>
                      <w:tcPr>
                        <w:tcW w:w="6548" w:type="dxa"/>
                        <w:tcBorders>
                          <w:bottom w:val="single" w:sz="4" w:space="0" w:color="auto"/>
                        </w:tcBorders>
                      </w:tcPr>
                      <w:p>
                        <w:pPr>
                          <w:jc w:val="center"/>
                          <w:rPr>
                            <w:sz w:val="18"/>
                            <w:szCs w:val="18"/>
                          </w:rPr>
                        </w:pPr>
                        <w:r>
                          <w:rPr>
                            <w:sz w:val="18"/>
                            <w:szCs w:val="18"/>
                          </w:rPr>
                          <w:t>6</w:t>
                        </w:r>
                      </w:p>
                    </w:tc>
                  </w:tr>
                  <w:tr>
                    <w:trPr>
                      <w:cantSplit/>
                      <w:trHeight w:val="20"/>
                    </w:trPr>
                    <w:tc>
                      <w:tcPr>
                        <w:tcW w:w="2470" w:type="dxa"/>
                      </w:tcPr>
                      <w:p>
                        <w:pPr>
                          <w:rPr>
                            <w:sz w:val="18"/>
                            <w:szCs w:val="18"/>
                          </w:rPr>
                        </w:pPr>
                        <w:r>
                          <w:rPr>
                            <w:sz w:val="18"/>
                            <w:szCs w:val="18"/>
                          </w:rPr>
                          <w:t>1. Darbas elektros įrenginiuose, įrengtuose lauke, elektros srovės pavojingumo atžvilgiu pavojingose ir labai pavojingose patalpose, taip pat veikiančių elektros įrenginių srovinių grandinių, skirtų didesnei kaip 10 A srovei ir esant aukštesnei kaip 50 V kintamosios srovės ir aukštesnei kaip 75 V nuolatinės srovės įtampai, remonto ir (ar) derinimo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 xml:space="preserve">oftalmologas, </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psichiatras ir kitų profesinių kvalifikacijų gydytojai</w:t>
                        </w:r>
                        <w:r>
                          <w:rPr>
                            <w:b/>
                            <w:bCs/>
                            <w:sz w:val="18"/>
                            <w:szCs w:val="18"/>
                          </w:rPr>
                          <w:t xml:space="preserve"> </w:t>
                        </w:r>
                      </w:p>
                    </w:tc>
                    <w:tc>
                      <w:tcPr>
                        <w:tcW w:w="1587" w:type="dxa"/>
                        <w:gridSpan w:val="2"/>
                      </w:tcPr>
                      <w:p>
                        <w:pPr>
                          <w:rPr>
                            <w:sz w:val="18"/>
                            <w:szCs w:val="18"/>
                          </w:rPr>
                        </w:pPr>
                        <w:r>
                          <w:rPr>
                            <w:sz w:val="18"/>
                            <w:szCs w:val="18"/>
                          </w:rPr>
                          <w:t>Regėjimo aštrumo ir regėjimo lauko ištyrimas, vestibulinės funkcijos ištyrimas,</w:t>
                        </w:r>
                      </w:p>
                      <w:p>
                        <w:pPr>
                          <w:rPr>
                            <w:sz w:val="18"/>
                            <w:szCs w:val="18"/>
                          </w:rPr>
                        </w:pPr>
                        <w:r>
                          <w:rPr>
                            <w:sz w:val="18"/>
                            <w:szCs w:val="18"/>
                          </w:rPr>
                          <w:t>esant indikacijų – audiograma</w:t>
                        </w:r>
                      </w:p>
                    </w:tc>
                    <w:tc>
                      <w:tcPr>
                        <w:tcW w:w="6548" w:type="dxa"/>
                      </w:tcPr>
                      <w:p>
                        <w:pPr>
                          <w:rPr>
                            <w:sz w:val="18"/>
                            <w:szCs w:val="18"/>
                          </w:rPr>
                        </w:pPr>
                        <w:r>
                          <w:rPr>
                            <w:sz w:val="18"/>
                            <w:szCs w:val="18"/>
                          </w:rPr>
                          <w:t>1. Regėjimo aštrumas su korekcija mažesnis kaip 0,5 viena ir 0,2 – kita akimi</w:t>
                        </w:r>
                      </w:p>
                      <w:p>
                        <w:pPr>
                          <w:rPr>
                            <w:sz w:val="18"/>
                            <w:szCs w:val="18"/>
                          </w:rPr>
                        </w:pPr>
                        <w:r>
                          <w:rPr>
                            <w:sz w:val="18"/>
                            <w:szCs w:val="18"/>
                          </w:rPr>
                          <w:t xml:space="preserve">2. Nuolatinis neišgydomas ašarojimas H04.2 </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w:t>
                        </w:r>
                      </w:p>
                      <w:p>
                        <w:pPr>
                          <w:tabs>
                            <w:tab w:val="center" w:pos="33"/>
                          </w:tabs>
                          <w:ind w:left="33" w:hanging="33"/>
                          <w:rPr>
                            <w:sz w:val="18"/>
                            <w:szCs w:val="18"/>
                          </w:rPr>
                        </w:pPr>
                        <w:r>
                          <w:rPr>
                            <w:sz w:val="18"/>
                            <w:szCs w:val="18"/>
                          </w:rPr>
                          <w:t>Individualiu atveju dėl galimybės dirbti sprendžia gydytojas otorinolaringologas.</w:t>
                        </w:r>
                      </w:p>
                      <w:p>
                        <w:pPr>
                          <w:rPr>
                            <w:sz w:val="18"/>
                            <w:szCs w:val="18"/>
                          </w:rPr>
                        </w:pPr>
                        <w:r>
                          <w:rPr>
                            <w:sz w:val="18"/>
                            <w:szCs w:val="18"/>
                          </w:rPr>
                          <w:t xml:space="preserve">5. Vestibulinės funkcijos sutrikimai H81; H82 </w:t>
                        </w:r>
                      </w:p>
                      <w:p>
                        <w:pPr>
                          <w:tabs>
                            <w:tab w:val="center" w:pos="33"/>
                          </w:tabs>
                          <w:ind w:left="33" w:hanging="33"/>
                          <w:rPr>
                            <w:sz w:val="18"/>
                            <w:szCs w:val="18"/>
                          </w:rPr>
                        </w:pPr>
                        <w:r>
                          <w:rPr>
                            <w:sz w:val="18"/>
                            <w:szCs w:val="18"/>
                          </w:rPr>
                          <w:t>6. Alkoholizmas, narkomanija, toksikomanija F10–F19. Individualiu atveju dėl galimybės dirbti sprendžia gydytojas psichiatras.</w:t>
                        </w:r>
                      </w:p>
                      <w:p>
                        <w:pPr>
                          <w:rPr>
                            <w:sz w:val="18"/>
                            <w:szCs w:val="18"/>
                          </w:rPr>
                        </w:pPr>
                        <w:r>
                          <w:rPr>
                            <w:sz w:val="18"/>
                            <w:szCs w:val="18"/>
                          </w:rPr>
                          <w:t>7. Epilepsija G40</w:t>
                        </w:r>
                      </w:p>
                    </w:tc>
                  </w:tr>
                  <w:tr>
                    <w:trPr>
                      <w:cantSplit/>
                      <w:trHeight w:val="20"/>
                    </w:trPr>
                    <w:tc>
                      <w:tcPr>
                        <w:tcW w:w="2470" w:type="dxa"/>
                      </w:tcPr>
                      <w:p>
                        <w:pPr>
                          <w:rPr>
                            <w:sz w:val="18"/>
                            <w:szCs w:val="18"/>
                          </w:rPr>
                        </w:pPr>
                        <w:r>
                          <w:rPr>
                            <w:sz w:val="18"/>
                            <w:szCs w:val="18"/>
                          </w:rPr>
                          <w:t>2. Mechaninis medienos, metalų ir kitų medžiagų apdirbimas, kai naudojama nemechanizuota pastūma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w:t>
                        </w:r>
                      </w:p>
                      <w:p>
                        <w:pPr>
                          <w:rPr>
                            <w:sz w:val="18"/>
                            <w:szCs w:val="18"/>
                          </w:rPr>
                        </w:pPr>
                        <w:r>
                          <w:rPr>
                            <w:sz w:val="18"/>
                            <w:szCs w:val="18"/>
                          </w:rPr>
                          <w:t>vestibulinės funkcijos ištyrimas</w:t>
                        </w:r>
                      </w:p>
                    </w:tc>
                    <w:tc>
                      <w:tcPr>
                        <w:tcW w:w="6548" w:type="dxa"/>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 xml:space="preserve">3. Vestibulinės funkcijos sutrikimai H81;  H82 </w:t>
                        </w:r>
                      </w:p>
                      <w:p>
                        <w:pPr>
                          <w:tabs>
                            <w:tab w:val="center" w:pos="33"/>
                          </w:tabs>
                          <w:ind w:left="33" w:hanging="33"/>
                          <w:rPr>
                            <w:sz w:val="18"/>
                            <w:szCs w:val="18"/>
                          </w:rPr>
                        </w:pPr>
                        <w:r>
                          <w:rPr>
                            <w:sz w:val="18"/>
                            <w:szCs w:val="18"/>
                          </w:rPr>
                          <w:t>3. Epilepsija G40</w:t>
                        </w:r>
                      </w:p>
                    </w:tc>
                  </w:tr>
                  <w:tr>
                    <w:trPr>
                      <w:cantSplit/>
                      <w:trHeight w:val="20"/>
                    </w:trPr>
                    <w:tc>
                      <w:tcPr>
                        <w:tcW w:w="2470" w:type="dxa"/>
                      </w:tcPr>
                      <w:p>
                        <w:pPr>
                          <w:rPr>
                            <w:strike/>
                            <w:sz w:val="18"/>
                            <w:szCs w:val="18"/>
                          </w:rPr>
                        </w:pPr>
                        <w:r>
                          <w:rPr>
                            <w:sz w:val="18"/>
                            <w:szCs w:val="18"/>
                          </w:rPr>
                          <w:t>3. Krovinių kėlimas mechaniniais, iš jų savaeigiais krautuvais, išskyrus potencialiai pavojingus įrenginius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Borders>
                          <w:bottom w:val="single" w:sz="4" w:space="0" w:color="auto"/>
                        </w:tcBorders>
                      </w:tcPr>
                      <w:p>
                        <w:pPr>
                          <w:rPr>
                            <w:sz w:val="18"/>
                            <w:szCs w:val="18"/>
                          </w:rPr>
                        </w:pPr>
                        <w:r>
                          <w:rPr>
                            <w:sz w:val="18"/>
                            <w:szCs w:val="18"/>
                          </w:rPr>
                          <w:t>Regėjimo aštrumo, akipločio, spalvinio jutimo (priimant į darbą), akispūdžio – asmenims nuo 40 m.,</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Borders>
                          <w:bottom w:val="single" w:sz="4" w:space="0" w:color="auto"/>
                        </w:tcBorders>
                      </w:tcPr>
                      <w:p>
                        <w:pPr>
                          <w:rPr>
                            <w:sz w:val="18"/>
                            <w:szCs w:val="18"/>
                          </w:rPr>
                        </w:pPr>
                        <w:r>
                          <w:rPr>
                            <w:sz w:val="18"/>
                            <w:szCs w:val="18"/>
                          </w:rPr>
                          <w:t>1. Regėjimo organų ligos:</w:t>
                        </w:r>
                      </w:p>
                      <w:p>
                        <w:pPr>
                          <w:rPr>
                            <w:sz w:val="18"/>
                            <w:szCs w:val="18"/>
                          </w:rPr>
                        </w:pPr>
                        <w:r>
                          <w:rPr>
                            <w:sz w:val="18"/>
                            <w:szCs w:val="18"/>
                          </w:rPr>
                          <w:t>1.1. Regėjimas su korekcija silpnesnis kaip 0,5 viena ir 0,2 – kita akimi</w:t>
                        </w:r>
                      </w:p>
                      <w:p>
                        <w:pPr>
                          <w:rPr>
                            <w:sz w:val="18"/>
                            <w:szCs w:val="18"/>
                          </w:rPr>
                        </w:pPr>
                        <w:r>
                          <w:rPr>
                            <w:sz w:val="18"/>
                            <w:szCs w:val="18"/>
                          </w:rPr>
                          <w:t xml:space="preserve">1.2. Nuolatinis neišgydomas ašarojimas H04.2 </w:t>
                        </w:r>
                      </w:p>
                      <w:p>
                        <w:pPr>
                          <w:rPr>
                            <w:sz w:val="18"/>
                            <w:szCs w:val="18"/>
                          </w:rPr>
                        </w:pPr>
                        <w:r>
                          <w:rPr>
                            <w:sz w:val="18"/>
                            <w:szCs w:val="18"/>
                          </w:rPr>
                          <w:t>1.3. Spalvų jutimo sutrikimai (tiems, kurie dirba su spalvota signalizacija) H53.5</w:t>
                        </w:r>
                      </w:p>
                      <w:p>
                        <w:pPr>
                          <w:rPr>
                            <w:sz w:val="18"/>
                            <w:szCs w:val="18"/>
                          </w:rPr>
                        </w:pPr>
                        <w:r>
                          <w:rPr>
                            <w:sz w:val="18"/>
                            <w:szCs w:val="18"/>
                          </w:rPr>
                          <w:t>1.4.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3. Vestibulinės funkcijos sutrikimai H81; H82</w:t>
                        </w:r>
                      </w:p>
                      <w:p>
                        <w:pPr>
                          <w:rPr>
                            <w:sz w:val="18"/>
                            <w:szCs w:val="18"/>
                          </w:rPr>
                        </w:pPr>
                        <w:r>
                          <w:rPr>
                            <w:sz w:val="18"/>
                            <w:szCs w:val="18"/>
                          </w:rPr>
                          <w:t>4. Epilepsija G40</w:t>
                        </w:r>
                      </w:p>
                    </w:tc>
                  </w:tr>
                  <w:tr>
                    <w:trPr>
                      <w:cantSplit/>
                      <w:trHeight w:val="20"/>
                    </w:trPr>
                    <w:tc>
                      <w:tcPr>
                        <w:tcW w:w="2470" w:type="dxa"/>
                      </w:tcPr>
                      <w:p>
                        <w:pPr>
                          <w:rPr>
                            <w:sz w:val="18"/>
                            <w:szCs w:val="18"/>
                          </w:rPr>
                        </w:pPr>
                        <w:r>
                          <w:rPr>
                            <w:sz w:val="18"/>
                            <w:szCs w:val="18"/>
                          </w:rPr>
                          <w:t>4. Darbai laivuose, iš jų žvejybos laivuose ir kituose plaukiojančiuose įrenginiuose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 xml:space="preserve">Vadovaujamasi Laivyno darbuotojų sveikatos tikrinimo tvarka (11 priedas), patvirtinta Lietuvos Respublikos sveikatos apsaugos ministro 2000 m. gegužės 31 d. įsakymu Nr. 301 „Dėl profilaktinių sveikatos tikrinimų sveikatos priežiūros įstaigose“ (Žin., 2000, Nr. </w:t>
                        </w:r>
                        <w:hyperlink r:id="rId78" w:tgtFrame="_blank" w:history="1">
                          <w:r>
                            <w:rPr>
                              <w:rStyle w:val="Hipersaitas"/>
                              <w:bCs/>
                              <w:sz w:val="18"/>
                              <w:szCs w:val="18"/>
                            </w:rPr>
                            <w:t>47-1365</w:t>
                          </w:r>
                        </w:hyperlink>
                        <w:r>
                          <w:rPr>
                            <w:bCs/>
                            <w:sz w:val="18"/>
                            <w:szCs w:val="18"/>
                          </w:rPr>
                          <w:t>)</w:t>
                        </w:r>
                      </w:p>
                    </w:tc>
                    <w:tc>
                      <w:tcPr>
                        <w:tcW w:w="1397" w:type="dxa"/>
                        <w:tcBorders>
                          <w:right w:val="single" w:sz="4" w:space="0" w:color="auto"/>
                        </w:tcBorders>
                      </w:tcPr>
                      <w:p>
                        <w:pPr>
                          <w:keepNext/>
                          <w:outlineLvl w:val="1"/>
                          <w:rPr>
                            <w:rFonts w:eastAsia="MS Mincho"/>
                            <w:b/>
                            <w:caps/>
                            <w:sz w:val="18"/>
                            <w:szCs w:val="18"/>
                          </w:rPr>
                        </w:pPr>
                      </w:p>
                    </w:tc>
                    <w:tc>
                      <w:tcPr>
                        <w:tcW w:w="1587" w:type="dxa"/>
                        <w:gridSpan w:val="2"/>
                        <w:tcBorders>
                          <w:top w:val="single" w:sz="4" w:space="0" w:color="auto"/>
                          <w:left w:val="single" w:sz="4" w:space="0" w:color="auto"/>
                          <w:bottom w:val="single" w:sz="4" w:space="0" w:color="auto"/>
                        </w:tcBorders>
                      </w:tcPr>
                      <w:p>
                        <w:pPr>
                          <w:rPr>
                            <w:sz w:val="18"/>
                            <w:szCs w:val="18"/>
                          </w:rPr>
                        </w:pPr>
                      </w:p>
                    </w:tc>
                    <w:tc>
                      <w:tcPr>
                        <w:tcW w:w="6548" w:type="dxa"/>
                        <w:tcBorders>
                          <w:top w:val="single" w:sz="4" w:space="0" w:color="auto"/>
                          <w:bottom w:val="single" w:sz="4" w:space="0" w:color="auto"/>
                          <w:right w:val="single" w:sz="4" w:space="0" w:color="auto"/>
                        </w:tcBorders>
                      </w:tcPr>
                      <w:p>
                        <w:pPr>
                          <w:rPr>
                            <w:sz w:val="18"/>
                            <w:szCs w:val="18"/>
                          </w:rPr>
                        </w:pPr>
                        <w:r>
                          <w:rPr>
                            <w:sz w:val="18"/>
                            <w:szCs w:val="18"/>
                          </w:rPr>
                          <w:t>Vadovaujamasi „Laivyno darbuotojų sveikatos tikrinimo tvarka“, patvirtinta Lietuvos Respublikos sveikatos apsaugos ministro 2000 m. gegužės 31 d. įsakymo Nr. 301 „Dėl profilaktinių sveikatos tikrinimų sveikatos priežiūros įstaigose“ 11 priedu.</w:t>
                        </w:r>
                      </w:p>
                    </w:tc>
                  </w:tr>
                  <w:tr>
                    <w:trPr>
                      <w:cantSplit/>
                      <w:trHeight w:val="20"/>
                    </w:trPr>
                    <w:tc>
                      <w:tcPr>
                        <w:tcW w:w="2470" w:type="dxa"/>
                      </w:tcPr>
                      <w:p>
                        <w:pPr>
                          <w:rPr>
                            <w:sz w:val="18"/>
                            <w:szCs w:val="18"/>
                          </w:rPr>
                        </w:pPr>
                        <w:r>
                          <w:rPr>
                            <w:sz w:val="18"/>
                            <w:szCs w:val="18"/>
                          </w:rPr>
                          <w:t xml:space="preserve">5. Darbai šuliniuose, iškasose, tuneliuose, kolektoriuose ir kituose požeminiuose įrenginiuose ir statiniuose (išskyrus požemines pėsčiųjų perėjas ir pervažas), uždarose bet kokių medžiagų talpyklose ir iš dalies uždarose ir ankštose patalpose ar iš dalies uždarose mašinų ir kitų įrenginių angose </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 xml:space="preserve">kitų profesinių kvalifikacijų gydytojai </w:t>
                        </w:r>
                      </w:p>
                    </w:tc>
                    <w:tc>
                      <w:tcPr>
                        <w:tcW w:w="1587" w:type="dxa"/>
                        <w:gridSpan w:val="2"/>
                        <w:tcBorders>
                          <w:top w:val="single" w:sz="4" w:space="0" w:color="auto"/>
                        </w:tcBorders>
                      </w:tcPr>
                      <w:p>
                        <w:pPr>
                          <w:rPr>
                            <w:sz w:val="18"/>
                            <w:szCs w:val="18"/>
                          </w:rPr>
                        </w:pPr>
                        <w:r>
                          <w:rPr>
                            <w:sz w:val="18"/>
                            <w:szCs w:val="18"/>
                          </w:rPr>
                          <w:t>Regėjimo aštrumo,</w:t>
                        </w:r>
                      </w:p>
                      <w:p>
                        <w:pPr>
                          <w:rPr>
                            <w:sz w:val="18"/>
                            <w:szCs w:val="18"/>
                          </w:rPr>
                        </w:pPr>
                        <w:r>
                          <w:rPr>
                            <w:sz w:val="18"/>
                            <w:szCs w:val="18"/>
                          </w:rPr>
                          <w:t>vestibulinės funkcijos ištyrimas,</w:t>
                        </w:r>
                      </w:p>
                      <w:p>
                        <w:pPr>
                          <w:rPr>
                            <w:sz w:val="18"/>
                            <w:szCs w:val="18"/>
                          </w:rPr>
                        </w:pPr>
                        <w:r>
                          <w:rPr>
                            <w:sz w:val="18"/>
                            <w:szCs w:val="18"/>
                          </w:rPr>
                          <w:t xml:space="preserve">esant indikacijų – audiograma, EKG </w:t>
                        </w:r>
                      </w:p>
                    </w:tc>
                    <w:tc>
                      <w:tcPr>
                        <w:tcW w:w="6548" w:type="dxa"/>
                        <w:tcBorders>
                          <w:top w:val="single" w:sz="4" w:space="0" w:color="auto"/>
                        </w:tcBorders>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tabs>
                            <w:tab w:val="center" w:pos="33"/>
                          </w:tabs>
                          <w:ind w:left="33" w:firstLine="17"/>
                          <w:rPr>
                            <w:sz w:val="18"/>
                            <w:szCs w:val="18"/>
                          </w:rPr>
                        </w:pPr>
                        <w:r>
                          <w:rPr>
                            <w:sz w:val="18"/>
                            <w:szCs w:val="18"/>
                          </w:rPr>
                          <w:t xml:space="preserve">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4. Vestibulinės funkcijos sutrikimai H81; H82</w:t>
                        </w:r>
                      </w:p>
                      <w:p>
                        <w:pPr>
                          <w:rPr>
                            <w:sz w:val="18"/>
                            <w:szCs w:val="18"/>
                          </w:rPr>
                        </w:pPr>
                        <w:r>
                          <w:rPr>
                            <w:sz w:val="18"/>
                            <w:szCs w:val="18"/>
                          </w:rPr>
                          <w:t>5. Obliteruojantis endarteritas, žymus venų išsiplėtimas, hemorojus su dažnais paūmėjimais, komplikacijomis I77.6, I83.0, I83.1, I83.2</w:t>
                        </w:r>
                      </w:p>
                      <w:p>
                        <w:pPr>
                          <w:rPr>
                            <w:sz w:val="18"/>
                            <w:szCs w:val="18"/>
                          </w:rPr>
                        </w:pPr>
                        <w:r>
                          <w:rPr>
                            <w:sz w:val="18"/>
                            <w:szCs w:val="18"/>
                          </w:rPr>
                          <w:t>6. Išvaržos ir galinčios įstrigti išvaržos K40–K46, tiesiosios žarnos iškritimas K62.3</w:t>
                        </w:r>
                      </w:p>
                      <w:p>
                        <w:pPr>
                          <w:rPr>
                            <w:sz w:val="18"/>
                            <w:szCs w:val="18"/>
                          </w:rPr>
                        </w:pPr>
                        <w:r>
                          <w:rPr>
                            <w:sz w:val="18"/>
                            <w:szCs w:val="18"/>
                          </w:rPr>
                          <w:t>7. Išplitę subatrofiniai viršutinių kvėpavimo takų gleivinės pakitimai J30; J31; J37–J39; uodimo sutrikimai R43,0; R43,1; R43,8; uodžiamojo nervo ligos G 52,0</w:t>
                        </w:r>
                      </w:p>
                      <w:p>
                        <w:pPr>
                          <w:rPr>
                            <w:sz w:val="18"/>
                            <w:szCs w:val="18"/>
                          </w:rPr>
                        </w:pPr>
                        <w:r>
                          <w:rPr>
                            <w:sz w:val="18"/>
                            <w:szCs w:val="18"/>
                          </w:rPr>
                          <w:t>8. Astma J45</w:t>
                        </w:r>
                      </w:p>
                      <w:p>
                        <w:pPr>
                          <w:rPr>
                            <w:sz w:val="18"/>
                            <w:szCs w:val="18"/>
                          </w:rPr>
                        </w:pPr>
                        <w:r>
                          <w:rPr>
                            <w:sz w:val="18"/>
                            <w:szCs w:val="18"/>
                          </w:rPr>
                          <w:t>9. Lėtiniai sąnarių uždegimai su ženkliu funkcijos sutrikimu M15</w:t>
                        </w:r>
                      </w:p>
                      <w:p>
                        <w:pPr>
                          <w:rPr>
                            <w:sz w:val="18"/>
                            <w:szCs w:val="18"/>
                          </w:rPr>
                        </w:pPr>
                        <w:r>
                          <w:rPr>
                            <w:sz w:val="18"/>
                            <w:szCs w:val="18"/>
                          </w:rPr>
                          <w:t>10. Cukrinis diabetas E10-E14</w:t>
                        </w:r>
                      </w:p>
                      <w:p>
                        <w:pPr>
                          <w:rPr>
                            <w:sz w:val="18"/>
                            <w:szCs w:val="18"/>
                          </w:rPr>
                        </w:pPr>
                        <w:r>
                          <w:rPr>
                            <w:sz w:val="18"/>
                            <w:szCs w:val="18"/>
                          </w:rPr>
                          <w:t>11. Epilepsija G40</w:t>
                        </w:r>
                      </w:p>
                    </w:tc>
                  </w:tr>
                  <w:tr>
                    <w:trPr>
                      <w:cantSplit/>
                      <w:trHeight w:val="20"/>
                    </w:trPr>
                    <w:tc>
                      <w:tcPr>
                        <w:tcW w:w="2470" w:type="dxa"/>
                      </w:tcPr>
                      <w:p>
                        <w:pPr>
                          <w:rPr>
                            <w:sz w:val="18"/>
                            <w:szCs w:val="18"/>
                          </w:rPr>
                        </w:pPr>
                        <w:r>
                          <w:rPr>
                            <w:sz w:val="18"/>
                            <w:szCs w:val="18"/>
                          </w:rPr>
                          <w:t>6. Darbai atliekami aukščiau kaip 5 metrai nuo žemės paviršiaus ar grunto, perdengimo, pastolių ar grindų paviršiaus, kai pagrindinė apsaugos nuo kritimo priemonė yra apraišai (apsaugos nuo kritimo diržai)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 akipločio, spalvinio jutimo (priimant į darbą) ištyrimas,</w:t>
                        </w:r>
                      </w:p>
                      <w:p>
                        <w:pPr>
                          <w:rPr>
                            <w:sz w:val="18"/>
                            <w:szCs w:val="18"/>
                          </w:rPr>
                        </w:pPr>
                        <w:r>
                          <w:rPr>
                            <w:sz w:val="18"/>
                            <w:szCs w:val="18"/>
                          </w:rPr>
                          <w:t xml:space="preserve">EKG, </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2. Vestibulinės funkcijos sutrikimai H81; H82</w:t>
                        </w:r>
                      </w:p>
                      <w:p>
                        <w:pPr>
                          <w:rPr>
                            <w:sz w:val="18"/>
                            <w:szCs w:val="18"/>
                          </w:rPr>
                        </w:pPr>
                        <w:r>
                          <w:rPr>
                            <w:sz w:val="18"/>
                            <w:szCs w:val="18"/>
                          </w:rPr>
                          <w:t>3. Regėjimo aštrumas su korekcija mažesnis nei 0,5 viena ir 0,2 kita akimi</w:t>
                        </w:r>
                      </w:p>
                      <w:p>
                        <w:pPr>
                          <w:rPr>
                            <w:i/>
                            <w:sz w:val="18"/>
                            <w:szCs w:val="18"/>
                          </w:rPr>
                        </w:pPr>
                        <w:r>
                          <w:rPr>
                            <w:sz w:val="18"/>
                            <w:szCs w:val="18"/>
                          </w:rPr>
                          <w:t>4. Epilepsija G40</w:t>
                        </w:r>
                      </w:p>
                    </w:tc>
                  </w:tr>
                  <w:tr>
                    <w:trPr>
                      <w:cantSplit/>
                      <w:trHeight w:val="20"/>
                    </w:trPr>
                    <w:tc>
                      <w:tcPr>
                        <w:tcW w:w="2470" w:type="dxa"/>
                      </w:tcPr>
                      <w:p>
                        <w:pPr>
                          <w:rPr>
                            <w:sz w:val="18"/>
                            <w:szCs w:val="18"/>
                            <w:lang w:val="pt-BR"/>
                          </w:rPr>
                        </w:pPr>
                        <w:r>
                          <w:rPr>
                            <w:sz w:val="18"/>
                            <w:szCs w:val="18"/>
                          </w:rPr>
                          <w:t xml:space="preserve">7. Darbai </w:t>
                        </w:r>
                        <w:r>
                          <w:rPr>
                            <w:sz w:val="18"/>
                            <w:szCs w:val="18"/>
                            <w:lang w:val="pt-BR"/>
                          </w:rPr>
                          <w:t>su plėšriaisiais ir kitais pavojingais gyvūnais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i/>
                            <w:sz w:val="18"/>
                            <w:szCs w:val="18"/>
                          </w:rPr>
                        </w:pPr>
                        <w:r>
                          <w:rPr>
                            <w:sz w:val="18"/>
                            <w:szCs w:val="18"/>
                          </w:rPr>
                          <w:t>esant indikacijų – audiograma</w:t>
                        </w:r>
                      </w:p>
                    </w:tc>
                    <w:tc>
                      <w:tcPr>
                        <w:tcW w:w="6548" w:type="dxa"/>
                      </w:tcPr>
                      <w:p>
                        <w:pPr>
                          <w:rPr>
                            <w:sz w:val="18"/>
                            <w:szCs w:val="18"/>
                          </w:rPr>
                        </w:pPr>
                        <w:r>
                          <w:rPr>
                            <w:sz w:val="18"/>
                            <w:szCs w:val="18"/>
                          </w:rPr>
                          <w:t>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 </w:t>
                        </w:r>
                      </w:p>
                      <w:p>
                        <w:pPr>
                          <w:tabs>
                            <w:tab w:val="center" w:pos="33"/>
                          </w:tabs>
                          <w:ind w:left="33" w:hanging="33"/>
                          <w:rPr>
                            <w:sz w:val="18"/>
                            <w:szCs w:val="18"/>
                          </w:rPr>
                        </w:pPr>
                        <w:r>
                          <w:rPr>
                            <w:sz w:val="18"/>
                            <w:szCs w:val="18"/>
                          </w:rPr>
                          <w:t>3. Degeneracinė trumparegystė H44.2</w:t>
                        </w:r>
                      </w:p>
                      <w:p>
                        <w:pPr>
                          <w:tabs>
                            <w:tab w:val="center" w:pos="33"/>
                          </w:tabs>
                          <w:ind w:left="33" w:hanging="33"/>
                          <w:rPr>
                            <w:sz w:val="18"/>
                            <w:szCs w:val="18"/>
                          </w:rPr>
                        </w:pPr>
                        <w:r>
                          <w:rPr>
                            <w:sz w:val="18"/>
                            <w:szCs w:val="18"/>
                          </w:rPr>
                          <w:t>4. Paveldimos tinklainės distrofijos H35.5</w:t>
                        </w:r>
                      </w:p>
                      <w:p>
                        <w:pPr>
                          <w:rPr>
                            <w:sz w:val="18"/>
                            <w:szCs w:val="18"/>
                          </w:rPr>
                        </w:pPr>
                        <w:r>
                          <w:rPr>
                            <w:sz w:val="18"/>
                            <w:szCs w:val="18"/>
                          </w:rPr>
                          <w:t>5. Epilepsija G40</w:t>
                        </w:r>
                      </w:p>
                    </w:tc>
                  </w:tr>
                  <w:tr>
                    <w:trPr>
                      <w:cantSplit/>
                      <w:trHeight w:val="20"/>
                    </w:trPr>
                    <w:tc>
                      <w:tcPr>
                        <w:tcW w:w="2470" w:type="dxa"/>
                      </w:tcPr>
                      <w:p>
                        <w:pPr>
                          <w:rPr>
                            <w:sz w:val="18"/>
                            <w:szCs w:val="18"/>
                          </w:rPr>
                        </w:pPr>
                        <w:r>
                          <w:rPr>
                            <w:sz w:val="18"/>
                            <w:szCs w:val="18"/>
                          </w:rPr>
                          <w:t>8. Hidroelektrinių, hidrotechninių įrenginių konstrukcijų, kurių patvankos aukštis didesnis kaip 3 metrai, rekonstravimas ir kapitalinis remontas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rPr>
                            <w:sz w:val="18"/>
                            <w:szCs w:val="18"/>
                          </w:rPr>
                        </w:pPr>
                        <w:r>
                          <w:rPr>
                            <w:sz w:val="18"/>
                            <w:szCs w:val="18"/>
                          </w:rPr>
                          <w:t xml:space="preserve">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3. Regėjimo aštrumas su korekcija mažesnis kaip 0,5 viena ir 0,2 – kita akimi</w:t>
                        </w:r>
                      </w:p>
                      <w:p>
                        <w:pPr>
                          <w:tabs>
                            <w:tab w:val="center" w:pos="33"/>
                          </w:tabs>
                          <w:ind w:left="33" w:hanging="33"/>
                          <w:rPr>
                            <w:sz w:val="18"/>
                            <w:szCs w:val="18"/>
                          </w:rPr>
                        </w:pPr>
                        <w:r>
                          <w:rPr>
                            <w:sz w:val="18"/>
                            <w:szCs w:val="18"/>
                          </w:rPr>
                          <w:t>4. Epilepsija G40</w:t>
                        </w:r>
                      </w:p>
                    </w:tc>
                  </w:tr>
                  <w:tr>
                    <w:trPr>
                      <w:cantSplit/>
                      <w:trHeight w:val="20"/>
                    </w:trPr>
                    <w:tc>
                      <w:tcPr>
                        <w:tcW w:w="2470" w:type="dxa"/>
                      </w:tcPr>
                      <w:p>
                        <w:pPr>
                          <w:rPr>
                            <w:sz w:val="18"/>
                            <w:szCs w:val="18"/>
                          </w:rPr>
                        </w:pPr>
                        <w:r>
                          <w:rPr>
                            <w:sz w:val="18"/>
                            <w:szCs w:val="18"/>
                            <w:lang w:val="en-AU"/>
                          </w:rPr>
                          <w:t>9. Darbai cirke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ind w:left="56"/>
                          <w:rPr>
                            <w:sz w:val="18"/>
                            <w:szCs w:val="18"/>
                          </w:rPr>
                        </w:pPr>
                        <w:r>
                          <w:rPr>
                            <w:sz w:val="18"/>
                            <w:szCs w:val="18"/>
                          </w:rPr>
                          <w:t>1. Vestibulinės funkcijos sutrikimai H81; H82</w:t>
                        </w:r>
                      </w:p>
                      <w:p>
                        <w:pPr>
                          <w:ind w:left="56"/>
                          <w:rPr>
                            <w:sz w:val="18"/>
                            <w:szCs w:val="18"/>
                          </w:rPr>
                        </w:pPr>
                        <w:r>
                          <w:rPr>
                            <w:sz w:val="18"/>
                            <w:szCs w:val="18"/>
                          </w:rPr>
                          <w:t>2. Epilepsija G40</w:t>
                        </w:r>
                      </w:p>
                      <w:p>
                        <w:pPr>
                          <w:ind w:firstLine="56"/>
                          <w:rPr>
                            <w:sz w:val="18"/>
                            <w:szCs w:val="18"/>
                          </w:rPr>
                        </w:pPr>
                        <w:r>
                          <w:rPr>
                            <w:sz w:val="18"/>
                            <w:szCs w:val="18"/>
                          </w:rPr>
                          <w:t>3. Pagal konkrečius profesinės rizikos veiksnius</w:t>
                        </w:r>
                      </w:p>
                    </w:tc>
                  </w:tr>
                  <w:tr>
                    <w:trPr>
                      <w:cantSplit/>
                      <w:trHeight w:val="20"/>
                    </w:trPr>
                    <w:tc>
                      <w:tcPr>
                        <w:tcW w:w="2470" w:type="dxa"/>
                      </w:tcPr>
                      <w:p>
                        <w:pPr>
                          <w:rPr>
                            <w:sz w:val="18"/>
                            <w:szCs w:val="18"/>
                            <w:lang w:val="en-AU"/>
                          </w:rPr>
                        </w:pPr>
                        <w:r>
                          <w:rPr>
                            <w:sz w:val="18"/>
                            <w:szCs w:val="18"/>
                          </w:rPr>
                          <w:t>10. Darbai skraidančiuose orlaiviuose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sz w:val="18"/>
                            <w:szCs w:val="18"/>
                          </w:rPr>
                        </w:pPr>
                      </w:p>
                    </w:tc>
                    <w:tc>
                      <w:tcPr>
                        <w:tcW w:w="6548" w:type="dxa"/>
                      </w:tcPr>
                      <w:p>
                        <w:pPr>
                          <w:ind w:left="56"/>
                          <w:rPr>
                            <w:sz w:val="18"/>
                            <w:szCs w:val="18"/>
                          </w:rPr>
                        </w:pPr>
                        <w:r>
                          <w:rPr>
                            <w:sz w:val="18"/>
                            <w:szCs w:val="18"/>
                          </w:rPr>
                          <w:t xml:space="preserve">Vadovaujamasi Licencijuojamų civilinės aviacijos specialistų sveikatos būklės tikrinimo tvarkos aprašu, patvirtintu Lietuvos Respublikos sveikatos apsaugos ministro 2000 m. gegužės 31 d. įsakymu Nr. 301 „Dėl profilaktinių sveikatos tikrinimų sveikatos priežiūros įstaigose“ (Žin., 2000, Nr. </w:t>
                        </w:r>
                        <w:hyperlink r:id="rId79" w:tgtFrame="_blank" w:history="1">
                          <w:r>
                            <w:rPr>
                              <w:color w:val="0000FF" w:themeColor="hyperlink"/>
                              <w:sz w:val="18"/>
                              <w:szCs w:val="18"/>
                              <w:u w:val="single"/>
                            </w:rPr>
                            <w:t>47-1365</w:t>
                          </w:r>
                        </w:hyperlink>
                        <w:r>
                          <w:rPr>
                            <w:sz w:val="18"/>
                            <w:szCs w:val="18"/>
                          </w:rPr>
                          <w:t xml:space="preserve">; 2005, Nr. </w:t>
                        </w:r>
                        <w:hyperlink r:id="rId80" w:tgtFrame="_blank" w:history="1">
                          <w:r>
                            <w:rPr>
                              <w:color w:val="0000FF" w:themeColor="hyperlink"/>
                              <w:sz w:val="18"/>
                              <w:szCs w:val="18"/>
                              <w:u w:val="single"/>
                            </w:rPr>
                            <w:t>128-4637</w:t>
                          </w:r>
                        </w:hyperlink>
                        <w:r>
                          <w:rPr>
                            <w:sz w:val="18"/>
                            <w:szCs w:val="18"/>
                          </w:rPr>
                          <w:t xml:space="preserve">; 2008, Nr. </w:t>
                        </w:r>
                        <w:hyperlink r:id="rId81"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11. Miško ruošos darbai (stačiojo miško kirtimas, vėjavartų, vėjalaužų likvidavimas)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otorinolaringeologas,</w:t>
                        </w:r>
                      </w:p>
                      <w:p>
                        <w:pPr>
                          <w:rPr>
                            <w:sz w:val="18"/>
                            <w:szCs w:val="18"/>
                          </w:rPr>
                        </w:pPr>
                        <w:r>
                          <w:rPr>
                            <w:sz w:val="18"/>
                            <w:szCs w:val="18"/>
                          </w:rPr>
                          <w:t>neurologas</w:t>
                        </w:r>
                      </w:p>
                    </w:tc>
                    <w:tc>
                      <w:tcPr>
                        <w:tcW w:w="1587" w:type="dxa"/>
                        <w:gridSpan w:val="2"/>
                      </w:tcPr>
                      <w:p>
                        <w:pPr>
                          <w:rPr>
                            <w:sz w:val="18"/>
                            <w:szCs w:val="18"/>
                          </w:rPr>
                        </w:pPr>
                        <w:r>
                          <w:rPr>
                            <w:sz w:val="18"/>
                            <w:szCs w:val="18"/>
                          </w:rPr>
                          <w:t>Regėjimo aštrumo, vestibulinės funkcijos ištyrimas,</w:t>
                        </w:r>
                      </w:p>
                      <w:p>
                        <w:pPr>
                          <w:rPr>
                            <w:sz w:val="18"/>
                            <w:szCs w:val="18"/>
                          </w:rPr>
                        </w:pPr>
                        <w:r>
                          <w:rPr>
                            <w:sz w:val="18"/>
                            <w:szCs w:val="18"/>
                            <w:lang w:val="en-AU"/>
                          </w:rPr>
                          <w:t>esant indikacijų – audiograma</w:t>
                        </w:r>
                        <w:r>
                          <w:rPr>
                            <w:sz w:val="18"/>
                            <w:szCs w:val="18"/>
                          </w:rPr>
                          <w:t xml:space="preserve"> </w:t>
                        </w:r>
                      </w:p>
                    </w:tc>
                    <w:tc>
                      <w:tcPr>
                        <w:tcW w:w="6548" w:type="dxa"/>
                      </w:tcPr>
                      <w:p>
                        <w:pPr>
                          <w:rPr>
                            <w:sz w:val="18"/>
                            <w:szCs w:val="18"/>
                          </w:rPr>
                        </w:pPr>
                        <w:r>
                          <w:rPr>
                            <w:sz w:val="18"/>
                            <w:szCs w:val="18"/>
                          </w:rPr>
                          <w:t xml:space="preserve">1. Regėjimo aštrumas su korekcija mažesnis kaip 0,5 viena ir 0,2 – kita akimi </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ind w:hanging="33"/>
                          <w:rPr>
                            <w:sz w:val="18"/>
                            <w:szCs w:val="18"/>
                          </w:rPr>
                        </w:pPr>
                        <w:r>
                          <w:rPr>
                            <w:sz w:val="18"/>
                            <w:szCs w:val="18"/>
                          </w:rPr>
                          <w:t>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hanging="33"/>
                          <w:rPr>
                            <w:sz w:val="18"/>
                            <w:szCs w:val="18"/>
                          </w:rPr>
                        </w:pPr>
                        <w:r>
                          <w:rPr>
                            <w:sz w:val="18"/>
                            <w:szCs w:val="18"/>
                          </w:rPr>
                          <w:t>4. Vestibulinės funkcijos sutrikimai H81; H82</w:t>
                        </w:r>
                      </w:p>
                      <w:p>
                        <w:pPr>
                          <w:rPr>
                            <w:sz w:val="18"/>
                            <w:szCs w:val="18"/>
                          </w:rPr>
                        </w:pPr>
                        <w:r>
                          <w:rPr>
                            <w:sz w:val="18"/>
                            <w:szCs w:val="18"/>
                          </w:rPr>
                          <w:t>5. Venų ligos: žymus ar komplikuotas kojų venų išsiplėtimas, hemorojus su dažnais paūmėjimais ar komplikacijomis (kraujavimu, tromboze) I83.0, I83.1, I83.2, I84</w:t>
                        </w:r>
                      </w:p>
                      <w:p>
                        <w:pPr>
                          <w:rPr>
                            <w:sz w:val="18"/>
                            <w:szCs w:val="18"/>
                          </w:rPr>
                        </w:pPr>
                        <w:r>
                          <w:rPr>
                            <w:sz w:val="18"/>
                            <w:szCs w:val="18"/>
                          </w:rPr>
                          <w:t>6. Obliteruojantis endarteritas su komplikacijomis I77.6.</w:t>
                        </w:r>
                      </w:p>
                      <w:p>
                        <w:pPr>
                          <w:rPr>
                            <w:sz w:val="18"/>
                            <w:szCs w:val="18"/>
                          </w:rPr>
                        </w:pPr>
                        <w:r>
                          <w:rPr>
                            <w:sz w:val="18"/>
                            <w:szCs w:val="18"/>
                          </w:rPr>
                          <w:t xml:space="preserve">7. Jungiamojo audinio ir skeleto–raumenų ligos su funkcijos, tarp jų plaštakos, sutrikimu (stuburo pakenkimai – darbui, susijusiam su jo apkrovimu) </w:t>
                        </w:r>
                      </w:p>
                      <w:p>
                        <w:pPr>
                          <w:rPr>
                            <w:sz w:val="18"/>
                            <w:szCs w:val="18"/>
                          </w:rPr>
                        </w:pPr>
                        <w:r>
                          <w:rPr>
                            <w:sz w:val="18"/>
                            <w:szCs w:val="18"/>
                          </w:rPr>
                          <w:t>8. Išvaržos K40–K46</w:t>
                        </w:r>
                      </w:p>
                      <w:p>
                        <w:pPr>
                          <w:rPr>
                            <w:sz w:val="18"/>
                            <w:szCs w:val="18"/>
                          </w:rPr>
                        </w:pPr>
                        <w:r>
                          <w:rPr>
                            <w:sz w:val="18"/>
                            <w:szCs w:val="18"/>
                          </w:rPr>
                          <w:t>9. Cukrinis diabetas E10–E14</w:t>
                        </w:r>
                      </w:p>
                    </w:tc>
                  </w:tr>
                  <w:tr>
                    <w:trPr>
                      <w:cantSplit/>
                      <w:trHeight w:val="20"/>
                    </w:trPr>
                    <w:tc>
                      <w:tcPr>
                        <w:tcW w:w="2470" w:type="dxa"/>
                      </w:tcPr>
                      <w:p>
                        <w:pPr>
                          <w:rPr>
                            <w:sz w:val="18"/>
                            <w:szCs w:val="18"/>
                          </w:rPr>
                        </w:pPr>
                        <w:r>
                          <w:rPr>
                            <w:sz w:val="18"/>
                            <w:szCs w:val="18"/>
                          </w:rPr>
                          <w:t>12. Gręžimo darbai, išgaunant naudingąsias iškasenas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Regėjimo aštrumo, vestibulinės funkcijos ištyrimas,</w:t>
                        </w:r>
                      </w:p>
                      <w:p>
                        <w:pPr>
                          <w:rPr>
                            <w:sz w:val="18"/>
                            <w:szCs w:val="18"/>
                          </w:rPr>
                        </w:pPr>
                        <w:r>
                          <w:rPr>
                            <w:sz w:val="18"/>
                            <w:szCs w:val="18"/>
                          </w:rPr>
                          <w:t xml:space="preserve">esant indikacijų – audiograma </w:t>
                        </w:r>
                      </w:p>
                    </w:tc>
                    <w:tc>
                      <w:tcPr>
                        <w:tcW w:w="6564" w:type="dxa"/>
                        <w:gridSpan w:val="2"/>
                      </w:tcPr>
                      <w:p>
                        <w:pPr>
                          <w:tabs>
                            <w:tab w:val="center" w:pos="33"/>
                          </w:tabs>
                          <w:ind w:left="33" w:hanging="33"/>
                          <w:rPr>
                            <w:sz w:val="18"/>
                            <w:szCs w:val="18"/>
                          </w:rPr>
                        </w:pPr>
                        <w:r>
                          <w:rPr>
                            <w:sz w:val="18"/>
                            <w:szCs w:val="18"/>
                          </w:rPr>
                          <w:t xml:space="preserve">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 xml:space="preserve">2. Vestibulinės funkcijos sutrikimai H81; H82 </w:t>
                        </w:r>
                      </w:p>
                      <w:p>
                        <w:pPr>
                          <w:rPr>
                            <w:i/>
                            <w:sz w:val="18"/>
                            <w:szCs w:val="18"/>
                          </w:rPr>
                        </w:pPr>
                        <w:r>
                          <w:rPr>
                            <w:sz w:val="18"/>
                            <w:szCs w:val="18"/>
                          </w:rPr>
                          <w:t>3. Regėjimo aštrumas su korekcija mažesnis kaip 0,5 viena ir 0,2 kita akimi</w:t>
                        </w:r>
                      </w:p>
                    </w:tc>
                  </w:tr>
                  <w:tr>
                    <w:trPr>
                      <w:cantSplit/>
                      <w:trHeight w:val="20"/>
                    </w:trPr>
                    <w:tc>
                      <w:tcPr>
                        <w:tcW w:w="2470" w:type="dxa"/>
                      </w:tcPr>
                      <w:p>
                        <w:pPr>
                          <w:rPr>
                            <w:sz w:val="18"/>
                            <w:szCs w:val="18"/>
                          </w:rPr>
                        </w:pPr>
                        <w:r>
                          <w:rPr>
                            <w:sz w:val="18"/>
                            <w:szCs w:val="18"/>
                          </w:rPr>
                          <w:t>13. Elektros, ryšių bei laidinio radijo oro ir požeminių linijų, dujotiekių, naftotiekių ar kitų produktotiekių vamzdynų įrengimo, išmontavimo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2. Vestibulinės funkcijos sutrikimai H81; H82 3. </w:t>
                        </w:r>
                      </w:p>
                      <w:p>
                        <w:pPr>
                          <w:rPr>
                            <w:sz w:val="18"/>
                            <w:szCs w:val="18"/>
                          </w:rPr>
                        </w:pPr>
                        <w:r>
                          <w:rPr>
                            <w:sz w:val="18"/>
                            <w:szCs w:val="18"/>
                          </w:rPr>
                          <w:t>3. Epilepsija G40</w:t>
                        </w:r>
                      </w:p>
                      <w:p>
                        <w:pPr>
                          <w:rPr>
                            <w:sz w:val="18"/>
                            <w:szCs w:val="18"/>
                          </w:rPr>
                        </w:pPr>
                        <w:r>
                          <w:rPr>
                            <w:sz w:val="18"/>
                            <w:szCs w:val="18"/>
                          </w:rPr>
                          <w:t xml:space="preserve">4. Pagal konkrečius profesinės rizikos veiksnius </w:t>
                        </w:r>
                      </w:p>
                    </w:tc>
                  </w:tr>
                  <w:tr>
                    <w:trPr>
                      <w:cantSplit/>
                      <w:trHeight w:val="20"/>
                    </w:trPr>
                    <w:tc>
                      <w:tcPr>
                        <w:tcW w:w="2470" w:type="dxa"/>
                      </w:tcPr>
                      <w:p>
                        <w:pPr>
                          <w:rPr>
                            <w:sz w:val="18"/>
                            <w:szCs w:val="18"/>
                          </w:rPr>
                        </w:pPr>
                        <w:r>
                          <w:rPr>
                            <w:sz w:val="18"/>
                            <w:szCs w:val="18"/>
                          </w:rPr>
                          <w:t>14. Grunto kasyba ir tvirtinimas, kiti darbai prie aukštesnių kaip 1,5 metro šlaitų ir gilesnėse kaip 1,5 metro iškasose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r>
                          <w:rPr>
                            <w:sz w:val="18"/>
                            <w:szCs w:val="18"/>
                          </w:rPr>
                          <w:t>2. Epilepsija G40</w:t>
                        </w:r>
                      </w:p>
                      <w:p>
                        <w:pPr>
                          <w:rPr>
                            <w:sz w:val="18"/>
                            <w:szCs w:val="18"/>
                          </w:rPr>
                        </w:pPr>
                        <w:r>
                          <w:rPr>
                            <w:sz w:val="18"/>
                            <w:szCs w:val="18"/>
                          </w:rPr>
                          <w:t>3. Obliteruojantis endarteritas su komplikacijomis I70.</w:t>
                        </w:r>
                      </w:p>
                      <w:p>
                        <w:pPr>
                          <w:rPr>
                            <w:sz w:val="18"/>
                            <w:szCs w:val="18"/>
                          </w:rPr>
                        </w:pPr>
                        <w:r>
                          <w:rPr>
                            <w:sz w:val="18"/>
                            <w:szCs w:val="18"/>
                          </w:rPr>
                          <w:t xml:space="preserve">4. Jungiamojo audinio ir skeleto-raumenų ligos su funkcijos, tarp jų plaštakos, sutrikimu (stuburo pakenkimai – darbui, susijusiam su jo apkrovimu) </w:t>
                        </w:r>
                      </w:p>
                      <w:p>
                        <w:pPr>
                          <w:rPr>
                            <w:sz w:val="18"/>
                            <w:szCs w:val="18"/>
                          </w:rPr>
                        </w:pPr>
                        <w:r>
                          <w:rPr>
                            <w:sz w:val="18"/>
                            <w:szCs w:val="18"/>
                          </w:rPr>
                          <w:t>5. Išvarža K40–K46</w:t>
                        </w:r>
                      </w:p>
                      <w:p>
                        <w:pPr>
                          <w:rPr>
                            <w:sz w:val="18"/>
                            <w:szCs w:val="18"/>
                          </w:rPr>
                        </w:pPr>
                        <w:r>
                          <w:rPr>
                            <w:sz w:val="18"/>
                            <w:szCs w:val="18"/>
                          </w:rPr>
                          <w:t>6. Cukrinis diabetas E10–E14</w:t>
                        </w:r>
                      </w:p>
                    </w:tc>
                  </w:tr>
                  <w:tr>
                    <w:trPr>
                      <w:cantSplit/>
                      <w:trHeight w:val="20"/>
                    </w:trPr>
                    <w:tc>
                      <w:tcPr>
                        <w:tcW w:w="2470" w:type="dxa"/>
                      </w:tcPr>
                      <w:p>
                        <w:pPr>
                          <w:rPr>
                            <w:sz w:val="18"/>
                            <w:szCs w:val="18"/>
                          </w:rPr>
                        </w:pPr>
                        <w:r>
                          <w:rPr>
                            <w:sz w:val="18"/>
                            <w:szCs w:val="18"/>
                          </w:rPr>
                          <w:t>15. Žemės darbai patogeniškai užterštame dirvožemyje, požeminių elektros tinklų, dujotiekio ir kitų požeminių komunikacijų (13 punktas) apsauginėse zonose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p>
                    </w:tc>
                  </w:tr>
                  <w:tr>
                    <w:trPr>
                      <w:cantSplit/>
                      <w:trHeight w:val="20"/>
                    </w:trPr>
                    <w:tc>
                      <w:tcPr>
                        <w:tcW w:w="2470" w:type="dxa"/>
                      </w:tcPr>
                      <w:p>
                        <w:pPr>
                          <w:rPr>
                            <w:sz w:val="18"/>
                            <w:szCs w:val="18"/>
                          </w:rPr>
                        </w:pPr>
                        <w:r>
                          <w:rPr>
                            <w:sz w:val="18"/>
                            <w:szCs w:val="18"/>
                          </w:rPr>
                          <w:t>16. Darbai potencialiai sprogioje aplinkoje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r>
                          <w:rPr>
                            <w:bCs/>
                            <w:sz w:val="18"/>
                            <w:szCs w:val="18"/>
                          </w:rPr>
                          <w:t xml:space="preserve"> psichiatras</w:t>
                        </w:r>
                      </w:p>
                    </w:tc>
                    <w:tc>
                      <w:tcPr>
                        <w:tcW w:w="1587" w:type="dxa"/>
                        <w:gridSpan w:val="2"/>
                      </w:tcPr>
                      <w:p>
                        <w:pPr>
                          <w:rPr>
                            <w:sz w:val="18"/>
                            <w:szCs w:val="18"/>
                          </w:rPr>
                        </w:pPr>
                        <w:r>
                          <w:rPr>
                            <w:sz w:val="18"/>
                            <w:szCs w:val="18"/>
                          </w:rPr>
                          <w:t>Regėjimo aštrumo ištyrimas, audiograma</w:t>
                        </w:r>
                      </w:p>
                    </w:tc>
                    <w:tc>
                      <w:tcPr>
                        <w:tcW w:w="6548" w:type="dxa"/>
                      </w:tcPr>
                      <w:p>
                        <w:pPr>
                          <w:rPr>
                            <w:sz w:val="18"/>
                            <w:szCs w:val="18"/>
                          </w:rPr>
                        </w:pPr>
                        <w:r>
                          <w:rPr>
                            <w:sz w:val="18"/>
                            <w:szCs w:val="18"/>
                          </w:rPr>
                          <w:t>1. Regėjimas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5. Alkoholizmas, narkomanija, toksikomanija F10–F19. Individualiu atveju dėl galimybės dirbti sprendžia gydytojas psichiatras.</w:t>
                        </w:r>
                      </w:p>
                    </w:tc>
                  </w:tr>
                  <w:tr>
                    <w:trPr>
                      <w:cantSplit/>
                      <w:trHeight w:val="20"/>
                    </w:trPr>
                    <w:tc>
                      <w:tcPr>
                        <w:tcW w:w="2470" w:type="dxa"/>
                      </w:tcPr>
                      <w:p>
                        <w:pPr>
                          <w:rPr>
                            <w:sz w:val="18"/>
                            <w:szCs w:val="18"/>
                          </w:rPr>
                        </w:pPr>
                        <w:r>
                          <w:rPr>
                            <w:sz w:val="18"/>
                            <w:szCs w:val="18"/>
                            <w:lang w:val="pt-BR"/>
                          </w:rPr>
                          <w:t>17. Remonto ar demontavimo darbai avariniuose statiniuose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audiograma</w:t>
                        </w:r>
                      </w:p>
                    </w:tc>
                    <w:tc>
                      <w:tcPr>
                        <w:tcW w:w="6564" w:type="dxa"/>
                        <w:gridSpan w:val="2"/>
                      </w:tcPr>
                      <w:p>
                        <w:pPr>
                          <w:rPr>
                            <w:sz w:val="18"/>
                            <w:szCs w:val="18"/>
                          </w:rPr>
                        </w:pPr>
                        <w:r>
                          <w:rPr>
                            <w:sz w:val="18"/>
                            <w:szCs w:val="18"/>
                          </w:rPr>
                          <w:t>1. Vestibulinės funkcijos sutrikimai H81; H82</w:t>
                        </w:r>
                      </w:p>
                      <w:p>
                        <w:pPr>
                          <w:tabs>
                            <w:tab w:val="center" w:pos="33"/>
                          </w:tabs>
                          <w:ind w:left="33" w:hanging="33"/>
                          <w:rPr>
                            <w:bCs/>
                            <w:sz w:val="18"/>
                            <w:szCs w:val="18"/>
                          </w:rPr>
                        </w:pPr>
                        <w:r>
                          <w:rPr>
                            <w:sz w:val="18"/>
                            <w:szCs w:val="18"/>
                          </w:rPr>
                          <w:t>2.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tc>
                  </w:tr>
                  <w:tr>
                    <w:trPr>
                      <w:cantSplit/>
                      <w:trHeight w:val="20"/>
                    </w:trPr>
                    <w:tc>
                      <w:tcPr>
                        <w:tcW w:w="2470" w:type="dxa"/>
                      </w:tcPr>
                      <w:p>
                        <w:pPr>
                          <w:rPr>
                            <w:sz w:val="18"/>
                            <w:szCs w:val="18"/>
                          </w:rPr>
                        </w:pPr>
                        <w:r>
                          <w:rPr>
                            <w:sz w:val="18"/>
                            <w:szCs w:val="18"/>
                          </w:rPr>
                          <w:t>18. Traukinių sąstatų formavimas (išformavimas), traukinių techninė apžiūra jų stovėjimo vietose ir darbai eksploatuojamuose geležinkelio ruožuose, automobilių kelių važiuojamosiose juostose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bCs/>
                            <w:sz w:val="18"/>
                            <w:szCs w:val="18"/>
                          </w:rPr>
                        </w:pPr>
                      </w:p>
                    </w:tc>
                    <w:tc>
                      <w:tcPr>
                        <w:tcW w:w="6548" w:type="dxa"/>
                      </w:tcPr>
                      <w:p>
                        <w:pPr>
                          <w:rPr>
                            <w:sz w:val="18"/>
                            <w:szCs w:val="18"/>
                          </w:rPr>
                        </w:pPr>
                        <w:r>
                          <w:rPr>
                            <w:sz w:val="18"/>
                            <w:szCs w:val="18"/>
                          </w:rPr>
                          <w:t xml:space="preserve">Vadovaujamasi Geležinkelio darbuotojų sveikatos tikrinimo tvarka, patvirtinta Lietuvos Respublikos sveikatos apsaugos ministro 2000 m. gegužės 31 d. įsakymu Nr. 301 „Dėl profilaktinių sveikatos tikrinimų sveikatos priežiūros įstaigose“ (Žin., 2000, Nr. </w:t>
                        </w:r>
                        <w:hyperlink r:id="rId82" w:tgtFrame="_blank" w:history="1">
                          <w:r>
                            <w:rPr>
                              <w:color w:val="0000FF" w:themeColor="hyperlink"/>
                              <w:sz w:val="18"/>
                              <w:szCs w:val="18"/>
                              <w:u w:val="single"/>
                            </w:rPr>
                            <w:t>47-1365</w:t>
                          </w:r>
                        </w:hyperlink>
                        <w:r>
                          <w:rPr>
                            <w:sz w:val="18"/>
                            <w:szCs w:val="18"/>
                          </w:rPr>
                          <w:t xml:space="preserve">; 2005, Nr. </w:t>
                        </w:r>
                        <w:hyperlink r:id="rId83" w:tgtFrame="_blank" w:history="1">
                          <w:r>
                            <w:rPr>
                              <w:color w:val="0000FF" w:themeColor="hyperlink"/>
                              <w:sz w:val="18"/>
                              <w:szCs w:val="18"/>
                              <w:u w:val="single"/>
                            </w:rPr>
                            <w:t>128-4637</w:t>
                          </w:r>
                        </w:hyperlink>
                        <w:r>
                          <w:rPr>
                            <w:sz w:val="18"/>
                            <w:szCs w:val="18"/>
                          </w:rPr>
                          <w:t xml:space="preserve">; 2008, Nr. </w:t>
                        </w:r>
                        <w:hyperlink r:id="rId84"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19. Psichikos ligonių gydymas ir priežiūra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bCs/>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bCs/>
                            <w:sz w:val="18"/>
                            <w:szCs w:val="18"/>
                          </w:rPr>
                        </w:pPr>
                        <w:r>
                          <w:rPr>
                            <w:sz w:val="18"/>
                            <w:szCs w:val="18"/>
                          </w:rPr>
                          <w:t>2. Vestibulinės funkcijos sutrikimai: H81; H82</w:t>
                        </w:r>
                      </w:p>
                    </w:tc>
                  </w:tr>
                  <w:tr>
                    <w:trPr>
                      <w:cantSplit/>
                      <w:trHeight w:val="20"/>
                    </w:trPr>
                    <w:tc>
                      <w:tcPr>
                        <w:tcW w:w="2470" w:type="dxa"/>
                      </w:tcPr>
                      <w:p>
                        <w:pPr>
                          <w:rPr>
                            <w:sz w:val="18"/>
                            <w:szCs w:val="18"/>
                          </w:rPr>
                        </w:pPr>
                        <w:r>
                          <w:rPr>
                            <w:sz w:val="18"/>
                            <w:szCs w:val="18"/>
                          </w:rPr>
                          <w:t>20. Valstybinių veterinarijos inspektorių pareigų vykdymas, veterinarijos gydytojų bei felčerių paslaugos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Oftalmologas, </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sz w:val="18"/>
                            <w:szCs w:val="18"/>
                          </w:rPr>
                        </w:pPr>
                        <w:r>
                          <w:rPr>
                            <w:sz w:val="18"/>
                            <w:szCs w:val="18"/>
                          </w:rPr>
                          <w:t>2. Aklumas H53.0</w:t>
                        </w:r>
                      </w:p>
                    </w:tc>
                  </w:tr>
                  <w:tr>
                    <w:trPr>
                      <w:cantSplit/>
                      <w:trHeight w:val="20"/>
                    </w:trPr>
                    <w:tc>
                      <w:tcPr>
                        <w:tcW w:w="2470" w:type="dxa"/>
                      </w:tcPr>
                      <w:p>
                        <w:pPr>
                          <w:rPr>
                            <w:sz w:val="18"/>
                            <w:szCs w:val="18"/>
                          </w:rPr>
                        </w:pPr>
                        <w:r>
                          <w:rPr>
                            <w:sz w:val="18"/>
                            <w:szCs w:val="18"/>
                          </w:rPr>
                          <w:t>21. Potencialiai pavojingų įrenginių montavimo darbai, potencialiai pavojingų įrenginių naudojimas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Regėjimo aštrumo ir regėjimo lauko tyrimas </w:t>
                        </w:r>
                      </w:p>
                      <w:p>
                        <w:pPr>
                          <w:rPr>
                            <w:sz w:val="18"/>
                            <w:szCs w:val="18"/>
                          </w:rPr>
                        </w:pPr>
                        <w:r>
                          <w:rPr>
                            <w:sz w:val="18"/>
                            <w:szCs w:val="18"/>
                          </w:rPr>
                          <w:t xml:space="preserve">vestibulinės funkcijos ištyrimas, esant indikacijų – audiograma </w:t>
                        </w:r>
                      </w:p>
                    </w:tc>
                    <w:tc>
                      <w:tcPr>
                        <w:tcW w:w="6548" w:type="dxa"/>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4. Vestibulinės funkcijos sutrikimai: H81; H82</w:t>
                        </w:r>
                      </w:p>
                      <w:p>
                        <w:pPr>
                          <w:rPr>
                            <w:sz w:val="18"/>
                            <w:szCs w:val="18"/>
                          </w:rPr>
                        </w:pPr>
                        <w:r>
                          <w:rPr>
                            <w:sz w:val="18"/>
                            <w:szCs w:val="18"/>
                          </w:rPr>
                          <w:t xml:space="preserve">5.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 </w:t>
                        </w:r>
                      </w:p>
                      <w:p>
                        <w:pPr>
                          <w:rPr>
                            <w:sz w:val="18"/>
                            <w:szCs w:val="18"/>
                          </w:rPr>
                        </w:pPr>
                        <w:r>
                          <w:rPr>
                            <w:sz w:val="18"/>
                            <w:szCs w:val="18"/>
                          </w:rPr>
                          <w:t>6. Epilepsija G40</w:t>
                        </w:r>
                      </w:p>
                    </w:tc>
                  </w:tr>
                  <w:tr>
                    <w:trPr>
                      <w:cantSplit/>
                      <w:trHeight w:val="20"/>
                    </w:trPr>
                    <w:tc>
                      <w:tcPr>
                        <w:tcW w:w="2470"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22. Inkasatorių, apsaugos darbuotojų, apsaugininkų, apsaugos vadovų ar budėtojų, saugančių pastatus, patalpas ar kitus objektus, darbas</w:t>
                        </w:r>
                      </w:p>
                    </w:tc>
                    <w:tc>
                      <w:tcPr>
                        <w:tcW w:w="1167"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1 kartą per 2 metus</w:t>
                        </w:r>
                      </w:p>
                    </w:tc>
                    <w:tc>
                      <w:tcPr>
                        <w:tcW w:w="1571" w:type="dxa"/>
                        <w:tcBorders>
                          <w:top w:val="single" w:sz="4" w:space="0" w:color="auto"/>
                        </w:tcBorders>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Šeimos medicinos paslaugas teikiantys gydytojai arba darbo medicinos gydytojas</w:t>
                        </w:r>
                      </w:p>
                    </w:tc>
                    <w:tc>
                      <w:tcPr>
                        <w:tcW w:w="1397" w:type="dxa"/>
                      </w:tcPr>
                      <w:p>
                        <w:pPr>
                          <w:rPr>
                            <w:sz w:val="18"/>
                            <w:szCs w:val="18"/>
                            <w:lang w:eastAsia="lt-LT"/>
                          </w:rPr>
                        </w:pPr>
                        <w:r>
                          <w:rPr>
                            <w:sz w:val="18"/>
                            <w:szCs w:val="18"/>
                            <w:lang w:eastAsia="lt-LT"/>
                          </w:rPr>
                          <w:t>Oftalmologas,</w:t>
                        </w:r>
                      </w:p>
                      <w:p>
                        <w:pPr>
                          <w:rPr>
                            <w:sz w:val="18"/>
                            <w:szCs w:val="18"/>
                            <w:lang w:eastAsia="lt-LT"/>
                          </w:rPr>
                        </w:pPr>
                        <w:r>
                          <w:rPr>
                            <w:sz w:val="18"/>
                            <w:szCs w:val="18"/>
                            <w:lang w:eastAsia="lt-LT"/>
                          </w:rPr>
                          <w:t>neurologas,</w:t>
                        </w:r>
                      </w:p>
                      <w:p>
                        <w:pPr>
                          <w:rPr>
                            <w:sz w:val="18"/>
                            <w:szCs w:val="18"/>
                            <w:lang w:eastAsia="lt-LT"/>
                          </w:rPr>
                        </w:pPr>
                        <w:r>
                          <w:rPr>
                            <w:sz w:val="18"/>
                            <w:szCs w:val="18"/>
                            <w:lang w:eastAsia="lt-LT"/>
                          </w:rPr>
                          <w:t>otorinolaringologas,</w:t>
                        </w:r>
                      </w:p>
                      <w:p>
                        <w:pPr>
                          <w:rPr>
                            <w:sz w:val="18"/>
                            <w:szCs w:val="18"/>
                            <w:lang w:eastAsia="lt-LT"/>
                          </w:rPr>
                        </w:pPr>
                        <w:r>
                          <w:rPr>
                            <w:sz w:val="18"/>
                            <w:szCs w:val="18"/>
                            <w:lang w:eastAsia="lt-LT"/>
                          </w:rPr>
                          <w:t xml:space="preserve">psichiatras, </w:t>
                        </w:r>
                      </w:p>
                      <w:p>
                        <w:pPr>
                          <w:rPr>
                            <w:sz w:val="18"/>
                            <w:szCs w:val="18"/>
                          </w:rPr>
                        </w:pPr>
                        <w:r>
                          <w:rPr>
                            <w:sz w:val="18"/>
                            <w:szCs w:val="18"/>
                            <w:lang w:eastAsia="lt-LT"/>
                          </w:rPr>
                          <w:t>esant indikacijų – kitų profesinių kvalifikacijų gydytojai</w:t>
                        </w:r>
                      </w:p>
                    </w:tc>
                    <w:tc>
                      <w:tcPr>
                        <w:tcW w:w="1587" w:type="dxa"/>
                        <w:gridSpan w:val="2"/>
                      </w:tcPr>
                      <w:p>
                        <w:pPr>
                          <w:rPr>
                            <w:sz w:val="18"/>
                            <w:szCs w:val="18"/>
                            <w:lang w:eastAsia="lt-LT"/>
                          </w:rPr>
                        </w:pPr>
                        <w:r>
                          <w:rPr>
                            <w:sz w:val="18"/>
                            <w:szCs w:val="18"/>
                            <w:lang w:eastAsia="lt-LT"/>
                          </w:rPr>
                          <w:t xml:space="preserve">Regėjimo aštrumo, refrakcijos, </w:t>
                        </w:r>
                      </w:p>
                      <w:p>
                        <w:pPr>
                          <w:rPr>
                            <w:sz w:val="18"/>
                            <w:szCs w:val="18"/>
                            <w:lang w:eastAsia="lt-LT"/>
                          </w:rPr>
                        </w:pPr>
                        <w:r>
                          <w:rPr>
                            <w:sz w:val="18"/>
                            <w:szCs w:val="18"/>
                            <w:lang w:eastAsia="lt-LT"/>
                          </w:rPr>
                          <w:t xml:space="preserve">vestibulinės funkcijos ištyrimas, </w:t>
                        </w:r>
                      </w:p>
                      <w:p>
                        <w:pPr>
                          <w:rPr>
                            <w:sz w:val="18"/>
                            <w:szCs w:val="18"/>
                          </w:rPr>
                        </w:pPr>
                        <w:r>
                          <w:rPr>
                            <w:sz w:val="18"/>
                            <w:szCs w:val="18"/>
                            <w:lang w:eastAsia="lt-LT"/>
                          </w:rPr>
                          <w:t>esant indikacijų – audiograma</w:t>
                        </w:r>
                      </w:p>
                    </w:tc>
                    <w:tc>
                      <w:tcPr>
                        <w:tcW w:w="6548" w:type="dxa"/>
                      </w:tcPr>
                      <w:p>
                        <w:pPr>
                          <w:rPr>
                            <w:sz w:val="18"/>
                            <w:szCs w:val="18"/>
                            <w:lang w:eastAsia="lt-LT"/>
                          </w:rPr>
                        </w:pPr>
                        <w:r>
                          <w:rPr>
                            <w:sz w:val="18"/>
                            <w:szCs w:val="18"/>
                            <w:lang w:eastAsia="lt-LT"/>
                          </w:rPr>
                          <w:t>1. Regėjimas su korekcija silpnesnis nei 0,8 viena ir 0,5 – kita akimi.</w:t>
                        </w:r>
                      </w:p>
                      <w:p>
                        <w:pPr>
                          <w:rPr>
                            <w:sz w:val="18"/>
                            <w:szCs w:val="18"/>
                            <w:lang w:eastAsia="lt-LT"/>
                          </w:rPr>
                        </w:pPr>
                        <w:r>
                          <w:rPr>
                            <w:sz w:val="18"/>
                            <w:szCs w:val="18"/>
                            <w:lang w:eastAsia="lt-LT"/>
                          </w:rPr>
                          <w:t>2. Refrakcijos anomalijos: trumparegiškumas</w:t>
                        </w:r>
                      </w:p>
                      <w:p>
                        <w:pPr>
                          <w:rPr>
                            <w:sz w:val="18"/>
                            <w:szCs w:val="18"/>
                            <w:lang w:eastAsia="lt-LT"/>
                          </w:rPr>
                        </w:pPr>
                        <w:r>
                          <w:rPr>
                            <w:sz w:val="18"/>
                            <w:szCs w:val="18"/>
                            <w:lang w:eastAsia="lt-LT"/>
                          </w:rPr>
                          <w:t>(daugiau kaip 4,0D), progresuojantis trumparegiškumas su pakitimais akių dugne, hipermetropija – daugiau kaip 4,0D, hipermetropinis astigmatizmas – daugiau kaip 1,0D, miopinis astigmatizmas – daugiau kaip 1D.</w:t>
                        </w:r>
                      </w:p>
                      <w:p>
                        <w:pPr>
                          <w:rPr>
                            <w:sz w:val="18"/>
                            <w:szCs w:val="18"/>
                            <w:lang w:eastAsia="lt-LT"/>
                          </w:rPr>
                        </w:pPr>
                        <w:r>
                          <w:rPr>
                            <w:sz w:val="18"/>
                            <w:szCs w:val="18"/>
                            <w:lang w:eastAsia="lt-LT"/>
                          </w:rPr>
                          <w:t>3. Vestibulinės funkcijos sutrikimai: H81; H82.</w:t>
                        </w:r>
                      </w:p>
                      <w:p>
                        <w:pPr>
                          <w:ind w:left="33" w:hanging="33"/>
                          <w:rPr>
                            <w:sz w:val="18"/>
                            <w:szCs w:val="18"/>
                            <w:lang w:eastAsia="lt-LT"/>
                          </w:rPr>
                        </w:pPr>
                        <w:r>
                          <w:rPr>
                            <w:sz w:val="18"/>
                            <w:szCs w:val="18"/>
                            <w:lang w:eastAsia="lt-LT"/>
                          </w:rPr>
                          <w:t>4.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lang w:eastAsia="lt-LT"/>
                          </w:rPr>
                        </w:pPr>
                        <w:r>
                          <w:rPr>
                            <w:sz w:val="18"/>
                            <w:szCs w:val="18"/>
                            <w:lang w:eastAsia="lt-LT"/>
                          </w:rPr>
                          <w:t>5. Galūnės, plaštakos, pėdos trūkumas.</w:t>
                        </w:r>
                      </w:p>
                      <w:p>
                        <w:pPr>
                          <w:rPr>
                            <w:sz w:val="18"/>
                            <w:szCs w:val="18"/>
                            <w:lang w:eastAsia="lt-LT"/>
                          </w:rPr>
                        </w:pPr>
                        <w:r>
                          <w:rPr>
                            <w:sz w:val="18"/>
                            <w:szCs w:val="18"/>
                            <w:lang w:eastAsia="lt-LT"/>
                          </w:rPr>
                          <w:t>6. Periferinių kraujagyslių ligos (obliteruojantis endarteritas, Raynaud sindromas, varikozinis venų išsiplėtimas ir kitos): I70-I73.0, I77.6, I83.0, I83.1, I83.2.</w:t>
                        </w:r>
                      </w:p>
                      <w:p>
                        <w:pPr>
                          <w:ind w:left="33" w:hanging="33"/>
                          <w:rPr>
                            <w:sz w:val="18"/>
                            <w:szCs w:val="18"/>
                            <w:lang w:eastAsia="lt-LT"/>
                          </w:rPr>
                        </w:pPr>
                        <w:r>
                          <w:rPr>
                            <w:sz w:val="18"/>
                            <w:szCs w:val="18"/>
                            <w:lang w:eastAsia="lt-LT"/>
                          </w:rPr>
                          <w:t>7. Lėtinės, dažnai paūmėjančios, odos ligos: L23-L24, L50, L53. Individualiu atveju dėl galimybės dirbti sprendžia gydytojas dermatovenerologas.</w:t>
                        </w:r>
                      </w:p>
                      <w:p>
                        <w:pPr>
                          <w:rPr>
                            <w:sz w:val="18"/>
                            <w:szCs w:val="18"/>
                            <w:lang w:eastAsia="lt-LT"/>
                          </w:rPr>
                        </w:pPr>
                        <w:r>
                          <w:rPr>
                            <w:sz w:val="18"/>
                            <w:szCs w:val="18"/>
                            <w:lang w:eastAsia="lt-LT"/>
                          </w:rPr>
                          <w:t>8. Epilepsija: G40.</w:t>
                        </w:r>
                      </w:p>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9. Alkoholizmas, narkomanija, toksikomanija: F10–F19. Individualiu atveju dėl galimybės dirbti sprendžia gydytojas psichiatras.</w:t>
                        </w:r>
                      </w:p>
                    </w:tc>
                  </w:tr>
                  <w:tr>
                    <w:trPr>
                      <w:cantSplit/>
                      <w:trHeight w:val="20"/>
                    </w:trPr>
                    <w:tc>
                      <w:tcPr>
                        <w:tcW w:w="2470" w:type="dxa"/>
                      </w:tcPr>
                      <w:p>
                        <w:pPr>
                          <w:rPr>
                            <w:strike/>
                            <w:sz w:val="18"/>
                            <w:szCs w:val="18"/>
                          </w:rPr>
                        </w:pPr>
                        <w:r>
                          <w:rPr>
                            <w:sz w:val="18"/>
                            <w:szCs w:val="18"/>
                          </w:rPr>
                          <w:t>23. Gaisrų gesinimas, gelbėjimo darbai pramoninių ir transporto avarijų vietose, gaivalinių nelaimių padarinių, cheminių ir radiacinių incidentų likvidavimas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kitų profesinių kvalifikacijų gydytojai</w:t>
                        </w:r>
                      </w:p>
                    </w:tc>
                    <w:tc>
                      <w:tcPr>
                        <w:tcW w:w="1587" w:type="dxa"/>
                        <w:gridSpan w:val="2"/>
                      </w:tcPr>
                      <w:p>
                        <w:pPr>
                          <w:ind w:left="-5" w:right="-108"/>
                          <w:rPr>
                            <w:sz w:val="18"/>
                            <w:szCs w:val="18"/>
                          </w:rPr>
                        </w:pPr>
                        <w:r>
                          <w:rPr>
                            <w:sz w:val="18"/>
                            <w:szCs w:val="18"/>
                          </w:rPr>
                          <w:t>Regėjimo aštrumo,</w:t>
                        </w:r>
                      </w:p>
                      <w:p>
                        <w:pPr>
                          <w:ind w:left="-5" w:right="-108"/>
                          <w:rPr>
                            <w:sz w:val="18"/>
                            <w:szCs w:val="18"/>
                          </w:rPr>
                        </w:pPr>
                        <w:r>
                          <w:rPr>
                            <w:sz w:val="18"/>
                            <w:szCs w:val="18"/>
                          </w:rPr>
                          <w:t>akipločio,</w:t>
                        </w:r>
                      </w:p>
                      <w:p>
                        <w:pPr>
                          <w:ind w:left="-5" w:right="-108"/>
                          <w:rPr>
                            <w:sz w:val="18"/>
                            <w:szCs w:val="18"/>
                          </w:rPr>
                        </w:pPr>
                        <w:r>
                          <w:rPr>
                            <w:sz w:val="18"/>
                            <w:szCs w:val="18"/>
                          </w:rPr>
                          <w:t xml:space="preserve">vestibulinės funkcijos ištyrimas, </w:t>
                        </w:r>
                      </w:p>
                      <w:p>
                        <w:pPr>
                          <w:ind w:left="-5" w:right="-108"/>
                          <w:rPr>
                            <w:sz w:val="18"/>
                            <w:szCs w:val="18"/>
                          </w:rPr>
                        </w:pPr>
                        <w:r>
                          <w:rPr>
                            <w:sz w:val="18"/>
                            <w:szCs w:val="18"/>
                          </w:rPr>
                          <w:t>KLR1,</w:t>
                        </w:r>
                      </w:p>
                      <w:p>
                        <w:pPr>
                          <w:ind w:left="-5" w:right="-108"/>
                          <w:rPr>
                            <w:sz w:val="18"/>
                            <w:szCs w:val="18"/>
                          </w:rPr>
                        </w:pPr>
                        <w:r>
                          <w:rPr>
                            <w:sz w:val="18"/>
                            <w:szCs w:val="18"/>
                          </w:rPr>
                          <w:t>EKG1,</w:t>
                        </w:r>
                      </w:p>
                      <w:p>
                        <w:pPr>
                          <w:ind w:left="-5" w:right="-108"/>
                          <w:rPr>
                            <w:sz w:val="18"/>
                            <w:szCs w:val="18"/>
                          </w:rPr>
                        </w:pPr>
                        <w:r>
                          <w:rPr>
                            <w:sz w:val="18"/>
                            <w:szCs w:val="18"/>
                          </w:rPr>
                          <w:t>esant indikacijų – audiograma</w:t>
                        </w:r>
                      </w:p>
                    </w:tc>
                    <w:tc>
                      <w:tcPr>
                        <w:tcW w:w="6548" w:type="dxa"/>
                      </w:tcPr>
                      <w:p>
                        <w:pPr>
                          <w:rPr>
                            <w:sz w:val="18"/>
                            <w:szCs w:val="18"/>
                          </w:rPr>
                        </w:pPr>
                        <w:r>
                          <w:rPr>
                            <w:sz w:val="18"/>
                            <w:szCs w:val="18"/>
                          </w:rPr>
                          <w:t>1. Regėjimo organų ligos:</w:t>
                        </w:r>
                      </w:p>
                      <w:p>
                        <w:pPr>
                          <w:rPr>
                            <w:sz w:val="18"/>
                            <w:szCs w:val="18"/>
                          </w:rPr>
                        </w:pPr>
                        <w:r>
                          <w:rPr>
                            <w:sz w:val="18"/>
                            <w:szCs w:val="18"/>
                          </w:rPr>
                          <w:t>1.1. Regėjimo aštrumo susilpnėjimas. Regėjimas silpnesnis kaip 0,8 viena ir 0,5 – kita akimi (be korekcijos)</w:t>
                        </w:r>
                      </w:p>
                      <w:p>
                        <w:pPr>
                          <w:rPr>
                            <w:sz w:val="18"/>
                            <w:szCs w:val="18"/>
                          </w:rPr>
                        </w:pPr>
                        <w:r>
                          <w:rPr>
                            <w:sz w:val="18"/>
                            <w:szCs w:val="18"/>
                          </w:rPr>
                          <w:t>1.2. Lėtinės ašarų takų, vokų ligos, organiniai vokų trūkumai H02, H04.2–H04.3</w:t>
                        </w:r>
                      </w:p>
                      <w:p>
                        <w:pPr>
                          <w:rPr>
                            <w:sz w:val="18"/>
                            <w:szCs w:val="18"/>
                          </w:rPr>
                        </w:pPr>
                        <w:r>
                          <w:rPr>
                            <w:sz w:val="18"/>
                            <w:szCs w:val="18"/>
                          </w:rPr>
                          <w:t>1.3. Akipločio defektai. Regėjimo lauko susiaurėjimas daugiau kaip 10</w:t>
                        </w:r>
                        <w:r>
                          <w:rPr>
                            <w:sz w:val="18"/>
                            <w:szCs w:val="18"/>
                            <w:vertAlign w:val="superscript"/>
                          </w:rPr>
                          <w:t xml:space="preserve">0  </w:t>
                        </w:r>
                        <w:r>
                          <w:rPr>
                            <w:sz w:val="18"/>
                            <w:szCs w:val="18"/>
                          </w:rPr>
                          <w:t>H53.4</w:t>
                        </w:r>
                      </w:p>
                      <w:p>
                        <w:pPr>
                          <w:rPr>
                            <w:sz w:val="18"/>
                            <w:szCs w:val="18"/>
                          </w:rPr>
                        </w:pPr>
                        <w:r>
                          <w:rPr>
                            <w:sz w:val="18"/>
                            <w:szCs w:val="18"/>
                          </w:rPr>
                          <w:t>2. Vestibulinės funkcijos sutrikimai H81; H82</w:t>
                        </w:r>
                      </w:p>
                      <w:p>
                        <w:pPr>
                          <w:rPr>
                            <w:sz w:val="18"/>
                            <w:szCs w:val="18"/>
                          </w:rPr>
                        </w:pPr>
                        <w:r>
                          <w:rPr>
                            <w:sz w:val="18"/>
                            <w:szCs w:val="18"/>
                          </w:rPr>
                          <w:t xml:space="preserve">3.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4. Lėtinės periferinės nervų sistemos ligos G62–G64 </w:t>
                        </w:r>
                      </w:p>
                      <w:p>
                        <w:pPr>
                          <w:rPr>
                            <w:sz w:val="18"/>
                            <w:szCs w:val="18"/>
                          </w:rPr>
                        </w:pPr>
                        <w:r>
                          <w:rPr>
                            <w:sz w:val="18"/>
                            <w:szCs w:val="18"/>
                          </w:rPr>
                          <w:t>5. Širdies ir kraujagyslių sistemos ligos (ir esant kompensacijai) I05–I09, I10–I15, I20–I28, I30–I52</w:t>
                        </w:r>
                      </w:p>
                      <w:p>
                        <w:pPr>
                          <w:rPr>
                            <w:sz w:val="18"/>
                            <w:szCs w:val="18"/>
                          </w:rPr>
                        </w:pPr>
                        <w:r>
                          <w:rPr>
                            <w:sz w:val="18"/>
                            <w:szCs w:val="18"/>
                          </w:rPr>
                          <w:t>6. Lėtinės kvėpavimo organų ligos su funkcijos sutrikimu J44–J47, J45, J96.1</w:t>
                        </w:r>
                      </w:p>
                      <w:p>
                        <w:pPr>
                          <w:rPr>
                            <w:sz w:val="18"/>
                            <w:szCs w:val="18"/>
                          </w:rPr>
                        </w:pPr>
                        <w:r>
                          <w:rPr>
                            <w:sz w:val="18"/>
                            <w:szCs w:val="18"/>
                          </w:rPr>
                          <w:t>7. Burnos ertmės ir dantų ligos, dantų nebuvimas, jeigu tai trukdo naudotis kvėpavimo aparatais, uždedamų protezų turėjimas, alveolinė piorėja, stomatitas, periodontitas, apatinio žandikaulio kontraktūra ir ankilozė, artritas K05.1, K05.3, K12</w:t>
                        </w:r>
                      </w:p>
                      <w:p>
                        <w:pPr>
                          <w:rPr>
                            <w:sz w:val="18"/>
                            <w:szCs w:val="18"/>
                          </w:rPr>
                        </w:pPr>
                        <w:r>
                          <w:rPr>
                            <w:sz w:val="18"/>
                            <w:szCs w:val="18"/>
                          </w:rPr>
                          <w:t>8. Krūtinės ląstos deformacija, trikdanti kvėpavimą ir apsunkinanti darbą su dujokauke</w:t>
                        </w:r>
                      </w:p>
                      <w:p>
                        <w:pPr>
                          <w:rPr>
                            <w:sz w:val="18"/>
                            <w:szCs w:val="18"/>
                          </w:rPr>
                        </w:pPr>
                        <w:r>
                          <w:rPr>
                            <w:sz w:val="18"/>
                            <w:szCs w:val="18"/>
                          </w:rPr>
                          <w:t>9. Gerybiniai navikai, trukdantys dirbti su dujokauke</w:t>
                        </w:r>
                      </w:p>
                      <w:p>
                        <w:pPr>
                          <w:rPr>
                            <w:sz w:val="18"/>
                            <w:szCs w:val="18"/>
                          </w:rPr>
                        </w:pPr>
                        <w:r>
                          <w:rPr>
                            <w:sz w:val="18"/>
                            <w:szCs w:val="18"/>
                          </w:rPr>
                          <w:t>10. Visų rūšių išvaržos K40–K46</w:t>
                        </w:r>
                      </w:p>
                      <w:p>
                        <w:pPr>
                          <w:rPr>
                            <w:sz w:val="18"/>
                            <w:szCs w:val="18"/>
                          </w:rPr>
                        </w:pPr>
                        <w:r>
                          <w:rPr>
                            <w:sz w:val="18"/>
                            <w:szCs w:val="18"/>
                          </w:rPr>
                          <w:t>11. Obliteruojantis endarteritas, kojų venų varikozinis išsiplėtimas, trofinės opos, tromboflebitas, hemorojus I70, I77.6, I83.0, I83.1, I83.2. I84</w:t>
                        </w:r>
                      </w:p>
                      <w:p>
                        <w:pPr>
                          <w:rPr>
                            <w:sz w:val="18"/>
                            <w:szCs w:val="18"/>
                          </w:rPr>
                        </w:pPr>
                        <w:r>
                          <w:rPr>
                            <w:sz w:val="18"/>
                            <w:szCs w:val="18"/>
                          </w:rPr>
                          <w:t>12. Nosies polipai, pertvaros iškrypimai, žymiai trikdantys kvėpavimą pro nosį J33; J34,2</w:t>
                        </w:r>
                      </w:p>
                      <w:p>
                        <w:pPr>
                          <w:rPr>
                            <w:sz w:val="18"/>
                            <w:szCs w:val="18"/>
                          </w:rPr>
                        </w:pPr>
                        <w:r>
                          <w:rPr>
                            <w:sz w:val="18"/>
                            <w:szCs w:val="18"/>
                          </w:rPr>
                          <w:t>13. Išplitę viršutinių kvėpavimo takų atrofiniai ar hipertrofiniai pakitimai J30; J31; J37; J38; J39</w:t>
                        </w:r>
                      </w:p>
                      <w:p>
                        <w:pPr>
                          <w:rPr>
                            <w:sz w:val="18"/>
                            <w:szCs w:val="18"/>
                          </w:rPr>
                        </w:pPr>
                        <w:r>
                          <w:rPr>
                            <w:sz w:val="18"/>
                            <w:szCs w:val="18"/>
                          </w:rPr>
                          <w:t>14. Cukrinis diabetas E10–E14</w:t>
                        </w:r>
                      </w:p>
                      <w:p>
                        <w:pPr>
                          <w:rPr>
                            <w:sz w:val="18"/>
                            <w:szCs w:val="18"/>
                          </w:rPr>
                        </w:pPr>
                        <w:r>
                          <w:rPr>
                            <w:sz w:val="18"/>
                            <w:szCs w:val="18"/>
                          </w:rPr>
                          <w:t>15. Epilepsija G40</w:t>
                        </w:r>
                      </w:p>
                    </w:tc>
                  </w:tr>
                  <w:tr>
                    <w:trPr>
                      <w:cantSplit/>
                      <w:trHeight w:val="20"/>
                    </w:trPr>
                    <w:tc>
                      <w:tcPr>
                        <w:tcW w:w="2470" w:type="dxa"/>
                      </w:tcPr>
                      <w:p>
                        <w:pPr>
                          <w:rPr>
                            <w:sz w:val="18"/>
                            <w:szCs w:val="18"/>
                          </w:rPr>
                        </w:pPr>
                        <w:r>
                          <w:rPr>
                            <w:sz w:val="18"/>
                            <w:szCs w:val="18"/>
                          </w:rPr>
                          <w:t>24. Savivaldybių seniūnijų, savivaldybių administracijos vaiko teisių apsaugos, socialinės paramos padalinių darbuotojų, socialinių paslaugų įstaigų socialinių darbuotojų, socialinių pedagogų, socialinių darbuotojų padėjėjų, dirbančių su socialinės rizikos šeimomis, socialinės rizikos asmenimis ar asmenimis, turinčiais psichinių sutrikimų, darbas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rPr>
                            <w:sz w:val="18"/>
                            <w:szCs w:val="18"/>
                          </w:rPr>
                        </w:pPr>
                        <w:r>
                          <w:rPr>
                            <w:sz w:val="18"/>
                            <w:szCs w:val="18"/>
                          </w:rPr>
                          <w:t>Tyrimai ir konsultacijos – atliekama vadovaujantis Darbuotojų, kuriems leidžiama dirbti tik iš anksto pasitikrinusiems ir vėliau periodiškai besitikrinantiems, ar neserga užkrečiamosiomis ligomis, sveikatos tikrinimosi tvarka, patvirtinta Lietuvos Respublikos Vyriausybės 2002 m. liepos 16 d. nutarimu Nr. 1145 „Dėl darbų ir veiklos sričių, kuriose leidžiama dirbti darbuotojams, tik iš anksto pasitikrinusiems ir vėliau periodiškai besitikrinantiems, ar neserga užkrečiamosiomis ligomis, sąrašo ir šių darbuotojų sveikatos tikrinimosi tvarkos patvirtinimo“ (Žin., 2002, Nr. 73-3127)</w:t>
                        </w:r>
                      </w:p>
                    </w:tc>
                  </w:tr>
                  <w:tr>
                    <w:trPr>
                      <w:cantSplit/>
                      <w:trHeight w:val="20"/>
                    </w:trPr>
                    <w:tc>
                      <w:tcPr>
                        <w:tcW w:w="2470" w:type="dxa"/>
                      </w:tcPr>
                      <w:p>
                        <w:pPr>
                          <w:rPr>
                            <w:sz w:val="18"/>
                            <w:szCs w:val="18"/>
                          </w:rPr>
                        </w:pPr>
                        <w:r>
                          <w:rPr>
                            <w:sz w:val="18"/>
                            <w:szCs w:val="18"/>
                          </w:rPr>
                          <w:t>25. Kiti darbai, atliekami pavojingų darbų atlikimo vietose (zonose), išskyrus nurodytus 22 punkte.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60" w:hanging="888"/>
                          <w:rPr>
                            <w:sz w:val="18"/>
                            <w:szCs w:val="18"/>
                          </w:rPr>
                        </w:pPr>
                        <w:r>
                          <w:rPr>
                            <w:sz w:val="18"/>
                            <w:szCs w:val="18"/>
                          </w:rPr>
                          <w:t>Pagal konkrečius profesines rizikos veiksnius</w:t>
                        </w:r>
                      </w:p>
                    </w:tc>
                  </w:tr>
                </w:tbl>
                <w:p>
                  <w:pPr>
                    <w:jc w:val="center"/>
                    <w:rPr>
                      <w:b/>
                      <w:sz w:val="20"/>
                    </w:rPr>
                  </w:pPr>
                </w:p>
                <w:p>
                  <w:pPr>
                    <w:jc w:val="center"/>
                    <w:rPr>
                      <w:b/>
                      <w:sz w:val="20"/>
                    </w:rPr>
                  </w:pPr>
                  <w:r>
                    <w:rPr>
                      <w:b/>
                      <w:sz w:val="20"/>
                    </w:rPr>
                    <w:t>_________________</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9506cda0e0df11e89acab3ff12d77081">
                    <w:r w:rsidRPr="00532B9F">
                      <w:rPr>
                        <w:rFonts w:ascii="Times New Roman" w:eastAsia="MS Mincho" w:hAnsi="Times New Roman"/>
                        <w:sz w:val="20"/>
                        <w:i/>
                        <w:iCs/>
                        <w:color w:val="0000FF" w:themeColor="hyperlink"/>
                        <w:u w:val="single"/>
                      </w:rPr>
                      <w:t>V-1210</w:t>
                    </w:r>
                  </w:fldSimple>
                  <w:r>
                    <w:rPr>
                      <w:rFonts w:ascii="Times New Roman" w:eastAsia="MS Mincho" w:hAnsi="Times New Roman"/>
                      <w:sz w:val="20"/>
                      <w:i/>
                      <w:iCs/>
                    </w:rPr>
                    <w:t>,
2018-11-02,
paskelbta TAR 2018-11-05, i. k. 2018-17813            </w:t>
                  </w:r>
                </w:p>
                <w:p/>
              </w:sdtContent>
            </w:sdt>
            <w:sdt>
              <w:sdtPr>
                <w:alias w:val="lentele"/>
                <w:tag w:val="part_c12415770c504feaa9af4b3be98e5e12"/>
                <w:lock w:val="sdtLocked"/>
                <w:richText/>
              </w:sdtPr>
              <w:sdtContent>
                <w:p>
                  <w:pPr>
                    <w:jc w:val="center"/>
                    <w:rPr>
                      <w:b/>
                      <w:sz w:val="20"/>
                    </w:rPr>
                  </w:pPr>
                </w:p>
                <w:p>
                  <w:pPr>
                    <w:jc w:val="center"/>
                    <w:rPr>
                      <w:b/>
                      <w:sz w:val="2"/>
                      <w:szCs w:val="2"/>
                    </w:rPr>
                  </w:pPr>
                  <w:r>
                    <w:rPr>
                      <w:b/>
                      <w:sz w:val="20"/>
                    </w:rPr>
                    <w:br w:type="page"/>
                  </w:r>
                </w:p>
                <w:p>
                  <w:pPr>
                    <w:jc w:val="right"/>
                    <w:rPr>
                      <w:sz w:val="20"/>
                    </w:rPr>
                  </w:pPr>
                  <w:r>
                    <w:rPr>
                      <w:sz w:val="20"/>
                    </w:rPr>
                    <w:t>2 lentelė</w:t>
                  </w:r>
                </w:p>
                <w:p>
                  <w:pPr>
                    <w:jc w:val="center"/>
                    <w:rPr>
                      <w:sz w:val="20"/>
                    </w:rPr>
                  </w:pPr>
                </w:p>
                <w:p>
                  <w:pPr>
                    <w:jc w:val="center"/>
                    <w:rPr>
                      <w:b/>
                      <w:sz w:val="20"/>
                    </w:rPr>
                  </w:pPr>
                  <w:r>
                    <w:rPr>
                      <w:b/>
                      <w:sz w:val="20"/>
                    </w:rPr>
                    <w:t xml:space="preserve">PRIVALOMŲ SVEIKATOS TIKRINIMŲ TVARKA PRIIMANT Į DARBĄ IR (AR) DIRBANT KENKSMINGŲ RIZIKOS VEIKSNIŲ POVEIKYJE </w:t>
                  </w:r>
                </w:p>
                <w:p>
                  <w:pPr>
                    <w:jc w:val="center"/>
                    <w:rPr>
                      <w:b/>
                      <w:sz w:val="20"/>
                    </w:rPr>
                  </w:pPr>
                  <w:r>
                    <w:rPr>
                      <w:b/>
                      <w:bCs/>
                      <w:sz w:val="20"/>
                    </w:rPr>
                    <w:t>(</w:t>
                  </w:r>
                  <w:r>
                    <w:rPr>
                      <w:b/>
                      <w:sz w:val="20"/>
                    </w:rPr>
                    <w:t>KAI KURIAIS ATVEJAIS – PAKEITUS DARBĄ AR DARBOVIETĘ)</w:t>
                  </w:r>
                </w:p>
                <w:p>
                  <w:pPr>
                    <w:jc w:val="center"/>
                    <w:rPr>
                      <w:b/>
                      <w:sz w:val="20"/>
                    </w:rPr>
                  </w:pPr>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9"/>
                    <w:gridCol w:w="1644"/>
                    <w:gridCol w:w="1402"/>
                    <w:gridCol w:w="1877"/>
                    <w:gridCol w:w="217"/>
                    <w:gridCol w:w="1948"/>
                    <w:gridCol w:w="2726"/>
                    <w:gridCol w:w="2437"/>
                  </w:tblGrid>
                  <w:tr>
                    <w:tc>
                      <w:tcPr>
                        <w:tcW w:w="2456" w:type="dxa"/>
                        <w:gridSpan w:val="2"/>
                        <w:vMerge w:val="restart"/>
                      </w:tcPr>
                      <w:p>
                        <w:pPr>
                          <w:jc w:val="center"/>
                          <w:rPr>
                            <w:strike/>
                            <w:sz w:val="18"/>
                            <w:szCs w:val="18"/>
                          </w:rPr>
                        </w:pPr>
                        <w:r>
                          <w:rPr>
                            <w:sz w:val="18"/>
                            <w:szCs w:val="18"/>
                          </w:rPr>
                          <w:t>Kenksmingi rizikos veiksniai ir medžiagos</w:t>
                        </w:r>
                      </w:p>
                    </w:tc>
                    <w:tc>
                      <w:tcPr>
                        <w:tcW w:w="1644" w:type="dxa"/>
                        <w:vMerge w:val="restart"/>
                      </w:tcPr>
                      <w:p>
                        <w:pPr>
                          <w:jc w:val="center"/>
                          <w:outlineLvl w:val="4"/>
                          <w:rPr>
                            <w:rFonts w:eastAsia="MS Mincho"/>
                            <w:bCs/>
                            <w:iCs/>
                            <w:sz w:val="18"/>
                            <w:szCs w:val="18"/>
                          </w:rPr>
                        </w:pPr>
                        <w:r>
                          <w:rPr>
                            <w:rFonts w:eastAsia="MS Mincho"/>
                            <w:bCs/>
                            <w:iCs/>
                            <w:sz w:val="18"/>
                            <w:szCs w:val="18"/>
                          </w:rPr>
                          <w:t>Darbo pobūdis</w:t>
                        </w:r>
                      </w:p>
                    </w:tc>
                    <w:tc>
                      <w:tcPr>
                        <w:tcW w:w="1402" w:type="dxa"/>
                        <w:vMerge w:val="restart"/>
                      </w:tcPr>
                      <w:p>
                        <w:pPr>
                          <w:jc w:val="center"/>
                          <w:rPr>
                            <w:sz w:val="18"/>
                            <w:szCs w:val="18"/>
                          </w:rPr>
                        </w:pPr>
                        <w:r>
                          <w:rPr>
                            <w:sz w:val="18"/>
                            <w:szCs w:val="18"/>
                          </w:rPr>
                          <w:t>Tikrinimų periodiškumas</w:t>
                        </w:r>
                      </w:p>
                    </w:tc>
                    <w:tc>
                      <w:tcPr>
                        <w:tcW w:w="4042" w:type="dxa"/>
                        <w:gridSpan w:val="3"/>
                      </w:tcPr>
                      <w:p>
                        <w:pPr>
                          <w:keepNext/>
                          <w:jc w:val="center"/>
                          <w:outlineLvl w:val="3"/>
                          <w:rPr>
                            <w:sz w:val="18"/>
                            <w:szCs w:val="18"/>
                          </w:rPr>
                        </w:pPr>
                        <w:r>
                          <w:rPr>
                            <w:sz w:val="18"/>
                            <w:szCs w:val="18"/>
                          </w:rPr>
                          <w:t>Sveikatos tikrintojai</w:t>
                        </w:r>
                      </w:p>
                    </w:tc>
                    <w:tc>
                      <w:tcPr>
                        <w:tcW w:w="2726" w:type="dxa"/>
                        <w:vMerge w:val="restart"/>
                      </w:tcPr>
                      <w:p>
                        <w:pPr>
                          <w:jc w:val="center"/>
                          <w:rPr>
                            <w:sz w:val="18"/>
                            <w:szCs w:val="18"/>
                          </w:rPr>
                        </w:pPr>
                        <w:r>
                          <w:rPr>
                            <w:sz w:val="18"/>
                            <w:szCs w:val="18"/>
                          </w:rPr>
                          <w:t>Privalomi tyrimai</w:t>
                        </w:r>
                      </w:p>
                    </w:tc>
                    <w:tc>
                      <w:tcPr>
                        <w:tcW w:w="2437" w:type="dxa"/>
                        <w:vMerge w:val="restart"/>
                      </w:tcPr>
                      <w:p>
                        <w:pPr>
                          <w:jc w:val="center"/>
                          <w:rPr>
                            <w:sz w:val="18"/>
                            <w:szCs w:val="18"/>
                          </w:rPr>
                        </w:pPr>
                        <w:r>
                          <w:rPr>
                            <w:sz w:val="18"/>
                            <w:szCs w:val="18"/>
                          </w:rPr>
                          <w:t>Papildomos kontraindikacijos</w:t>
                        </w:r>
                      </w:p>
                    </w:tc>
                  </w:tr>
                  <w:tr>
                    <w:tc>
                      <w:tcPr>
                        <w:tcW w:w="2456" w:type="dxa"/>
                        <w:gridSpan w:val="2"/>
                        <w:vMerge/>
                      </w:tcPr>
                      <w:p>
                        <w:pPr>
                          <w:rPr>
                            <w:sz w:val="18"/>
                            <w:szCs w:val="18"/>
                          </w:rPr>
                        </w:pPr>
                      </w:p>
                    </w:tc>
                    <w:tc>
                      <w:tcPr>
                        <w:tcW w:w="1644" w:type="dxa"/>
                        <w:vMerge/>
                      </w:tcPr>
                      <w:p>
                        <w:pPr>
                          <w:rPr>
                            <w:sz w:val="18"/>
                            <w:szCs w:val="18"/>
                          </w:rPr>
                        </w:pPr>
                      </w:p>
                    </w:tc>
                    <w:tc>
                      <w:tcPr>
                        <w:tcW w:w="1402" w:type="dxa"/>
                        <w:vMerge/>
                      </w:tcPr>
                      <w:p>
                        <w:pPr>
                          <w:jc w:val="center"/>
                          <w:rPr>
                            <w:sz w:val="18"/>
                            <w:szCs w:val="18"/>
                          </w:rPr>
                        </w:pPr>
                      </w:p>
                    </w:tc>
                    <w:tc>
                      <w:tcPr>
                        <w:tcW w:w="2094" w:type="dxa"/>
                        <w:gridSpan w:val="2"/>
                      </w:tcPr>
                      <w:p>
                        <w:pPr>
                          <w:jc w:val="center"/>
                          <w:rPr>
                            <w:sz w:val="18"/>
                            <w:szCs w:val="18"/>
                          </w:rPr>
                        </w:pPr>
                        <w:r>
                          <w:rPr>
                            <w:sz w:val="18"/>
                            <w:szCs w:val="18"/>
                          </w:rPr>
                          <w:t>Pirminio lygio</w:t>
                        </w:r>
                      </w:p>
                    </w:tc>
                    <w:tc>
                      <w:tcPr>
                        <w:tcW w:w="1948" w:type="dxa"/>
                      </w:tcPr>
                      <w:p>
                        <w:pPr>
                          <w:jc w:val="center"/>
                          <w:rPr>
                            <w:sz w:val="18"/>
                            <w:szCs w:val="18"/>
                          </w:rPr>
                        </w:pPr>
                        <w:r>
                          <w:rPr>
                            <w:sz w:val="18"/>
                            <w:szCs w:val="18"/>
                          </w:rPr>
                          <w:t>Antrinio lygio</w:t>
                        </w:r>
                      </w:p>
                    </w:tc>
                    <w:tc>
                      <w:tcPr>
                        <w:tcW w:w="2726" w:type="dxa"/>
                        <w:vMerge/>
                      </w:tcPr>
                      <w:p>
                        <w:pPr>
                          <w:rPr>
                            <w:sz w:val="18"/>
                            <w:szCs w:val="18"/>
                          </w:rPr>
                        </w:pPr>
                      </w:p>
                    </w:tc>
                    <w:tc>
                      <w:tcPr>
                        <w:tcW w:w="2437" w:type="dxa"/>
                        <w:vMerge/>
                      </w:tcPr>
                      <w:p>
                        <w:pPr>
                          <w:rPr>
                            <w:sz w:val="18"/>
                            <w:szCs w:val="18"/>
                          </w:rPr>
                        </w:pPr>
                      </w:p>
                    </w:tc>
                  </w:tr>
                  <w:tr>
                    <w:tc>
                      <w:tcPr>
                        <w:tcW w:w="2456" w:type="dxa"/>
                        <w:gridSpan w:val="2"/>
                      </w:tcPr>
                      <w:p>
                        <w:pPr>
                          <w:jc w:val="center"/>
                          <w:rPr>
                            <w:sz w:val="18"/>
                            <w:szCs w:val="18"/>
                          </w:rPr>
                        </w:pPr>
                        <w:r>
                          <w:rPr>
                            <w:sz w:val="18"/>
                            <w:szCs w:val="18"/>
                          </w:rPr>
                          <w:t>1</w:t>
                        </w:r>
                      </w:p>
                    </w:tc>
                    <w:tc>
                      <w:tcPr>
                        <w:tcW w:w="1644" w:type="dxa"/>
                      </w:tcPr>
                      <w:p>
                        <w:pPr>
                          <w:jc w:val="center"/>
                          <w:rPr>
                            <w:sz w:val="18"/>
                            <w:szCs w:val="18"/>
                          </w:rPr>
                        </w:pPr>
                        <w:r>
                          <w:rPr>
                            <w:sz w:val="18"/>
                            <w:szCs w:val="18"/>
                          </w:rPr>
                          <w:t>2</w:t>
                        </w:r>
                      </w:p>
                    </w:tc>
                    <w:tc>
                      <w:tcPr>
                        <w:tcW w:w="1402" w:type="dxa"/>
                      </w:tcPr>
                      <w:p>
                        <w:pPr>
                          <w:jc w:val="center"/>
                          <w:rPr>
                            <w:sz w:val="18"/>
                            <w:szCs w:val="18"/>
                          </w:rPr>
                        </w:pPr>
                        <w:r>
                          <w:rPr>
                            <w:sz w:val="18"/>
                            <w:szCs w:val="18"/>
                          </w:rPr>
                          <w:t>3</w:t>
                        </w:r>
                      </w:p>
                    </w:tc>
                    <w:tc>
                      <w:tcPr>
                        <w:tcW w:w="2094" w:type="dxa"/>
                        <w:gridSpan w:val="2"/>
                      </w:tcPr>
                      <w:p>
                        <w:pPr>
                          <w:jc w:val="center"/>
                          <w:rPr>
                            <w:sz w:val="18"/>
                            <w:szCs w:val="18"/>
                          </w:rPr>
                        </w:pPr>
                        <w:r>
                          <w:rPr>
                            <w:sz w:val="18"/>
                            <w:szCs w:val="18"/>
                          </w:rPr>
                          <w:t>4</w:t>
                        </w:r>
                      </w:p>
                    </w:tc>
                    <w:tc>
                      <w:tcPr>
                        <w:tcW w:w="1948" w:type="dxa"/>
                      </w:tcPr>
                      <w:p>
                        <w:pPr>
                          <w:jc w:val="center"/>
                          <w:rPr>
                            <w:sz w:val="18"/>
                            <w:szCs w:val="18"/>
                          </w:rPr>
                        </w:pPr>
                        <w:r>
                          <w:rPr>
                            <w:sz w:val="18"/>
                            <w:szCs w:val="18"/>
                          </w:rPr>
                          <w:t>5</w:t>
                        </w:r>
                      </w:p>
                    </w:tc>
                    <w:tc>
                      <w:tcPr>
                        <w:tcW w:w="2726" w:type="dxa"/>
                      </w:tcPr>
                      <w:p>
                        <w:pPr>
                          <w:jc w:val="center"/>
                          <w:rPr>
                            <w:sz w:val="18"/>
                            <w:szCs w:val="18"/>
                          </w:rPr>
                        </w:pPr>
                        <w:r>
                          <w:rPr>
                            <w:sz w:val="18"/>
                            <w:szCs w:val="18"/>
                          </w:rPr>
                          <w:t>6</w:t>
                        </w:r>
                      </w:p>
                    </w:tc>
                    <w:tc>
                      <w:tcPr>
                        <w:tcW w:w="2437" w:type="dxa"/>
                      </w:tcPr>
                      <w:p>
                        <w:pPr>
                          <w:jc w:val="center"/>
                          <w:rPr>
                            <w:sz w:val="18"/>
                            <w:szCs w:val="18"/>
                          </w:rPr>
                        </w:pPr>
                        <w:r>
                          <w:rPr>
                            <w:sz w:val="18"/>
                            <w:szCs w:val="18"/>
                          </w:rPr>
                          <w:t>7</w:t>
                        </w:r>
                      </w:p>
                    </w:tc>
                  </w:tr>
                  <w:tr>
                    <w:trPr>
                      <w:trHeight w:val="217"/>
                    </w:trPr>
                    <w:tc>
                      <w:tcPr>
                        <w:tcW w:w="14707" w:type="dxa"/>
                        <w:gridSpan w:val="9"/>
                      </w:tcPr>
                      <w:p>
                        <w:pPr>
                          <w:jc w:val="center"/>
                          <w:rPr>
                            <w:sz w:val="18"/>
                            <w:szCs w:val="18"/>
                          </w:rPr>
                        </w:pPr>
                        <w:r>
                          <w:rPr>
                            <w:sz w:val="18"/>
                            <w:szCs w:val="18"/>
                          </w:rPr>
                          <w:t>1. CHEMINIAI VEIKSNIAI</w:t>
                        </w:r>
                      </w:p>
                    </w:tc>
                  </w:tr>
                  <w:tr>
                    <w:trPr>
                      <w:trHeight w:val="907"/>
                    </w:trPr>
                    <w:tc>
                      <w:tcPr>
                        <w:tcW w:w="2447" w:type="dxa"/>
                        <w:vMerge w:val="restart"/>
                      </w:tcPr>
                      <w:p>
                        <w:pPr>
                          <w:rPr>
                            <w:sz w:val="18"/>
                            <w:szCs w:val="18"/>
                          </w:rPr>
                        </w:pPr>
                        <w:r>
                          <w:rPr>
                            <w:sz w:val="18"/>
                            <w:szCs w:val="18"/>
                          </w:rPr>
                          <w:t xml:space="preserve">1.1. Akrilonitrilas </w:t>
                        </w:r>
                      </w:p>
                      <w:p>
                        <w:pPr>
                          <w:rPr>
                            <w:sz w:val="18"/>
                            <w:szCs w:val="18"/>
                          </w:rPr>
                        </w:pPr>
                        <w:r>
                          <w:rPr>
                            <w:sz w:val="18"/>
                            <w:szCs w:val="18"/>
                          </w:rPr>
                          <w:t>(K, R, O) *</w:t>
                        </w:r>
                      </w:p>
                    </w:tc>
                    <w:tc>
                      <w:tcPr>
                        <w:tcW w:w="1653" w:type="dxa"/>
                        <w:gridSpan w:val="2"/>
                        <w:vMerge w:val="restart"/>
                      </w:tcPr>
                      <w:p>
                        <w:pPr>
                          <w:rPr>
                            <w:sz w:val="18"/>
                            <w:szCs w:val="18"/>
                          </w:rPr>
                        </w:pPr>
                        <w:r>
                          <w:rPr>
                            <w:sz w:val="18"/>
                            <w:szCs w:val="18"/>
                          </w:rPr>
                          <w:t>Naudojimas, procesai, susiję su akrilonitrilo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nefrologas, gastroenterologas, dermatovenerologas, pulmonologas, onkologas radioterapeutas, onkologas chemoterapeutas </w:t>
                        </w:r>
                      </w:p>
                    </w:tc>
                    <w:tc>
                      <w:tcPr>
                        <w:tcW w:w="2726" w:type="dxa"/>
                      </w:tcPr>
                      <w:p>
                        <w:pPr>
                          <w:rPr>
                            <w:sz w:val="18"/>
                            <w:szCs w:val="18"/>
                          </w:rPr>
                        </w:pPr>
                        <w:r>
                          <w:rPr>
                            <w:sz w:val="18"/>
                            <w:szCs w:val="18"/>
                          </w:rPr>
                          <w:t xml:space="preserve">Esant indikacijų – plaučių funkciniai mėginiai, šlapimo nuosėdų mikroskopija, forminių elementų kiekio nustatymas šlapime </w:t>
                        </w: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 xml:space="preserve">1.2. Alifatiniai aminai (etanolaminas, dietanolaminas, metilaminas ir kiti) </w:t>
                        </w:r>
                      </w:p>
                      <w:p>
                        <w:pPr>
                          <w:rPr>
                            <w:sz w:val="18"/>
                            <w:szCs w:val="18"/>
                          </w:rPr>
                        </w:pPr>
                        <w:r>
                          <w:rPr>
                            <w:sz w:val="18"/>
                            <w:szCs w:val="18"/>
                          </w:rPr>
                          <w:t>(O)</w:t>
                        </w:r>
                      </w:p>
                    </w:tc>
                    <w:tc>
                      <w:tcPr>
                        <w:tcW w:w="1653" w:type="dxa"/>
                        <w:gridSpan w:val="2"/>
                        <w:vMerge w:val="restart"/>
                      </w:tcPr>
                      <w:p>
                        <w:pPr>
                          <w:rPr>
                            <w:sz w:val="18"/>
                            <w:szCs w:val="18"/>
                          </w:rPr>
                        </w:pPr>
                        <w:r>
                          <w:rPr>
                            <w:sz w:val="18"/>
                            <w:szCs w:val="18"/>
                          </w:rPr>
                          <w:t>Naudojimas, procesai, susiję su alifatinių aminų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Otorinolaringologas, nefrologas, gastroenterologas, dermatovenerologas, pulmonologas</w:t>
                        </w:r>
                      </w:p>
                    </w:tc>
                    <w:tc>
                      <w:tcPr>
                        <w:tcW w:w="2726" w:type="dxa"/>
                      </w:tcPr>
                      <w:p>
                        <w:pPr>
                          <w:rPr>
                            <w:sz w:val="18"/>
                            <w:szCs w:val="18"/>
                          </w:rPr>
                        </w:pP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1.3. Alifatinių angliavandenilių halogeniniai dariniai (dichloretanas, anglies tetrachloridas, chloroformas) (O, K)</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 psichiatras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Galūnių polineuropatijos G60–G64</w:t>
                        </w:r>
                      </w:p>
                      <w:p>
                        <w:pPr>
                          <w:tabs>
                            <w:tab w:val="num" w:pos="316"/>
                          </w:tabs>
                          <w:rPr>
                            <w:sz w:val="18"/>
                            <w:szCs w:val="18"/>
                          </w:rPr>
                        </w:pPr>
                        <w:r>
                          <w:rPr>
                            <w:sz w:val="18"/>
                            <w:szCs w:val="18"/>
                          </w:rPr>
                          <w:t>2. Lėtinės kepenų ligos K70–K77</w:t>
                        </w:r>
                      </w:p>
                      <w:p>
                        <w:pPr>
                          <w:tabs>
                            <w:tab w:val="left" w:pos="405"/>
                          </w:tabs>
                          <w:rPr>
                            <w:sz w:val="18"/>
                            <w:szCs w:val="18"/>
                          </w:rPr>
                        </w:pPr>
                        <w:r>
                          <w:rPr>
                            <w:sz w:val="18"/>
                            <w:szCs w:val="18"/>
                          </w:rPr>
                          <w:t>3. Lėtinės obstrukcinės plaučių ligos J44–J47 J96.1</w:t>
                        </w:r>
                      </w:p>
                      <w:p>
                        <w:pPr>
                          <w:tabs>
                            <w:tab w:val="num" w:pos="316"/>
                          </w:tabs>
                          <w:rPr>
                            <w:sz w:val="18"/>
                            <w:szCs w:val="18"/>
                          </w:rPr>
                        </w:pPr>
                        <w:r>
                          <w:rPr>
                            <w:sz w:val="18"/>
                            <w:szCs w:val="18"/>
                          </w:rPr>
                          <w:t>4. Lėtinės priekinės akių ligos (vokų, junginės, ragenos) H00–H06, H10–H13, H15–H20</w:t>
                        </w:r>
                      </w:p>
                      <w:p>
                        <w:pPr>
                          <w:tabs>
                            <w:tab w:val="num" w:pos="316"/>
                          </w:tabs>
                          <w:rPr>
                            <w:sz w:val="18"/>
                            <w:szCs w:val="18"/>
                          </w:rPr>
                        </w:pPr>
                        <w:r>
                          <w:rPr>
                            <w:sz w:val="18"/>
                            <w:szCs w:val="18"/>
                          </w:rPr>
                          <w:t>5. Riebioji seborėja, odos folikulinio aparato ligos L00–L08, L10–L14, L21</w:t>
                        </w:r>
                      </w:p>
                      <w:p>
                        <w:pPr>
                          <w:tabs>
                            <w:tab w:val="num" w:pos="316"/>
                          </w:tabs>
                          <w:rPr>
                            <w:sz w:val="18"/>
                            <w:szCs w:val="18"/>
                          </w:rPr>
                        </w:pPr>
                        <w:r>
                          <w:rPr>
                            <w:sz w:val="18"/>
                            <w:szCs w:val="18"/>
                          </w:rPr>
                          <w:t>6. Toksikomanija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–oftalmologas,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 Anglies disulfidas</w:t>
                        </w:r>
                      </w:p>
                      <w:p>
                        <w:pPr>
                          <w:rPr>
                            <w:sz w:val="18"/>
                            <w:szCs w:val="18"/>
                          </w:rPr>
                        </w:pPr>
                        <w:r>
                          <w:rPr>
                            <w:sz w:val="18"/>
                            <w:szCs w:val="18"/>
                          </w:rPr>
                          <w:t>(K, R,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tabs>
                            <w:tab w:val="left" w:pos="286"/>
                          </w:tabs>
                          <w:rPr>
                            <w:sz w:val="18"/>
                            <w:szCs w:val="18"/>
                          </w:rPr>
                        </w:pPr>
                        <w:r>
                          <w:rPr>
                            <w:sz w:val="18"/>
                            <w:szCs w:val="18"/>
                          </w:rPr>
                          <w:t>1. Galūnių polineuropatijos G60–G64</w:t>
                        </w:r>
                      </w:p>
                      <w:p>
                        <w:pPr>
                          <w:tabs>
                            <w:tab w:val="left" w:pos="405"/>
                          </w:tabs>
                          <w:rPr>
                            <w:sz w:val="18"/>
                            <w:szCs w:val="18"/>
                          </w:rPr>
                        </w:pPr>
                        <w:r>
                          <w:rPr>
                            <w:sz w:val="18"/>
                            <w:szCs w:val="18"/>
                          </w:rPr>
                          <w:t xml:space="preserve">2. Lėtinės obstrukcinės plaučių ligos J44–J47 </w:t>
                        </w:r>
                      </w:p>
                      <w:p>
                        <w:pPr>
                          <w:tabs>
                            <w:tab w:val="left" w:pos="286"/>
                          </w:tabs>
                          <w:rPr>
                            <w:sz w:val="18"/>
                            <w:szCs w:val="18"/>
                          </w:rPr>
                        </w:pPr>
                        <w:r>
                          <w:rPr>
                            <w:sz w:val="18"/>
                            <w:szCs w:val="18"/>
                          </w:rPr>
                          <w:t>3. Astma J45</w:t>
                        </w:r>
                      </w:p>
                      <w:p>
                        <w:pPr>
                          <w:tabs>
                            <w:tab w:val="left" w:pos="286"/>
                          </w:tabs>
                          <w:rPr>
                            <w:sz w:val="18"/>
                            <w:szCs w:val="18"/>
                          </w:rPr>
                        </w:pPr>
                        <w:r>
                          <w:rPr>
                            <w:sz w:val="18"/>
                            <w:szCs w:val="18"/>
                          </w:rPr>
                          <w:t>4. Lėtinis kvėpavimo nepakankamumas I–II</w:t>
                          <w:sym w:font="Symbol" w:char="F0B0"/>
                          <w:t xml:space="preserve"> J96.1</w:t>
                        </w:r>
                      </w:p>
                      <w:p>
                        <w:pPr>
                          <w:tabs>
                            <w:tab w:val="left" w:pos="286"/>
                          </w:tabs>
                          <w:rPr>
                            <w:sz w:val="18"/>
                            <w:szCs w:val="18"/>
                          </w:rPr>
                        </w:pPr>
                        <w:r>
                          <w:rPr>
                            <w:sz w:val="18"/>
                            <w:szCs w:val="18"/>
                          </w:rPr>
                          <w:t>5. Lėtinės akių ligos (vokų, junginės, ragenos) H00–H06, H10–H13, H15–H20</w:t>
                        </w:r>
                      </w:p>
                      <w:p>
                        <w:pPr>
                          <w:tabs>
                            <w:tab w:val="left" w:pos="286"/>
                          </w:tabs>
                          <w:rPr>
                            <w:sz w:val="18"/>
                            <w:szCs w:val="18"/>
                          </w:rPr>
                        </w:pPr>
                        <w:r>
                          <w:rPr>
                            <w:sz w:val="18"/>
                            <w:szCs w:val="18"/>
                          </w:rPr>
                          <w:t>6. Lėtinės odos ligos L02, L08, L10–L14, L20–L30, L40, L50–L54</w:t>
                        </w:r>
                      </w:p>
                      <w:p>
                        <w:pPr>
                          <w:tabs>
                            <w:tab w:val="left" w:pos="286"/>
                          </w:tabs>
                          <w:rPr>
                            <w:sz w:val="18"/>
                            <w:szCs w:val="18"/>
                          </w:rPr>
                        </w:pPr>
                        <w:r>
                          <w:rPr>
                            <w:sz w:val="18"/>
                            <w:szCs w:val="18"/>
                          </w:rPr>
                          <w:t>7. Lėtinės kepenų ligos K70–K77</w:t>
                        </w:r>
                      </w:p>
                      <w:p>
                        <w:pPr>
                          <w:tabs>
                            <w:tab w:val="left" w:pos="286"/>
                          </w:tabs>
                          <w:rPr>
                            <w:sz w:val="18"/>
                            <w:szCs w:val="18"/>
                          </w:rPr>
                        </w:pPr>
                        <w:r>
                          <w:rPr>
                            <w:sz w:val="18"/>
                            <w:szCs w:val="18"/>
                          </w:rPr>
                          <w:t>8. Lėtinės inkstų ligos N00–N08, N10–N16, N17–N19, N20–N23</w:t>
                        </w:r>
                      </w:p>
                      <w:p>
                        <w:pPr>
                          <w:tabs>
                            <w:tab w:val="left" w:pos="286"/>
                          </w:tabs>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w:t>
                        </w:r>
                      </w:p>
                      <w:p>
                        <w:pPr>
                          <w:rPr>
                            <w:sz w:val="18"/>
                            <w:szCs w:val="18"/>
                          </w:rPr>
                        </w:pPr>
                        <w:r>
                          <w:rPr>
                            <w:sz w:val="18"/>
                            <w:szCs w:val="18"/>
                          </w:rPr>
                          <w:t>oftalmologas, pulmonologas, gastroenterologas, nefrologas,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 Aromatinių angliavandenilių halogeniniai dariniai (bifenilai, benzilchloridas, chlorbenzenas, </w:t>
                        </w:r>
                      </w:p>
                      <w:p>
                        <w:pPr>
                          <w:rPr>
                            <w:sz w:val="18"/>
                            <w:szCs w:val="18"/>
                          </w:rPr>
                        </w:pPr>
                        <w:r>
                          <w:rPr>
                            <w:sz w:val="18"/>
                            <w:szCs w:val="18"/>
                          </w:rPr>
                          <w:t>halogeniniai benzilai)</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hematologas, dermatovenerologas </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 Aromatinių angliavandenilių nitro dariniai (dinitrofenolis dinitrobenzenas, trinitrotoluenas)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 oftalmologas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Lėtinės kepenų ligos K70–K77</w:t>
                        </w:r>
                      </w:p>
                      <w:p>
                        <w:pPr>
                          <w:rPr>
                            <w:sz w:val="18"/>
                            <w:szCs w:val="18"/>
                          </w:rPr>
                        </w:pPr>
                        <w:r>
                          <w:rPr>
                            <w:sz w:val="18"/>
                            <w:szCs w:val="18"/>
                          </w:rPr>
                          <w:t>3. Katarakta (kontaktuojant su tolueno nitrojunginiais) H25–H26, H28</w:t>
                        </w:r>
                      </w:p>
                      <w:p>
                        <w:pPr>
                          <w:rPr>
                            <w:sz w:val="18"/>
                            <w:szCs w:val="18"/>
                          </w:rPr>
                        </w:pPr>
                        <w:r>
                          <w:rPr>
                            <w:sz w:val="18"/>
                            <w:szCs w:val="18"/>
                          </w:rPr>
                          <w:t>4. Priekinės akies dalies lėtinės ligos (vokų, junginės, ragenos, ašarų takų) H00–H06, H10–H13, H15–H20</w:t>
                        </w:r>
                      </w:p>
                      <w:p>
                        <w:pPr>
                          <w:rPr>
                            <w:sz w:val="18"/>
                            <w:szCs w:val="18"/>
                          </w:rPr>
                        </w:pPr>
                        <w:r>
                          <w:rPr>
                            <w:sz w:val="18"/>
                            <w:szCs w:val="18"/>
                          </w:rPr>
                          <w:t>5. Astma J45</w:t>
                        </w:r>
                      </w:p>
                      <w:p>
                        <w:pPr>
                          <w:rPr>
                            <w:sz w:val="18"/>
                            <w:szCs w:val="18"/>
                          </w:rPr>
                        </w:pPr>
                        <w:r>
                          <w:rPr>
                            <w:sz w:val="18"/>
                            <w:szCs w:val="18"/>
                          </w:rPr>
                          <w:t>6. Lėtinės uždegiminės šlapimo pūslės ligos (dirbant su anilino dažais) N30</w:t>
                        </w:r>
                      </w:p>
                      <w:p>
                        <w:pPr>
                          <w:rPr>
                            <w:sz w:val="18"/>
                            <w:szCs w:val="18"/>
                          </w:rPr>
                        </w:pPr>
                        <w:r>
                          <w:rPr>
                            <w:sz w:val="18"/>
                            <w:szCs w:val="18"/>
                          </w:rPr>
                          <w:t>7. Lėtinės inkstų ligos N00–N08, N10–N16, N17–N19, N20–N23</w:t>
                        </w:r>
                      </w:p>
                      <w:p>
                        <w:pPr>
                          <w:rPr>
                            <w:sz w:val="18"/>
                            <w:szCs w:val="18"/>
                          </w:rPr>
                        </w:pPr>
                        <w:r>
                          <w:rPr>
                            <w:sz w:val="18"/>
                            <w:szCs w:val="18"/>
                          </w:rPr>
                          <w:t>8. Lėtinės odos ligos L02, L08, L10–L14, L20–L30, L40, L50–L54</w:t>
                        </w:r>
                      </w:p>
                      <w:p>
                        <w:pPr>
                          <w:rPr>
                            <w:sz w:val="18"/>
                            <w:szCs w:val="18"/>
                          </w:rPr>
                        </w:pPr>
                        <w:r>
                          <w:rPr>
                            <w:sz w:val="18"/>
                            <w:szCs w:val="18"/>
                          </w:rPr>
                          <w:t>9. Toksikomanija, narkomanija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 gastroenterologas, nefrologas, urologas, dermatovenerologas, hematologas,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1.7. Aromatiniai aminai (benzidinas, fenilendiaminas dianizidinas, toluidinas, naftilaminai) (J)</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Lėtinės šlapimo takų ir inkstų ligos N00–N08, N10–N16, N17–N19, N20–N23, N25–N29</w:t>
                        </w:r>
                      </w:p>
                      <w:p>
                        <w:pPr>
                          <w:rPr>
                            <w:sz w:val="18"/>
                            <w:szCs w:val="18"/>
                          </w:rPr>
                        </w:pPr>
                        <w:r>
                          <w:rPr>
                            <w:sz w:val="18"/>
                            <w:szCs w:val="18"/>
                          </w:rPr>
                          <w:t>2. Lėtinės obstrukcinės plaučių ligos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p>
                        <w:pPr>
                          <w:rPr>
                            <w:sz w:val="18"/>
                            <w:szCs w:val="18"/>
                          </w:rPr>
                        </w:pPr>
                        <w:r>
                          <w:rPr>
                            <w:sz w:val="18"/>
                            <w:szCs w:val="18"/>
                          </w:rPr>
                          <w:t>6. Lėtinės odos ligos L02, L08, L10–L14, L20–L30, L40, L50–L54</w:t>
                        </w:r>
                      </w:p>
                      <w:p>
                        <w:pPr>
                          <w:rPr>
                            <w:sz w:val="18"/>
                            <w:szCs w:val="18"/>
                          </w:rPr>
                        </w:pPr>
                        <w:r>
                          <w:rPr>
                            <w:sz w:val="18"/>
                            <w:szCs w:val="18"/>
                          </w:rPr>
                          <w:t>7. Lėtinės kepenų ligos K70–K77</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–urologas, </w:t>
                        </w:r>
                      </w:p>
                      <w:p>
                        <w:pPr>
                          <w:rPr>
                            <w:sz w:val="18"/>
                            <w:szCs w:val="18"/>
                          </w:rPr>
                        </w:pPr>
                        <w:r>
                          <w:rPr>
                            <w:sz w:val="18"/>
                            <w:szCs w:val="18"/>
                          </w:rPr>
                          <w:t>nefrologas, hematologas, pulmonologas,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1.8. Asbestas ir (ar) asbesto turintys produktai:</w:t>
                        </w:r>
                      </w:p>
                      <w:p>
                        <w:pPr>
                          <w:tabs>
                            <w:tab w:val="left" w:pos="1080"/>
                          </w:tabs>
                          <w:rPr>
                            <w:sz w:val="18"/>
                            <w:szCs w:val="18"/>
                          </w:rPr>
                        </w:pPr>
                        <w:r>
                          <w:rPr>
                            <w:sz w:val="18"/>
                            <w:szCs w:val="18"/>
                          </w:rPr>
                          <w:t>Sąvoka „asbestas“ šiame įsakyme reiškia šiuos pluoštinius silikatus:</w:t>
                        </w:r>
                      </w:p>
                      <w:p>
                        <w:pPr>
                          <w:tabs>
                            <w:tab w:val="left" w:pos="1080"/>
                          </w:tabs>
                          <w:rPr>
                            <w:sz w:val="18"/>
                            <w:szCs w:val="18"/>
                          </w:rPr>
                        </w:pPr>
                        <w:r>
                          <w:rPr>
                            <w:sz w:val="18"/>
                            <w:szCs w:val="18"/>
                          </w:rPr>
                          <w:t>1.8.1. asbesto aktinolitas, CAS Nr. 77536-66-4 (*),</w:t>
                        </w:r>
                      </w:p>
                      <w:p>
                        <w:pPr>
                          <w:tabs>
                            <w:tab w:val="left" w:pos="1080"/>
                          </w:tabs>
                          <w:rPr>
                            <w:sz w:val="18"/>
                            <w:szCs w:val="18"/>
                          </w:rPr>
                        </w:pPr>
                        <w:r>
                          <w:rPr>
                            <w:sz w:val="18"/>
                            <w:szCs w:val="18"/>
                          </w:rPr>
                          <w:t>1.8.2. asbestas griuneritas (amozitas) CAS Nr. 12172-73-5 (*),</w:t>
                        </w:r>
                      </w:p>
                      <w:p>
                        <w:pPr>
                          <w:tabs>
                            <w:tab w:val="left" w:pos="1080"/>
                          </w:tabs>
                          <w:rPr>
                            <w:sz w:val="18"/>
                            <w:szCs w:val="18"/>
                          </w:rPr>
                        </w:pPr>
                        <w:r>
                          <w:rPr>
                            <w:sz w:val="18"/>
                            <w:szCs w:val="18"/>
                          </w:rPr>
                          <w:t>1.8.3. antofilitas, CAS Nr. 77536-67-5 (*),</w:t>
                        </w:r>
                      </w:p>
                      <w:p>
                        <w:pPr>
                          <w:tabs>
                            <w:tab w:val="left" w:pos="1080"/>
                          </w:tabs>
                          <w:rPr>
                            <w:sz w:val="18"/>
                            <w:szCs w:val="18"/>
                          </w:rPr>
                        </w:pPr>
                        <w:r>
                          <w:rPr>
                            <w:sz w:val="18"/>
                            <w:szCs w:val="18"/>
                          </w:rPr>
                          <w:t xml:space="preserve">1.8.4. chrizotilas, CAS Nr. 12001-29-5 (*), </w:t>
                        </w:r>
                      </w:p>
                      <w:p>
                        <w:pPr>
                          <w:tabs>
                            <w:tab w:val="left" w:pos="1080"/>
                          </w:tabs>
                          <w:rPr>
                            <w:sz w:val="18"/>
                            <w:szCs w:val="18"/>
                          </w:rPr>
                        </w:pPr>
                        <w:r>
                          <w:rPr>
                            <w:sz w:val="18"/>
                            <w:szCs w:val="18"/>
                          </w:rPr>
                          <w:t>1.8.5. krokidolitas, CAS Nr. 12001-28-4 (*),</w:t>
                        </w:r>
                      </w:p>
                      <w:p>
                        <w:pPr>
                          <w:tabs>
                            <w:tab w:val="left" w:pos="1080"/>
                          </w:tabs>
                          <w:rPr>
                            <w:sz w:val="18"/>
                            <w:szCs w:val="18"/>
                          </w:rPr>
                        </w:pPr>
                        <w:r>
                          <w:rPr>
                            <w:sz w:val="18"/>
                            <w:szCs w:val="18"/>
                          </w:rPr>
                          <w:t>1.8.6. tremolitas, CAS Nr. 77536-68-6 (*),</w:t>
                        </w:r>
                      </w:p>
                      <w:p>
                        <w:pPr>
                          <w:rPr>
                            <w:sz w:val="18"/>
                            <w:szCs w:val="18"/>
                          </w:rPr>
                        </w:pPr>
                        <w:r>
                          <w:rPr>
                            <w:sz w:val="18"/>
                            <w:szCs w:val="18"/>
                          </w:rPr>
                          <w:t>(*) Cheminių medžiagų santrumpų registravimo tarnybos (CAS) suteikiamas numeris</w:t>
                        </w:r>
                      </w:p>
                    </w:tc>
                    <w:tc>
                      <w:tcPr>
                        <w:tcW w:w="1653" w:type="dxa"/>
                        <w:gridSpan w:val="2"/>
                        <w:vMerge w:val="restart"/>
                      </w:tcPr>
                      <w:p>
                        <w:pPr>
                          <w:rPr>
                            <w:sz w:val="18"/>
                            <w:szCs w:val="18"/>
                          </w:rPr>
                        </w:pPr>
                        <w:r>
                          <w:rPr>
                            <w:sz w:val="18"/>
                            <w:szCs w:val="18"/>
                          </w:rPr>
                          <w:t>Procesai, susiję su asbesto plaušelių išsiskyrimu</w:t>
                        </w:r>
                      </w:p>
                    </w:tc>
                    <w:tc>
                      <w:tcPr>
                        <w:tcW w:w="1402" w:type="dxa"/>
                        <w:vMerge w:val="restart"/>
                      </w:tcPr>
                      <w:p>
                        <w:pPr>
                          <w:rPr>
                            <w:sz w:val="18"/>
                            <w:szCs w:val="18"/>
                          </w:rPr>
                        </w:pPr>
                        <w:r>
                          <w:rPr>
                            <w:sz w:val="18"/>
                            <w:szCs w:val="18"/>
                          </w:rPr>
                          <w:t xml:space="preserve">Ne rečiau kaip 1 kartą per 3 metus. </w:t>
                        </w:r>
                      </w:p>
                      <w:p>
                        <w:pPr>
                          <w:rPr>
                            <w:sz w:val="18"/>
                            <w:szCs w:val="18"/>
                          </w:rPr>
                        </w:pPr>
                        <w:r>
                          <w:rPr>
                            <w:sz w:val="18"/>
                            <w:szCs w:val="18"/>
                          </w:rPr>
                          <w:t>Nebedirbantiems su asbestu, bet galėjusiems patirti jo poveikį praeityje – 1 kartą per 5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pulmonologas</w:t>
                        </w:r>
                      </w:p>
                      <w:p>
                        <w:pPr>
                          <w:rPr>
                            <w:sz w:val="18"/>
                            <w:szCs w:val="18"/>
                          </w:rPr>
                        </w:pPr>
                        <w:r>
                          <w:rPr>
                            <w:sz w:val="18"/>
                            <w:szCs w:val="18"/>
                          </w:rPr>
                          <w:t>(privaloma)</w:t>
                        </w:r>
                      </w:p>
                    </w:tc>
                    <w:tc>
                      <w:tcPr>
                        <w:tcW w:w="2726" w:type="dxa"/>
                      </w:tcPr>
                      <w:p>
                        <w:pPr>
                          <w:rPr>
                            <w:sz w:val="18"/>
                            <w:szCs w:val="18"/>
                          </w:rPr>
                        </w:pPr>
                        <w:r>
                          <w:rPr>
                            <w:sz w:val="18"/>
                            <w:szCs w:val="18"/>
                          </w:rPr>
                          <w:t xml:space="preserve">Pokalbis su asmeniu, </w:t>
                        </w:r>
                      </w:p>
                      <w:p>
                        <w:pPr>
                          <w:rPr>
                            <w:sz w:val="18"/>
                            <w:szCs w:val="18"/>
                          </w:rPr>
                        </w:pPr>
                        <w:r>
                          <w:rPr>
                            <w:sz w:val="18"/>
                            <w:szCs w:val="18"/>
                          </w:rPr>
                          <w:t xml:space="preserve">kraujo tyrimas hematologiniu analizatoriumi (eritrocitai, hemoglobinas, leukocitai, trombocitai), ENG, šlapimo tyrimas  analizatoriumi, krūtinės ląstos klinikinis patikrinimas, IKFT </w:t>
                        </w:r>
                      </w:p>
                    </w:tc>
                    <w:tc>
                      <w:tcPr>
                        <w:tcW w:w="2437" w:type="dxa"/>
                        <w:vMerge w:val="restart"/>
                      </w:tcPr>
                      <w:p>
                        <w:pPr>
                          <w:rPr>
                            <w:sz w:val="18"/>
                            <w:szCs w:val="18"/>
                          </w:rPr>
                        </w:pPr>
                        <w:r>
                          <w:rPr>
                            <w:sz w:val="18"/>
                            <w:szCs w:val="18"/>
                          </w:rPr>
                          <w:t>1. Viršutinių kvėpavimo takų atrofiniai pakitimai. Nosies pertvaros iškrypimas, trukdantis kvėpuoti per nosį J30–J39, J34.2</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priekinės akių dalies ligos (vokų, junginės, ragenos, ašarų takų) H00–H06, H10–H13, H15–H20</w:t>
                        </w:r>
                      </w:p>
                      <w:p>
                        <w:pPr>
                          <w:rPr>
                            <w:sz w:val="18"/>
                            <w:szCs w:val="18"/>
                          </w:rPr>
                        </w:pPr>
                        <w:r>
                          <w:rPr>
                            <w:sz w:val="18"/>
                            <w:szCs w:val="18"/>
                          </w:rPr>
                          <w:t>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oftalmologas, dermatovenerologas, </w:t>
                        </w:r>
                      </w:p>
                      <w:p>
                        <w:pPr>
                          <w:rPr>
                            <w:sz w:val="18"/>
                            <w:szCs w:val="18"/>
                          </w:rPr>
                        </w:pPr>
                        <w:r>
                          <w:rPr>
                            <w:sz w:val="18"/>
                            <w:szCs w:val="18"/>
                          </w:rPr>
                          <w:t>pulmonologas,</w:t>
                        </w:r>
                      </w:p>
                      <w:p>
                        <w:pPr>
                          <w:rPr>
                            <w:sz w:val="18"/>
                            <w:szCs w:val="18"/>
                          </w:rPr>
                        </w:pPr>
                        <w:r>
                          <w:rPr>
                            <w:sz w:val="18"/>
                            <w:szCs w:val="18"/>
                          </w:rPr>
                          <w:t>onkologas radioterapeutas, onkologas chemoterapeutas</w:t>
                        </w:r>
                      </w:p>
                    </w:tc>
                    <w:tc>
                      <w:tcPr>
                        <w:tcW w:w="2726" w:type="dxa"/>
                      </w:tcPr>
                      <w:p>
                        <w:pPr>
                          <w:rPr>
                            <w:sz w:val="18"/>
                            <w:szCs w:val="18"/>
                          </w:rPr>
                        </w:pPr>
                        <w:r>
                          <w:rPr>
                            <w:sz w:val="18"/>
                            <w:szCs w:val="18"/>
                          </w:rPr>
                          <w:t>Esant indikacijų – skreplių citologinis tyrimas arba KLR arba tomodensitometrija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1.9. Arsenas: </w:t>
                        </w:r>
                      </w:p>
                      <w:p>
                        <w:pPr>
                          <w:rPr>
                            <w:sz w:val="18"/>
                            <w:szCs w:val="18"/>
                          </w:rPr>
                        </w:pPr>
                        <w:r>
                          <w:rPr>
                            <w:sz w:val="18"/>
                            <w:szCs w:val="18"/>
                          </w:rPr>
                          <w:t>1.9.1. neorganiniai junginiai (arseno hidridas, arseno sulfidas, arseno oksidas, arseno chloridas, arsenatai);</w:t>
                        </w:r>
                      </w:p>
                      <w:p>
                        <w:pPr>
                          <w:rPr>
                            <w:sz w:val="18"/>
                            <w:szCs w:val="18"/>
                          </w:rPr>
                        </w:pPr>
                        <w:r>
                          <w:rPr>
                            <w:sz w:val="18"/>
                            <w:szCs w:val="18"/>
                          </w:rPr>
                          <w:t>1.9.2. organiniai junginiai (arsenazai ir kt.) (K)</w:t>
                        </w:r>
                      </w:p>
                    </w:tc>
                    <w:tc>
                      <w:tcPr>
                        <w:tcW w:w="1653" w:type="dxa"/>
                        <w:gridSpan w:val="2"/>
                        <w:vMerge w:val="restart"/>
                      </w:tcPr>
                      <w:p>
                        <w:pPr>
                          <w:rPr>
                            <w:sz w:val="18"/>
                            <w:szCs w:val="18"/>
                          </w:rPr>
                        </w:pPr>
                        <w:r>
                          <w:rPr>
                            <w:sz w:val="18"/>
                            <w:szCs w:val="18"/>
                          </w:rPr>
                          <w:t>Naudojimas; procesai, susiję su jo išsiskyrimu</w:t>
                        </w:r>
                      </w:p>
                    </w:tc>
                    <w:tc>
                      <w:tcPr>
                        <w:tcW w:w="1402" w:type="dxa"/>
                        <w:vMerge w:val="restart"/>
                      </w:tcPr>
                      <w:p>
                        <w:pPr>
                          <w:rPr>
                            <w:sz w:val="18"/>
                            <w:szCs w:val="18"/>
                          </w:rPr>
                        </w:pPr>
                        <w:r>
                          <w:rPr>
                            <w:sz w:val="18"/>
                            <w:szCs w:val="18"/>
                          </w:rPr>
                          <w:t>1 kartą per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Galūnių polineuropatijos G60–G64</w:t>
                        </w:r>
                      </w:p>
                      <w:p>
                        <w:pPr>
                          <w:rPr>
                            <w:sz w:val="18"/>
                            <w:szCs w:val="18"/>
                          </w:rPr>
                        </w:pPr>
                        <w:r>
                          <w:rPr>
                            <w:sz w:val="18"/>
                            <w:szCs w:val="18"/>
                          </w:rPr>
                          <w:t>6. Lėtinės odos ligos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Lėtinės inkstų ir šlapimo pūslės ligos  N00–N08, N10–N16, N17–N19, N20–N23,  N30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w:t>
                        </w:r>
                      </w:p>
                      <w:p>
                        <w:pPr>
                          <w:rPr>
                            <w:sz w:val="18"/>
                            <w:szCs w:val="18"/>
                          </w:rPr>
                        </w:pPr>
                        <w:r>
                          <w:rPr>
                            <w:sz w:val="18"/>
                            <w:szCs w:val="18"/>
                          </w:rPr>
                          <w:t>otorinolaringologas, onkologas radioterapeutas, onkologas chemoterapeutas, pulmonologas, dermatovenerologas, gastroenterologas</w:t>
                        </w:r>
                      </w:p>
                    </w:tc>
                    <w:tc>
                      <w:tcPr>
                        <w:tcW w:w="2726"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 xml:space="preserve">1.10. Azodažikliai </w:t>
                        </w:r>
                      </w:p>
                      <w:p>
                        <w:pPr>
                          <w:rPr>
                            <w:sz w:val="18"/>
                            <w:szCs w:val="18"/>
                          </w:rPr>
                        </w:pPr>
                        <w:r>
                          <w:rPr>
                            <w:sz w:val="18"/>
                            <w:szCs w:val="18"/>
                          </w:rPr>
                          <w:t>(antrachinoniniai, ftalocianiliniai)</w:t>
                        </w:r>
                      </w:p>
                    </w:tc>
                    <w:tc>
                      <w:tcPr>
                        <w:tcW w:w="1653" w:type="dxa"/>
                        <w:gridSpan w:val="2"/>
                        <w:vMerge w:val="restart"/>
                      </w:tcPr>
                      <w:p>
                        <w:pPr>
                          <w:rPr>
                            <w:sz w:val="18"/>
                            <w:szCs w:val="18"/>
                          </w:rPr>
                        </w:pPr>
                        <w:r>
                          <w:rPr>
                            <w:sz w:val="18"/>
                            <w:szCs w:val="18"/>
                          </w:rPr>
                          <w:t xml:space="preserve">Naudojimas </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odos ligos L02, L08, L10–L14, L20–L30, L40, L50–L54</w:t>
                        </w:r>
                      </w:p>
                      <w:p>
                        <w:pPr>
                          <w:tabs>
                            <w:tab w:val="num" w:pos="286"/>
                          </w:tabs>
                          <w:rPr>
                            <w:sz w:val="18"/>
                            <w:szCs w:val="18"/>
                          </w:rPr>
                        </w:pPr>
                        <w:r>
                          <w:rPr>
                            <w:sz w:val="18"/>
                            <w:szCs w:val="18"/>
                          </w:rPr>
                          <w:t xml:space="preserve">2. Lėtinės kepenų ligos  K70–K77 </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gastroenterologas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1.11. Azoto rūgštis, amoniakas, azoto oksidai (Ū)</w:t>
                        </w:r>
                      </w:p>
                    </w:tc>
                    <w:tc>
                      <w:tcPr>
                        <w:tcW w:w="1653" w:type="dxa"/>
                        <w:gridSpan w:val="2"/>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1.12. Baris ir jo junginiai (bario karbonatas, bario hidrofosfatas, bario feritas)</w:t>
                        </w:r>
                      </w:p>
                    </w:tc>
                    <w:tc>
                      <w:tcPr>
                        <w:tcW w:w="1653" w:type="dxa"/>
                        <w:gridSpan w:val="2"/>
                        <w:vMerge w:val="restart"/>
                      </w:tcPr>
                      <w:p>
                        <w:pPr>
                          <w:rPr>
                            <w:sz w:val="18"/>
                            <w:szCs w:val="18"/>
                          </w:rPr>
                        </w:pPr>
                        <w:r>
                          <w:rPr>
                            <w:sz w:val="18"/>
                            <w:szCs w:val="18"/>
                          </w:rPr>
                          <w:t>Tirpių ir netirpių bario junginių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EKG</w:t>
                        </w:r>
                      </w:p>
                    </w:tc>
                    <w:tc>
                      <w:tcPr>
                        <w:tcW w:w="2437" w:type="dxa"/>
                        <w:vMerge w:val="restart"/>
                      </w:tcPr>
                      <w:p>
                        <w:pPr>
                          <w:tabs>
                            <w:tab w:val="left" w:pos="286"/>
                          </w:tabs>
                          <w:rPr>
                            <w:sz w:val="18"/>
                            <w:szCs w:val="18"/>
                          </w:rPr>
                        </w:pPr>
                        <w:r>
                          <w:rPr>
                            <w:sz w:val="18"/>
                            <w:szCs w:val="18"/>
                          </w:rPr>
                          <w:t>1. Lėtinės obstrukcinės plaučių ligos J44–J47</w:t>
                        </w:r>
                      </w:p>
                      <w:p>
                        <w:pPr>
                          <w:tabs>
                            <w:tab w:val="left" w:pos="286"/>
                          </w:tabs>
                          <w:rPr>
                            <w:sz w:val="18"/>
                            <w:szCs w:val="18"/>
                          </w:rPr>
                        </w:pPr>
                        <w:r>
                          <w:rPr>
                            <w:sz w:val="18"/>
                            <w:szCs w:val="18"/>
                          </w:rPr>
                          <w:t xml:space="preserve">2. Astma J45 </w:t>
                        </w:r>
                      </w:p>
                      <w:p>
                        <w:pPr>
                          <w:tabs>
                            <w:tab w:val="left" w:pos="286"/>
                          </w:tabs>
                          <w:rPr>
                            <w:sz w:val="18"/>
                            <w:szCs w:val="18"/>
                          </w:rPr>
                        </w:pPr>
                        <w:r>
                          <w:rPr>
                            <w:sz w:val="18"/>
                            <w:szCs w:val="18"/>
                          </w:rPr>
                          <w:t>3. Lėtinis kvėpavimo nepakankamumas I–II</w:t>
                          <w:sym w:font="Symbol" w:char="F0B0"/>
                          <w:t xml:space="preserve"> J96.1</w:t>
                        </w:r>
                      </w:p>
                      <w:p>
                        <w:pPr>
                          <w:tabs>
                            <w:tab w:val="left" w:pos="286"/>
                          </w:tabs>
                          <w:rPr>
                            <w:sz w:val="18"/>
                            <w:szCs w:val="18"/>
                          </w:rPr>
                        </w:pPr>
                        <w:r>
                          <w:rPr>
                            <w:sz w:val="18"/>
                            <w:szCs w:val="18"/>
                          </w:rPr>
                          <w:t>4. Širdies ritmo sutrikimai I47–I49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–pulmonologas, kardiologas</w:t>
                        </w:r>
                      </w:p>
                    </w:tc>
                    <w:tc>
                      <w:tcPr>
                        <w:tcW w:w="2726" w:type="dxa"/>
                      </w:tcPr>
                      <w:p>
                        <w:pPr>
                          <w:rPr>
                            <w:sz w:val="18"/>
                            <w:szCs w:val="18"/>
                          </w:rPr>
                        </w:pPr>
                        <w:r>
                          <w:rPr>
                            <w:sz w:val="18"/>
                            <w:szCs w:val="18"/>
                          </w:rPr>
                          <w:t>Esant indikacijų –kalis, natris, cholesterolis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1.13. Benzenas </w:t>
                        </w:r>
                      </w:p>
                      <w:p>
                        <w:pPr>
                          <w:rPr>
                            <w:sz w:val="18"/>
                            <w:szCs w:val="18"/>
                          </w:rPr>
                        </w:pPr>
                        <w:r>
                          <w:rPr>
                            <w:sz w:val="18"/>
                            <w:szCs w:val="18"/>
                          </w:rPr>
                          <w:t>(K, O) ir jo homologai (ksilenas, toluenas, stirenas, izopropilbenzenas)</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Hematologas,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leukograma, ENG, šlapimo tyrimas analizatoriumi, </w:t>
                        </w:r>
                      </w:p>
                    </w:tc>
                    <w:tc>
                      <w:tcPr>
                        <w:tcW w:w="2437" w:type="dxa"/>
                        <w:vMerge w:val="restart"/>
                      </w:tcPr>
                      <w:p>
                        <w:pPr>
                          <w:rPr>
                            <w:sz w:val="18"/>
                            <w:szCs w:val="18"/>
                          </w:rPr>
                        </w:pPr>
                        <w:r>
                          <w:rPr>
                            <w:sz w:val="18"/>
                            <w:szCs w:val="18"/>
                          </w:rPr>
                          <w:t xml:space="preserve">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1.14. 1,2-benzendikarboksirūgštis (ftalio rūgštis, ftalio rūgšties anhidridas (Ū, J)</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1.15. Berilis ir jo junginiai (berilio oksidas, berilio sulfatas, berilio nitratas, berilio chloridas)</w:t>
                        </w:r>
                      </w:p>
                      <w:p>
                        <w:pPr>
                          <w:rPr>
                            <w:sz w:val="18"/>
                            <w:szCs w:val="18"/>
                          </w:rPr>
                        </w:pPr>
                        <w:r>
                          <w:rPr>
                            <w:sz w:val="18"/>
                            <w:szCs w:val="18"/>
                          </w:rPr>
                          <w:t>(J, K)</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p>
                        <w:pPr>
                          <w:rPr>
                            <w:sz w:val="18"/>
                            <w:szCs w:val="18"/>
                          </w:rPr>
                        </w:pPr>
                        <w:r>
                          <w:rPr>
                            <w:sz w:val="18"/>
                            <w:szCs w:val="18"/>
                          </w:rPr>
                          <w:t>5. Viršutinių kvėpavimo takų atrofiniai pakitimai. Hipertrofinis laringitas J30–J31, J37–J39</w:t>
                        </w:r>
                      </w:p>
                      <w:p>
                        <w:pPr>
                          <w:rPr>
                            <w:sz w:val="18"/>
                            <w:szCs w:val="18"/>
                          </w:rPr>
                        </w:pPr>
                        <w:r>
                          <w:rPr>
                            <w:sz w:val="18"/>
                            <w:szCs w:val="18"/>
                          </w:rPr>
                          <w:t>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w:t>
                        </w:r>
                      </w:p>
                      <w:p>
                        <w:pPr>
                          <w:rPr>
                            <w:sz w:val="18"/>
                            <w:szCs w:val="18"/>
                          </w:rPr>
                        </w:pPr>
                        <w:r>
                          <w:rPr>
                            <w:sz w:val="18"/>
                            <w:szCs w:val="18"/>
                          </w:rPr>
                          <w:t>oftalmologas – dirbant su tirpiais berilio junginiais,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1.16. Bromas ir jo junginiai (brombenzenas</w:t>
                        </w:r>
                      </w:p>
                      <w:p>
                        <w:pPr>
                          <w:rPr>
                            <w:sz w:val="18"/>
                            <w:szCs w:val="18"/>
                          </w:rPr>
                        </w:pPr>
                        <w:r>
                          <w:rPr>
                            <w:sz w:val="18"/>
                            <w:szCs w:val="18"/>
                          </w:rPr>
                          <w:t>bromfenolis ir kt.)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odos ligos L02, L08, L10–L14, L20–L30, L40, L50–L54</w:t>
                        </w:r>
                      </w:p>
                      <w:p>
                        <w:pPr>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 dermatovenerologas,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1.17. Chloras ir jo junginiai (chloro vandenilis), chloro turintys mišiniai (chlorbutanas, chlorfenolis ir jo druskos ir kt.)</w:t>
                        </w:r>
                      </w:p>
                      <w:p>
                        <w:pPr>
                          <w:rPr>
                            <w:sz w:val="18"/>
                            <w:szCs w:val="18"/>
                          </w:rPr>
                        </w:pPr>
                        <w:r>
                          <w:rPr>
                            <w:sz w:val="18"/>
                            <w:szCs w:val="18"/>
                          </w:rPr>
                          <w:t>(Ū)</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dermatovenerologas</w:t>
                        </w:r>
                      </w:p>
                    </w:tc>
                    <w:tc>
                      <w:tcPr>
                        <w:tcW w:w="2726"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1.18. Chromas,</w:t>
                        </w:r>
                      </w:p>
                      <w:p>
                        <w:pPr>
                          <w:rPr>
                            <w:sz w:val="18"/>
                            <w:szCs w:val="18"/>
                          </w:rPr>
                        </w:pPr>
                        <w:r>
                          <w:rPr>
                            <w:sz w:val="18"/>
                            <w:szCs w:val="18"/>
                          </w:rPr>
                          <w:t>chromo rūgštis (J, K), jų junginiai ir lydiniai</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iškrypimai ir nosies kvėpavimo funkcijos sutrikimas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onkologas radioterapeutas, onkologas chemoterapeutas, hematologas, dermatovenerologas</w:t>
                        </w:r>
                      </w:p>
                    </w:tc>
                    <w:tc>
                      <w:tcPr>
                        <w:tcW w:w="2726"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1.19. Ciano vandenilio rūgštis ir jos junginiai, cianamidai ir kt. (Ū, O)</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 xml:space="preserve">Neurologas </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p>
                        <w:pPr>
                          <w:rPr>
                            <w:sz w:val="18"/>
                            <w:szCs w:val="18"/>
                          </w:rPr>
                        </w:pPr>
                        <w:r>
                          <w:rPr>
                            <w:sz w:val="18"/>
                            <w:szCs w:val="18"/>
                          </w:rPr>
                          <w:t>5. CNS ligos G00–G09, G10–G13, G30–G32</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1.20. Dibutilftalatas (R)</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3,4-dichloroanilinas (O, J)</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Diizodecilftalatas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1.22. Diizononilftalatas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cantSplit/>
                    </w:trPr>
                    <w:tc>
                      <w:tcPr>
                        <w:tcW w:w="2447" w:type="dxa"/>
                        <w:vMerge w:val="restart"/>
                      </w:tcPr>
                      <w:p>
                        <w:pPr>
                          <w:rPr>
                            <w:sz w:val="18"/>
                            <w:szCs w:val="18"/>
                          </w:rPr>
                        </w:pPr>
                        <w:r>
                          <w:rPr>
                            <w:sz w:val="18"/>
                            <w:szCs w:val="18"/>
                          </w:rPr>
                          <w:t>1.23. Dimetilformamidas, dietilacetamidas ir kt. riebiųjų rūgščių amidai (R,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Neurologas,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odos ligos  L02, L08, L10–L14, L20–L30, L40, L50–L54</w:t>
                        </w:r>
                      </w:p>
                      <w:p>
                        <w:pPr>
                          <w:rPr>
                            <w:sz w:val="18"/>
                            <w:szCs w:val="18"/>
                          </w:rPr>
                        </w:pPr>
                        <w:r>
                          <w:rPr>
                            <w:sz w:val="18"/>
                            <w:szCs w:val="18"/>
                          </w:rPr>
                          <w:t xml:space="preserve">3. Lėtinės kepenų ligos  K70–K77 </w:t>
                        </w:r>
                      </w:p>
                      <w:p>
                        <w:pPr>
                          <w:rPr>
                            <w:sz w:val="18"/>
                            <w:szCs w:val="18"/>
                          </w:rPr>
                        </w:pPr>
                        <w:r>
                          <w:rPr>
                            <w:sz w:val="18"/>
                            <w:szCs w:val="18"/>
                          </w:rPr>
                          <w:t>4. Psichikos ligos F00–F09, F20–F29, F70–F79, F80–F89, F99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1.24. Dirbtinis ir sintetinis pluoštas (J)</w:t>
                        </w:r>
                      </w:p>
                    </w:tc>
                    <w:tc>
                      <w:tcPr>
                        <w:tcW w:w="1653" w:type="dxa"/>
                        <w:gridSpan w:val="2"/>
                        <w:vMerge w:val="restart"/>
                      </w:tcPr>
                      <w:p>
                        <w:pPr>
                          <w:rPr>
                            <w:sz w:val="18"/>
                            <w:szCs w:val="18"/>
                          </w:rPr>
                        </w:pPr>
                        <w:r>
                          <w:rPr>
                            <w:sz w:val="18"/>
                            <w:szCs w:val="18"/>
                          </w:rPr>
                          <w:t>Gamyba, perdirbimas,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neurologas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1.25. Di-C</w:t>
                        </w:r>
                        <w:r>
                          <w:rPr>
                            <w:sz w:val="18"/>
                            <w:szCs w:val="18"/>
                            <w:vertAlign w:val="subscript"/>
                          </w:rPr>
                          <w:t>9–11</w:t>
                        </w:r>
                        <w:r>
                          <w:rPr>
                            <w:sz w:val="18"/>
                            <w:szCs w:val="18"/>
                          </w:rPr>
                          <w:t xml:space="preserve"> šakotieji alkilesteriai, turintys daug C</w:t>
                        </w:r>
                        <w:r>
                          <w:rPr>
                            <w:sz w:val="18"/>
                            <w:szCs w:val="18"/>
                            <w:vertAlign w:val="subscript"/>
                          </w:rPr>
                          <w:t>10</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 </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1.26. Di-C</w:t>
                        </w:r>
                        <w:r>
                          <w:rPr>
                            <w:sz w:val="18"/>
                            <w:szCs w:val="18"/>
                            <w:vertAlign w:val="subscript"/>
                          </w:rPr>
                          <w:t xml:space="preserve">8–10 </w:t>
                        </w:r>
                        <w:r>
                          <w:rPr>
                            <w:sz w:val="18"/>
                            <w:szCs w:val="18"/>
                          </w:rPr>
                          <w:t>šakotieji alkilesteriai, turintys daug C</w:t>
                        </w:r>
                        <w:r>
                          <w:rPr>
                            <w:sz w:val="18"/>
                            <w:szCs w:val="18"/>
                            <w:vertAlign w:val="subscript"/>
                          </w:rPr>
                          <w:t>9</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1.27. Dulkės:</w:t>
                        </w:r>
                      </w:p>
                    </w:tc>
                  </w:tr>
                  <w:tr>
                    <w:trPr>
                      <w:trHeight w:val="142"/>
                    </w:trPr>
                    <w:tc>
                      <w:tcPr>
                        <w:tcW w:w="2447" w:type="dxa"/>
                        <w:vMerge w:val="restart"/>
                      </w:tcPr>
                      <w:p>
                        <w:pPr>
                          <w:rPr>
                            <w:sz w:val="18"/>
                            <w:szCs w:val="18"/>
                          </w:rPr>
                        </w:pPr>
                        <w:r>
                          <w:rPr>
                            <w:sz w:val="18"/>
                            <w:szCs w:val="18"/>
                          </w:rPr>
                          <w:t>1.27.1. abrazyvinės ir turinčios abrazyvinių medžiagų (elektrokorundų, karbido, boro, elboro, silicio ir kt.);</w:t>
                        </w:r>
                      </w:p>
                    </w:tc>
                    <w:tc>
                      <w:tcPr>
                        <w:tcW w:w="1653" w:type="dxa"/>
                        <w:vMerge w:val="restart"/>
                      </w:tcPr>
                      <w:p>
                        <w:pPr>
                          <w:rPr>
                            <w:sz w:val="18"/>
                            <w:szCs w:val="18"/>
                          </w:rPr>
                        </w:pPr>
                        <w:r>
                          <w:rPr>
                            <w:sz w:val="18"/>
                            <w:szCs w:val="18"/>
                          </w:rPr>
                          <w:t>Apdirbimas,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tabs>
                            <w:tab w:val="num" w:pos="286"/>
                          </w:tabs>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1.27.2. anglies (juodųjų suodžių, grafito, kokso, dirbtinių deimantų);</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1.27.3. augalinės ir gyvulinės kilmės (medvilnės, linų, kanapių, vilnos, džiuto, grūdų, tabako, medienos, durpių, popieriaus) (J)</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1.27.4. metalų ir jų lydinių dulkės</w:t>
                        </w:r>
                      </w:p>
                    </w:tc>
                    <w:tc>
                      <w:tcPr>
                        <w:tcW w:w="1653" w:type="dxa"/>
                        <w:vMerge w:val="restart"/>
                      </w:tcPr>
                      <w:p>
                        <w:pPr>
                          <w:rPr>
                            <w:sz w:val="18"/>
                            <w:szCs w:val="18"/>
                          </w:rPr>
                        </w:pPr>
                        <w:r>
                          <w:rPr>
                            <w:sz w:val="18"/>
                            <w:szCs w:val="18"/>
                          </w:rPr>
                          <w:t>Apdirbimas, padengimo procesai naudojant metalų aerozolius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1.27.5. neorganinių liuminoforų, (taip pat su mažiau kaip 5 % kadmio kiekiu)</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1.27.6. turinčios silicio (laisvas ir amorfinis silicio dioksidas)</w:t>
                        </w:r>
                      </w:p>
                    </w:tc>
                    <w:tc>
                      <w:tcPr>
                        <w:tcW w:w="1653" w:type="dxa"/>
                        <w:vMerge w:val="restart"/>
                      </w:tcPr>
                      <w:p>
                        <w:pPr>
                          <w:rPr>
                            <w:sz w:val="18"/>
                            <w:szCs w:val="18"/>
                          </w:rPr>
                        </w:pPr>
                        <w:r>
                          <w:rPr>
                            <w:sz w:val="18"/>
                            <w:szCs w:val="18"/>
                          </w:rPr>
                          <w:t>Liejimo darbai, paviršių, pastatų valymo smėliu darbai</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1.28. Etilendiamintetraacetatas (J)</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1.29. Farmakologinės priemonės (narkotiniai preparatai, vitaminai, hormonai, antibiotikai, citostatikai)</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psichiatras, otorinolaringologas, neurologas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leukograma,  bendras baltymas kraujo serume, ALT, AST,  šlapimo tyrimas  analizatoriumi, </w:t>
                        </w:r>
                      </w:p>
                      <w:p>
                        <w:pPr>
                          <w:rPr>
                            <w:sz w:val="18"/>
                            <w:szCs w:val="18"/>
                          </w:rPr>
                        </w:pPr>
                        <w:r>
                          <w:rPr>
                            <w:sz w:val="18"/>
                            <w:szCs w:val="18"/>
                          </w:rPr>
                          <w:t>KLR, IKFT</w:t>
                        </w:r>
                      </w:p>
                    </w:tc>
                    <w:tc>
                      <w:tcPr>
                        <w:tcW w:w="2437" w:type="dxa"/>
                        <w:vMerge w:val="restart"/>
                      </w:tcPr>
                      <w:p>
                        <w:pPr>
                          <w:rPr>
                            <w:sz w:val="18"/>
                            <w:szCs w:val="18"/>
                          </w:rPr>
                        </w:pPr>
                        <w:r>
                          <w:rPr>
                            <w:sz w:val="18"/>
                            <w:szCs w:val="18"/>
                          </w:rPr>
                          <w:t>1. Uoslės funkcijos sutrikimas R43.0, R43.1</w:t>
                        </w:r>
                      </w:p>
                      <w:p>
                        <w:pPr>
                          <w:rPr>
                            <w:sz w:val="18"/>
                            <w:szCs w:val="18"/>
                          </w:rPr>
                        </w:pPr>
                        <w:r>
                          <w:rPr>
                            <w:sz w:val="18"/>
                            <w:szCs w:val="18"/>
                          </w:rPr>
                          <w:t>2. Vestibulinės funkcijos sutrikimai, Menjero liga H81, H81.0</w:t>
                        </w:r>
                      </w:p>
                      <w:p>
                        <w:pPr>
                          <w:rPr>
                            <w:sz w:val="18"/>
                            <w:szCs w:val="18"/>
                          </w:rPr>
                        </w:pPr>
                        <w:r>
                          <w:rPr>
                            <w:sz w:val="18"/>
                            <w:szCs w:val="18"/>
                          </w:rPr>
                          <w:t xml:space="preserve">3. Akių ligos (vokų, junginės, ragenos, ašarų takų)  H00–H06, H10–H13, H15–H20</w:t>
                        </w:r>
                      </w:p>
                      <w:p>
                        <w:pPr>
                          <w:rPr>
                            <w:sz w:val="18"/>
                            <w:szCs w:val="18"/>
                          </w:rPr>
                        </w:pPr>
                        <w:r>
                          <w:rPr>
                            <w:sz w:val="18"/>
                            <w:szCs w:val="18"/>
                          </w:rPr>
                          <w:t xml:space="preserve">4. Alkoholizmas, narkomanija, toksikomanija  F10–F19</w:t>
                        </w:r>
                      </w:p>
                      <w:p>
                        <w:pPr>
                          <w:rPr>
                            <w:sz w:val="18"/>
                            <w:szCs w:val="18"/>
                          </w:rPr>
                        </w:pPr>
                        <w:r>
                          <w:rPr>
                            <w:sz w:val="18"/>
                            <w:szCs w:val="18"/>
                          </w:rPr>
                          <w:t>5. Alerginės odos ligos L23</w:t>
                        </w:r>
                      </w:p>
                      <w:p>
                        <w:pPr>
                          <w:rPr>
                            <w:sz w:val="18"/>
                            <w:szCs w:val="18"/>
                          </w:rPr>
                        </w:pPr>
                        <w:r>
                          <w:rPr>
                            <w:sz w:val="18"/>
                            <w:szCs w:val="18"/>
                          </w:rPr>
                          <w:t>6. Lėtinės obstrukcinės plaučių ligos J44–J47</w:t>
                        </w:r>
                      </w:p>
                      <w:p>
                        <w:pPr>
                          <w:rPr>
                            <w:sz w:val="18"/>
                            <w:szCs w:val="18"/>
                          </w:rPr>
                        </w:pPr>
                        <w:r>
                          <w:rPr>
                            <w:sz w:val="18"/>
                            <w:szCs w:val="18"/>
                          </w:rPr>
                          <w:t>7. Astma J45</w:t>
                        </w:r>
                      </w:p>
                      <w:p>
                        <w:pPr>
                          <w:rPr>
                            <w:sz w:val="18"/>
                            <w:szCs w:val="18"/>
                          </w:rPr>
                        </w:pPr>
                        <w:r>
                          <w:rPr>
                            <w:sz w:val="18"/>
                            <w:szCs w:val="18"/>
                          </w:rPr>
                          <w:t>8. Lėtinis kvėpavimo nepakankamumas I–II</w:t>
                          <w:sym w:font="Symbol" w:char="F0B0"/>
                          <w:t xml:space="preserve"> J96.1</w:t>
                        </w:r>
                      </w:p>
                      <w:p>
                        <w:pPr>
                          <w:rPr>
                            <w:sz w:val="18"/>
                            <w:szCs w:val="18"/>
                          </w:rPr>
                        </w:pPr>
                        <w:r>
                          <w:rPr>
                            <w:sz w:val="18"/>
                            <w:szCs w:val="18"/>
                          </w:rPr>
                          <w:t xml:space="preserve">9. Lėtinės kepenų ligos  K70–K77</w:t>
                        </w:r>
                      </w:p>
                      <w:p>
                        <w:pPr>
                          <w:tabs>
                            <w:tab w:val="left" w:pos="225"/>
                          </w:tabs>
                          <w:rPr>
                            <w:sz w:val="18"/>
                            <w:szCs w:val="18"/>
                          </w:rPr>
                        </w:pPr>
                        <w:r>
                          <w:rPr>
                            <w:sz w:val="18"/>
                            <w:szCs w:val="18"/>
                          </w:rPr>
                          <w:t xml:space="preserve">10. Lėtinės inkstų ligos  N00–N08, N10–N16, N17–N19, N20–N23</w:t>
                        </w:r>
                      </w:p>
                      <w:p>
                        <w:pPr>
                          <w:rPr>
                            <w:sz w:val="18"/>
                            <w:szCs w:val="18"/>
                          </w:rPr>
                        </w:pPr>
                        <w:r>
                          <w:rPr>
                            <w:sz w:val="18"/>
                            <w:szCs w:val="18"/>
                          </w:rPr>
                          <w:t>11. Psichikos ligos F00–F09, F20–F29, F70–F79, F80–F89, F99</w:t>
                        </w:r>
                      </w:p>
                      <w:p>
                        <w:pPr>
                          <w:rPr>
                            <w:sz w:val="18"/>
                            <w:szCs w:val="18"/>
                          </w:rPr>
                        </w:pPr>
                        <w:r>
                          <w:rPr>
                            <w:sz w:val="18"/>
                            <w:szCs w:val="18"/>
                          </w:rPr>
                          <w:t xml:space="preserve">12. Kraujo ir kraujodaros organų ligos  D50–D53, D55–D59, D60–D64, D65–D69, D70–D77</w:t>
                        </w:r>
                      </w:p>
                      <w:p>
                        <w:pPr>
                          <w:rPr>
                            <w:sz w:val="18"/>
                            <w:szCs w:val="18"/>
                          </w:rPr>
                        </w:pPr>
                        <w:r>
                          <w:rPr>
                            <w:sz w:val="18"/>
                            <w:szCs w:val="18"/>
                          </w:rPr>
                          <w:t>13. Nėštumas Z32, Z33, Z34, Z35</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pulmonologas, dermatovenerologas, gastroenterologas, nefrologas, hematologas</w:t>
                        </w:r>
                      </w:p>
                    </w:tc>
                    <w:tc>
                      <w:tcPr>
                        <w:tcW w:w="2755" w:type="dxa"/>
                      </w:tcPr>
                      <w:p>
                        <w:pPr>
                          <w:rPr>
                            <w:sz w:val="18"/>
                            <w:szCs w:val="18"/>
                          </w:rPr>
                        </w:pPr>
                        <w:r>
                          <w:rPr>
                            <w:sz w:val="18"/>
                            <w:szCs w:val="18"/>
                          </w:rPr>
                          <w:t>Klinikinis kraujo tyrimas</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1.30. Fenoliai ir jų dariniai (chlorfenoliai, krezoliai, butilfenoliai ir kt.) (O)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Priekinės akių dalies ligos (vokų, junginės, ragenos, ašarų takų)  H00–H06, H10–H13, H15–H20</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1.31. Fluoras ir jo junginiai (vandenilio fluoridas, fluoridai, fluoritai ir kt.) (Ū)</w:t>
                        </w:r>
                      </w:p>
                    </w:tc>
                    <w:tc>
                      <w:tcPr>
                        <w:tcW w:w="1653" w:type="dxa"/>
                        <w:vMerge w:val="restart"/>
                      </w:tcPr>
                      <w:p>
                        <w:pPr>
                          <w:rPr>
                            <w:sz w:val="18"/>
                            <w:szCs w:val="18"/>
                          </w:rPr>
                        </w:pPr>
                        <w:r>
                          <w:rPr>
                            <w:sz w:val="18"/>
                            <w:szCs w:val="18"/>
                          </w:rPr>
                          <w:t>Gamyba, naudojimas, procesai, susiję su jo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Nosies pertvaros iškrypimai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Burnos ertmės ligos (lėtinis gingivitas, stomatitas, parodontitas) K05.1,  K12, K05.3</w:t>
                        </w:r>
                      </w:p>
                      <w:p>
                        <w:pPr>
                          <w:rPr>
                            <w:sz w:val="18"/>
                            <w:szCs w:val="18"/>
                          </w:rPr>
                        </w:pPr>
                        <w:r>
                          <w:rPr>
                            <w:sz w:val="18"/>
                            <w:szCs w:val="18"/>
                          </w:rPr>
                          <w:t xml:space="preserve">7. Lėtinės odos ligos  L02, L08, L10–L14, L20–L30, L40, L50–L54 </w:t>
                        </w:r>
                      </w:p>
                      <w:p>
                        <w:pPr>
                          <w:rPr>
                            <w:sz w:val="18"/>
                            <w:szCs w:val="18"/>
                          </w:rPr>
                        </w:pPr>
                        <w:r>
                          <w:rPr>
                            <w:sz w:val="18"/>
                            <w:szCs w:val="18"/>
                          </w:rPr>
                          <w:t xml:space="preserve">8.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pulmonologas, odontologas,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1.32. Formaldehidas (Ū, J, K) ir kiti alifatiniai aldehidai</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ligos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oftalmologas,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1.33. Fosforas ir jo junginiai (geltonasis fosforas (K), fosforo pentoksidas, fosforo chloroksidas (Ū, O), fosforo trichloridas, fosforo rūgštis, fosfatai ir kt.)</w:t>
                        </w:r>
                      </w:p>
                    </w:tc>
                    <w:tc>
                      <w:tcPr>
                        <w:tcW w:w="1653" w:type="dxa"/>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Galūnių polineuropatijos G60–G64</w:t>
                        </w:r>
                      </w:p>
                      <w:p>
                        <w:pPr>
                          <w:rPr>
                            <w:sz w:val="18"/>
                            <w:szCs w:val="18"/>
                          </w:rPr>
                        </w:pPr>
                        <w:r>
                          <w:rPr>
                            <w:sz w:val="18"/>
                            <w:szCs w:val="18"/>
                          </w:rPr>
                          <w:t xml:space="preserve">7. Lėtinės kepenų ligos  K70–K77  </w:t>
                        </w:r>
                      </w:p>
                      <w:p>
                        <w:pPr>
                          <w:rPr>
                            <w:sz w:val="18"/>
                            <w:szCs w:val="18"/>
                          </w:rPr>
                        </w:pPr>
                        <w:r>
                          <w:rPr>
                            <w:sz w:val="18"/>
                            <w:szCs w:val="18"/>
                          </w:rPr>
                          <w:t xml:space="preserve">8.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neurologas, gastroenterologas,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1.34. Furanas ir jo dariniai (furfurolas, tetrahidrofuranas ir kt.)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Hiperplastinis laringitas  J37.0 </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pageBreakBefore/>
                          <w:rPr>
                            <w:sz w:val="18"/>
                            <w:szCs w:val="18"/>
                          </w:rPr>
                        </w:pPr>
                        <w:r>
                          <w:rPr>
                            <w:sz w:val="18"/>
                            <w:szCs w:val="18"/>
                          </w:rPr>
                          <w:t xml:space="preserve">1.35. Gyvsidabris ir jo junginiai (K, O), gyvsidabrio garai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pageBreakBefore/>
                          <w:rPr>
                            <w:sz w:val="18"/>
                            <w:szCs w:val="18"/>
                          </w:rPr>
                        </w:pPr>
                        <w:r>
                          <w:rPr>
                            <w:sz w:val="18"/>
                            <w:szCs w:val="18"/>
                          </w:rPr>
                          <w:t>Neurologas, odontologas</w:t>
                        </w:r>
                      </w:p>
                      <w:p>
                        <w:pPr>
                          <w:pageBreakBefore/>
                          <w:rPr>
                            <w:sz w:val="18"/>
                            <w:szCs w:val="18"/>
                          </w:rPr>
                        </w:pPr>
                        <w:r>
                          <w:rPr>
                            <w:sz w:val="18"/>
                            <w:szCs w:val="18"/>
                          </w:rPr>
                          <w:t>(privaloma)</w:t>
                        </w:r>
                      </w:p>
                    </w:tc>
                    <w:tc>
                      <w:tcPr>
                        <w:tcW w:w="2755" w:type="dxa"/>
                      </w:tcPr>
                      <w:p>
                        <w:pPr>
                          <w:pageBreakBefore/>
                          <w:rPr>
                            <w:sz w:val="18"/>
                            <w:szCs w:val="18"/>
                          </w:rPr>
                        </w:pPr>
                        <w:r>
                          <w:rPr>
                            <w:sz w:val="18"/>
                            <w:szCs w:val="18"/>
                          </w:rPr>
                          <w:t xml:space="preserve">Kraujo tyrimas hematologiniu analizatoriumi (eritrocitai, hemoglobinas, leukocitai, trombocitai), ENG, šlapimo tyrimas  analizatoriumi, gyvsidabris šlapime </w:t>
                        </w:r>
                      </w:p>
                    </w:tc>
                    <w:tc>
                      <w:tcPr>
                        <w:tcW w:w="2437" w:type="dxa"/>
                        <w:vMerge w:val="restart"/>
                      </w:tcPr>
                      <w:p>
                        <w:pPr>
                          <w:pageBreakBefore/>
                          <w:rPr>
                            <w:sz w:val="18"/>
                            <w:szCs w:val="18"/>
                          </w:rPr>
                        </w:pPr>
                        <w:r>
                          <w:rPr>
                            <w:sz w:val="18"/>
                            <w:szCs w:val="18"/>
                          </w:rPr>
                          <w:t>1. Galūnių polineuropatijos G60–G64</w:t>
                        </w:r>
                      </w:p>
                      <w:p>
                        <w:pPr>
                          <w:pageBreakBefore/>
                          <w:rPr>
                            <w:sz w:val="18"/>
                            <w:szCs w:val="18"/>
                          </w:rPr>
                        </w:pPr>
                        <w:r>
                          <w:rPr>
                            <w:sz w:val="18"/>
                            <w:szCs w:val="18"/>
                          </w:rPr>
                          <w:t xml:space="preserve">2. Žandikaulių ir dantų ligos (lėtinis gingivitas, stomatitas, parodontitas)  K05.1,  K12, K05.3</w:t>
                        </w:r>
                      </w:p>
                      <w:p>
                        <w:pPr>
                          <w:pageBreakBefore/>
                          <w:rPr>
                            <w:sz w:val="18"/>
                            <w:szCs w:val="18"/>
                          </w:rPr>
                        </w:pPr>
                        <w:r>
                          <w:rPr>
                            <w:sz w:val="18"/>
                            <w:szCs w:val="18"/>
                          </w:rPr>
                          <w:t xml:space="preserve">3. Lėtinės odos ligos  L02, L08, L10–L14, L20–L30, L40, L50–L54</w:t>
                        </w:r>
                      </w:p>
                      <w:p>
                        <w:pPr>
                          <w:pageBreakBefore/>
                          <w:rPr>
                            <w:sz w:val="18"/>
                            <w:szCs w:val="18"/>
                          </w:rPr>
                        </w:pPr>
                        <w:r>
                          <w:rPr>
                            <w:sz w:val="18"/>
                            <w:szCs w:val="18"/>
                          </w:rPr>
                          <w:t xml:space="preserve">4. Lėtinės inkstų ligos  N00–N08, N10–N16, N17–N19, N20–N23</w:t>
                        </w:r>
                      </w:p>
                      <w:p>
                        <w:pPr>
                          <w:pageBreakBefore/>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w:t>
                        </w:r>
                      </w:p>
                      <w:p>
                        <w:pPr>
                          <w:rPr>
                            <w:sz w:val="18"/>
                            <w:szCs w:val="18"/>
                          </w:rPr>
                        </w:pPr>
                        <w:r>
                          <w:rPr>
                            <w:sz w:val="18"/>
                            <w:szCs w:val="18"/>
                          </w:rPr>
                          <w:t>nefrologas,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1.36. Hidrazinas ir jo junginiai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kardiologas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 bendras baltymas kraujo serume, ALT, AST, cholesterolis kraujo serume</w:t>
                        </w:r>
                      </w:p>
                    </w:tc>
                    <w:tc>
                      <w:tcPr>
                        <w:tcW w:w="2437" w:type="dxa"/>
                        <w:vMerge w:val="restart"/>
                      </w:tcPr>
                      <w:p>
                        <w:pPr>
                          <w:rPr>
                            <w:sz w:val="18"/>
                            <w:szCs w:val="18"/>
                          </w:rPr>
                        </w:pPr>
                        <w:r>
                          <w:rPr>
                            <w:sz w:val="18"/>
                            <w:szCs w:val="18"/>
                          </w:rPr>
                          <w:t xml:space="preserve">1. Lėtinės kepenų ligos  K70–K77  </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6. Kraujotakos sistemos ligos I00–I99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gastroenterologas,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1.37. Izocianatai</w:t>
                        </w:r>
                      </w:p>
                      <w:p>
                        <w:pPr>
                          <w:rPr>
                            <w:sz w:val="18"/>
                            <w:szCs w:val="18"/>
                          </w:rPr>
                        </w:pPr>
                        <w:r>
                          <w:rPr>
                            <w:sz w:val="18"/>
                            <w:szCs w:val="18"/>
                          </w:rPr>
                          <w:t xml:space="preserve">(Ū J)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p>
                        <w:pPr>
                          <w:rPr>
                            <w:sz w:val="18"/>
                            <w:szCs w:val="18"/>
                          </w:rPr>
                        </w:pPr>
                      </w:p>
                      <w:p>
                        <w:pPr>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1.38. Kadmis ir jo junginiai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su kvėpavimo funkcijos sutrikimu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Gerybinė prostatos hiperplazija N40</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nefrologas, hematologas, onkologas radioterapeutas, onkologas chemoterapeutas </w:t>
                        </w:r>
                      </w:p>
                    </w:tc>
                    <w:tc>
                      <w:tcPr>
                        <w:tcW w:w="2755" w:type="dxa"/>
                      </w:tcPr>
                      <w:p>
                        <w:pPr>
                          <w:rPr>
                            <w:sz w:val="18"/>
                            <w:szCs w:val="18"/>
                          </w:rPr>
                        </w:pPr>
                        <w:r>
                          <w:rPr>
                            <w:sz w:val="18"/>
                            <w:szCs w:val="18"/>
                          </w:rPr>
                          <w:t>Esant indikacijų –leukograma</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1.39. Koksavimo dujos ir kiti koksavimo produktai</w:t>
                        </w:r>
                      </w:p>
                    </w:tc>
                    <w:tc>
                      <w:tcPr>
                        <w:tcW w:w="1653" w:type="dxa"/>
                        <w:vMerge w:val="restart"/>
                      </w:tcPr>
                      <w:p>
                        <w:pPr>
                          <w:rPr>
                            <w:sz w:val="18"/>
                            <w:szCs w:val="18"/>
                          </w:rPr>
                        </w:pPr>
                        <w:r>
                          <w:rPr>
                            <w:sz w:val="18"/>
                            <w:szCs w:val="18"/>
                          </w:rPr>
                          <w:t>Naudojimas, procesai, susiję su jų išsiskyrivmu, asfaltbetoninių dangų paruošimas ir klojimas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hematologas, pulmonologas</w:t>
                        </w:r>
                      </w:p>
                    </w:tc>
                    <w:tc>
                      <w:tcPr>
                        <w:tcW w:w="2755" w:type="dxa"/>
                      </w:tcPr>
                      <w:p>
                        <w:pPr>
                          <w:rPr>
                            <w:sz w:val="18"/>
                            <w:szCs w:val="18"/>
                          </w:rPr>
                        </w:pPr>
                        <w:r>
                          <w:rPr>
                            <w:sz w:val="18"/>
                            <w:szCs w:val="18"/>
                          </w:rPr>
                          <w:t xml:space="preserve">Esant indikacijų – leukograma </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1.40. Litis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Neurologas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Lėtinės odos ligos  L02, L08, L10–L14, L20–L30, L40, L50–L54</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CNS ligos  G00–G09, G10–G13, G30–G32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dermatovenerologas</w:t>
                        </w:r>
                      </w:p>
                    </w:tc>
                    <w:tc>
                      <w:tcPr>
                        <w:tcW w:w="2755" w:type="dxa"/>
                      </w:tcPr>
                      <w:p>
                        <w:pPr>
                          <w:rPr>
                            <w:sz w:val="18"/>
                            <w:szCs w:val="18"/>
                          </w:rPr>
                        </w:pPr>
                        <w:r>
                          <w:rPr>
                            <w:sz w:val="18"/>
                            <w:szCs w:val="18"/>
                          </w:rPr>
                          <w:t>Esant indikacijų –</w:t>
                        </w:r>
                      </w:p>
                      <w:p>
                        <w:pPr>
                          <w:rPr>
                            <w:sz w:val="18"/>
                            <w:szCs w:val="18"/>
                          </w:rPr>
                        </w:pPr>
                        <w:r>
                          <w:rPr>
                            <w:sz w:val="18"/>
                            <w:szCs w:val="18"/>
                          </w:rPr>
                          <w:t>litis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1.41. Manganas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CNS ligos  G00–G09, G10–G13, G30–G32</w:t>
                        </w:r>
                      </w:p>
                      <w:p>
                        <w:pPr>
                          <w:rPr>
                            <w:sz w:val="18"/>
                            <w:szCs w:val="18"/>
                          </w:rPr>
                        </w:pPr>
                        <w:r>
                          <w:rPr>
                            <w:sz w:val="18"/>
                            <w:szCs w:val="18"/>
                          </w:rPr>
                          <w:t xml:space="preserve">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Lėtinės inkstų ligos  N00–N08, N10–N16, N17–N19, N20–N23</w:t>
                        </w:r>
                      </w:p>
                      <w:p>
                        <w:pPr>
                          <w:rPr>
                            <w:sz w:val="18"/>
                            <w:szCs w:val="18"/>
                          </w:rPr>
                        </w:pPr>
                        <w:r>
                          <w:rPr>
                            <w:sz w:val="18"/>
                            <w:szCs w:val="18"/>
                          </w:rPr>
                          <w:t xml:space="preserve">7. Kraujo ir kraujodaros organų ligos  D50–D53, D55–D59, D60–D64, D65–D69, D70–D77</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nefrologas,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1.42. Metalai: (kobaltas (J), vanadis, molibdenas, titanas cirkonis (F), volframas) ir jų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 xml:space="preserve">7. Alerginės odos ligos  L23</w:t>
                        </w:r>
                      </w:p>
                      <w:p>
                        <w:pPr>
                          <w:rPr>
                            <w:sz w:val="18"/>
                            <w:szCs w:val="18"/>
                          </w:rPr>
                        </w:pPr>
                        <w:r>
                          <w:rPr>
                            <w:sz w:val="18"/>
                            <w:szCs w:val="18"/>
                          </w:rPr>
                          <w:t xml:space="preserve">8. Lėtinės kepenų ligos  K70–K77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 onkologas radioterapeutas, onkologas</w:t>
                        </w:r>
                      </w:p>
                      <w:p>
                        <w:pPr>
                          <w:rPr>
                            <w:sz w:val="18"/>
                            <w:szCs w:val="18"/>
                          </w:rPr>
                        </w:pPr>
                        <w:r>
                          <w:rPr>
                            <w:sz w:val="18"/>
                            <w:szCs w:val="18"/>
                          </w:rPr>
                          <w:t>chemoterapeutas,</w:t>
                        </w:r>
                      </w:p>
                      <w:p>
                        <w:pPr>
                          <w:rPr>
                            <w:sz w:val="18"/>
                            <w:szCs w:val="18"/>
                          </w:rPr>
                        </w:pPr>
                        <w:r>
                          <w:rPr>
                            <w:sz w:val="18"/>
                            <w:szCs w:val="18"/>
                          </w:rPr>
                          <w:t>gastroenterologas</w:t>
                        </w:r>
                      </w:p>
                    </w:tc>
                    <w:tc>
                      <w:tcPr>
                        <w:tcW w:w="2755" w:type="dxa"/>
                      </w:tcPr>
                      <w:p>
                        <w:pPr>
                          <w:rPr>
                            <w:sz w:val="18"/>
                            <w:szCs w:val="18"/>
                          </w:rPr>
                        </w:pPr>
                        <w:r>
                          <w:rPr>
                            <w:sz w:val="18"/>
                            <w:szCs w:val="18"/>
                          </w:rPr>
                          <w:t xml:space="preserve">Esant indikacijų – baltymas kraujo serume, ALT, AST,  EKG</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1.43. Metanolis (O)</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Psichiatras, oftalmologas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akių dugno tyrimas</w:t>
                        </w:r>
                      </w:p>
                    </w:tc>
                    <w:tc>
                      <w:tcPr>
                        <w:tcW w:w="2437" w:type="dxa"/>
                        <w:vMerge w:val="restart"/>
                      </w:tcPr>
                      <w:p>
                        <w:pPr>
                          <w:rPr>
                            <w:sz w:val="18"/>
                            <w:szCs w:val="18"/>
                          </w:rPr>
                        </w:pPr>
                        <w:r>
                          <w:rPr>
                            <w:sz w:val="18"/>
                            <w:szCs w:val="18"/>
                          </w:rPr>
                          <w:t>1. Regos nervo ir tinklainės ligos H46–H48, H33–H25</w:t>
                        </w:r>
                      </w:p>
                      <w:p>
                        <w:pPr>
                          <w:tabs>
                            <w:tab w:val="num" w:pos="286"/>
                          </w:tabs>
                          <w:rPr>
                            <w:sz w:val="18"/>
                            <w:szCs w:val="18"/>
                          </w:rPr>
                        </w:pPr>
                        <w:r>
                          <w:rPr>
                            <w:sz w:val="18"/>
                            <w:szCs w:val="18"/>
                          </w:rPr>
                          <w:t xml:space="preserve">2. Alkoholizmas, narkomanija, toksikomanija  F10–F19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1.44. Metilacetatas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p>
                        <w:pPr>
                          <w:rPr>
                            <w:sz w:val="18"/>
                            <w:szCs w:val="18"/>
                          </w:rPr>
                        </w:pPr>
                        <w:r>
                          <w:rPr>
                            <w:sz w:val="18"/>
                            <w:szCs w:val="18"/>
                          </w:rPr>
                          <w:t>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 xml:space="preserve">6.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1.45. Monochloracto rūgštis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dermatovenerologas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1.46. Nafta, naftos perdirbimo produktai, benzinas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 psichiatras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p>
                        <w:pPr>
                          <w:rPr>
                            <w:sz w:val="18"/>
                            <w:szCs w:val="18"/>
                          </w:rPr>
                        </w:pPr>
                        <w:r>
                          <w:rPr>
                            <w:sz w:val="18"/>
                            <w:szCs w:val="18"/>
                          </w:rPr>
                          <w:t>KLR, IKFT</w:t>
                        </w:r>
                      </w:p>
                    </w:tc>
                    <w:tc>
                      <w:tcPr>
                        <w:tcW w:w="2437" w:type="dxa"/>
                        <w:vMerge w:val="restart"/>
                      </w:tcPr>
                      <w:p>
                        <w:pPr>
                          <w:rPr>
                            <w:sz w:val="18"/>
                            <w:szCs w:val="18"/>
                          </w:rPr>
                        </w:pPr>
                        <w:r>
                          <w:rPr>
                            <w:sz w:val="18"/>
                            <w:szCs w:val="18"/>
                          </w:rPr>
                          <w:t>1. Hiperplastinis laringitas J37</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Lėtinės odos ligos,  diskeratozės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Priekinės akių dalies ligos (vokų, junginės, ragenos, ašarų takų)  H00–H06, H10–H13, H15–H20</w:t>
                        </w:r>
                      </w:p>
                      <w:p>
                        <w:pPr>
                          <w:rPr>
                            <w:sz w:val="18"/>
                            <w:szCs w:val="18"/>
                          </w:rPr>
                        </w:pPr>
                        <w:r>
                          <w:rPr>
                            <w:sz w:val="18"/>
                            <w:szCs w:val="18"/>
                          </w:rPr>
                          <w:t>9. Galūnių polineuropatijos G60–G64</w:t>
                        </w:r>
                      </w:p>
                      <w:p>
                        <w:pPr>
                          <w:rPr>
                            <w:sz w:val="18"/>
                            <w:szCs w:val="18"/>
                          </w:rPr>
                        </w:pPr>
                        <w:r>
                          <w:rPr>
                            <w:sz w:val="18"/>
                            <w:szCs w:val="18"/>
                          </w:rPr>
                          <w:t xml:space="preserve">10. Narkomanija, toksikomanija  F10–F19</w:t>
                        </w:r>
                      </w:p>
                      <w:p>
                        <w:pPr>
                          <w:rPr>
                            <w:sz w:val="18"/>
                            <w:szCs w:val="18"/>
                          </w:rPr>
                        </w:pPr>
                        <w:r>
                          <w:rPr>
                            <w:sz w:val="18"/>
                            <w:szCs w:val="18"/>
                          </w:rPr>
                          <w:t xml:space="preserve">11.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pulmonologas, hematologas, nefrologas, dermatovenerologas, </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Esant indikacijų –leukograma, baltymas kraujo serume, ALT, AST</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1.47. Naftalenas (naftalinas), chloruoti naftalenai ir jų junginiai</w:t>
                        </w:r>
                      </w:p>
                      <w:p>
                        <w:pPr>
                          <w:rPr>
                            <w:sz w:val="18"/>
                            <w:szCs w:val="18"/>
                          </w:rPr>
                        </w:pPr>
                        <w:r>
                          <w:rPr>
                            <w:sz w:val="18"/>
                            <w:szCs w:val="18"/>
                          </w:rPr>
                          <w:t xml:space="preserve">(O)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w:t>
                        </w:r>
                      </w:p>
                      <w:p>
                        <w:pPr>
                          <w:rPr>
                            <w:sz w:val="18"/>
                            <w:szCs w:val="18"/>
                          </w:rPr>
                        </w:pPr>
                        <w:r>
                          <w:rPr>
                            <w:sz w:val="18"/>
                            <w:szCs w:val="18"/>
                          </w:rPr>
                          <w:t xml:space="preserve">tyrimas analizatoriumi, </w:t>
                        </w:r>
                      </w:p>
                      <w:p>
                        <w:pPr>
                          <w:rPr>
                            <w:sz w:val="18"/>
                            <w:szCs w:val="18"/>
                          </w:rPr>
                        </w:pPr>
                        <w:r>
                          <w:rPr>
                            <w:sz w:val="18"/>
                            <w:szCs w:val="18"/>
                          </w:rPr>
                          <w:t>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4. Lėtinės inkstų ligos N00–N08, N10–N16, N17–N19, N20–N23</w:t>
                        </w:r>
                      </w:p>
                      <w:p>
                        <w:pPr>
                          <w:rPr>
                            <w:sz w:val="18"/>
                            <w:szCs w:val="18"/>
                          </w:rPr>
                        </w:pPr>
                        <w:r>
                          <w:rPr>
                            <w:sz w:val="18"/>
                            <w:szCs w:val="18"/>
                          </w:rPr>
                          <w:t xml:space="preserve">5. Kraujo ir kraujodaros </w:t>
                        </w:r>
                      </w:p>
                      <w:p>
                        <w:pPr>
                          <w:rPr>
                            <w:sz w:val="18"/>
                            <w:szCs w:val="18"/>
                          </w:rPr>
                        </w:pPr>
                        <w:r>
                          <w:rPr>
                            <w:sz w:val="18"/>
                            <w:szCs w:val="18"/>
                          </w:rPr>
                          <w:t xml:space="preserve">organų ligos  D50–D53, D55–D59, D60–D64, D65–D69, D70–D77</w:t>
                        </w:r>
                      </w:p>
                      <w:p>
                        <w:pPr>
                          <w:rPr>
                            <w:sz w:val="18"/>
                            <w:szCs w:val="18"/>
                          </w:rPr>
                        </w:pPr>
                        <w:r>
                          <w:rPr>
                            <w:sz w:val="18"/>
                            <w:szCs w:val="18"/>
                          </w:rPr>
                          <w:t xml:space="preserve">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 xml:space="preserve">Esant indikacijų – leukograma, baltymas kraujo serume, ALT, AST </w:t>
                        </w: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1.48. ?</w:t>
                        </w:r>
                        <w:r>
                          <w:rPr>
                            <w:vanish/>
                            <w:sz w:val="18"/>
                            <w:szCs w:val="18"/>
                          </w:rPr>
                          <w:t>beta</w:t>
                        </w:r>
                        <w:r>
                          <w:rPr>
                            <w:sz w:val="18"/>
                            <w:szCs w:val="18"/>
                          </w:rPr>
                          <w:t>–naftomis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inkstų ligos N00–N08, N10–N16, N17–N19, N20–N23</w:t>
                        </w:r>
                      </w:p>
                      <w:p>
                        <w:pPr>
                          <w:rPr>
                            <w:sz w:val="18"/>
                            <w:szCs w:val="18"/>
                          </w:rPr>
                        </w:pPr>
                        <w:r>
                          <w:rPr>
                            <w:sz w:val="18"/>
                            <w:szCs w:val="18"/>
                          </w:rPr>
                          <w:t xml:space="preserve">2. Lėtinės odos ligos  L02, L08, L10–L14, L20–L30, L40, L50–L54</w:t>
                        </w:r>
                      </w:p>
                      <w:p>
                        <w:pPr>
                          <w:tabs>
                            <w:tab w:val="num" w:pos="286"/>
                          </w:tabs>
                          <w:rPr>
                            <w:sz w:val="18"/>
                            <w:szCs w:val="18"/>
                          </w:rPr>
                        </w:pP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–nefrologas,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1.49. Nikelis (J) ir jo junginiai (oksidas, karbonatas, chloridas, sulfatas ir kt.) (K, J, R), subsulfidas, karbonilas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w:t>
                        </w:r>
                      </w:p>
                      <w:p>
                        <w:pPr>
                          <w:rPr>
                            <w:sz w:val="18"/>
                            <w:szCs w:val="18"/>
                          </w:rPr>
                        </w:pPr>
                        <w:r>
                          <w:rPr>
                            <w:sz w:val="18"/>
                            <w:szCs w:val="18"/>
                          </w:rPr>
                          <w:t>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4. Lėtinis hiperplastinis rinitas, laringitas J31, J37</w:t>
                        </w:r>
                      </w:p>
                      <w:p>
                        <w:pPr>
                          <w:rPr>
                            <w:sz w:val="18"/>
                            <w:szCs w:val="18"/>
                          </w:rPr>
                        </w:pPr>
                        <w:r>
                          <w:rPr>
                            <w:sz w:val="18"/>
                            <w:szCs w:val="18"/>
                          </w:rPr>
                          <w:t>5. Gerybiniai navikai D10–D36</w:t>
                        </w:r>
                      </w:p>
                      <w:p>
                        <w:pPr>
                          <w:rPr>
                            <w:sz w:val="18"/>
                            <w:szCs w:val="18"/>
                          </w:rPr>
                        </w:pPr>
                        <w:r>
                          <w:rPr>
                            <w:sz w:val="18"/>
                            <w:szCs w:val="18"/>
                          </w:rPr>
                          <w:t xml:space="preserve">6. Kraujo ir kraujodaros organų ligos  D50–D53, D55–D59, D60–D64, D65–D69, D70–D77 </w:t>
                        </w:r>
                      </w:p>
                      <w:p>
                        <w:pPr>
                          <w:rPr>
                            <w:sz w:val="18"/>
                            <w:szCs w:val="18"/>
                          </w:rPr>
                        </w:pPr>
                        <w:r>
                          <w:rPr>
                            <w:sz w:val="18"/>
                            <w:szCs w:val="18"/>
                          </w:rPr>
                          <w:t xml:space="preserve">7.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onkologas radioterapeutas, onkologas chemoterapeutas, pulmonologas, hematologas</w:t>
                        </w:r>
                      </w:p>
                    </w:tc>
                    <w:tc>
                      <w:tcPr>
                        <w:tcW w:w="2755"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1.50. Ozonas (Ū)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1.51. Pentanas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Priekinės akių dalies ligos (vokų, junginės, ragenos, ašarų takų)  H00–H06, H10–H13, H15–H20</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gastroenterologas,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keepNext/>
                          <w:pageBreakBefore/>
                          <w:rPr>
                            <w:sz w:val="18"/>
                            <w:szCs w:val="18"/>
                          </w:rPr>
                        </w:pPr>
                        <w:r>
                          <w:rPr>
                            <w:sz w:val="18"/>
                            <w:szCs w:val="18"/>
                          </w:rPr>
                          <w:t>1.52. Pesticidai</w:t>
                        </w:r>
                      </w:p>
                    </w:tc>
                    <w:tc>
                      <w:tcPr>
                        <w:tcW w:w="1653" w:type="dxa"/>
                        <w:vMerge w:val="restart"/>
                      </w:tcPr>
                      <w:p>
                        <w:pPr>
                          <w:keepNext/>
                          <w:pageBreakBefore/>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keepNext/>
                          <w:pageBreakBefore/>
                          <w:rPr>
                            <w:sz w:val="18"/>
                            <w:szCs w:val="18"/>
                          </w:rPr>
                        </w:pPr>
                      </w:p>
                    </w:tc>
                    <w:tc>
                      <w:tcPr>
                        <w:tcW w:w="2755" w:type="dxa"/>
                      </w:tcPr>
                      <w:p>
                        <w:pPr>
                          <w:keepNext/>
                          <w:pageBreakBefore/>
                          <w:rPr>
                            <w:sz w:val="18"/>
                            <w:szCs w:val="18"/>
                          </w:rPr>
                        </w:pPr>
                        <w:r>
                          <w:rPr>
                            <w:sz w:val="18"/>
                            <w:szCs w:val="18"/>
                          </w:rPr>
                          <w:t xml:space="preserve">Kraujo tyrimas hematologiniu analizatoriumi (eritrocitai, hemoglobinas, leukocitai, trombocitai), ENG, audiograma, </w:t>
                        </w:r>
                      </w:p>
                      <w:p>
                        <w:pPr>
                          <w:keepNext/>
                          <w:pageBreakBefore/>
                          <w:rPr>
                            <w:sz w:val="18"/>
                            <w:szCs w:val="18"/>
                          </w:rPr>
                        </w:pPr>
                        <w:r>
                          <w:rPr>
                            <w:sz w:val="18"/>
                            <w:szCs w:val="18"/>
                          </w:rPr>
                          <w:t>baltymas kraujo serume, ALT, AST</w:t>
                        </w:r>
                      </w:p>
                    </w:tc>
                    <w:tc>
                      <w:tcPr>
                        <w:tcW w:w="2437" w:type="dxa"/>
                        <w:vMerge w:val="restart"/>
                      </w:tcPr>
                      <w:p>
                        <w:pPr>
                          <w:keepNext/>
                          <w:pageBreakBefore/>
                          <w:rPr>
                            <w:sz w:val="18"/>
                            <w:szCs w:val="18"/>
                          </w:rPr>
                        </w:pPr>
                        <w:r>
                          <w:rPr>
                            <w:sz w:val="18"/>
                            <w:szCs w:val="18"/>
                          </w:rPr>
                          <w:t>1. Galūnių polineuropatijos G60–G64</w:t>
                        </w:r>
                      </w:p>
                      <w:p>
                        <w:pPr>
                          <w:keepNext/>
                          <w:pageBreakBefore/>
                          <w:rPr>
                            <w:sz w:val="18"/>
                            <w:szCs w:val="18"/>
                          </w:rPr>
                        </w:pPr>
                        <w:r>
                          <w:rPr>
                            <w:sz w:val="18"/>
                            <w:szCs w:val="18"/>
                          </w:rPr>
                          <w:t xml:space="preserve">2. Lėtinės kepenų ligos  K70–K77  </w:t>
                        </w:r>
                      </w:p>
                      <w:p>
                        <w:pPr>
                          <w:keepNext/>
                          <w:pageBreakBefore/>
                          <w:rPr>
                            <w:sz w:val="18"/>
                            <w:szCs w:val="18"/>
                          </w:rPr>
                        </w:pPr>
                        <w:r>
                          <w:rPr>
                            <w:sz w:val="18"/>
                            <w:szCs w:val="18"/>
                          </w:rPr>
                          <w:t>3. Astma J45</w:t>
                        </w:r>
                      </w:p>
                      <w:p>
                        <w:pPr>
                          <w:keepNext/>
                          <w:pageBreakBefore/>
                          <w:rPr>
                            <w:sz w:val="18"/>
                            <w:szCs w:val="18"/>
                          </w:rPr>
                        </w:pPr>
                        <w:r>
                          <w:rPr>
                            <w:sz w:val="18"/>
                            <w:szCs w:val="18"/>
                          </w:rPr>
                          <w:t xml:space="preserve">4. Viršutinių kvėpavimo takų atrofiniai pakitimai  J30–J31, J37–J39</w:t>
                        </w:r>
                      </w:p>
                      <w:p>
                        <w:pPr>
                          <w:keepNext/>
                          <w:pageBreakBefore/>
                          <w:rPr>
                            <w:sz w:val="18"/>
                            <w:szCs w:val="18"/>
                          </w:rPr>
                        </w:pPr>
                        <w:r>
                          <w:rPr>
                            <w:sz w:val="18"/>
                            <w:szCs w:val="18"/>
                          </w:rPr>
                          <w:t>5. Klausos nervo pažeidimas H80–H83, H94</w:t>
                        </w:r>
                      </w:p>
                      <w:p>
                        <w:pPr>
                          <w:keepNext/>
                          <w:pageBreakBefore/>
                          <w:tabs>
                            <w:tab w:val="num" w:pos="286"/>
                          </w:tabs>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oftalmologas, otorinolaringologas, pulmonologas, gastroenterologas</w:t>
                        </w:r>
                      </w:p>
                    </w:tc>
                    <w:tc>
                      <w:tcPr>
                        <w:tcW w:w="2755" w:type="dxa"/>
                      </w:tcPr>
                      <w:p>
                        <w:pPr>
                          <w:rPr>
                            <w:sz w:val="18"/>
                            <w:szCs w:val="18"/>
                          </w:rPr>
                        </w:pPr>
                        <w:r>
                          <w:rPr>
                            <w:sz w:val="18"/>
                            <w:szCs w:val="18"/>
                          </w:rPr>
                          <w:t>Esant indikacijų – gyvsidabrio nustatymas šlapime arba kraujyje</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1.53. Plastmasės ir sintetinės dervos masės, kurių pagrindas:</w:t>
                        </w:r>
                      </w:p>
                    </w:tc>
                  </w:tr>
                  <w:tr>
                    <w:trPr>
                      <w:trHeight w:val="142"/>
                    </w:trPr>
                    <w:tc>
                      <w:tcPr>
                        <w:tcW w:w="2447" w:type="dxa"/>
                        <w:vMerge w:val="restart"/>
                      </w:tcPr>
                      <w:p>
                        <w:pPr>
                          <w:rPr>
                            <w:sz w:val="18"/>
                            <w:szCs w:val="18"/>
                          </w:rPr>
                        </w:pPr>
                        <w:r>
                          <w:rPr>
                            <w:sz w:val="18"/>
                            <w:szCs w:val="18"/>
                          </w:rPr>
                          <w:t xml:space="preserve">1.53.1. akrilinė ir metakrilinė rūgštys (J) </w:t>
                        </w:r>
                      </w:p>
                    </w:tc>
                    <w:tc>
                      <w:tcPr>
                        <w:tcW w:w="1653" w:type="dxa"/>
                        <w:vMerge w:val="restart"/>
                      </w:tcPr>
                      <w:p>
                        <w:pPr>
                          <w:rPr>
                            <w:sz w:val="18"/>
                            <w:szCs w:val="18"/>
                          </w:rPr>
                        </w:pPr>
                        <w:r>
                          <w:rPr>
                            <w:sz w:val="18"/>
                            <w:szCs w:val="18"/>
                          </w:rPr>
                          <w:t>Polimerų ir kopolimerų gamyba, perdirbimas, emulsijų, lakų, dažų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Viršutinių kvėpavimo takų atrofiniai pakitimai. Hipertrofinis laringitas  J30–J31, J37–J39</w:t>
                        </w:r>
                      </w:p>
                      <w:p>
                        <w:pPr>
                          <w:rPr>
                            <w:sz w:val="18"/>
                            <w:szCs w:val="18"/>
                          </w:rPr>
                        </w:pPr>
                        <w:r>
                          <w:rPr>
                            <w:sz w:val="18"/>
                            <w:szCs w:val="18"/>
                          </w:rPr>
                          <w:t>5. Galūnių polineuropatijos G60–G64</w:t>
                        </w:r>
                      </w:p>
                      <w:p>
                        <w:pPr>
                          <w:rPr>
                            <w:sz w:val="18"/>
                            <w:szCs w:val="18"/>
                          </w:rPr>
                        </w:pPr>
                        <w:r>
                          <w:rPr>
                            <w:sz w:val="18"/>
                            <w:szCs w:val="18"/>
                          </w:rPr>
                          <w:t xml:space="preserve">6. Lėtinės kepenų ligos  K70–K77  </w:t>
                        </w:r>
                      </w:p>
                      <w:p>
                        <w:pPr>
                          <w:rPr>
                            <w:sz w:val="18"/>
                            <w:szCs w:val="18"/>
                          </w:rPr>
                        </w:pPr>
                        <w:r>
                          <w:rPr>
                            <w:sz w:val="18"/>
                            <w:szCs w:val="18"/>
                          </w:rPr>
                          <w:t xml:space="preserve">7. Lėtinės inkstų ligos  N00–N08, N10–N16, N17–N19, N20–N23</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otorinolaringologas, pulmonologas, gastroenterologas, dermatovenerologas,</w:t>
                        </w:r>
                      </w:p>
                      <w:p>
                        <w:pPr>
                          <w:rPr>
                            <w:sz w:val="18"/>
                            <w:szCs w:val="18"/>
                          </w:rPr>
                        </w:pPr>
                        <w:r>
                          <w:rPr>
                            <w:sz w:val="18"/>
                            <w:szCs w:val="18"/>
                          </w:rPr>
                          <w:t>nefrologas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1.53.2. alifatiniai neprisotintieji angliavandeniliai (etilenas, propilenas ir kt.) </w:t>
                        </w:r>
                      </w:p>
                    </w:tc>
                    <w:tc>
                      <w:tcPr>
                        <w:tcW w:w="1653" w:type="dxa"/>
                        <w:vMerge w:val="restart"/>
                      </w:tcPr>
                      <w:p>
                        <w:pPr>
                          <w:rPr>
                            <w:sz w:val="18"/>
                            <w:szCs w:val="18"/>
                          </w:rPr>
                        </w:pPr>
                        <w:r>
                          <w:rPr>
                            <w:sz w:val="18"/>
                            <w:szCs w:val="18"/>
                          </w:rPr>
                          <w:t>Polimerų ir kopolimerų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pacing w:val="-6"/>
                            <w:sz w:val="18"/>
                            <w:szCs w:val="18"/>
                          </w:rPr>
                        </w:pPr>
                        <w:r>
                          <w:rPr>
                            <w:spacing w:val="-6"/>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tabs>
                            <w:tab w:val="num" w:pos="286"/>
                          </w:tabs>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gastroenterologas, dermatovenerologas, </w:t>
                        </w:r>
                      </w:p>
                      <w:p>
                        <w:pPr>
                          <w:rPr>
                            <w:sz w:val="18"/>
                            <w:szCs w:val="18"/>
                          </w:rPr>
                        </w:pPr>
                        <w:r>
                          <w:rPr>
                            <w:sz w:val="18"/>
                            <w:szCs w:val="18"/>
                          </w:rPr>
                          <w:t>nefrologas, hematologas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1.53.3. amino dvibazės rūgštys (sebacino rūgštis, ftalio rūgštis ir kt.) diaminai (diamindifeniloksidas, diaminofenolis ir kt.) (J)</w:t>
                        </w:r>
                      </w:p>
                    </w:tc>
                    <w:tc>
                      <w:tcPr>
                        <w:tcW w:w="1653" w:type="dxa"/>
                        <w:vMerge w:val="restart"/>
                      </w:tcPr>
                      <w:p>
                        <w:pPr>
                          <w:rPr>
                            <w:sz w:val="18"/>
                            <w:szCs w:val="18"/>
                          </w:rPr>
                        </w:pPr>
                        <w:r>
                          <w:rPr>
                            <w:sz w:val="18"/>
                            <w:szCs w:val="18"/>
                          </w:rPr>
                          <w:t>Poliamidų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gastroenterologas, dermatovenerologas, nefrologas, hematologas</w:t>
                        </w:r>
                      </w:p>
                    </w:tc>
                    <w:tc>
                      <w:tcPr>
                        <w:tcW w:w="2755" w:type="dxa"/>
                      </w:tcPr>
                      <w:p>
                        <w:pPr>
                          <w:rPr>
                            <w:sz w:val="18"/>
                            <w:szCs w:val="18"/>
                          </w:rPr>
                        </w:pPr>
                        <w:r>
                          <w:rPr>
                            <w:sz w:val="18"/>
                            <w:szCs w:val="18"/>
                          </w:rPr>
                          <w:t>Esant indikacijų – klinikinis kraujo tyrimas</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1.53.4. epichlorhidrinas</w:t>
                        </w:r>
                      </w:p>
                      <w:p>
                        <w:pPr>
                          <w:rPr>
                            <w:sz w:val="18"/>
                            <w:szCs w:val="18"/>
                          </w:rPr>
                        </w:pPr>
                        <w:r>
                          <w:rPr>
                            <w:sz w:val="18"/>
                            <w:szCs w:val="18"/>
                          </w:rPr>
                          <w:t xml:space="preserve">(J, K, O) </w:t>
                        </w:r>
                      </w:p>
                    </w:tc>
                    <w:tc>
                      <w:tcPr>
                        <w:tcW w:w="1653" w:type="dxa"/>
                        <w:vMerge w:val="restart"/>
                      </w:tcPr>
                      <w:p>
                        <w:pPr>
                          <w:rPr>
                            <w:sz w:val="18"/>
                            <w:szCs w:val="18"/>
                          </w:rPr>
                        </w:pPr>
                        <w:r>
                          <w:rPr>
                            <w:sz w:val="18"/>
                            <w:szCs w:val="18"/>
                          </w:rPr>
                          <w:t>Epoksidinių dervų ir plastmasių jo pagrindu gamyba ir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Alerginės odos ligos  L23</w:t>
                        </w:r>
                      </w:p>
                      <w:p>
                        <w:pPr>
                          <w:tabs>
                            <w:tab w:val="num" w:pos="286"/>
                          </w:tabs>
                          <w:rPr>
                            <w:sz w:val="18"/>
                            <w:szCs w:val="18"/>
                          </w:rPr>
                        </w:pPr>
                        <w:r>
                          <w:rPr>
                            <w:sz w:val="18"/>
                            <w:szCs w:val="18"/>
                          </w:rPr>
                          <w:t>3.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1.53.5. Fenolis (O) ir formaldehidas</w:t>
                        </w:r>
                      </w:p>
                      <w:p>
                        <w:pPr>
                          <w:rPr>
                            <w:sz w:val="18"/>
                            <w:szCs w:val="18"/>
                          </w:rPr>
                        </w:pPr>
                        <w:r>
                          <w:rPr>
                            <w:sz w:val="18"/>
                            <w:szCs w:val="18"/>
                          </w:rPr>
                          <w:t>(Ū, J, K)</w:t>
                        </w:r>
                      </w:p>
                    </w:tc>
                    <w:tc>
                      <w:tcPr>
                        <w:tcW w:w="1653" w:type="dxa"/>
                        <w:vMerge w:val="restart"/>
                      </w:tcPr>
                      <w:p>
                        <w:pPr>
                          <w:rPr>
                            <w:sz w:val="18"/>
                            <w:szCs w:val="18"/>
                          </w:rPr>
                        </w:pPr>
                        <w:r>
                          <w:rPr>
                            <w:sz w:val="18"/>
                            <w:szCs w:val="18"/>
                          </w:rPr>
                          <w:t>Polimerų 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kepenų ligos K70–K77</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p>
                        <w:pPr>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gastroenterologas, nefrologas, dermatovenerologas, hematologas, pulmonologas, onkologas radioterapeutas, onkologas chemoterapeutas</w:t>
                        </w:r>
                      </w:p>
                    </w:tc>
                    <w:tc>
                      <w:tcPr>
                        <w:tcW w:w="2755" w:type="dxa"/>
                      </w:tcPr>
                      <w:p>
                        <w:pPr>
                          <w:rPr>
                            <w:sz w:val="18"/>
                            <w:szCs w:val="18"/>
                          </w:rPr>
                        </w:pPr>
                        <w:r>
                          <w:rPr>
                            <w:sz w:val="18"/>
                            <w:szCs w:val="18"/>
                          </w:rPr>
                          <w:t>Esant indikacijų – leukograma, baltymas kraujo serume, ALT, AST</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1.53.6. Fluoro organiniai junginiai (fluorofortas, fluorotanas ir kt.) </w:t>
                        </w:r>
                      </w:p>
                    </w:tc>
                    <w:tc>
                      <w:tcPr>
                        <w:tcW w:w="1653" w:type="dxa"/>
                        <w:vMerge w:val="restart"/>
                      </w:tcPr>
                      <w:p>
                        <w:pPr>
                          <w:rPr>
                            <w:sz w:val="18"/>
                            <w:szCs w:val="18"/>
                          </w:rPr>
                        </w:pPr>
                        <w:r>
                          <w:rPr>
                            <w:sz w:val="18"/>
                            <w:szCs w:val="18"/>
                          </w:rPr>
                          <w:t>Polimerų (fluoroplastų) ir kopolimerų gamyba; fluoroplastų šiluminis ir mechaninis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hipertrofinis laringitas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 J96.1</w:t>
                        </w:r>
                      </w:p>
                      <w:p>
                        <w:pPr>
                          <w:rPr>
                            <w:sz w:val="18"/>
                            <w:szCs w:val="18"/>
                          </w:rPr>
                        </w:pPr>
                        <w:r>
                          <w:rPr>
                            <w:sz w:val="18"/>
                            <w:szCs w:val="18"/>
                          </w:rPr>
                          <w:t xml:space="preserve">6. Lėtinės odos ligos  L02, L08, L10–L14, L20–L30, L40, L50–L54</w:t>
                        </w:r>
                      </w:p>
                      <w:p>
                        <w:pPr>
                          <w:rPr>
                            <w:sz w:val="18"/>
                            <w:szCs w:val="18"/>
                          </w:rPr>
                        </w:pPr>
                        <w:r>
                          <w:rPr>
                            <w:sz w:val="18"/>
                            <w:szCs w:val="18"/>
                          </w:rPr>
                          <w:t xml:space="preserve">7.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1.53.7. Silicio organiniai junginiai</w:t>
                        </w:r>
                      </w:p>
                    </w:tc>
                    <w:tc>
                      <w:tcPr>
                        <w:tcW w:w="1653" w:type="dxa"/>
                        <w:vMerge w:val="restart"/>
                      </w:tcPr>
                      <w:p>
                        <w:pPr>
                          <w:rPr>
                            <w:sz w:val="18"/>
                            <w:szCs w:val="18"/>
                          </w:rPr>
                        </w:pPr>
                        <w:r>
                          <w:rPr>
                            <w:sz w:val="18"/>
                            <w:szCs w:val="18"/>
                          </w:rPr>
                          <w:t>Dervų, lakų, skystų silikonų gamyba; polimerų, presavimo medžiagų perdirbimas; lakų, tepalų, dervų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Viršutinių kvėpavimo takų atrofiniai pakitimai. Hipertrofinis laringitas</w:t>
                        </w:r>
                        <w:r>
                          <w:rPr>
                            <w:b/>
                            <w:sz w:val="18"/>
                            <w:szCs w:val="18"/>
                          </w:rPr>
                          <w:t xml:space="preserve"> </w:t>
                        </w:r>
                        <w:r>
                          <w:rPr>
                            <w:sz w:val="18"/>
                            <w:szCs w:val="18"/>
                          </w:rPr>
                          <w:t>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5. Lėtinės kepenų ligos K70–K77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1.53.8. Stirenas (O) </w:t>
                        </w:r>
                      </w:p>
                    </w:tc>
                    <w:tc>
                      <w:tcPr>
                        <w:tcW w:w="1653" w:type="dxa"/>
                        <w:vMerge w:val="restart"/>
                      </w:tcPr>
                      <w:p>
                        <w:pPr>
                          <w:rPr>
                            <w:sz w:val="18"/>
                            <w:szCs w:val="18"/>
                          </w:rPr>
                        </w:pPr>
                        <w:r>
                          <w:rPr>
                            <w:sz w:val="18"/>
                            <w:szCs w:val="18"/>
                          </w:rPr>
                          <w:t>Stireno polimerų ir kopolimerų, polieterinių dervų, lakų ir klijų, stikloplastikų gamyba; dervų ir plastmasių perdirbimas; dervų lakų, klijų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leukograma, IKFT</w:t>
                        </w:r>
                      </w:p>
                    </w:tc>
                    <w:tc>
                      <w:tcPr>
                        <w:tcW w:w="2437" w:type="dxa"/>
                        <w:vMerge w:val="restart"/>
                      </w:tcPr>
                      <w:p>
                        <w:pPr>
                          <w:rPr>
                            <w:sz w:val="18"/>
                            <w:szCs w:val="18"/>
                          </w:rPr>
                        </w:pPr>
                        <w:r>
                          <w:rPr>
                            <w:sz w:val="18"/>
                            <w:szCs w:val="18"/>
                          </w:rPr>
                          <w:t xml:space="preserve">1. Kraujo ir kraujodaros organų ligos  D50–D53, D55–D59, D60–D64, D65–D69, D70–D77  </w:t>
                        </w:r>
                      </w:p>
                      <w:p>
                        <w:pPr>
                          <w:rPr>
                            <w:sz w:val="18"/>
                            <w:szCs w:val="18"/>
                          </w:rPr>
                        </w:pPr>
                        <w:r>
                          <w:rPr>
                            <w:sz w:val="18"/>
                            <w:szCs w:val="18"/>
                          </w:rPr>
                          <w:t>2. Astma J45</w:t>
                        </w:r>
                      </w:p>
                      <w:p>
                        <w:pPr>
                          <w:rPr>
                            <w:sz w:val="18"/>
                            <w:szCs w:val="18"/>
                          </w:rPr>
                        </w:pPr>
                        <w:r>
                          <w:rPr>
                            <w:sz w:val="18"/>
                            <w:szCs w:val="18"/>
                          </w:rPr>
                          <w:t xml:space="preserve">3. Lėtinės kepenų ligos  K70–K77</w:t>
                        </w: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 gastroenterologas, pulmonologas, radiologas</w:t>
                        </w:r>
                      </w:p>
                    </w:tc>
                    <w:tc>
                      <w:tcPr>
                        <w:tcW w:w="2755" w:type="dxa"/>
                      </w:tcPr>
                      <w:p>
                        <w:pPr>
                          <w:rPr>
                            <w:sz w:val="18"/>
                            <w:szCs w:val="18"/>
                          </w:rPr>
                        </w:pPr>
                        <w:r>
                          <w:rPr>
                            <w:sz w:val="18"/>
                            <w:szCs w:val="18"/>
                          </w:rPr>
                          <w:t xml:space="preserve">Esant indikacijų –krūtinės ląstos rentgenograma,  baltymas kraujo serume, ALT, AST </w:t>
                        </w:r>
                      </w:p>
                    </w:tc>
                    <w:tc>
                      <w:tcPr>
                        <w:tcW w:w="2437" w:type="dxa"/>
                        <w:vMerge/>
                      </w:tcPr>
                      <w:p>
                        <w:pPr>
                          <w:rPr>
                            <w:sz w:val="18"/>
                            <w:szCs w:val="18"/>
                          </w:rPr>
                        </w:pPr>
                      </w:p>
                    </w:tc>
                  </w:tr>
                  <w:tr>
                    <w:trPr>
                      <w:trHeight w:val="5181"/>
                    </w:trPr>
                    <w:tc>
                      <w:tcPr>
                        <w:tcW w:w="2447" w:type="dxa"/>
                      </w:tcPr>
                      <w:p>
                        <w:pPr>
                          <w:rPr>
                            <w:sz w:val="18"/>
                            <w:szCs w:val="18"/>
                          </w:rPr>
                        </w:pPr>
                        <w:r>
                          <w:rPr>
                            <w:sz w:val="18"/>
                            <w:szCs w:val="18"/>
                          </w:rPr>
                          <w:t>1.53.9. Vinilchlorido monomeras (toliau – VCM) , (K, O) vinilchloridas, chloretenas, chloretilenas</w:t>
                        </w:r>
                      </w:p>
                    </w:tc>
                    <w:tc>
                      <w:tcPr>
                        <w:tcW w:w="1653" w:type="dxa"/>
                      </w:tcPr>
                      <w:p>
                        <w:pPr>
                          <w:rPr>
                            <w:sz w:val="18"/>
                            <w:szCs w:val="18"/>
                          </w:rPr>
                        </w:pPr>
                        <w:r>
                          <w:rPr>
                            <w:sz w:val="18"/>
                            <w:szCs w:val="18"/>
                          </w:rPr>
                          <w:t>Polivinilchlorido naudojimas, procesai, susiję su VCM monomero išsiskyrimu</w:t>
                        </w:r>
                      </w:p>
                    </w:tc>
                    <w:tc>
                      <w:tcPr>
                        <w:tcW w:w="1402" w:type="dxa"/>
                      </w:tcPr>
                      <w:p>
                        <w:pPr>
                          <w:rPr>
                            <w:sz w:val="18"/>
                            <w:szCs w:val="18"/>
                          </w:rPr>
                        </w:pPr>
                        <w:r>
                          <w:rPr>
                            <w:sz w:val="18"/>
                            <w:szCs w:val="18"/>
                          </w:rPr>
                          <w:t>1 kartą per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p>
                        <w:pPr>
                          <w:rPr>
                            <w:sz w:val="18"/>
                            <w:szCs w:val="18"/>
                          </w:rPr>
                        </w:pPr>
                        <w:r>
                          <w:rPr>
                            <w:sz w:val="18"/>
                            <w:szCs w:val="18"/>
                          </w:rPr>
                          <w:t>Esant indikacijų – onkologas radioterapeutas, onkologas chemoterapeutas, hematologas,</w:t>
                        </w:r>
                      </w:p>
                      <w:p>
                        <w:pPr>
                          <w:rPr>
                            <w:sz w:val="18"/>
                            <w:szCs w:val="18"/>
                          </w:rPr>
                        </w:pPr>
                        <w:r>
                          <w:rPr>
                            <w:sz w:val="18"/>
                            <w:szCs w:val="18"/>
                          </w:rPr>
                          <w:t>neurologas, dermatovenerologas, endokrinologas, psichiatras, pulmonologas</w:t>
                        </w:r>
                      </w:p>
                    </w:tc>
                    <w:tc>
                      <w:tcPr>
                        <w:tcW w:w="2755" w:type="dxa"/>
                      </w:tcPr>
                      <w:p>
                        <w:pPr>
                          <w:rPr>
                            <w:sz w:val="18"/>
                            <w:szCs w:val="18"/>
                          </w:rPr>
                        </w:pPr>
                        <w:r>
                          <w:rPr>
                            <w:sz w:val="18"/>
                            <w:szCs w:val="18"/>
                          </w:rPr>
                          <w:t>Kraujo tyrimas hematologiniu analizatoriumi (eritrocitai, hemoglobinas, leukocitai, trombocitai), ENG, leukograma, gliukozės kiekis kraujyje, KLR, IKFT, baltymas kraujo serume, ALT, AST</w:t>
                        </w:r>
                      </w:p>
                      <w:p>
                        <w:pPr>
                          <w:rPr>
                            <w:sz w:val="18"/>
                            <w:szCs w:val="18"/>
                          </w:rPr>
                        </w:pPr>
                        <w:r>
                          <w:rPr>
                            <w:sz w:val="18"/>
                            <w:szCs w:val="18"/>
                          </w:rPr>
                          <w:t>Esant indikacijų –rankų kaulų rentgenologinis tyrimas</w:t>
                        </w:r>
                      </w:p>
                    </w:tc>
                    <w:tc>
                      <w:tcPr>
                        <w:tcW w:w="2437" w:type="dxa"/>
                      </w:tcPr>
                      <w:p>
                        <w:pPr>
                          <w:rPr>
                            <w:sz w:val="18"/>
                            <w:szCs w:val="18"/>
                          </w:rPr>
                        </w:pPr>
                        <w:r>
                          <w:rPr>
                            <w:sz w:val="18"/>
                            <w:szCs w:val="18"/>
                          </w:rPr>
                          <w:t>1. Obliteruojantis endarteritas, Raynaud sindromas I70–I73.0</w:t>
                        </w:r>
                      </w:p>
                      <w:p>
                        <w:pPr>
                          <w:tabs>
                            <w:tab w:val="num" w:pos="720"/>
                          </w:tabs>
                          <w:rPr>
                            <w:sz w:val="18"/>
                            <w:szCs w:val="18"/>
                          </w:rPr>
                        </w:pPr>
                        <w:r>
                          <w:rPr>
                            <w:sz w:val="18"/>
                            <w:szCs w:val="18"/>
                          </w:rPr>
                          <w:t>2. Galūnių polineuropatijos G60–G64</w:t>
                        </w:r>
                      </w:p>
                      <w:p>
                        <w:pPr>
                          <w:tabs>
                            <w:tab w:val="num" w:pos="720"/>
                          </w:tabs>
                          <w:rPr>
                            <w:sz w:val="18"/>
                            <w:szCs w:val="18"/>
                          </w:rPr>
                        </w:pPr>
                        <w:r>
                          <w:rPr>
                            <w:sz w:val="18"/>
                            <w:szCs w:val="18"/>
                          </w:rPr>
                          <w:t>3. Lėtinės obstrukcinės plaučių ligos J44–J47</w:t>
                        </w:r>
                      </w:p>
                      <w:p>
                        <w:pPr>
                          <w:tabs>
                            <w:tab w:val="num" w:pos="720"/>
                          </w:tabs>
                          <w:rPr>
                            <w:sz w:val="18"/>
                            <w:szCs w:val="18"/>
                          </w:rPr>
                        </w:pPr>
                        <w:r>
                          <w:rPr>
                            <w:sz w:val="18"/>
                            <w:szCs w:val="18"/>
                          </w:rPr>
                          <w:t>4. Astma J45</w:t>
                        </w:r>
                      </w:p>
                      <w:p>
                        <w:pPr>
                          <w:tabs>
                            <w:tab w:val="num" w:pos="720"/>
                          </w:tabs>
                          <w:rPr>
                            <w:sz w:val="18"/>
                            <w:szCs w:val="18"/>
                          </w:rPr>
                        </w:pPr>
                        <w:r>
                          <w:rPr>
                            <w:sz w:val="18"/>
                            <w:szCs w:val="18"/>
                          </w:rPr>
                          <w:t>5. Lėtinis kvėpavimo nepakankamumas I–II° J96.1</w:t>
                        </w:r>
                      </w:p>
                      <w:p>
                        <w:pPr>
                          <w:tabs>
                            <w:tab w:val="num" w:pos="720"/>
                          </w:tabs>
                          <w:rPr>
                            <w:sz w:val="18"/>
                            <w:szCs w:val="18"/>
                          </w:rPr>
                        </w:pPr>
                        <w:r>
                          <w:rPr>
                            <w:sz w:val="18"/>
                            <w:szCs w:val="18"/>
                          </w:rPr>
                          <w:t xml:space="preserve">6.Cukrinis diabetas  E10–E14</w:t>
                        </w:r>
                      </w:p>
                      <w:p>
                        <w:pPr>
                          <w:tabs>
                            <w:tab w:val="num" w:pos="720"/>
                          </w:tabs>
                          <w:rPr>
                            <w:sz w:val="18"/>
                            <w:szCs w:val="18"/>
                          </w:rPr>
                        </w:pPr>
                        <w:r>
                          <w:rPr>
                            <w:sz w:val="18"/>
                            <w:szCs w:val="18"/>
                          </w:rPr>
                          <w:t xml:space="preserve">7. Kraujo ir kraujodaros organų ligos  D50–D53, D55–D59, D60–D64, D65–D69, D70–D77  </w:t>
                        </w:r>
                      </w:p>
                      <w:p>
                        <w:pPr>
                          <w:tabs>
                            <w:tab w:val="num" w:pos="720"/>
                          </w:tabs>
                          <w:rPr>
                            <w:sz w:val="18"/>
                            <w:szCs w:val="18"/>
                          </w:rPr>
                        </w:pPr>
                        <w:r>
                          <w:rPr>
                            <w:sz w:val="18"/>
                            <w:szCs w:val="18"/>
                          </w:rPr>
                          <w:t xml:space="preserve">8. Lėtinės odos ligos, sklerodermija  L02, L08, L10–L14, L20–L30, L40, L50–L54, M34</w:t>
                        </w:r>
                      </w:p>
                      <w:p>
                        <w:pPr>
                          <w:tabs>
                            <w:tab w:val="num" w:pos="720"/>
                          </w:tabs>
                          <w:rPr>
                            <w:sz w:val="18"/>
                            <w:szCs w:val="18"/>
                          </w:rPr>
                        </w:pPr>
                        <w:r>
                          <w:rPr>
                            <w:sz w:val="18"/>
                            <w:szCs w:val="18"/>
                          </w:rPr>
                          <w:t xml:space="preserve">9. Alkoholizmas, narkomanija, toksikomanija  F10–F19</w:t>
                        </w:r>
                      </w:p>
                      <w:p>
                        <w:pPr>
                          <w:tabs>
                            <w:tab w:val="num" w:pos="720"/>
                          </w:tabs>
                          <w:rPr>
                            <w:sz w:val="18"/>
                            <w:szCs w:val="18"/>
                          </w:rPr>
                        </w:pPr>
                        <w:r>
                          <w:rPr>
                            <w:sz w:val="18"/>
                            <w:szCs w:val="18"/>
                          </w:rPr>
                          <w:t xml:space="preserve">10. Lėtinės kepenų ligos  K70–K77</w:t>
                        </w:r>
                      </w:p>
                      <w:p>
                        <w:pPr>
                          <w:tabs>
                            <w:tab w:val="num" w:pos="720"/>
                          </w:tabs>
                          <w:rPr>
                            <w:sz w:val="18"/>
                            <w:szCs w:val="18"/>
                          </w:rPr>
                        </w:pPr>
                        <w:r>
                          <w:rPr>
                            <w:sz w:val="18"/>
                            <w:szCs w:val="18"/>
                          </w:rPr>
                          <w:t>11. Navikiniai susirgimai anamnezėje C00–D48</w:t>
                        </w:r>
                      </w:p>
                    </w:tc>
                  </w:tr>
                  <w:tr>
                    <w:trPr>
                      <w:trHeight w:val="142"/>
                    </w:trPr>
                    <w:tc>
                      <w:tcPr>
                        <w:tcW w:w="2447" w:type="dxa"/>
                        <w:vMerge w:val="restart"/>
                      </w:tcPr>
                      <w:p>
                        <w:pPr>
                          <w:rPr>
                            <w:sz w:val="18"/>
                            <w:szCs w:val="18"/>
                          </w:rPr>
                        </w:pPr>
                        <w:r>
                          <w:rPr>
                            <w:sz w:val="18"/>
                            <w:szCs w:val="18"/>
                          </w:rPr>
                          <w:t>1.54. Retieji žemės elementai (lantanas, cezis, kandis, erbis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tabs>
                            <w:tab w:val="num" w:pos="286"/>
                          </w:tabs>
                          <w:rPr>
                            <w:sz w:val="18"/>
                            <w:szCs w:val="18"/>
                          </w:rPr>
                        </w:pPr>
                        <w:r>
                          <w:rPr>
                            <w:sz w:val="18"/>
                            <w:szCs w:val="18"/>
                          </w:rPr>
                          <w:t>3. Lėtinis kvėpavimo nepakankamumas I–II</w:t>
                          <w:sym w:font="Symbol" w:char="F0B0"/>
                          <w:t xml:space="preserve">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1.55. Selenas, telūras ir jų junginiai</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radiologas, pulmonologas, dermatovenerologas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1.56. Siera ir jos junginiai (sieros ir sulfitinė rūgštys, sieros dioksidas (Ū), sieros trioksidas, sieros vandenilis ir kt.) (F, Ū) </w:t>
                        </w:r>
                      </w:p>
                    </w:tc>
                    <w:tc>
                      <w:tcPr>
                        <w:tcW w:w="1653" w:type="dxa"/>
                        <w:vMerge w:val="restart"/>
                      </w:tcPr>
                      <w:p>
                        <w:pPr>
                          <w:rPr>
                            <w:sz w:val="18"/>
                            <w:szCs w:val="18"/>
                          </w:rPr>
                        </w:pPr>
                        <w:r>
                          <w:rPr>
                            <w:sz w:val="18"/>
                            <w:szCs w:val="18"/>
                          </w:rPr>
                          <w:t>Gamyba, 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IKFT, KLR </w:t>
                        </w:r>
                      </w:p>
                    </w:tc>
                    <w:tc>
                      <w:tcPr>
                        <w:tcW w:w="2437" w:type="dxa"/>
                        <w:vMerge w:val="restart"/>
                      </w:tcPr>
                      <w:p>
                        <w:pPr>
                          <w:rPr>
                            <w:sz w:val="18"/>
                            <w:szCs w:val="18"/>
                          </w:rPr>
                        </w:pPr>
                        <w:r>
                          <w:rPr>
                            <w:sz w:val="18"/>
                            <w:szCs w:val="18"/>
                          </w:rPr>
                          <w:t>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1.57. Skalūnų dervos</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Astma J45</w:t>
                        </w:r>
                      </w:p>
                      <w:p>
                        <w:pPr>
                          <w:rPr>
                            <w:sz w:val="18"/>
                            <w:szCs w:val="18"/>
                          </w:rPr>
                        </w:pPr>
                        <w:r>
                          <w:rPr>
                            <w:sz w:val="18"/>
                            <w:szCs w:val="18"/>
                          </w:rPr>
                          <w:t xml:space="preserve">3. Lėtinės odos ligos, fotodermatozės, diskeratozės, seborėjinis dermatitas  L02, L08, L10–L14, L20–L30, L40, L50–L54, L56, L21, L80, L84–L85</w:t>
                        </w:r>
                      </w:p>
                      <w:p>
                        <w:pPr>
                          <w:rPr>
                            <w:sz w:val="18"/>
                            <w:szCs w:val="18"/>
                          </w:rPr>
                        </w:pPr>
                        <w:r>
                          <w:rPr>
                            <w:sz w:val="18"/>
                            <w:szCs w:val="18"/>
                          </w:rPr>
                          <w:t xml:space="preserve">4.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onkologas radioterapeutas, onkologas chemoterapeutas, pulmonologas, </w:t>
                        </w:r>
                      </w:p>
                      <w:p>
                        <w:pPr>
                          <w:rPr>
                            <w:sz w:val="18"/>
                            <w:szCs w:val="18"/>
                          </w:rPr>
                        </w:pPr>
                        <w:r>
                          <w:rPr>
                            <w:sz w:val="18"/>
                            <w:szCs w:val="18"/>
                          </w:rPr>
                          <w:t>otorinolaringologas,</w:t>
                        </w:r>
                      </w:p>
                      <w:p>
                        <w:pPr>
                          <w:rPr>
                            <w:sz w:val="18"/>
                            <w:szCs w:val="18"/>
                          </w:rPr>
                        </w:pPr>
                        <w:r>
                          <w:rPr>
                            <w:sz w:val="18"/>
                            <w:szCs w:val="18"/>
                          </w:rPr>
                          <w:t>oftalmologas,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1.58. Sintetinės skalbimo priemonės (J)</w:t>
                        </w:r>
                      </w:p>
                    </w:tc>
                    <w:tc>
                      <w:tcPr>
                        <w:tcW w:w="1653" w:type="dxa"/>
                        <w:vMerge w:val="restart"/>
                      </w:tcPr>
                      <w:p>
                        <w:pPr>
                          <w:rPr>
                            <w:sz w:val="18"/>
                            <w:szCs w:val="18"/>
                          </w:rPr>
                        </w:pPr>
                        <w:r>
                          <w:rPr>
                            <w:sz w:val="18"/>
                            <w:szCs w:val="18"/>
                          </w:rPr>
                          <w:t>Naudojimas, gamyba</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 J96.1</w:t>
                        </w:r>
                      </w:p>
                      <w:p>
                        <w:pPr>
                          <w:rPr>
                            <w:sz w:val="18"/>
                            <w:szCs w:val="18"/>
                          </w:rPr>
                        </w:pPr>
                        <w:r>
                          <w:rPr>
                            <w:sz w:val="18"/>
                            <w:szCs w:val="18"/>
                          </w:rPr>
                          <w:t>4. Atrofiniai viršutinių kvėpavimo takų pakitimai J30–J31, J37–J39</w:t>
                        </w:r>
                      </w:p>
                      <w:p>
                        <w:pPr>
                          <w:rPr>
                            <w:sz w:val="18"/>
                            <w:szCs w:val="18"/>
                          </w:rPr>
                        </w:pPr>
                        <w:r>
                          <w:rPr>
                            <w:sz w:val="18"/>
                            <w:szCs w:val="18"/>
                          </w:rPr>
                          <w:t>5.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dermatovenerologas, </w:t>
                        </w:r>
                      </w:p>
                      <w:p>
                        <w:pPr>
                          <w:rPr>
                            <w:sz w:val="18"/>
                            <w:szCs w:val="18"/>
                          </w:rPr>
                        </w:pPr>
                        <w:r>
                          <w:rPr>
                            <w:sz w:val="18"/>
                            <w:szCs w:val="18"/>
                          </w:rPr>
                          <w:t>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1.59. Stibis ir jo junginiai (stibio oksidas, stibio chloridas, stibio jodidas, stibio fluoridas ir kt.)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1.60. Sintetinis kaučiukas (butadieninis, poliizopreninis, polichlorpreninis)</w:t>
                        </w:r>
                      </w:p>
                    </w:tc>
                    <w:tc>
                      <w:tcPr>
                        <w:tcW w:w="1653" w:type="dxa"/>
                        <w:vMerge w:val="restart"/>
                      </w:tcPr>
                      <w:p>
                        <w:pPr>
                          <w:rPr>
                            <w:sz w:val="18"/>
                            <w:szCs w:val="18"/>
                          </w:rPr>
                        </w:pPr>
                        <w:r>
                          <w:rPr>
                            <w:sz w:val="18"/>
                            <w:szCs w:val="18"/>
                          </w:rPr>
                          <w:t>Naudojimas, vulkanizavimas,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Astma J45</w:t>
                        </w:r>
                      </w:p>
                      <w:p>
                        <w:pPr>
                          <w:tabs>
                            <w:tab w:val="num" w:pos="286"/>
                          </w:tabs>
                          <w:rPr>
                            <w:sz w:val="18"/>
                            <w:szCs w:val="18"/>
                          </w:rPr>
                        </w:pPr>
                        <w:r>
                          <w:rPr>
                            <w:sz w:val="18"/>
                            <w:szCs w:val="18"/>
                          </w:rPr>
                          <w:t xml:space="preserve">2.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1.61. Švinas ir jo neorganiniai junginiai (R)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vMerge w:val="restart"/>
                      </w:tcPr>
                      <w:p>
                        <w:pPr>
                          <w:rPr>
                            <w:sz w:val="18"/>
                            <w:szCs w:val="18"/>
                          </w:rPr>
                        </w:pPr>
                        <w:r>
                          <w:rPr>
                            <w:sz w:val="18"/>
                            <w:szCs w:val="18"/>
                          </w:rPr>
                          <w:t xml:space="preserve">Kraujo tyrimas hematologiniu analizatoriumi (eritrocitai, eritrocitai su bazofiliniu grūdėtumu, hemoglobinas, retikuliocitų kiekis leukocitai, trombocitai), ENG, šlapimo tyrimas  analizatoriumi </w:t>
                        </w:r>
                      </w:p>
                    </w:tc>
                    <w:tc>
                      <w:tcPr>
                        <w:tcW w:w="2437" w:type="dxa"/>
                        <w:vMerge w:val="restart"/>
                      </w:tcPr>
                      <w:p>
                        <w:pPr>
                          <w:rPr>
                            <w:sz w:val="18"/>
                            <w:szCs w:val="18"/>
                          </w:rPr>
                        </w:pPr>
                        <w:r>
                          <w:rPr>
                            <w:sz w:val="18"/>
                            <w:szCs w:val="18"/>
                          </w:rPr>
                          <w:t xml:space="preserve">1. Lėtinės kepenų ligos  K70–K77</w:t>
                        </w:r>
                      </w:p>
                      <w:p>
                        <w:pPr>
                          <w:rPr>
                            <w:sz w:val="18"/>
                            <w:szCs w:val="18"/>
                          </w:rPr>
                        </w:pPr>
                        <w:r>
                          <w:rPr>
                            <w:sz w:val="18"/>
                            <w:szCs w:val="18"/>
                          </w:rPr>
                          <w:t xml:space="preserve">2. Kraujo ir kraujodaros organų ligos  D50–D53, D55–D59, D60–D64, D65–D69, D70–D77 </w:t>
                        </w:r>
                      </w:p>
                      <w:p>
                        <w:pPr>
                          <w:rPr>
                            <w:sz w:val="18"/>
                            <w:szCs w:val="18"/>
                          </w:rPr>
                        </w:pPr>
                        <w:r>
                          <w:rPr>
                            <w:sz w:val="18"/>
                            <w:szCs w:val="18"/>
                          </w:rPr>
                          <w:t>3. Galūnių polineuropatijos G60–G64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w:t>
                        </w:r>
                      </w:p>
                    </w:tc>
                    <w:tc>
                      <w:tcPr>
                        <w:tcW w:w="2755" w:type="dxa"/>
                        <w:vMerge/>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pageBreakBefore/>
                          <w:rPr>
                            <w:sz w:val="18"/>
                            <w:szCs w:val="18"/>
                          </w:rPr>
                        </w:pPr>
                        <w:r>
                          <w:rPr>
                            <w:sz w:val="18"/>
                            <w:szCs w:val="18"/>
                          </w:rPr>
                          <w:t>1.62. Suvirinimo aerozoliai:</w:t>
                        </w:r>
                      </w:p>
                    </w:tc>
                  </w:tr>
                  <w:tr>
                    <w:trPr>
                      <w:trHeight w:val="142"/>
                    </w:trPr>
                    <w:tc>
                      <w:tcPr>
                        <w:tcW w:w="2447" w:type="dxa"/>
                        <w:vMerge w:val="restart"/>
                      </w:tcPr>
                      <w:p>
                        <w:pPr>
                          <w:rPr>
                            <w:sz w:val="18"/>
                            <w:szCs w:val="18"/>
                          </w:rPr>
                        </w:pPr>
                        <w:r>
                          <w:rPr>
                            <w:sz w:val="18"/>
                            <w:szCs w:val="18"/>
                          </w:rPr>
                          <w:t xml:space="preserve">1.62.1. turintys, nikelio, chromo, fluoro junginių, berilio, švino (J, K, R); </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w:t>
                        </w:r>
                      </w:p>
                      <w:p>
                        <w:pPr>
                          <w:rPr>
                            <w:sz w:val="18"/>
                            <w:szCs w:val="18"/>
                          </w:rPr>
                        </w:pPr>
                        <w:r>
                          <w:rPr>
                            <w:sz w:val="18"/>
                            <w:szCs w:val="18"/>
                          </w:rPr>
                          <w:t>dermatovenerologas,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1.62.2. turintys mangano, aliuminio, titano, vario, cinko, molibdeno, vanadžio, volframo</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8. Galūnių polineuropatijos G60–G64</w:t>
                        </w:r>
                      </w:p>
                      <w:p>
                        <w:pPr>
                          <w:rPr>
                            <w:sz w:val="18"/>
                            <w:szCs w:val="18"/>
                          </w:rPr>
                        </w:pPr>
                        <w:r>
                          <w:rPr>
                            <w:sz w:val="18"/>
                            <w:szCs w:val="18"/>
                          </w:rPr>
                          <w:t>9. CNS ligos G00–G09, G10–G13, G30–G32</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neurologas,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1.63. Talis ir jo junginiai (talio bromidas, talio jodidas, talio chloridas, talio hidroksidas, talio nitratas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Lėtinis gingivitas, stomatitas, paradontozė  K05.1,  K12, K05.3</w:t>
                        </w:r>
                      </w:p>
                      <w:p>
                        <w:pPr>
                          <w:rPr>
                            <w:sz w:val="18"/>
                            <w:szCs w:val="18"/>
                          </w:rPr>
                        </w:pPr>
                        <w:r>
                          <w:rPr>
                            <w:sz w:val="18"/>
                            <w:szCs w:val="18"/>
                          </w:rPr>
                          <w:t xml:space="preserve">3. Priekinės akių dalies ligos (vokų, junginės, ragenos, ašarų takų)  H00–H06, H10–H13, H15–H20</w:t>
                        </w:r>
                      </w:p>
                      <w:p>
                        <w:pPr>
                          <w:rPr>
                            <w:sz w:val="18"/>
                            <w:szCs w:val="18"/>
                          </w:rPr>
                        </w:pPr>
                        <w:r>
                          <w:rPr>
                            <w:sz w:val="18"/>
                            <w:szCs w:val="18"/>
                          </w:rPr>
                          <w:t xml:space="preserve">4. Viršutinių kvėpavimo takų atrofiniai pakitimai   J30–J31, J37–J39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 xml:space="preserve">neurologas, </w:t>
                        </w:r>
                      </w:p>
                      <w:p>
                        <w:pPr>
                          <w:rPr>
                            <w:sz w:val="18"/>
                            <w:szCs w:val="18"/>
                          </w:rPr>
                        </w:pPr>
                        <w:r>
                          <w:rPr>
                            <w:sz w:val="18"/>
                            <w:szCs w:val="18"/>
                          </w:rPr>
                          <w:t>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1.64. Taurieji metalai (auksas, sidabras, jų junginiai ir lydiniai) (J) </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obstrukcinės plaučių ligos J44–J47</w:t>
                        </w:r>
                      </w:p>
                      <w:p>
                        <w:pPr>
                          <w:rPr>
                            <w:sz w:val="18"/>
                            <w:szCs w:val="18"/>
                          </w:rPr>
                        </w:pPr>
                        <w:r>
                          <w:rPr>
                            <w:sz w:val="18"/>
                            <w:szCs w:val="18"/>
                          </w:rPr>
                          <w:t>4.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1.65. Tetraetilšvinas (R,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CNS ligos  G00–G09, G10–G13, G30–G32</w:t>
                        </w:r>
                      </w:p>
                      <w:p>
                        <w:pPr>
                          <w:tabs>
                            <w:tab w:val="num" w:pos="286"/>
                          </w:tabs>
                          <w:rPr>
                            <w:sz w:val="18"/>
                            <w:szCs w:val="18"/>
                          </w:rPr>
                        </w:pPr>
                        <w:r>
                          <w:rPr>
                            <w:sz w:val="18"/>
                            <w:szCs w:val="18"/>
                          </w:rPr>
                          <w:t xml:space="preserve">3.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1.66. Tetranatrioetilendiamintetraacetatas</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Lėtinės  obstrukcinės plaučių ligos J44–J47</w:t>
                        </w:r>
                      </w:p>
                      <w:p>
                        <w:pPr>
                          <w:rPr>
                            <w:sz w:val="18"/>
                            <w:szCs w:val="18"/>
                          </w:rPr>
                        </w:pPr>
                        <w:r>
                          <w:rPr>
                            <w:sz w:val="18"/>
                            <w:szCs w:val="18"/>
                          </w:rPr>
                          <w:t>3.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–pulmonologas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1.67. Urzolis ir urzoliniai dažai (J) </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4. Lėtinis kvėpavimo nepakankamumas I–II? J96.1</w:t>
                        </w:r>
                      </w:p>
                      <w:p>
                        <w:pPr>
                          <w:rPr>
                            <w:sz w:val="18"/>
                            <w:szCs w:val="18"/>
                          </w:rPr>
                        </w:pPr>
                        <w:r>
                          <w:rPr>
                            <w:sz w:val="18"/>
                            <w:szCs w:val="18"/>
                          </w:rPr>
                          <w:t xml:space="preserve">5. Akių ligos (vokų, junginės, ragenos, ašarų takų)  H00–H06, H10–H13, H15–H20</w:t>
                        </w:r>
                      </w:p>
                      <w:p>
                        <w:pPr>
                          <w:rPr>
                            <w:sz w:val="18"/>
                            <w:szCs w:val="18"/>
                          </w:rPr>
                        </w:pPr>
                        <w:r>
                          <w:rPr>
                            <w:sz w:val="18"/>
                            <w:szCs w:val="18"/>
                          </w:rPr>
                          <w:t>6.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1.68. Vandenilio peroksidas (Ū)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dermatovenerologas,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1.69. Kitos pavojingos cheminės medžiagos, neišvardytos šiame sąraše ir naudojamos Lietuvoje</w:t>
                        </w:r>
                      </w:p>
                    </w:tc>
                    <w:tc>
                      <w:tcPr>
                        <w:tcW w:w="1653" w:type="dxa"/>
                        <w:vMerge w:val="restart"/>
                      </w:tcPr>
                      <w:p>
                        <w:pPr>
                          <w:rPr>
                            <w:sz w:val="18"/>
                            <w:szCs w:val="18"/>
                          </w:rPr>
                        </w:pP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Viršutinių kvėpavimo takų atrofiniai pakitimai, nosies pertvaros iškrypimai ir nosies kvėpavimo funkcijos sutrikimas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 xml:space="preserve">8. Lėtinės kepenų ligos  K70–K77</w:t>
                        </w:r>
                      </w:p>
                      <w:p>
                        <w:pPr>
                          <w:rPr>
                            <w:sz w:val="18"/>
                            <w:szCs w:val="18"/>
                          </w:rPr>
                        </w:pPr>
                        <w:r>
                          <w:rPr>
                            <w:sz w:val="18"/>
                            <w:szCs w:val="18"/>
                          </w:rPr>
                          <w:t xml:space="preserve">9. Lėtinės inkstų ligos  N00–N08, N10–N16, N17–N19, N20–N23</w:t>
                        </w:r>
                      </w:p>
                      <w:p>
                        <w:pPr>
                          <w:rPr>
                            <w:sz w:val="18"/>
                            <w:szCs w:val="18"/>
                          </w:rPr>
                        </w:pPr>
                        <w:r>
                          <w:rPr>
                            <w:sz w:val="18"/>
                            <w:szCs w:val="18"/>
                          </w:rPr>
                          <w:t xml:space="preserve">10.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 dermatovenerologas, nefrologas, gastroenterologas, hematologas, radiologas,</w:t>
                        </w:r>
                      </w:p>
                      <w:p>
                        <w:pPr>
                          <w:rPr>
                            <w:sz w:val="18"/>
                            <w:szCs w:val="18"/>
                          </w:rPr>
                        </w:pPr>
                        <w:r>
                          <w:rPr>
                            <w:sz w:val="18"/>
                            <w:szCs w:val="18"/>
                          </w:rPr>
                          <w:t xml:space="preserve">klinikinės imunologijos ir alergologijos gydytojas, </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35"/>
                    <w:gridCol w:w="1665"/>
                    <w:gridCol w:w="1402"/>
                    <w:gridCol w:w="1923"/>
                    <w:gridCol w:w="2090"/>
                    <w:gridCol w:w="2969"/>
                    <w:gridCol w:w="2215"/>
                    <w:gridCol w:w="8"/>
                  </w:tblGrid>
                  <w:tr>
                    <w:tc>
                      <w:tcPr>
                        <w:tcW w:w="14707" w:type="dxa"/>
                        <w:gridSpan w:val="8"/>
                      </w:tcPr>
                      <w:p>
                        <w:pPr>
                          <w:jc w:val="center"/>
                          <w:rPr>
                            <w:sz w:val="18"/>
                            <w:szCs w:val="18"/>
                          </w:rPr>
                        </w:pPr>
                        <w:r>
                          <w:rPr>
                            <w:sz w:val="18"/>
                            <w:szCs w:val="18"/>
                          </w:rPr>
                          <w:t>2. BIOLOGINIAI VEIKSNIAI</w:t>
                        </w:r>
                      </w:p>
                    </w:tc>
                  </w:tr>
                  <w:tr>
                    <w:trPr>
                      <w:gridAfter w:val="1"/>
                      <w:wAfter w:w="8" w:type="dxa"/>
                      <w:trHeight w:val="1861"/>
                    </w:trPr>
                    <w:tc>
                      <w:tcPr>
                        <w:tcW w:w="2435" w:type="dxa"/>
                        <w:vMerge w:val="restart"/>
                      </w:tcPr>
                      <w:p>
                        <w:pPr>
                          <w:rPr>
                            <w:sz w:val="18"/>
                            <w:szCs w:val="18"/>
                          </w:rPr>
                        </w:pPr>
                        <w:r>
                          <w:rPr>
                            <w:sz w:val="18"/>
                            <w:szCs w:val="18"/>
                          </w:rPr>
                          <w:t>2.1. Alergenai, skirti diagnostikai ir gydymui; kraujo preparatai, imunobiologiniai preparatai</w:t>
                        </w:r>
                      </w:p>
                    </w:tc>
                    <w:tc>
                      <w:tcPr>
                        <w:tcW w:w="1665" w:type="dxa"/>
                        <w:vMerge w:val="restart"/>
                      </w:tcPr>
                      <w:p>
                        <w:pPr>
                          <w:rPr>
                            <w:sz w:val="18"/>
                            <w:szCs w:val="18"/>
                          </w:rPr>
                        </w:pPr>
                        <w:r>
                          <w:rPr>
                            <w:sz w:val="18"/>
                            <w:szCs w:val="18"/>
                          </w:rPr>
                          <w:t xml:space="preserve">Gamyba </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 xml:space="preserve">2. Lėtinės plaučių ligos </w:t>
                          <w:br/>
                          <w:t>J44–J47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5.Lėtinės kepenų ligos K70–K77</w:t>
                        </w:r>
                      </w:p>
                      <w:p>
                        <w:pPr>
                          <w:rPr>
                            <w:sz w:val="18"/>
                            <w:szCs w:val="18"/>
                          </w:rPr>
                        </w:pPr>
                        <w:r>
                          <w:rPr>
                            <w:sz w:val="18"/>
                            <w:szCs w:val="18"/>
                          </w:rPr>
                          <w:t>6. Lėtinės inkstų ligos N00–N08, N10–N23</w:t>
                        </w:r>
                      </w:p>
                      <w:p>
                        <w:pPr>
                          <w:rPr>
                            <w:sz w:val="18"/>
                            <w:szCs w:val="18"/>
                          </w:rPr>
                        </w:pPr>
                        <w:r>
                          <w:rPr>
                            <w:sz w:val="18"/>
                            <w:szCs w:val="18"/>
                            <w:lang w:val="fr-FR"/>
                          </w:rPr>
                          <w:t>7. Navikiniai susirgimai anamnezėje C00–D48</w:t>
                        </w:r>
                      </w:p>
                    </w:tc>
                  </w:tr>
                  <w:tr>
                    <w:trPr>
                      <w:gridAfter w:val="1"/>
                      <w:wAfter w:w="8" w:type="dxa"/>
                      <w:trHeight w:val="1861"/>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1450"/>
                    </w:trPr>
                    <w:tc>
                      <w:tcPr>
                        <w:tcW w:w="2435" w:type="dxa"/>
                        <w:vMerge w:val="restart"/>
                      </w:tcPr>
                      <w:p>
                        <w:pPr>
                          <w:rPr>
                            <w:sz w:val="18"/>
                            <w:szCs w:val="18"/>
                          </w:rPr>
                        </w:pPr>
                        <w:r>
                          <w:rPr>
                            <w:sz w:val="18"/>
                            <w:szCs w:val="18"/>
                          </w:rPr>
                          <w:t>2.2. Antibiotikai („A“)</w:t>
                        </w:r>
                      </w:p>
                    </w:tc>
                    <w:tc>
                      <w:tcPr>
                        <w:tcW w:w="1665" w:type="dxa"/>
                        <w:vMerge w:val="restart"/>
                      </w:tcPr>
                      <w:p>
                        <w:pPr>
                          <w:rPr>
                            <w:sz w:val="18"/>
                            <w:szCs w:val="18"/>
                          </w:rPr>
                        </w:pPr>
                        <w:r>
                          <w:rPr>
                            <w:sz w:val="18"/>
                            <w:szCs w:val="18"/>
                          </w:rPr>
                          <w:t>Naudojimas medicinoje, veterinarijoje ir vaistinėse</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2. Lėtinės plaučių ligos J 44– 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 Lėtinės kepenų ligos K70–K77</w:t>
                        </w:r>
                      </w:p>
                    </w:tc>
                  </w:tr>
                  <w:tr>
                    <w:trPr>
                      <w:gridAfter w:val="1"/>
                      <w:wAfter w:w="8" w:type="dxa"/>
                      <w:trHeight w:val="144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416"/>
                    </w:trPr>
                    <w:tc>
                      <w:tcPr>
                        <w:tcW w:w="2435" w:type="dxa"/>
                        <w:vMerge w:val="restart"/>
                      </w:tcPr>
                      <w:p>
                        <w:pPr>
                          <w:rPr>
                            <w:sz w:val="18"/>
                            <w:szCs w:val="18"/>
                          </w:rPr>
                        </w:pPr>
                        <w:r>
                          <w:rPr>
                            <w:sz w:val="18"/>
                            <w:szCs w:val="18"/>
                          </w:rPr>
                          <w:t>2.3. Fermentiniai preparatai, biostimuliatoriai („A“)</w:t>
                        </w:r>
                      </w:p>
                    </w:tc>
                    <w:tc>
                      <w:tcPr>
                        <w:tcW w:w="1665" w:type="dxa"/>
                        <w:vMerge w:val="restart"/>
                      </w:tcPr>
                      <w:p>
                        <w:pPr>
                          <w:rPr>
                            <w:sz w:val="18"/>
                            <w:szCs w:val="18"/>
                          </w:rPr>
                        </w:pPr>
                        <w:r>
                          <w:rPr>
                            <w:sz w:val="18"/>
                            <w:szCs w:val="18"/>
                          </w:rPr>
                          <w:t>Gamyba ir panaudojimas medicinoje, vaistinėse, žemės ūkyje ir kt.</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 J31</w:t>
                        </w:r>
                      </w:p>
                    </w:tc>
                  </w:tr>
                  <w:tr>
                    <w:trPr>
                      <w:gridAfter w:val="1"/>
                      <w:wAfter w:w="8" w:type="dxa"/>
                      <w:trHeight w:val="103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725"/>
                    </w:trPr>
                    <w:tc>
                      <w:tcPr>
                        <w:tcW w:w="2435" w:type="dxa"/>
                        <w:vMerge w:val="restart"/>
                      </w:tcPr>
                      <w:p>
                        <w:pPr>
                          <w:rPr>
                            <w:sz w:val="18"/>
                            <w:szCs w:val="18"/>
                          </w:rPr>
                        </w:pPr>
                        <w:r>
                          <w:rPr>
                            <w:sz w:val="18"/>
                            <w:szCs w:val="18"/>
                          </w:rPr>
                          <w:t>2.4. Grybai – producentai, baltymų – vitaminų koncentratai, pašarinės mielės, kombinuotieji pašarai („A“)</w:t>
                        </w:r>
                      </w:p>
                    </w:tc>
                    <w:tc>
                      <w:tcPr>
                        <w:tcW w:w="1665" w:type="dxa"/>
                        <w:vMerge w:val="restart"/>
                      </w:tcPr>
                      <w:p>
                        <w:pPr>
                          <w:rPr>
                            <w:sz w:val="18"/>
                            <w:szCs w:val="18"/>
                          </w:rPr>
                        </w:pPr>
                        <w:r>
                          <w:rPr>
                            <w:sz w:val="18"/>
                            <w:szCs w:val="18"/>
                          </w:rPr>
                          <w:t>Gamyba ir produktų, gautų mikrobiologinės sintezės būdu, naudojimas. Transportavimo taros plovimas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J30–J31</w:t>
                        </w:r>
                      </w:p>
                      <w:p>
                        <w:pPr>
                          <w:rPr>
                            <w:sz w:val="18"/>
                            <w:szCs w:val="18"/>
                          </w:rPr>
                        </w:pPr>
                        <w:r>
                          <w:rPr>
                            <w:sz w:val="18"/>
                            <w:szCs w:val="18"/>
                          </w:rPr>
                          <w:t>3. Lėtinės plaučių ligos J41– J47</w:t>
                        </w:r>
                      </w:p>
                    </w:tc>
                  </w:tr>
                  <w:tr>
                    <w:trPr>
                      <w:gridAfter w:val="1"/>
                      <w:wAfter w:w="8" w:type="dxa"/>
                      <w:trHeight w:val="724"/>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Pr>
                    <w:tc>
                      <w:tcPr>
                        <w:tcW w:w="2435" w:type="dxa"/>
                      </w:tcPr>
                      <w:p>
                        <w:pPr>
                          <w:rPr>
                            <w:sz w:val="18"/>
                            <w:szCs w:val="18"/>
                          </w:rPr>
                        </w:pPr>
                        <w:r>
                          <w:rPr>
                            <w:sz w:val="18"/>
                            <w:szCs w:val="18"/>
                          </w:rPr>
                          <w:t>2.5. Helmintais užkrėsta medžiaga</w:t>
                        </w:r>
                      </w:p>
                    </w:tc>
                    <w:tc>
                      <w:tcPr>
                        <w:tcW w:w="1665" w:type="dxa"/>
                      </w:tcPr>
                      <w:p>
                        <w:pPr>
                          <w:rPr>
                            <w:sz w:val="18"/>
                            <w:szCs w:val="18"/>
                          </w:rPr>
                        </w:pPr>
                        <w:r>
                          <w:rPr>
                            <w:sz w:val="18"/>
                            <w:szCs w:val="18"/>
                          </w:rPr>
                          <w:t>Kontaktavimas su užkrėsta helmintais medžiaga, infekciniais ligoniais</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Kraujo tyrimas hematologiniu analizatoriumi (eritrocitai, hemoglobinas, leukocitai, trombocitai), KLR,</w:t>
                        </w:r>
                      </w:p>
                      <w:p>
                        <w:pPr>
                          <w:rPr>
                            <w:sz w:val="18"/>
                            <w:szCs w:val="18"/>
                          </w:rPr>
                        </w:pPr>
                        <w:r>
                          <w:rPr>
                            <w:sz w:val="18"/>
                            <w:szCs w:val="18"/>
                          </w:rPr>
                          <w:t>esant indikacijų – išmatų tyrimas dėl helmintų ir kiti tyrimai</w:t>
                        </w:r>
                      </w:p>
                    </w:tc>
                    <w:tc>
                      <w:tcPr>
                        <w:tcW w:w="2215" w:type="dxa"/>
                      </w:tcPr>
                      <w:p>
                        <w:pPr>
                          <w:rPr>
                            <w:sz w:val="18"/>
                            <w:szCs w:val="18"/>
                          </w:rPr>
                        </w:pPr>
                        <w:r>
                          <w:rPr>
                            <w:sz w:val="18"/>
                            <w:szCs w:val="18"/>
                          </w:rPr>
                          <w:t>Bendrosios kontraindikacijos</w:t>
                        </w:r>
                      </w:p>
                    </w:tc>
                  </w:tr>
                  <w:tr>
                    <w:trPr>
                      <w:gridAfter w:val="1"/>
                      <w:wAfter w:w="8" w:type="dxa"/>
                    </w:trPr>
                    <w:tc>
                      <w:tcPr>
                        <w:tcW w:w="2435" w:type="dxa"/>
                      </w:tcPr>
                      <w:p>
                        <w:pPr>
                          <w:rPr>
                            <w:sz w:val="18"/>
                            <w:szCs w:val="18"/>
                          </w:rPr>
                        </w:pPr>
                        <w:r>
                          <w:rPr>
                            <w:sz w:val="18"/>
                            <w:szCs w:val="18"/>
                          </w:rPr>
                          <w:t>2.5.1. Pavojingos biologinės medžiagos (I – IV rizikos grupės, iš jų infekcinių ir virusinių ligų sukėlėjai)</w:t>
                        </w:r>
                      </w:p>
                    </w:tc>
                    <w:tc>
                      <w:tcPr>
                        <w:tcW w:w="1665" w:type="dxa"/>
                      </w:tcPr>
                      <w:p>
                        <w:pPr>
                          <w:rPr>
                            <w:sz w:val="18"/>
                            <w:szCs w:val="18"/>
                          </w:rPr>
                        </w:pPr>
                        <w:r>
                          <w:rPr>
                            <w:sz w:val="18"/>
                            <w:szCs w:val="18"/>
                          </w:rPr>
                          <w:t>Darbai maisto gamybos įmonėse, darbai, kurių metu kontaktuojama su gyvūnais ir gyvūninės kilmės produktais; darbai sveikatos apsaugos įstaigose, įskaitant darbą izoliatoriuose ir lavoninėse; darbai klinikinėse, veterinarijos ir diagnostikos laboratorijose; darbai žemės ūkyje; darbai atliekų perdirbimo (utilizavimo) įmonėse, vandens valymo įrenginiuose ir kt.</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 xml:space="preserve">Kraujo tyrimas hematologiniu analizatoriumi (eritrocitai, hemoglobinas, leukocitai, trombocitai), esant indikacijų – KLR  </w:t>
                        </w:r>
                      </w:p>
                    </w:tc>
                    <w:tc>
                      <w:tcPr>
                        <w:tcW w:w="2215" w:type="dxa"/>
                      </w:tcPr>
                      <w:p>
                        <w:pPr>
                          <w:rPr>
                            <w:sz w:val="18"/>
                            <w:szCs w:val="18"/>
                          </w:rPr>
                        </w:pPr>
                        <w:r>
                          <w:rPr>
                            <w:sz w:val="18"/>
                            <w:szCs w:val="18"/>
                          </w:rPr>
                          <w:t>Bendrosios kontraindikacijos</w:t>
                        </w: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02"/>
                    <w:gridCol w:w="1459"/>
                    <w:gridCol w:w="1938"/>
                    <w:gridCol w:w="2106"/>
                    <w:gridCol w:w="2984"/>
                    <w:gridCol w:w="2168"/>
                  </w:tblGrid>
                  <w:tr>
                    <w:tc>
                      <w:tcPr>
                        <w:tcW w:w="14740" w:type="dxa"/>
                        <w:gridSpan w:val="7"/>
                      </w:tcPr>
                      <w:p>
                        <w:pPr>
                          <w:jc w:val="center"/>
                          <w:rPr>
                            <w:b/>
                            <w:sz w:val="18"/>
                            <w:szCs w:val="18"/>
                          </w:rPr>
                        </w:pPr>
                        <w:r>
                          <w:rPr>
                            <w:b/>
                            <w:sz w:val="18"/>
                            <w:szCs w:val="18"/>
                          </w:rPr>
                          <w:t xml:space="preserve">3. FIZIKINIAI VEIKSNIAI </w:t>
                        </w:r>
                      </w:p>
                    </w:tc>
                  </w:tr>
                  <w:tr>
                    <w:trPr>
                      <w:trHeight w:val="126"/>
                    </w:trPr>
                    <w:tc>
                      <w:tcPr>
                        <w:tcW w:w="2383" w:type="dxa"/>
                        <w:vMerge w:val="restart"/>
                      </w:tcPr>
                      <w:p>
                        <w:pPr>
                          <w:rPr>
                            <w:sz w:val="18"/>
                            <w:szCs w:val="18"/>
                          </w:rPr>
                        </w:pPr>
                        <w:r>
                          <w:rPr>
                            <w:sz w:val="18"/>
                            <w:szCs w:val="18"/>
                          </w:rPr>
                          <w:t>3.1. Jonizuojančiosios spinduliuotės šaltiniai („A“, „C“)</w:t>
                        </w:r>
                      </w:p>
                    </w:tc>
                    <w:tc>
                      <w:tcPr>
                        <w:tcW w:w="1702" w:type="dxa"/>
                        <w:vMerge w:val="restart"/>
                      </w:tcPr>
                      <w:p>
                        <w:pPr>
                          <w:rPr>
                            <w:sz w:val="18"/>
                            <w:szCs w:val="18"/>
                          </w:rPr>
                        </w:pPr>
                        <w:r>
                          <w:rPr>
                            <w:sz w:val="18"/>
                            <w:szCs w:val="18"/>
                          </w:rPr>
                          <w:t>1. Darbai su jonizuojančiosios spinduliuotės generatoriais ir uždaraisiais ir jonizuojančiosios spinduliuotės šaltiniais (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esant indikacijų – neurologas, psichiatras ir kitų profesinių kvalifikacijų gydytojai </w:t>
                        </w:r>
                      </w:p>
                    </w:tc>
                    <w:tc>
                      <w:tcPr>
                        <w:tcW w:w="2984" w:type="dxa"/>
                        <w:vMerge w:val="restart"/>
                      </w:tcPr>
                      <w:p>
                        <w:pPr>
                          <w:rPr>
                            <w:sz w:val="18"/>
                            <w:szCs w:val="18"/>
                          </w:rPr>
                        </w:pPr>
                        <w:r>
                          <w:rPr>
                            <w:sz w:val="18"/>
                            <w:szCs w:val="18"/>
                          </w:rPr>
                          <w:t xml:space="preserve">Kraujo tyrimas hematologiniu analizatoriumi (eritrocitai, hemoglobinas, leukocitai, trombocitai), leukograma, regėjimo aštrumas, </w:t>
                        </w:r>
                      </w:p>
                      <w:p>
                        <w:pPr>
                          <w:rPr>
                            <w:sz w:val="18"/>
                            <w:szCs w:val="18"/>
                          </w:rPr>
                        </w:pPr>
                        <w:r>
                          <w:rPr>
                            <w:sz w:val="18"/>
                            <w:szCs w:val="18"/>
                          </w:rPr>
                          <w:t xml:space="preserve">akipločio ištyrimas, </w:t>
                        </w:r>
                      </w:p>
                      <w:p>
                        <w:pPr>
                          <w:rPr>
                            <w:sz w:val="18"/>
                            <w:szCs w:val="18"/>
                          </w:rPr>
                        </w:pPr>
                        <w:r>
                          <w:rPr>
                            <w:sz w:val="18"/>
                            <w:szCs w:val="18"/>
                          </w:rPr>
                          <w:t xml:space="preserve">esant indikacijų – IKFT, KLR </w:t>
                        </w:r>
                      </w:p>
                    </w:tc>
                    <w:tc>
                      <w:tcPr>
                        <w:tcW w:w="2168" w:type="dxa"/>
                        <w:vMerge w:val="restart"/>
                      </w:tcPr>
                      <w:p>
                        <w:pPr>
                          <w:rPr>
                            <w:sz w:val="18"/>
                            <w:szCs w:val="18"/>
                          </w:rPr>
                        </w:pPr>
                        <w:r>
                          <w:rPr>
                            <w:sz w:val="18"/>
                            <w:szCs w:val="18"/>
                          </w:rPr>
                          <w:t>1. Regėjimas su korekcija ne mažesnis kaip 0.5 – viena ir 0.2 – kita akimi. Refrakcija skiaskopiškai: trumparegystė, esant normaliam akies dugnui iki 10.0 D, toliaregystė – iki 8.0 D, astigmatizmas – ne mažiau kaip 3.0 D</w:t>
                        </w:r>
                      </w:p>
                      <w:p>
                        <w:pPr>
                          <w:tabs>
                            <w:tab w:val="center" w:pos="33"/>
                          </w:tabs>
                          <w:rPr>
                            <w:sz w:val="18"/>
                            <w:szCs w:val="18"/>
                          </w:rPr>
                        </w:pPr>
                        <w:r>
                          <w:rPr>
                            <w:sz w:val="18"/>
                            <w:szCs w:val="18"/>
                          </w:rPr>
                          <w:t>2. Katarakta H26 – H28. Individualiu atveju dėl galimybės dirbti sprendžia gydytojas oftalmologas.</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 xml:space="preserve">3. Kraujo ir kraujodaros organų ligos D50–D53, D55–D59, D60–D64, D65–D69, D70–D77. </w:t>
                        </w:r>
                      </w:p>
                      <w:p>
                        <w:pPr>
                          <w:tabs>
                            <w:tab w:val="left" w:pos="177"/>
                            <w:tab w:val="left" w:pos="318"/>
                          </w:tabs>
                          <w:rPr>
                            <w:sz w:val="18"/>
                            <w:szCs w:val="18"/>
                          </w:rPr>
                        </w:pPr>
                        <w:r>
                          <w:rPr>
                            <w:sz w:val="18"/>
                            <w:szCs w:val="18"/>
                          </w:rPr>
                          <w:t xml:space="preserve">4.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5. Navikiniai susirgimai anamnezėje C00–D48.</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6. Susirgimai, neleidžiantys naudotis individualiųjų saugos priemonių, skirtų apsisaugoti nuo jonizuojančiosios spinduliuotės poveikio.</w:t>
                        </w:r>
                      </w:p>
                      <w:p>
                        <w:pPr>
                          <w:rPr>
                            <w:sz w:val="18"/>
                            <w:szCs w:val="18"/>
                          </w:rPr>
                        </w:pPr>
                        <w:r>
                          <w:rPr>
                            <w:sz w:val="18"/>
                            <w:szCs w:val="18"/>
                          </w:rPr>
                          <w:t>7. II–IV stadijų spindulinė liga, esant nuolatiniam kenkimui (esant spindulinės ligos I stadijai, apie tinkamumą dirbti sprendžiama individualiai) T66</w:t>
                        </w:r>
                      </w:p>
                      <w:p>
                        <w:pPr>
                          <w:rPr>
                            <w:sz w:val="18"/>
                            <w:szCs w:val="18"/>
                          </w:rPr>
                        </w:pPr>
                        <w:r>
                          <w:rPr>
                            <w:sz w:val="18"/>
                            <w:szCs w:val="18"/>
                          </w:rPr>
                          <w:t xml:space="preserve">8. Prienosinių ančių lėtinės pūlinės ligos J32 </w:t>
                        </w:r>
                      </w:p>
                      <w:p>
                        <w:pPr>
                          <w:rPr>
                            <w:sz w:val="18"/>
                            <w:szCs w:val="18"/>
                          </w:rPr>
                        </w:pPr>
                        <w:r>
                          <w:rPr>
                            <w:sz w:val="18"/>
                            <w:szCs w:val="18"/>
                          </w:rPr>
                          <w:t xml:space="preserve">9. Lėtiniai otitai su dažnais paūmėjimais H65–H75 </w:t>
                        </w:r>
                      </w:p>
                      <w:p>
                        <w:pPr>
                          <w:rPr>
                            <w:sz w:val="18"/>
                            <w:szCs w:val="18"/>
                          </w:rPr>
                        </w:pPr>
                        <w:r>
                          <w:rPr>
                            <w:sz w:val="18"/>
                            <w:szCs w:val="18"/>
                          </w:rPr>
                          <w:t>10. Cukrinis diabetas E10–E14</w:t>
                        </w:r>
                      </w:p>
                      <w:p>
                        <w:pPr>
                          <w:rPr>
                            <w:sz w:val="18"/>
                            <w:szCs w:val="18"/>
                          </w:rPr>
                        </w:pPr>
                        <w:r>
                          <w:rPr>
                            <w:sz w:val="18"/>
                            <w:szCs w:val="18"/>
                          </w:rPr>
                          <w:t>11. Psichikos ir elgesio sutrikimai</w:t>
                        </w:r>
                      </w:p>
                      <w:p>
                        <w:pPr>
                          <w:ind w:firstLine="50"/>
                          <w:rPr>
                            <w:sz w:val="18"/>
                            <w:szCs w:val="18"/>
                          </w:rPr>
                        </w:pPr>
                        <w:r>
                          <w:rPr>
                            <w:sz w:val="18"/>
                            <w:szCs w:val="18"/>
                          </w:rPr>
                          <w:t>F20–F29 (kiti psichikos ir elgesio sutrikimai</w:t>
                        </w:r>
                        <w:r>
                          <w:rPr>
                            <w:b/>
                            <w:sz w:val="18"/>
                            <w:szCs w:val="18"/>
                          </w:rPr>
                          <w:t> –</w:t>
                        </w:r>
                        <w:r>
                          <w:rPr>
                            <w:sz w:val="18"/>
                            <w:szCs w:val="18"/>
                          </w:rPr>
                          <w:t xml:space="preserve"> paūmėjimo metu)</w:t>
                        </w:r>
                      </w:p>
                    </w:tc>
                  </w:tr>
                  <w:tr>
                    <w:trPr>
                      <w:trHeight w:val="12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 esant indikacijų – neurologas, psichiatras ir kitų profesinių kvalifikacijų gydytojai</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tcPr>
                      <w:p>
                        <w:pPr>
                          <w:rPr>
                            <w:sz w:val="18"/>
                            <w:szCs w:val="18"/>
                          </w:rPr>
                        </w:pPr>
                      </w:p>
                    </w:tc>
                    <w:tc>
                      <w:tcPr>
                        <w:tcW w:w="1702" w:type="dxa"/>
                        <w:vMerge w:val="restart"/>
                      </w:tcPr>
                      <w:p>
                        <w:pPr>
                          <w:rPr>
                            <w:sz w:val="18"/>
                            <w:szCs w:val="18"/>
                          </w:rPr>
                        </w:pPr>
                        <w:r>
                          <w:rPr>
                            <w:sz w:val="18"/>
                            <w:szCs w:val="18"/>
                          </w:rPr>
                          <w:t>2. Darbai su atvirais jonizuojančiosios spinduliuotės šaltiniais, atominėje elektrinėje bei radioaktyviųjų atliekų ir panaudoto branduolinio kuro laikino ir galutinio saugojimo saugyklose (kapinynuose)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otorinolaringologas, psichiatras, esant indikacijų – nefrologas ir </w:t>
                        </w:r>
                        <w:r>
                          <w:rPr>
                            <w:bCs/>
                            <w:sz w:val="18"/>
                            <w:szCs w:val="18"/>
                          </w:rPr>
                          <w:t>kitų profesinių kvalifikacijų gydytojai</w:t>
                        </w:r>
                        <w:r>
                          <w:rPr>
                            <w:sz w:val="18"/>
                            <w:szCs w:val="18"/>
                          </w:rPr>
                          <w:t xml:space="preserve"> </w:t>
                        </w:r>
                      </w:p>
                    </w:tc>
                    <w:tc>
                      <w:tcPr>
                        <w:tcW w:w="2984" w:type="dxa"/>
                        <w:vMerge w:val="restart"/>
                      </w:tcPr>
                      <w:p>
                        <w:pPr>
                          <w:rPr>
                            <w:sz w:val="18"/>
                            <w:szCs w:val="18"/>
                          </w:rPr>
                        </w:pPr>
                        <w:r>
                          <w:rPr>
                            <w:sz w:val="18"/>
                            <w:szCs w:val="18"/>
                          </w:rPr>
                          <w:t>Kraujo tyrimas hematologiniu analizatoriumi (eritrocitai, hemoglobinas, leukocitai, trombocitai), leukograma, šlapimo tyrimas analizatoriumi,</w:t>
                        </w:r>
                      </w:p>
                      <w:p>
                        <w:pPr>
                          <w:rPr>
                            <w:sz w:val="18"/>
                            <w:szCs w:val="18"/>
                          </w:rPr>
                        </w:pPr>
                        <w:r>
                          <w:rPr>
                            <w:sz w:val="18"/>
                            <w:szCs w:val="18"/>
                          </w:rPr>
                          <w:t xml:space="preserve">regėjimo aštrumas, akipločio ištyrimas, </w:t>
                        </w:r>
                      </w:p>
                      <w:p>
                        <w:pPr>
                          <w:rPr>
                            <w:sz w:val="18"/>
                            <w:szCs w:val="18"/>
                          </w:rPr>
                        </w:pPr>
                        <w:r>
                          <w:rPr>
                            <w:sz w:val="18"/>
                            <w:szCs w:val="18"/>
                          </w:rPr>
                          <w:t>EKG,</w:t>
                        </w:r>
                      </w:p>
                      <w:p>
                        <w:pPr>
                          <w:rPr>
                            <w:sz w:val="18"/>
                            <w:szCs w:val="18"/>
                          </w:rPr>
                        </w:pPr>
                        <w:r>
                          <w:rPr>
                            <w:sz w:val="18"/>
                            <w:szCs w:val="18"/>
                          </w:rPr>
                          <w:t xml:space="preserve">esant indikacijų – IKFT, </w:t>
                        </w:r>
                      </w:p>
                      <w:p>
                        <w:pPr>
                          <w:rPr>
                            <w:sz w:val="18"/>
                            <w:szCs w:val="18"/>
                          </w:rPr>
                        </w:pPr>
                        <w:r>
                          <w:rPr>
                            <w:sz w:val="18"/>
                            <w:szCs w:val="18"/>
                          </w:rPr>
                          <w:t>KLR</w:t>
                        </w:r>
                      </w:p>
                    </w:tc>
                    <w:tc>
                      <w:tcPr>
                        <w:tcW w:w="2168" w:type="dxa"/>
                        <w:vMerge/>
                      </w:tcPr>
                      <w:p>
                        <w:pPr>
                          <w:rPr>
                            <w:sz w:val="18"/>
                            <w:szCs w:val="18"/>
                          </w:rPr>
                        </w:pPr>
                        <w:r>
                          <w:rPr>
                            <w:sz w:val="18"/>
                            <w:szCs w:val="18"/>
                          </w:rPr>
                          <w:t xml:space="preserve">1. </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oftalmologas, otorinolaringologas, psichiatras, esant indikacijų – nefrologas, dermatovenerologas ir </w:t>
                        </w:r>
                        <w:r>
                          <w:rPr>
                            <w:bCs/>
                            <w:sz w:val="18"/>
                            <w:szCs w:val="18"/>
                          </w:rPr>
                          <w:t>kitų profesinių kvalifikacijų gydytojai</w:t>
                        </w:r>
                      </w:p>
                    </w:tc>
                    <w:tc>
                      <w:tcPr>
                        <w:tcW w:w="2984" w:type="dxa"/>
                        <w:vMerge/>
                      </w:tcPr>
                      <w:p>
                        <w:pPr>
                          <w:rPr>
                            <w:sz w:val="18"/>
                            <w:szCs w:val="18"/>
                          </w:rPr>
                        </w:pPr>
                      </w:p>
                    </w:tc>
                    <w:tc>
                      <w:tcPr>
                        <w:tcW w:w="2168" w:type="dxa"/>
                        <w:vMerge/>
                      </w:tcPr>
                      <w:p>
                        <w:pPr>
                          <w:rPr>
                            <w:sz w:val="18"/>
                            <w:szCs w:val="18"/>
                          </w:rPr>
                        </w:pPr>
                        <w:r>
                          <w:rPr>
                            <w:sz w:val="18"/>
                            <w:szCs w:val="18"/>
                          </w:rPr>
                          <w:t xml:space="preserve">2. </w:t>
                        </w:r>
                      </w:p>
                    </w:tc>
                  </w:tr>
                  <w:tr>
                    <w:trPr>
                      <w:trHeight w:val="47"/>
                    </w:trPr>
                    <w:tc>
                      <w:tcPr>
                        <w:tcW w:w="2383" w:type="dxa"/>
                        <w:vMerge w:val="restart"/>
                      </w:tcPr>
                      <w:p>
                        <w:pPr>
                          <w:rPr>
                            <w:sz w:val="18"/>
                            <w:szCs w:val="18"/>
                          </w:rPr>
                        </w:pPr>
                        <w:r>
                          <w:rPr>
                            <w:sz w:val="18"/>
                            <w:szCs w:val="18"/>
                          </w:rPr>
                          <w:t>3.2 .Vibracija</w:t>
                        </w:r>
                      </w:p>
                    </w:tc>
                    <w:tc>
                      <w:tcPr>
                        <w:tcW w:w="1702" w:type="dxa"/>
                        <w:vMerge w:val="restart"/>
                      </w:tcPr>
                      <w:p>
                        <w:pPr>
                          <w:rPr>
                            <w:sz w:val="18"/>
                            <w:szCs w:val="18"/>
                          </w:rPr>
                        </w:pPr>
                        <w:r>
                          <w:rPr>
                            <w:sz w:val="18"/>
                            <w:szCs w:val="18"/>
                          </w:rPr>
                          <w:t>Visi darbai, susiję su vibracijos poveikiu:</w:t>
                        </w:r>
                      </w:p>
                      <w:p>
                        <w:pPr>
                          <w:rPr>
                            <w:b/>
                            <w:sz w:val="18"/>
                            <w:szCs w:val="18"/>
                          </w:rPr>
                        </w:pPr>
                        <w:r>
                          <w:rPr>
                            <w:sz w:val="18"/>
                            <w:szCs w:val="18"/>
                          </w:rPr>
                          <w:t>rankas ir visą žmogaus kūną veikianti vibracija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jc w:val="center"/>
                          <w:rPr>
                            <w:sz w:val="18"/>
                            <w:szCs w:val="18"/>
                          </w:rPr>
                        </w:pPr>
                        <w:r>
                          <w:rPr>
                            <w:sz w:val="18"/>
                            <w:szCs w:val="18"/>
                          </w:rPr>
                          <w:t>----</w:t>
                        </w:r>
                      </w:p>
                    </w:tc>
                    <w:tc>
                      <w:tcPr>
                        <w:tcW w:w="2984" w:type="dxa"/>
                        <w:vMerge w:val="restart"/>
                      </w:tcPr>
                      <w:p>
                        <w:pPr>
                          <w:rPr>
                            <w:sz w:val="18"/>
                            <w:szCs w:val="18"/>
                          </w:rPr>
                        </w:pPr>
                        <w:r>
                          <w:rPr>
                            <w:sz w:val="18"/>
                            <w:szCs w:val="18"/>
                          </w:rPr>
                          <w:t xml:space="preserve">Vestibulinės funkcijos tyrimas, </w:t>
                        </w:r>
                      </w:p>
                      <w:p>
                        <w:pPr>
                          <w:rPr>
                            <w:i/>
                            <w:sz w:val="18"/>
                            <w:szCs w:val="18"/>
                          </w:rPr>
                        </w:pPr>
                        <w:r>
                          <w:rPr>
                            <w:sz w:val="18"/>
                            <w:szCs w:val="18"/>
                          </w:rPr>
                          <w:t>esant indikacijų – audiograma</w:t>
                        </w:r>
                      </w:p>
                    </w:tc>
                    <w:tc>
                      <w:tcPr>
                        <w:tcW w:w="2168" w:type="dxa"/>
                        <w:vMerge w:val="restart"/>
                      </w:tcPr>
                      <w:p>
                        <w:pPr>
                          <w:rPr>
                            <w:sz w:val="18"/>
                            <w:szCs w:val="18"/>
                          </w:rPr>
                        </w:pPr>
                        <w:r>
                          <w:rPr>
                            <w:sz w:val="18"/>
                            <w:szCs w:val="18"/>
                          </w:rPr>
                          <w:t>1. Didelė komplikuota trumparegystė (daugiau kaip 8.0 D) H52.1</w:t>
                        </w:r>
                      </w:p>
                      <w:p>
                        <w:pPr>
                          <w:tabs>
                            <w:tab w:val="left" w:pos="177"/>
                            <w:tab w:val="left" w:pos="318"/>
                          </w:tabs>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rPr>
                            <w:sz w:val="18"/>
                            <w:szCs w:val="18"/>
                          </w:rPr>
                        </w:pPr>
                        <w:r>
                          <w:rPr>
                            <w:sz w:val="18"/>
                            <w:szCs w:val="18"/>
                          </w:rPr>
                          <w:t>3. Lėtinės periferinės nervų sistemos ir raumenų ligos G60–G64, G70–G73</w:t>
                        </w:r>
                      </w:p>
                      <w:p>
                        <w:pPr>
                          <w:tabs>
                            <w:tab w:val="center" w:pos="33"/>
                          </w:tabs>
                          <w:rPr>
                            <w:sz w:val="18"/>
                            <w:szCs w:val="18"/>
                          </w:rPr>
                        </w:pPr>
                        <w:r>
                          <w:rPr>
                            <w:sz w:val="18"/>
                            <w:szCs w:val="18"/>
                          </w:rPr>
                          <w:t>4.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tabs>
                            <w:tab w:val="center" w:pos="33"/>
                          </w:tabs>
                          <w:rPr>
                            <w:sz w:val="18"/>
                            <w:szCs w:val="18"/>
                          </w:rPr>
                        </w:pPr>
                        <w:r>
                          <w:rPr>
                            <w:sz w:val="18"/>
                            <w:szCs w:val="18"/>
                          </w:rPr>
                          <w:t xml:space="preserve">5. Vestibulinės funkcijos sutrikimai H81; H82 </w:t>
                        </w:r>
                      </w:p>
                      <w:p>
                        <w:pPr>
                          <w:rPr>
                            <w:sz w:val="18"/>
                            <w:szCs w:val="18"/>
                          </w:rPr>
                        </w:pPr>
                        <w:r>
                          <w:rPr>
                            <w:sz w:val="18"/>
                            <w:szCs w:val="18"/>
                          </w:rPr>
                          <w:t>6. Diskogeninės juosmens srities stuburo ligos M51.1</w:t>
                        </w:r>
                      </w:p>
                    </w:tc>
                  </w:tr>
                  <w:tr>
                    <w:trPr>
                      <w:trHeight w:val="64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 otorinolaringologas</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val="restart"/>
                      </w:tcPr>
                      <w:p>
                        <w:pPr>
                          <w:rPr>
                            <w:sz w:val="18"/>
                            <w:szCs w:val="18"/>
                          </w:rPr>
                        </w:pPr>
                        <w:r>
                          <w:rPr>
                            <w:sz w:val="18"/>
                            <w:szCs w:val="18"/>
                          </w:rPr>
                          <w:t>3.3. Akustinis triukšmas</w:t>
                        </w:r>
                      </w:p>
                    </w:tc>
                    <w:tc>
                      <w:tcPr>
                        <w:tcW w:w="1702" w:type="dxa"/>
                        <w:vMerge w:val="restart"/>
                      </w:tcPr>
                      <w:p>
                        <w:pPr>
                          <w:rPr>
                            <w:sz w:val="18"/>
                            <w:szCs w:val="18"/>
                          </w:rPr>
                        </w:pPr>
                        <w:r>
                          <w:rPr>
                            <w:sz w:val="18"/>
                            <w:szCs w:val="18"/>
                          </w:rPr>
                          <w:t xml:space="preserve">Darbai, kai kasdienio veikiančio triukšmo lygis viršija arba gali viršyti žemutinę ekspozicijos vertę veiksmams pradėti 80 dB (A)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Otorinolaringologas </w:t>
                        </w:r>
                      </w:p>
                    </w:tc>
                    <w:tc>
                      <w:tcPr>
                        <w:tcW w:w="2984" w:type="dxa"/>
                        <w:vMerge w:val="restart"/>
                      </w:tcPr>
                      <w:p>
                        <w:pPr>
                          <w:rPr>
                            <w:sz w:val="18"/>
                            <w:szCs w:val="18"/>
                          </w:rPr>
                        </w:pPr>
                        <w:r>
                          <w:rPr>
                            <w:sz w:val="18"/>
                            <w:szCs w:val="18"/>
                          </w:rPr>
                          <w:t xml:space="preserve">Audiograma, esant indikacijų – vestibulinės funkcijos tyrimas </w:t>
                        </w:r>
                      </w:p>
                    </w:tc>
                    <w:tc>
                      <w:tcPr>
                        <w:tcW w:w="2168" w:type="dxa"/>
                        <w:vMerge w:val="restart"/>
                      </w:tcPr>
                      <w:p>
                        <w:pPr>
                          <w:rPr>
                            <w:sz w:val="18"/>
                            <w:szCs w:val="18"/>
                          </w:rPr>
                        </w:pPr>
                        <w:r>
                          <w:rPr>
                            <w:sz w:val="18"/>
                            <w:szCs w:val="18"/>
                          </w:rPr>
                          <w:t>1.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rPr>
                            <w:sz w:val="18"/>
                            <w:szCs w:val="18"/>
                          </w:rPr>
                        </w:pPr>
                        <w:r>
                          <w:rPr>
                            <w:sz w:val="18"/>
                            <w:szCs w:val="18"/>
                          </w:rPr>
                          <w:t xml:space="preserve">2. Vestibulinės funkcijos sutrikimai: H81; H82 </w:t>
                        </w:r>
                      </w:p>
                      <w:p>
                        <w:pPr>
                          <w:rPr>
                            <w:sz w:val="18"/>
                            <w:szCs w:val="18"/>
                          </w:rPr>
                        </w:pPr>
                        <w:r>
                          <w:rPr>
                            <w:sz w:val="18"/>
                            <w:szCs w:val="18"/>
                          </w:rPr>
                          <w:t>3. Sunki arterinė hipertenzija I 11– I15</w:t>
                        </w:r>
                      </w:p>
                    </w:tc>
                  </w:tr>
                  <w:tr>
                    <w:trPr>
                      <w:trHeight w:val="5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 otorinolaringologas</w:t>
                        </w:r>
                      </w:p>
                    </w:tc>
                    <w:tc>
                      <w:tcPr>
                        <w:tcW w:w="2984" w:type="dxa"/>
                        <w:vMerge/>
                      </w:tcPr>
                      <w:p>
                        <w:pPr>
                          <w:rPr>
                            <w:sz w:val="18"/>
                            <w:szCs w:val="18"/>
                          </w:rPr>
                        </w:pPr>
                      </w:p>
                    </w:tc>
                    <w:tc>
                      <w:tcPr>
                        <w:tcW w:w="2168" w:type="dxa"/>
                        <w:vMerge/>
                      </w:tcPr>
                      <w:p>
                        <w:pPr>
                          <w:rPr>
                            <w:sz w:val="18"/>
                            <w:szCs w:val="18"/>
                          </w:rPr>
                        </w:pPr>
                      </w:p>
                    </w:tc>
                  </w:tr>
                  <w:tr>
                    <w:trPr>
                      <w:cantSplit/>
                      <w:trHeight w:val="212"/>
                    </w:trPr>
                    <w:tc>
                      <w:tcPr>
                        <w:tcW w:w="2383" w:type="dxa"/>
                        <w:vMerge w:val="restart"/>
                      </w:tcPr>
                      <w:p>
                        <w:pPr>
                          <w:rPr>
                            <w:sz w:val="18"/>
                            <w:szCs w:val="18"/>
                          </w:rPr>
                        </w:pPr>
                        <w:r>
                          <w:rPr>
                            <w:sz w:val="18"/>
                            <w:szCs w:val="18"/>
                          </w:rPr>
                          <w:t>3.4. Dirbtinė optinė spinduliuotė</w:t>
                        </w:r>
                      </w:p>
                      <w:p>
                        <w:pPr>
                          <w:rPr>
                            <w:sz w:val="18"/>
                            <w:szCs w:val="18"/>
                          </w:rPr>
                        </w:pPr>
                      </w:p>
                      <w:p>
                        <w:pPr>
                          <w:rPr>
                            <w:sz w:val="18"/>
                            <w:szCs w:val="18"/>
                          </w:rPr>
                        </w:pPr>
                        <w:r>
                          <w:rPr>
                            <w:sz w:val="18"/>
                            <w:szCs w:val="18"/>
                          </w:rPr>
                          <w:t>3.4.1. Lazerio (koherentinė) spinduliuotė</w:t>
                        </w:r>
                      </w:p>
                      <w:p>
                        <w:pPr>
                          <w:rPr>
                            <w:sz w:val="18"/>
                            <w:szCs w:val="18"/>
                          </w:rPr>
                        </w:pPr>
                      </w:p>
                      <w:p>
                        <w:pPr>
                          <w:rPr>
                            <w:strike/>
                            <w:sz w:val="18"/>
                            <w:szCs w:val="18"/>
                          </w:rPr>
                        </w:pPr>
                        <w:r>
                          <w:rPr>
                            <w:sz w:val="18"/>
                            <w:szCs w:val="18"/>
                          </w:rPr>
                          <w:t>3.4.2. Nekoherentinė spinduliuotė – bet kokia optinė (ultravioletinė, regimoji, infraraudonoji) spinduliuotė, išskyrus lazerio spinduliuotę</w:t>
                        </w:r>
                      </w:p>
                    </w:tc>
                    <w:tc>
                      <w:tcPr>
                        <w:tcW w:w="1702" w:type="dxa"/>
                        <w:vMerge w:val="restart"/>
                      </w:tcPr>
                      <w:p>
                        <w:pPr>
                          <w:rPr>
                            <w:sz w:val="18"/>
                            <w:szCs w:val="18"/>
                          </w:rPr>
                        </w:pPr>
                        <w:r>
                          <w:rPr>
                            <w:sz w:val="18"/>
                            <w:szCs w:val="18"/>
                          </w:rPr>
                          <w:t>Visos darbo su lazeriais ir su nekoherentinės optinės spinduliuotės šaltiniais rūšys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val="restart"/>
                      </w:tcPr>
                      <w:p>
                        <w:pPr>
                          <w:rPr>
                            <w:sz w:val="18"/>
                            <w:szCs w:val="18"/>
                          </w:rPr>
                        </w:pPr>
                        <w:r>
                          <w:rPr>
                            <w:sz w:val="18"/>
                            <w:szCs w:val="18"/>
                          </w:rPr>
                          <w:t>Kraujo tyrimas hematologiniu analizatoriumi (eritrocitai, hemoglobinas, leukocitai, trombocitai)</w:t>
                        </w:r>
                      </w:p>
                    </w:tc>
                    <w:tc>
                      <w:tcPr>
                        <w:tcW w:w="2168" w:type="dxa"/>
                        <w:vMerge w:val="restart"/>
                      </w:tcPr>
                      <w:p>
                        <w:pPr>
                          <w:rPr>
                            <w:sz w:val="18"/>
                            <w:szCs w:val="18"/>
                          </w:rPr>
                        </w:pPr>
                        <w:r>
                          <w:rPr>
                            <w:sz w:val="18"/>
                            <w:szCs w:val="18"/>
                          </w:rPr>
                          <w:t xml:space="preserve">1. Regėjimo susilpnėjimas: mažiau kaip 0.6 –  viena ir mažiau kaip 0.5 – kita akimi (su korekcija). Leidžiamos šios anomalinės skiaskopiškai nustatomos refrakcijos ribos: silpnesnės akies – trumparegystė ne daugiau kaip 6.0 D, esant normaliam akies dugnui – iki 10 D, toliaregystė, priklausomai nuo korekcijos – iki 6.0 D, sudėtingas trumparegiškas ar toliaregiškas astigmatizmas – ne daugiau kaip 3.0 D, trumparegiškas ir toliaregiškas astigmatizmas – ne daugiau kaip 3.0 D</w:t>
                        </w:r>
                      </w:p>
                      <w:p>
                        <w:pPr>
                          <w:rPr>
                            <w:sz w:val="18"/>
                            <w:szCs w:val="18"/>
                          </w:rPr>
                        </w:pPr>
                        <w:r>
                          <w:rPr>
                            <w:sz w:val="18"/>
                            <w:szCs w:val="18"/>
                          </w:rPr>
                          <w:t>2. Katarakta H26–H28. Individualiu atveju dėl galimybės dirbti sprendžia gydytojas oftalmologas.</w:t>
                        </w:r>
                      </w:p>
                      <w:p>
                        <w:pPr>
                          <w:rPr>
                            <w:sz w:val="18"/>
                            <w:szCs w:val="18"/>
                          </w:rPr>
                        </w:pPr>
                        <w:r>
                          <w:rPr>
                            <w:sz w:val="18"/>
                            <w:szCs w:val="18"/>
                          </w:rPr>
                          <w:t>3. Lėtinės pasikartojančios odos ligos L20, L23, L40, L50, L53</w:t>
                        </w:r>
                      </w:p>
                    </w:tc>
                  </w:tr>
                  <w:tr>
                    <w:trPr>
                      <w:cantSplit/>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 xml:space="preserve">esant indikacijų – dermatovenerologas, </w:t>
                        </w:r>
                      </w:p>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r>
                    <w:tc>
                      <w:tcPr>
                        <w:tcW w:w="2383" w:type="dxa"/>
                      </w:tcPr>
                      <w:p>
                        <w:pPr>
                          <w:rPr>
                            <w:bCs/>
                            <w:sz w:val="18"/>
                            <w:szCs w:val="18"/>
                          </w:rPr>
                        </w:pPr>
                        <w:r>
                          <w:rPr>
                            <w:bCs/>
                            <w:sz w:val="18"/>
                            <w:szCs w:val="18"/>
                          </w:rPr>
                          <w:t xml:space="preserve">3.5. Elektrinis ir magnetinis laukai: </w:t>
                        </w:r>
                      </w:p>
                    </w:tc>
                    <w:tc>
                      <w:tcPr>
                        <w:tcW w:w="1702" w:type="dxa"/>
                      </w:tcPr>
                      <w:p>
                        <w:pPr>
                          <w:rPr>
                            <w:bCs/>
                            <w:strike/>
                            <w:sz w:val="18"/>
                            <w:szCs w:val="18"/>
                          </w:rPr>
                        </w:pPr>
                      </w:p>
                    </w:tc>
                    <w:tc>
                      <w:tcPr>
                        <w:tcW w:w="1459" w:type="dxa"/>
                      </w:tcPr>
                      <w:p>
                        <w:pPr>
                          <w:rPr>
                            <w:bCs/>
                            <w:strike/>
                            <w:sz w:val="18"/>
                            <w:szCs w:val="18"/>
                          </w:rPr>
                        </w:pPr>
                      </w:p>
                    </w:tc>
                    <w:tc>
                      <w:tcPr>
                        <w:tcW w:w="1938" w:type="dxa"/>
                      </w:tcPr>
                      <w:p>
                        <w:pPr>
                          <w:rPr>
                            <w:bCs/>
                            <w:strike/>
                            <w:sz w:val="18"/>
                            <w:szCs w:val="18"/>
                          </w:rPr>
                        </w:pPr>
                      </w:p>
                    </w:tc>
                    <w:tc>
                      <w:tcPr>
                        <w:tcW w:w="2106" w:type="dxa"/>
                      </w:tcPr>
                      <w:p>
                        <w:pPr>
                          <w:rPr>
                            <w:bCs/>
                            <w:strike/>
                            <w:sz w:val="18"/>
                            <w:szCs w:val="18"/>
                          </w:rPr>
                        </w:pPr>
                      </w:p>
                    </w:tc>
                    <w:tc>
                      <w:tcPr>
                        <w:tcW w:w="2984" w:type="dxa"/>
                      </w:tcPr>
                      <w:p>
                        <w:pPr>
                          <w:rPr>
                            <w:bCs/>
                            <w:strike/>
                            <w:sz w:val="18"/>
                            <w:szCs w:val="18"/>
                          </w:rPr>
                        </w:pPr>
                      </w:p>
                    </w:tc>
                    <w:tc>
                      <w:tcPr>
                        <w:tcW w:w="2168" w:type="dxa"/>
                      </w:tcPr>
                      <w:p>
                        <w:pPr>
                          <w:rPr>
                            <w:bCs/>
                            <w:strike/>
                            <w:sz w:val="18"/>
                            <w:szCs w:val="18"/>
                          </w:rPr>
                        </w:pPr>
                      </w:p>
                    </w:tc>
                  </w:tr>
                  <w:tr>
                    <w:trPr>
                      <w:trHeight w:val="47"/>
                    </w:trPr>
                    <w:tc>
                      <w:tcPr>
                        <w:tcW w:w="2383" w:type="dxa"/>
                        <w:vMerge w:val="restart"/>
                      </w:tcPr>
                      <w:p>
                        <w:pPr>
                          <w:rPr>
                            <w:bCs/>
                            <w:sz w:val="18"/>
                            <w:szCs w:val="18"/>
                          </w:rPr>
                        </w:pPr>
                        <w:r>
                          <w:rPr>
                            <w:bCs/>
                            <w:sz w:val="18"/>
                            <w:szCs w:val="18"/>
                          </w:rPr>
                          <w:t>3.5.1. Elektromagnetinis laukas 10 kHz – 300 GHz dažnių juostose</w:t>
                        </w:r>
                      </w:p>
                    </w:tc>
                    <w:tc>
                      <w:tcPr>
                        <w:tcW w:w="1702" w:type="dxa"/>
                        <w:vMerge w:val="restart"/>
                      </w:tcPr>
                      <w:p>
                        <w:pPr>
                          <w:rPr>
                            <w:bCs/>
                            <w:sz w:val="18"/>
                            <w:szCs w:val="18"/>
                          </w:rPr>
                        </w:pPr>
                        <w:r>
                          <w:rPr>
                            <w:bCs/>
                            <w:sz w:val="18"/>
                            <w:szCs w:val="18"/>
                          </w:rPr>
                          <w:t xml:space="preserve">Visos darbo su nurodyto diapazono elektromagnetinės energijos šaltiniais (stacionarūs radiotechniniai objektai bei jų sistemos) rūšys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sz w:val="18"/>
                            <w:szCs w:val="18"/>
                          </w:rPr>
                        </w:pPr>
                        <w:r>
                          <w:rPr>
                            <w:sz w:val="18"/>
                            <w:szCs w:val="18"/>
                          </w:rPr>
                          <w:t>Kraujo tyrimas hematologiniu analizatoriumi (eritrocitai, hemoglobinas, leukocitai, trombocitai),</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H26–H28.</w:t>
                        </w:r>
                      </w:p>
                      <w:p>
                        <w:pPr>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3.5.2. Pramoninio dažnio (50Hz) elektromagnetinis laukas</w:t>
                        </w:r>
                      </w:p>
                    </w:tc>
                    <w:tc>
                      <w:tcPr>
                        <w:tcW w:w="1702" w:type="dxa"/>
                        <w:vMerge w:val="restart"/>
                      </w:tcPr>
                      <w:p>
                        <w:pPr>
                          <w:rPr>
                            <w:bCs/>
                            <w:sz w:val="18"/>
                            <w:szCs w:val="18"/>
                          </w:rPr>
                        </w:pPr>
                        <w:r>
                          <w:rPr>
                            <w:bCs/>
                            <w:sz w:val="18"/>
                            <w:szCs w:val="18"/>
                          </w:rPr>
                          <w:t>Visi darbai, atliekami pramoninio dažnio (50 Hz) elektromagnetinio lauko įtakos zonoje</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 xml:space="preserve">, </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tabs>
                            <w:tab w:val="center" w:pos="33"/>
                          </w:tabs>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3.6. Elektrostatinis laukas</w:t>
                        </w:r>
                      </w:p>
                    </w:tc>
                    <w:tc>
                      <w:tcPr>
                        <w:tcW w:w="1702" w:type="dxa"/>
                        <w:vMerge w:val="restart"/>
                      </w:tcPr>
                      <w:p>
                        <w:pPr>
                          <w:rPr>
                            <w:bCs/>
                            <w:sz w:val="18"/>
                            <w:szCs w:val="18"/>
                          </w:rPr>
                        </w:pPr>
                        <w:r>
                          <w:rPr>
                            <w:bCs/>
                            <w:sz w:val="18"/>
                            <w:szCs w:val="18"/>
                          </w:rPr>
                          <w:t xml:space="preserve">Visi darbai su elektrostatinių laukų šaltiniais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w:t>
                        </w:r>
                      </w:p>
                      <w:p>
                        <w:pPr>
                          <w:rPr>
                            <w:bCs/>
                            <w:sz w:val="18"/>
                            <w:szCs w:val="18"/>
                          </w:rPr>
                        </w:pPr>
                        <w:r>
                          <w:rPr>
                            <w:sz w:val="18"/>
                            <w:szCs w:val="18"/>
                          </w:rPr>
                          <w:t xml:space="preserve">esant indikacijų – </w:t>
                        </w:r>
                        <w:r>
                          <w:rPr>
                            <w:bCs/>
                            <w:sz w:val="18"/>
                            <w:szCs w:val="18"/>
                          </w:rPr>
                          <w:t>EKG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rPr>
                            <w:bCs/>
                            <w:sz w:val="18"/>
                            <w:szCs w:val="18"/>
                          </w:rPr>
                        </w:pPr>
                        <w:r>
                          <w:rPr>
                            <w:sz w:val="18"/>
                            <w:szCs w:val="18"/>
                          </w:rPr>
                          <w:t>Individualiu atveju dėl galimybės dirbti sprendžia gydytojas oftalmologas.</w:t>
                        </w:r>
                      </w:p>
                    </w:tc>
                  </w:tr>
                  <w:tr>
                    <w:trPr>
                      <w:trHeight w:val="636"/>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c>
                      <w:tcPr>
                        <w:tcW w:w="2383" w:type="dxa"/>
                      </w:tcPr>
                      <w:p>
                        <w:pPr>
                          <w:rPr>
                            <w:bCs/>
                            <w:sz w:val="18"/>
                            <w:szCs w:val="18"/>
                          </w:rPr>
                        </w:pPr>
                        <w:r>
                          <w:rPr>
                            <w:bCs/>
                            <w:sz w:val="18"/>
                            <w:szCs w:val="18"/>
                          </w:rPr>
                          <w:t>3.7. Šiluminė aplinka</w:t>
                        </w:r>
                      </w:p>
                    </w:tc>
                    <w:tc>
                      <w:tcPr>
                        <w:tcW w:w="1702" w:type="dxa"/>
                      </w:tcPr>
                      <w:p>
                        <w:pPr>
                          <w:rPr>
                            <w:bCs/>
                            <w:sz w:val="18"/>
                            <w:szCs w:val="18"/>
                          </w:rPr>
                        </w:pPr>
                      </w:p>
                    </w:tc>
                    <w:tc>
                      <w:tcPr>
                        <w:tcW w:w="1459" w:type="dxa"/>
                      </w:tcPr>
                      <w:p>
                        <w:pPr>
                          <w:rPr>
                            <w:bCs/>
                            <w:sz w:val="18"/>
                            <w:szCs w:val="18"/>
                          </w:rPr>
                        </w:pPr>
                      </w:p>
                    </w:tc>
                    <w:tc>
                      <w:tcPr>
                        <w:tcW w:w="1938" w:type="dxa"/>
                      </w:tcPr>
                      <w:p>
                        <w:pPr>
                          <w:rPr>
                            <w:sz w:val="18"/>
                            <w:szCs w:val="18"/>
                          </w:rPr>
                        </w:pPr>
                      </w:p>
                    </w:tc>
                    <w:tc>
                      <w:tcPr>
                        <w:tcW w:w="2106" w:type="dxa"/>
                      </w:tcPr>
                      <w:p>
                        <w:pPr>
                          <w:rPr>
                            <w:sz w:val="18"/>
                            <w:szCs w:val="18"/>
                          </w:rPr>
                        </w:pPr>
                      </w:p>
                    </w:tc>
                    <w:tc>
                      <w:tcPr>
                        <w:tcW w:w="2984" w:type="dxa"/>
                      </w:tcPr>
                      <w:p>
                        <w:pPr>
                          <w:rPr>
                            <w:sz w:val="18"/>
                            <w:szCs w:val="18"/>
                          </w:rPr>
                        </w:pPr>
                      </w:p>
                    </w:tc>
                    <w:tc>
                      <w:tcPr>
                        <w:tcW w:w="2168" w:type="dxa"/>
                      </w:tcPr>
                      <w:p>
                        <w:pPr>
                          <w:rPr>
                            <w:sz w:val="18"/>
                            <w:szCs w:val="18"/>
                          </w:rPr>
                        </w:pPr>
                      </w:p>
                    </w:tc>
                  </w:tr>
                  <w:tr>
                    <w:trPr>
                      <w:trHeight w:val="47"/>
                    </w:trPr>
                    <w:tc>
                      <w:tcPr>
                        <w:tcW w:w="2383" w:type="dxa"/>
                        <w:vMerge w:val="restart"/>
                      </w:tcPr>
                      <w:p>
                        <w:pPr>
                          <w:rPr>
                            <w:bCs/>
                            <w:sz w:val="18"/>
                            <w:szCs w:val="18"/>
                          </w:rPr>
                        </w:pPr>
                        <w:r>
                          <w:rPr>
                            <w:bCs/>
                            <w:sz w:val="18"/>
                            <w:szCs w:val="18"/>
                          </w:rPr>
                          <w:t>3.7.1. Šiluminė aplinka darbo patalpose, šiltuoju metų laikotarpiu</w:t>
                        </w:r>
                      </w:p>
                    </w:tc>
                    <w:tc>
                      <w:tcPr>
                        <w:tcW w:w="1702" w:type="dxa"/>
                        <w:vMerge w:val="restart"/>
                      </w:tcPr>
                      <w:p>
                        <w:pPr>
                          <w:rPr>
                            <w:bCs/>
                            <w:sz w:val="18"/>
                            <w:szCs w:val="18"/>
                          </w:rPr>
                        </w:pPr>
                        <w:r>
                          <w:rPr>
                            <w:bCs/>
                            <w:sz w:val="18"/>
                            <w:szCs w:val="18"/>
                          </w:rPr>
                          <w:t>Darbai pagal technologinį procesą, kai negalima užtikrinti šiluminio komforto ir pakankamos šiluminės aplinkos darbo vietose higienos normos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rPr>
                            <w:sz w:val="18"/>
                            <w:szCs w:val="18"/>
                          </w:rPr>
                        </w:pPr>
                        <w:r>
                          <w:rPr>
                            <w:bCs/>
                            <w:sz w:val="18"/>
                            <w:szCs w:val="18"/>
                          </w:rPr>
                          <w:t xml:space="preserve">3. Katarakta </w:t>
                        </w:r>
                        <w:r>
                          <w:rPr>
                            <w:sz w:val="18"/>
                            <w:szCs w:val="18"/>
                          </w:rPr>
                          <w:t>H26–H28. Individualiu atveju dėl galimybės dirbti sprendžia gydytojas oftalmologas.</w:t>
                        </w:r>
                      </w:p>
                      <w:p>
                        <w:pPr>
                          <w:rPr>
                            <w:sz w:val="18"/>
                            <w:szCs w:val="18"/>
                          </w:rPr>
                        </w:pPr>
                        <w:r>
                          <w:rPr>
                            <w:sz w:val="18"/>
                            <w:szCs w:val="18"/>
                          </w:rPr>
                          <w:t>4. Lėtinės odos ligos L20, L23, L40, L50, L53–L54</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tcPr>
                      <w:p>
                        <w:pPr>
                          <w:rPr>
                            <w:sz w:val="18"/>
                            <w:szCs w:val="18"/>
                          </w:rPr>
                        </w:pPr>
                      </w:p>
                    </w:tc>
                    <w:tc>
                      <w:tcPr>
                        <w:tcW w:w="2168" w:type="dxa"/>
                        <w:vMerge/>
                      </w:tcPr>
                      <w:p>
                        <w:pPr>
                          <w:rPr>
                            <w:sz w:val="18"/>
                            <w:szCs w:val="18"/>
                          </w:rPr>
                        </w:pPr>
                      </w:p>
                    </w:tc>
                  </w:tr>
                  <w:tr>
                    <w:trPr>
                      <w:trHeight w:val="82"/>
                    </w:trPr>
                    <w:tc>
                      <w:tcPr>
                        <w:tcW w:w="2383" w:type="dxa"/>
                        <w:vMerge w:val="restart"/>
                      </w:tcPr>
                      <w:p>
                        <w:pPr>
                          <w:rPr>
                            <w:sz w:val="18"/>
                            <w:szCs w:val="18"/>
                          </w:rPr>
                        </w:pPr>
                        <w:r>
                          <w:rPr>
                            <w:sz w:val="18"/>
                            <w:szCs w:val="18"/>
                          </w:rPr>
                          <w:t>3.7.2. Šiluminė aplinka darbo patalpose šaltuoju metų laikotarpiu</w:t>
                        </w:r>
                      </w:p>
                    </w:tc>
                    <w:tc>
                      <w:tcPr>
                        <w:tcW w:w="1702" w:type="dxa"/>
                        <w:vMerge w:val="restart"/>
                      </w:tcPr>
                      <w:p>
                        <w:pPr>
                          <w:rPr>
                            <w:bCs/>
                            <w:sz w:val="18"/>
                            <w:szCs w:val="18"/>
                          </w:rPr>
                        </w:pPr>
                        <w:r>
                          <w:rPr>
                            <w:bCs/>
                            <w:sz w:val="18"/>
                            <w:szCs w:val="18"/>
                          </w:rPr>
                          <w:t>Darbai, viršijant žemiausią ribą pagal šiluminio komforto ir pakankamos šiluminės aplinkos darbo patalpose higienos normą</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p>
                    </w:tc>
                    <w:tc>
                      <w:tcPr>
                        <w:tcW w:w="2168" w:type="dxa"/>
                        <w:vMerge w:val="restart"/>
                      </w:tcPr>
                      <w:p>
                        <w:pPr>
                          <w:tabs>
                            <w:tab w:val="left" w:pos="177"/>
                            <w:tab w:val="left" w:pos="318"/>
                          </w:tabs>
                          <w:rPr>
                            <w:sz w:val="18"/>
                            <w:szCs w:val="18"/>
                          </w:rPr>
                        </w:pPr>
                        <w:r>
                          <w:rPr>
                            <w:sz w:val="18"/>
                            <w:szCs w:val="18"/>
                          </w:rPr>
                          <w:t>1. Obliteruojantis endarteritas, Raynaud sindromas I70–I73.0</w:t>
                        </w:r>
                      </w:p>
                      <w:p>
                        <w:pPr>
                          <w:rPr>
                            <w:sz w:val="18"/>
                            <w:szCs w:val="18"/>
                          </w:rPr>
                        </w:pPr>
                        <w:r>
                          <w:rPr>
                            <w:sz w:val="18"/>
                            <w:szCs w:val="18"/>
                          </w:rPr>
                          <w:t>2. Jungiamojo audinio lėtinės uždegiminės ligos M00–M13 M30–M35, M60–M63, M65–M68</w:t>
                        </w:r>
                      </w:p>
                      <w:p>
                        <w:pPr>
                          <w:rPr>
                            <w:sz w:val="18"/>
                            <w:szCs w:val="18"/>
                          </w:rPr>
                        </w:pPr>
                        <w:r>
                          <w:rPr>
                            <w:sz w:val="18"/>
                            <w:szCs w:val="18"/>
                          </w:rPr>
                          <w:t>3. Lėtinės periferinės nervų sistemos ir raumenų ligos G60–G64, G70–G73</w:t>
                        </w:r>
                      </w:p>
                    </w:tc>
                  </w:tr>
                  <w:tr>
                    <w:trPr>
                      <w:trHeight w:val="47"/>
                    </w:trPr>
                    <w:tc>
                      <w:tcPr>
                        <w:tcW w:w="2383" w:type="dxa"/>
                        <w:vMerge/>
                      </w:tcPr>
                      <w:p>
                        <w:pPr>
                          <w:rPr>
                            <w:sz w:val="18"/>
                            <w:szCs w:val="18"/>
                          </w:rPr>
                        </w:pPr>
                      </w:p>
                    </w:tc>
                    <w:tc>
                      <w:tcPr>
                        <w:tcW w:w="1702" w:type="dxa"/>
                        <w:vMerge/>
                      </w:tcPr>
                      <w:p>
                        <w:pPr>
                          <w:rPr>
                            <w:bCs/>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p>
                        <w:pPr>
                          <w:rPr>
                            <w:sz w:val="18"/>
                            <w:szCs w:val="18"/>
                          </w:rPr>
                        </w:pPr>
                        <w:r>
                          <w:rPr>
                            <w:sz w:val="18"/>
                            <w:szCs w:val="18"/>
                          </w:rPr>
                          <w:t>esant indikacijų – reumatologas</w:t>
                        </w:r>
                      </w:p>
                    </w:tc>
                    <w:tc>
                      <w:tcPr>
                        <w:tcW w:w="2984" w:type="dxa"/>
                        <w:vMerge/>
                      </w:tcPr>
                      <w:p>
                        <w:pPr>
                          <w:rPr>
                            <w:sz w:val="18"/>
                            <w:szCs w:val="18"/>
                          </w:rPr>
                        </w:pPr>
                      </w:p>
                    </w:tc>
                    <w:tc>
                      <w:tcPr>
                        <w:tcW w:w="2168" w:type="dxa"/>
                        <w:vMerge/>
                      </w:tcPr>
                      <w:p>
                        <w:pPr>
                          <w:tabs>
                            <w:tab w:val="left" w:pos="177"/>
                            <w:tab w:val="left" w:pos="318"/>
                          </w:tabs>
                          <w:rPr>
                            <w:sz w:val="18"/>
                            <w:szCs w:val="18"/>
                          </w:rPr>
                        </w:pPr>
                      </w:p>
                    </w:tc>
                  </w:tr>
                  <w:tr>
                    <w:trPr>
                      <w:trHeight w:val="47"/>
                    </w:trPr>
                    <w:tc>
                      <w:tcPr>
                        <w:tcW w:w="2383" w:type="dxa"/>
                        <w:vMerge w:val="restart"/>
                      </w:tcPr>
                      <w:p>
                        <w:pPr>
                          <w:rPr>
                            <w:sz w:val="18"/>
                            <w:szCs w:val="18"/>
                          </w:rPr>
                        </w:pPr>
                        <w:r>
                          <w:rPr>
                            <w:sz w:val="18"/>
                            <w:szCs w:val="18"/>
                          </w:rPr>
                          <w:t>3.7.3. Oro temperatūra, dirbant lauko sąlygomis</w:t>
                        </w:r>
                      </w:p>
                    </w:tc>
                    <w:tc>
                      <w:tcPr>
                        <w:tcW w:w="1702" w:type="dxa"/>
                        <w:vMerge w:val="restart"/>
                      </w:tcPr>
                      <w:p>
                        <w:pPr>
                          <w:rPr>
                            <w:sz w:val="18"/>
                            <w:szCs w:val="18"/>
                          </w:rPr>
                        </w:pPr>
                        <w:r>
                          <w:rPr>
                            <w:sz w:val="18"/>
                            <w:szCs w:val="18"/>
                          </w:rPr>
                          <w:t>Šiltuoju metų laiku daugiau kaip +30</w:t>
                          <w:sym w:font="Symbol" w:char="F0B0"/>
                          <w:t>C,</w:t>
                        </w:r>
                      </w:p>
                      <w:p>
                        <w:pPr>
                          <w:rPr>
                            <w:sz w:val="18"/>
                            <w:szCs w:val="18"/>
                          </w:rPr>
                        </w:pPr>
                        <w:r>
                          <w:rPr>
                            <w:sz w:val="18"/>
                            <w:szCs w:val="18"/>
                          </w:rPr>
                          <w:t>šaltuoju metų laiku – žemesnė</w:t>
                        </w:r>
                      </w:p>
                      <w:p>
                        <w:pPr>
                          <w:rPr>
                            <w:sz w:val="18"/>
                            <w:szCs w:val="18"/>
                          </w:rPr>
                        </w:pPr>
                        <w:r>
                          <w:rPr>
                            <w:sz w:val="18"/>
                            <w:szCs w:val="18"/>
                          </w:rPr>
                          <w:t>nei -10</w:t>
                        </w:r>
                        <w:r>
                          <w:rPr>
                            <w:sz w:val="18"/>
                            <w:szCs w:val="18"/>
                            <w:vertAlign w:val="superscript"/>
                          </w:rPr>
                          <w:t>0</w:t>
                        </w:r>
                        <w:r>
                          <w:rPr>
                            <w:sz w:val="18"/>
                            <w:szCs w:val="18"/>
                          </w:rPr>
                          <w:t>C</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Žr. 3.7.1 arba 3.7.2 punktus</w:t>
                        </w:r>
                      </w:p>
                    </w:tc>
                  </w:tr>
                  <w:tr>
                    <w:trPr>
                      <w:trHeight w:val="7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n</w:t>
                        </w:r>
                        <w:r>
                          <w:rPr>
                            <w:bCs/>
                            <w:sz w:val="18"/>
                            <w:szCs w:val="18"/>
                          </w:rPr>
                          <w:t>eurologas,</w:t>
                        </w:r>
                        <w:r>
                          <w:rPr>
                            <w:sz w:val="18"/>
                            <w:szCs w:val="18"/>
                          </w:rPr>
                          <w:t xml:space="preserve"> dermatovenerologas</w:t>
                        </w:r>
                      </w:p>
                    </w:tc>
                    <w:tc>
                      <w:tcPr>
                        <w:tcW w:w="2984" w:type="dxa"/>
                        <w:vMerge/>
                      </w:tcPr>
                      <w:p>
                        <w:pPr>
                          <w:rPr>
                            <w:sz w:val="18"/>
                            <w:szCs w:val="18"/>
                          </w:rPr>
                        </w:pPr>
                      </w:p>
                    </w:tc>
                    <w:tc>
                      <w:tcPr>
                        <w:tcW w:w="2168" w:type="dxa"/>
                        <w:vMerge/>
                      </w:tcPr>
                      <w:p>
                        <w:pPr>
                          <w:rPr>
                            <w:sz w:val="18"/>
                            <w:szCs w:val="18"/>
                          </w:rPr>
                        </w:pPr>
                      </w:p>
                    </w:tc>
                  </w:tr>
                  <w:tr>
                    <w:trPr>
                      <w:trHeight w:val="714"/>
                    </w:trPr>
                    <w:tc>
                      <w:tcPr>
                        <w:tcW w:w="2383" w:type="dxa"/>
                        <w:vMerge w:val="restart"/>
                      </w:tcPr>
                      <w:p>
                        <w:pPr>
                          <w:rPr>
                            <w:sz w:val="18"/>
                            <w:szCs w:val="18"/>
                          </w:rPr>
                        </w:pPr>
                        <w:r>
                          <w:rPr>
                            <w:sz w:val="18"/>
                            <w:szCs w:val="18"/>
                          </w:rPr>
                          <w:t>3.8. Padidėjęs atmosferos slėgis</w:t>
                        </w:r>
                      </w:p>
                    </w:tc>
                    <w:tc>
                      <w:tcPr>
                        <w:tcW w:w="1702" w:type="dxa"/>
                        <w:vMerge w:val="restart"/>
                      </w:tcPr>
                      <w:p>
                        <w:pPr>
                          <w:rPr>
                            <w:sz w:val="18"/>
                            <w:szCs w:val="18"/>
                          </w:rPr>
                        </w:pPr>
                        <w:r>
                          <w:rPr>
                            <w:sz w:val="18"/>
                            <w:szCs w:val="18"/>
                          </w:rPr>
                          <w:t xml:space="preserve">Darbai po vandeniu (naro) kesonuose, barokamerose </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Vestibulinės funkcijos tyrimas,</w:t>
                        </w:r>
                      </w:p>
                      <w:p>
                        <w:pPr>
                          <w:rPr>
                            <w:sz w:val="18"/>
                            <w:szCs w:val="18"/>
                          </w:rPr>
                        </w:pPr>
                        <w:r>
                          <w:rPr>
                            <w:sz w:val="18"/>
                            <w:szCs w:val="18"/>
                          </w:rPr>
                          <w:t>esant indikacijų – KLR, IKFT,</w:t>
                        </w:r>
                      </w:p>
                      <w:p>
                        <w:pPr>
                          <w:rPr>
                            <w:sz w:val="18"/>
                            <w:szCs w:val="18"/>
                          </w:rPr>
                        </w:pPr>
                        <w:r>
                          <w:rPr>
                            <w:sz w:val="18"/>
                            <w:szCs w:val="18"/>
                          </w:rPr>
                          <w:t>regėjimo aštrumas,</w:t>
                        </w:r>
                      </w:p>
                      <w:p>
                        <w:pPr>
                          <w:rPr>
                            <w:sz w:val="18"/>
                            <w:szCs w:val="18"/>
                          </w:rPr>
                        </w:pPr>
                        <w:r>
                          <w:rPr>
                            <w:sz w:val="18"/>
                            <w:szCs w:val="18"/>
                          </w:rPr>
                          <w:t>audiograma</w:t>
                        </w:r>
                      </w:p>
                    </w:tc>
                    <w:tc>
                      <w:tcPr>
                        <w:tcW w:w="2168" w:type="dxa"/>
                        <w:vMerge w:val="restart"/>
                      </w:tcPr>
                      <w:p>
                        <w:pPr>
                          <w:tabs>
                            <w:tab w:val="left" w:pos="177"/>
                          </w:tabs>
                          <w:rPr>
                            <w:sz w:val="18"/>
                            <w:szCs w:val="18"/>
                          </w:rPr>
                        </w:pPr>
                        <w:r>
                          <w:rPr>
                            <w:sz w:val="18"/>
                            <w:szCs w:val="18"/>
                          </w:rPr>
                          <w:t xml:space="preserve">1. Nuolatiniai regėjimo funkcijos sutrikimai, regėjimas mažesnis kaip 0,8  viena ir 0,5 – kita akimi (be korekcijos)</w:t>
                        </w:r>
                      </w:p>
                      <w:p>
                        <w:pPr>
                          <w:rPr>
                            <w:sz w:val="18"/>
                            <w:szCs w:val="18"/>
                          </w:rPr>
                        </w:pPr>
                        <w:r>
                          <w:rPr>
                            <w:sz w:val="18"/>
                            <w:szCs w:val="18"/>
                          </w:rPr>
                          <w:t>2. Išorinės ausies ligos: H60–H62; vidurinės ausies ir speninės ataugos ligos H65–H75; vidinės ausies ligos: H80–H83; H90.3; H90.4; H91.1; H91.3; H93.3; H94, įvairios etiologijos klausos susilpnėjimas viena arba abiem ausimis, kai šnabždesys girdimas mažesniu kaip 3 m atstumu H90, H91. Individualiu atveju dėl galimybės dirbti sprendžia gydytojas otorinolaringologas.</w:t>
                        </w:r>
                      </w:p>
                      <w:p>
                        <w:pPr>
                          <w:rPr>
                            <w:sz w:val="18"/>
                            <w:szCs w:val="18"/>
                          </w:rPr>
                        </w:pPr>
                        <w:r>
                          <w:rPr>
                            <w:sz w:val="18"/>
                            <w:szCs w:val="18"/>
                          </w:rPr>
                          <w:t>3. Vestibulinės funkcijos sutrikimai: H81; H82</w:t>
                        </w:r>
                      </w:p>
                      <w:p>
                        <w:pPr>
                          <w:tabs>
                            <w:tab w:val="left" w:pos="35"/>
                            <w:tab w:val="left" w:pos="177"/>
                          </w:tabs>
                          <w:rPr>
                            <w:sz w:val="18"/>
                            <w:szCs w:val="18"/>
                          </w:rPr>
                        </w:pPr>
                        <w:r>
                          <w:rPr>
                            <w:sz w:val="18"/>
                            <w:szCs w:val="18"/>
                          </w:rPr>
                          <w:t>4. Žymūs skeleto–raumenų išsivystymo trūkumai ir traumų pasekmės (kūno defektai, anomalijos, deformacijos), sunkinančios judėjimą</w:t>
                        </w:r>
                      </w:p>
                      <w:p>
                        <w:pPr>
                          <w:tabs>
                            <w:tab w:val="left" w:pos="0"/>
                            <w:tab w:val="left" w:pos="177"/>
                          </w:tabs>
                          <w:rPr>
                            <w:sz w:val="18"/>
                            <w:szCs w:val="18"/>
                          </w:rPr>
                        </w:pPr>
                        <w:r>
                          <w:rPr>
                            <w:sz w:val="18"/>
                            <w:szCs w:val="18"/>
                          </w:rPr>
                          <w:t>5. Vienos rankos dviejų pirštų nebuvimas ar nejudrumas</w:t>
                        </w:r>
                      </w:p>
                      <w:p>
                        <w:pPr>
                          <w:tabs>
                            <w:tab w:val="left" w:pos="0"/>
                            <w:tab w:val="left" w:pos="177"/>
                          </w:tabs>
                          <w:rPr>
                            <w:sz w:val="18"/>
                            <w:szCs w:val="18"/>
                          </w:rPr>
                        </w:pPr>
                        <w:r>
                          <w:rPr>
                            <w:sz w:val="18"/>
                            <w:szCs w:val="18"/>
                          </w:rPr>
                          <w:t xml:space="preserve">6. Gerybiniai navikai D10-D36 </w:t>
                        </w:r>
                      </w:p>
                      <w:p>
                        <w:pPr>
                          <w:tabs>
                            <w:tab w:val="left" w:pos="0"/>
                            <w:tab w:val="left" w:pos="177"/>
                          </w:tabs>
                          <w:rPr>
                            <w:sz w:val="18"/>
                            <w:szCs w:val="18"/>
                          </w:rPr>
                        </w:pPr>
                        <w:r>
                          <w:rPr>
                            <w:sz w:val="18"/>
                            <w:szCs w:val="18"/>
                          </w:rPr>
                          <w:t xml:space="preserve">7. Randai, trofikos sutrikimai, grybelinė infekcija, lėtinės odos ligos joms paūmėjus I83, B35, B37.2, L20, L23, L40, L50, L52, L53 </w:t>
                        </w:r>
                      </w:p>
                      <w:p>
                        <w:pPr>
                          <w:tabs>
                            <w:tab w:val="left" w:pos="177"/>
                          </w:tabs>
                          <w:rPr>
                            <w:sz w:val="18"/>
                            <w:szCs w:val="18"/>
                          </w:rPr>
                        </w:pPr>
                        <w:r>
                          <w:rPr>
                            <w:sz w:val="18"/>
                            <w:szCs w:val="18"/>
                          </w:rPr>
                          <w:t>8. Burnos ertmės ir dantų ligos, dantų nebuvimas, jeigu tai trukdo naudotis kvėpavimo aparatais, uždedamų protezų turėjimas, alveolinė piorėja, stomatitas, periodontitas, apatinio žandikaulio kontraktūra ir ankilozė, artritas K05, K06, K10–K13</w:t>
                        </w:r>
                      </w:p>
                      <w:p>
                        <w:pPr>
                          <w:rPr>
                            <w:sz w:val="18"/>
                            <w:szCs w:val="18"/>
                          </w:rPr>
                        </w:pPr>
                        <w:r>
                          <w:rPr>
                            <w:sz w:val="18"/>
                            <w:szCs w:val="18"/>
                          </w:rPr>
                          <w:t>9. Lėtinės obstrukcinės plaučių ligos J44–J47</w:t>
                        </w:r>
                      </w:p>
                      <w:p>
                        <w:pPr>
                          <w:rPr>
                            <w:sz w:val="18"/>
                            <w:szCs w:val="18"/>
                          </w:rPr>
                        </w:pPr>
                        <w:r>
                          <w:rPr>
                            <w:sz w:val="18"/>
                            <w:szCs w:val="18"/>
                          </w:rPr>
                          <w:t>10. Astma J45</w:t>
                        </w:r>
                      </w:p>
                      <w:p>
                        <w:pPr>
                          <w:rPr>
                            <w:sz w:val="18"/>
                            <w:szCs w:val="18"/>
                          </w:rPr>
                        </w:pPr>
                        <w:r>
                          <w:rPr>
                            <w:sz w:val="18"/>
                            <w:szCs w:val="18"/>
                          </w:rPr>
                          <w:t>11. Lėtinis kvėpavimo nepakankamumas I-II</w:t>
                          <w:sym w:font="Symbol" w:char="F0B0"/>
                          <w:t xml:space="preserve"> J96.1</w:t>
                        </w:r>
                      </w:p>
                      <w:p>
                        <w:pPr>
                          <w:tabs>
                            <w:tab w:val="left" w:pos="318"/>
                          </w:tabs>
                          <w:rPr>
                            <w:sz w:val="18"/>
                            <w:szCs w:val="18"/>
                          </w:rPr>
                        </w:pPr>
                        <w:r>
                          <w:rPr>
                            <w:sz w:val="18"/>
                            <w:szCs w:val="18"/>
                          </w:rPr>
                          <w:t>12. Lėtinės (centrinės ir periferinės) nervų sistemos ligos G00–G99</w:t>
                        </w:r>
                      </w:p>
                      <w:p>
                        <w:pPr>
                          <w:tabs>
                            <w:tab w:val="left" w:pos="177"/>
                            <w:tab w:val="left" w:pos="318"/>
                          </w:tabs>
                          <w:rPr>
                            <w:sz w:val="18"/>
                            <w:szCs w:val="18"/>
                          </w:rPr>
                        </w:pPr>
                        <w:r>
                          <w:rPr>
                            <w:sz w:val="18"/>
                            <w:szCs w:val="18"/>
                          </w:rPr>
                          <w:t xml:space="preserve">13. Somatoforminė autonominė disfunkcija </w:t>
                        </w:r>
                        <w:r>
                          <w:rPr>
                            <w:sz w:val="18"/>
                            <w:szCs w:val="18"/>
                            <w:lang w:val="pt-BR"/>
                          </w:rPr>
                          <w:t>F45.3</w:t>
                        </w:r>
                      </w:p>
                      <w:p>
                        <w:pPr>
                          <w:tabs>
                            <w:tab w:val="left" w:pos="177"/>
                            <w:tab w:val="left" w:pos="318"/>
                          </w:tabs>
                          <w:rPr>
                            <w:sz w:val="18"/>
                            <w:szCs w:val="18"/>
                            <w:lang w:val="pt-BR"/>
                          </w:rPr>
                        </w:pPr>
                        <w:r>
                          <w:rPr>
                            <w:sz w:val="18"/>
                            <w:szCs w:val="18"/>
                          </w:rPr>
                          <w:t xml:space="preserve">14. Lėtinės inkstų ligos, akmenligė </w:t>
                        </w:r>
                        <w:r>
                          <w:rPr>
                            <w:sz w:val="18"/>
                            <w:szCs w:val="18"/>
                            <w:lang w:val="pt-BR"/>
                          </w:rPr>
                          <w:t>N00–N08, N10–N39</w:t>
                        </w:r>
                      </w:p>
                      <w:p>
                        <w:pPr>
                          <w:tabs>
                            <w:tab w:val="left" w:pos="177"/>
                            <w:tab w:val="left" w:pos="318"/>
                          </w:tabs>
                          <w:rPr>
                            <w:sz w:val="18"/>
                            <w:szCs w:val="18"/>
                          </w:rPr>
                        </w:pPr>
                        <w:r>
                          <w:rPr>
                            <w:sz w:val="18"/>
                            <w:szCs w:val="18"/>
                          </w:rPr>
                          <w:t>15. Širdies ligos, nepriklausomai nuo jų kompensacijos laipsnio I05–I09, I10–I15, I20–I25, I26–I28, I30–I52</w:t>
                        </w:r>
                      </w:p>
                      <w:p>
                        <w:pPr>
                          <w:tabs>
                            <w:tab w:val="left" w:pos="177"/>
                            <w:tab w:val="left" w:pos="318"/>
                          </w:tabs>
                          <w:rPr>
                            <w:sz w:val="18"/>
                            <w:szCs w:val="18"/>
                          </w:rPr>
                        </w:pPr>
                        <w:r>
                          <w:rPr>
                            <w:sz w:val="18"/>
                            <w:szCs w:val="18"/>
                          </w:rPr>
                          <w:t xml:space="preserve">16. Arterinė hipertenzija </w:t>
                        </w:r>
                        <w:r>
                          <w:rPr>
                            <w:sz w:val="18"/>
                            <w:szCs w:val="18"/>
                            <w:lang w:val="pt-BR"/>
                          </w:rPr>
                          <w:t>I10–I15</w:t>
                        </w:r>
                      </w:p>
                      <w:p>
                        <w:pPr>
                          <w:tabs>
                            <w:tab w:val="left" w:pos="177"/>
                            <w:tab w:val="left" w:pos="318"/>
                          </w:tabs>
                          <w:rPr>
                            <w:sz w:val="18"/>
                            <w:szCs w:val="18"/>
                          </w:rPr>
                        </w:pPr>
                        <w:r>
                          <w:rPr>
                            <w:sz w:val="18"/>
                            <w:szCs w:val="18"/>
                          </w:rPr>
                          <w:t xml:space="preserve">17. Išsiplėtusių kojų venų varikozinės ligos, hemorojus, </w:t>
                        </w:r>
                        <w:r>
                          <w:rPr>
                            <w:bCs/>
                            <w:sz w:val="18"/>
                            <w:szCs w:val="18"/>
                          </w:rPr>
                          <w:t xml:space="preserve">obliteruojantis endarteritas, </w:t>
                        </w:r>
                        <w:r>
                          <w:rPr>
                            <w:sz w:val="18"/>
                            <w:szCs w:val="18"/>
                          </w:rPr>
                          <w:t xml:space="preserve">Raynaud sindromas </w:t>
                        </w:r>
                        <w:r>
                          <w:rPr>
                            <w:bCs/>
                            <w:sz w:val="18"/>
                            <w:szCs w:val="18"/>
                          </w:rPr>
                          <w:t>I70–</w:t>
                        </w:r>
                        <w:r>
                          <w:rPr>
                            <w:sz w:val="18"/>
                            <w:szCs w:val="18"/>
                          </w:rPr>
                          <w:t xml:space="preserve">I73.0, I80, I83, I84 </w:t>
                        </w:r>
                      </w:p>
                      <w:p>
                        <w:pPr>
                          <w:tabs>
                            <w:tab w:val="left" w:pos="177"/>
                            <w:tab w:val="left" w:pos="318"/>
                          </w:tabs>
                          <w:rPr>
                            <w:sz w:val="18"/>
                            <w:szCs w:val="18"/>
                          </w:rPr>
                        </w:pPr>
                        <w:r>
                          <w:rPr>
                            <w:sz w:val="18"/>
                            <w:szCs w:val="18"/>
                          </w:rPr>
                          <w:t>18. Jungiamojo audinio lėtinės uždegiminės ligos M00–M25, M30–M36</w:t>
                        </w:r>
                      </w:p>
                      <w:p>
                        <w:pPr>
                          <w:tabs>
                            <w:tab w:val="left" w:pos="177"/>
                            <w:tab w:val="left" w:pos="318"/>
                          </w:tabs>
                          <w:rPr>
                            <w:sz w:val="18"/>
                            <w:szCs w:val="18"/>
                          </w:rPr>
                        </w:pPr>
                        <w:r>
                          <w:rPr>
                            <w:sz w:val="18"/>
                            <w:szCs w:val="18"/>
                          </w:rPr>
                          <w:t xml:space="preserve">19. Visos tuberkuliozės formos </w:t>
                        </w:r>
                        <w:r>
                          <w:rPr>
                            <w:sz w:val="18"/>
                            <w:szCs w:val="18"/>
                            <w:lang w:val="pt-BR"/>
                          </w:rPr>
                          <w:t>A15–A19</w:t>
                        </w:r>
                      </w:p>
                      <w:p>
                        <w:pPr>
                          <w:tabs>
                            <w:tab w:val="left" w:pos="177"/>
                            <w:tab w:val="left" w:pos="318"/>
                          </w:tabs>
                          <w:rPr>
                            <w:sz w:val="18"/>
                            <w:szCs w:val="18"/>
                            <w:lang w:val="sv-SE"/>
                          </w:rPr>
                        </w:pPr>
                        <w:r>
                          <w:rPr>
                            <w:sz w:val="18"/>
                            <w:szCs w:val="18"/>
                          </w:rPr>
                          <w:t>20.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 jei remisija trumpesnė negu 3 m.; suaugusiųjų asmenybės sutrikimai F60.0–F60.3; F61.0; F63.1 – kai kompensacija trunka mažiau kaip 3 m.; protinis atsilikimas F71–F79</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esant indikacijų – p</w:t>
                        </w:r>
                        <w:r>
                          <w:rPr>
                            <w:bCs/>
                            <w:sz w:val="18"/>
                            <w:szCs w:val="18"/>
                          </w:rPr>
                          <w:t xml:space="preserve">sichiatras, radiologas </w:t>
                        </w:r>
                        <w:r>
                          <w:rPr>
                            <w:sz w:val="18"/>
                            <w:szCs w:val="18"/>
                          </w:rPr>
                          <w:t xml:space="preserve">ir </w:t>
                        </w:r>
                        <w:r>
                          <w:rPr>
                            <w:bCs/>
                            <w:sz w:val="18"/>
                            <w:szCs w:val="18"/>
                          </w:rPr>
                          <w:t>kitų profesinių kvalifikacijų gydytojai</w:t>
                        </w:r>
                        <w:r>
                          <w:rPr>
                            <w:sz w:val="18"/>
                            <w:szCs w:val="18"/>
                          </w:rPr>
                          <w:t xml:space="preserve"> </w:t>
                        </w:r>
                      </w:p>
                    </w:tc>
                    <w:tc>
                      <w:tcPr>
                        <w:tcW w:w="2984" w:type="dxa"/>
                        <w:vMerge/>
                      </w:tcPr>
                      <w:p>
                        <w:pPr>
                          <w:rPr>
                            <w:sz w:val="18"/>
                            <w:szCs w:val="18"/>
                          </w:rPr>
                        </w:pPr>
                      </w:p>
                    </w:tc>
                    <w:tc>
                      <w:tcPr>
                        <w:tcW w:w="2168" w:type="dxa"/>
                        <w:vMerge/>
                      </w:tcPr>
                      <w:p>
                        <w:pPr>
                          <w:tabs>
                            <w:tab w:val="left" w:pos="177"/>
                          </w:tabs>
                          <w:rPr>
                            <w:sz w:val="18"/>
                            <w:szCs w:val="18"/>
                          </w:rPr>
                        </w:pPr>
                      </w:p>
                    </w:tc>
                  </w:tr>
                  <w:tr>
                    <w:trPr>
                      <w:trHeight w:val="47"/>
                    </w:trPr>
                    <w:tc>
                      <w:tcPr>
                        <w:tcW w:w="2383" w:type="dxa"/>
                        <w:vMerge w:val="restart"/>
                      </w:tcPr>
                      <w:p>
                        <w:pPr>
                          <w:rPr>
                            <w:sz w:val="18"/>
                            <w:szCs w:val="18"/>
                          </w:rPr>
                        </w:pPr>
                        <w:r>
                          <w:rPr>
                            <w:sz w:val="18"/>
                            <w:szCs w:val="18"/>
                          </w:rPr>
                          <w:t>3.9. Ultragarsas (kontaktinis perdavimas)</w:t>
                        </w:r>
                      </w:p>
                    </w:tc>
                    <w:tc>
                      <w:tcPr>
                        <w:tcW w:w="1702" w:type="dxa"/>
                        <w:vMerge w:val="restart"/>
                      </w:tcPr>
                      <w:p>
                        <w:pPr>
                          <w:rPr>
                            <w:sz w:val="18"/>
                            <w:szCs w:val="18"/>
                          </w:rPr>
                        </w:pPr>
                        <w:r>
                          <w:rPr>
                            <w:sz w:val="18"/>
                            <w:szCs w:val="18"/>
                          </w:rPr>
                          <w:t>Darbas su ultragarso defektoskopais ir medicinine aparatūra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Jautrumas vibracijai, esant indikacijų – EKG, šalčio mėginys</w:t>
                        </w:r>
                      </w:p>
                    </w:tc>
                    <w:tc>
                      <w:tcPr>
                        <w:tcW w:w="2168" w:type="dxa"/>
                        <w:vMerge w:val="restart"/>
                      </w:tcPr>
                      <w:p>
                        <w:pPr>
                          <w:rPr>
                            <w:sz w:val="18"/>
                            <w:szCs w:val="18"/>
                          </w:rPr>
                        </w:pPr>
                        <w:r>
                          <w:rPr>
                            <w:sz w:val="18"/>
                            <w:szCs w:val="18"/>
                          </w:rPr>
                          <w:t>1. Lėtinės periferinės nervų sistemos ir raumenų ligos G60–G64, G70–G73</w:t>
                        </w:r>
                      </w:p>
                      <w:p>
                        <w:pPr>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tc>
                  </w:tr>
                  <w:tr>
                    <w:trPr>
                      <w:trHeight w:val="622"/>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48"/>
                    <w:gridCol w:w="1413"/>
                    <w:gridCol w:w="6"/>
                    <w:gridCol w:w="1932"/>
                    <w:gridCol w:w="2106"/>
                    <w:gridCol w:w="354"/>
                    <w:gridCol w:w="2630"/>
                    <w:gridCol w:w="2168"/>
                  </w:tblGrid>
                  <w:tr>
                    <w:tc>
                      <w:tcPr>
                        <w:tcW w:w="14740" w:type="dxa"/>
                        <w:gridSpan w:val="9"/>
                      </w:tcPr>
                      <w:p>
                        <w:pPr>
                          <w:pageBreakBefore/>
                          <w:jc w:val="center"/>
                          <w:rPr>
                            <w:b/>
                            <w:sz w:val="18"/>
                            <w:szCs w:val="18"/>
                          </w:rPr>
                        </w:pPr>
                        <w:r>
                          <w:rPr>
                            <w:b/>
                            <w:sz w:val="18"/>
                            <w:szCs w:val="18"/>
                          </w:rPr>
                          <w:t xml:space="preserve">4. ERGONOMINIAI (BIOMECHANINIAI) VEIKSNIAI </w:t>
                        </w:r>
                      </w:p>
                    </w:tc>
                  </w:tr>
                  <w:tr>
                    <w:trPr>
                      <w:trHeight w:val="828"/>
                    </w:trPr>
                    <w:tc>
                      <w:tcPr>
                        <w:tcW w:w="2383" w:type="dxa"/>
                        <w:vMerge w:val="restart"/>
                      </w:tcPr>
                      <w:p>
                        <w:pPr>
                          <w:rPr>
                            <w:sz w:val="18"/>
                            <w:szCs w:val="18"/>
                          </w:rPr>
                        </w:pPr>
                        <w:r>
                          <w:rPr>
                            <w:sz w:val="18"/>
                            <w:szCs w:val="18"/>
                          </w:rPr>
                          <w:t>4.1. Balso stygų nuolatinis įtempimas</w:t>
                        </w:r>
                      </w:p>
                    </w:tc>
                    <w:tc>
                      <w:tcPr>
                        <w:tcW w:w="1748" w:type="dxa"/>
                        <w:vMerge w:val="restart"/>
                      </w:tcPr>
                      <w:p>
                        <w:pPr>
                          <w:rPr>
                            <w:sz w:val="18"/>
                            <w:szCs w:val="18"/>
                          </w:rPr>
                        </w:pPr>
                        <w:r>
                          <w:rPr>
                            <w:sz w:val="18"/>
                            <w:szCs w:val="18"/>
                          </w:rPr>
                          <w:t>Darbai, susiję su balso stygų pertempimu (mokytojų, dėstytojų, diktorių, dainininkų, telefono stočių kai kurių darbuotojų)</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Esant indikacijų – otorinolaringologa</w:t>
                        </w:r>
                        <w:r>
                          <w:rPr>
                            <w:bCs/>
                            <w:sz w:val="18"/>
                            <w:szCs w:val="18"/>
                          </w:rPr>
                          <w:t xml:space="preserve">s </w:t>
                        </w:r>
                        <w:r>
                          <w:rPr>
                            <w:sz w:val="18"/>
                            <w:szCs w:val="18"/>
                          </w:rPr>
                          <w:t xml:space="preserve">ir </w:t>
                        </w:r>
                        <w:r>
                          <w:rPr>
                            <w:bCs/>
                            <w:sz w:val="18"/>
                            <w:szCs w:val="18"/>
                          </w:rPr>
                          <w:t>kitų profesinių kvalifikacijų gydytojai</w:t>
                        </w:r>
                        <w:r>
                          <w:rPr>
                            <w:sz w:val="18"/>
                            <w:szCs w:val="18"/>
                          </w:rPr>
                          <w:t xml:space="preserve"> </w:t>
                        </w:r>
                      </w:p>
                    </w:tc>
                    <w:tc>
                      <w:tcPr>
                        <w:tcW w:w="2984" w:type="dxa"/>
                        <w:gridSpan w:val="2"/>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klausos tyrimas</w:t>
                        </w:r>
                      </w:p>
                    </w:tc>
                    <w:tc>
                      <w:tcPr>
                        <w:tcW w:w="2168" w:type="dxa"/>
                        <w:vMerge w:val="restart"/>
                      </w:tcPr>
                      <w:p>
                        <w:pPr>
                          <w:rPr>
                            <w:sz w:val="18"/>
                            <w:szCs w:val="18"/>
                          </w:rPr>
                        </w:pPr>
                        <w:r>
                          <w:rPr>
                            <w:sz w:val="18"/>
                            <w:szCs w:val="18"/>
                          </w:rPr>
                          <w:t>1. Lėtinės ligos, susijusios su garso funkcijos sutrikimu (lėtiniai laringitai, faringitai ir pan.) J37.0, J31.2, J38</w:t>
                        </w:r>
                      </w:p>
                      <w:p>
                        <w:pPr>
                          <w:rPr>
                            <w:sz w:val="18"/>
                            <w:szCs w:val="18"/>
                          </w:rPr>
                        </w:pPr>
                        <w:r>
                          <w:rPr>
                            <w:sz w:val="18"/>
                            <w:szCs w:val="18"/>
                          </w:rPr>
                          <w:t>2. Balso pakitimai R49</w:t>
                        </w:r>
                      </w:p>
                    </w:tc>
                  </w:tr>
                  <w:tr>
                    <w:trPr>
                      <w:trHeight w:val="827"/>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sz w:val="18"/>
                            <w:szCs w:val="18"/>
                          </w:rPr>
                        </w:pPr>
                        <w:r>
                          <w:rPr>
                            <w:sz w:val="18"/>
                            <w:szCs w:val="18"/>
                          </w:rPr>
                          <w:t>Otorinolaringologas</w:t>
                        </w:r>
                      </w:p>
                    </w:tc>
                    <w:tc>
                      <w:tcPr>
                        <w:tcW w:w="2984" w:type="dxa"/>
                        <w:gridSpan w:val="2"/>
                        <w:vMerge/>
                      </w:tcPr>
                      <w:p>
                        <w:pPr>
                          <w:rPr>
                            <w:sz w:val="18"/>
                            <w:szCs w:val="18"/>
                          </w:rPr>
                        </w:pPr>
                      </w:p>
                    </w:tc>
                    <w:tc>
                      <w:tcPr>
                        <w:tcW w:w="2168" w:type="dxa"/>
                        <w:vMerge/>
                      </w:tcPr>
                      <w:p>
                        <w:pPr>
                          <w:rPr>
                            <w:sz w:val="18"/>
                            <w:szCs w:val="18"/>
                          </w:rPr>
                        </w:pPr>
                      </w:p>
                    </w:tc>
                  </w:tr>
                  <w:tr>
                    <w:tc>
                      <w:tcPr>
                        <w:tcW w:w="2383" w:type="dxa"/>
                      </w:tcPr>
                      <w:p>
                        <w:pPr>
                          <w:rPr>
                            <w:sz w:val="18"/>
                            <w:szCs w:val="18"/>
                          </w:rPr>
                        </w:pPr>
                        <w:r>
                          <w:rPr>
                            <w:sz w:val="18"/>
                            <w:szCs w:val="18"/>
                          </w:rPr>
                          <w:t>4.2. Darbo sunkumas</w:t>
                        </w:r>
                      </w:p>
                    </w:tc>
                    <w:tc>
                      <w:tcPr>
                        <w:tcW w:w="1748" w:type="dxa"/>
                      </w:tcPr>
                      <w:p>
                        <w:pPr>
                          <w:rPr>
                            <w:sz w:val="18"/>
                            <w:szCs w:val="18"/>
                          </w:rPr>
                        </w:pPr>
                      </w:p>
                    </w:tc>
                    <w:tc>
                      <w:tcPr>
                        <w:tcW w:w="1413" w:type="dxa"/>
                      </w:tcPr>
                      <w:p>
                        <w:pPr>
                          <w:rPr>
                            <w:sz w:val="18"/>
                            <w:szCs w:val="18"/>
                          </w:rPr>
                        </w:pPr>
                      </w:p>
                    </w:tc>
                    <w:tc>
                      <w:tcPr>
                        <w:tcW w:w="1938" w:type="dxa"/>
                        <w:gridSpan w:val="2"/>
                      </w:tcPr>
                      <w:p>
                        <w:pPr>
                          <w:rPr>
                            <w:sz w:val="18"/>
                            <w:szCs w:val="18"/>
                          </w:rPr>
                        </w:pPr>
                      </w:p>
                    </w:tc>
                    <w:tc>
                      <w:tcPr>
                        <w:tcW w:w="2106" w:type="dxa"/>
                      </w:tcPr>
                      <w:p>
                        <w:pPr>
                          <w:rPr>
                            <w:sz w:val="18"/>
                            <w:szCs w:val="18"/>
                          </w:rPr>
                        </w:pPr>
                      </w:p>
                    </w:tc>
                    <w:tc>
                      <w:tcPr>
                        <w:tcW w:w="2984" w:type="dxa"/>
                        <w:gridSpan w:val="2"/>
                      </w:tcPr>
                      <w:p>
                        <w:pPr>
                          <w:rPr>
                            <w:sz w:val="18"/>
                            <w:szCs w:val="18"/>
                          </w:rPr>
                        </w:pPr>
                      </w:p>
                    </w:tc>
                    <w:tc>
                      <w:tcPr>
                        <w:tcW w:w="2168" w:type="dxa"/>
                      </w:tcPr>
                      <w:p>
                        <w:pPr>
                          <w:rPr>
                            <w:sz w:val="18"/>
                            <w:szCs w:val="18"/>
                          </w:rPr>
                        </w:pPr>
                      </w:p>
                    </w:tc>
                  </w:tr>
                  <w:tr>
                    <w:trPr>
                      <w:trHeight w:val="1861"/>
                    </w:trPr>
                    <w:tc>
                      <w:tcPr>
                        <w:tcW w:w="2383" w:type="dxa"/>
                        <w:vMerge w:val="restart"/>
                      </w:tcPr>
                      <w:p>
                        <w:pPr>
                          <w:rPr>
                            <w:sz w:val="18"/>
                            <w:szCs w:val="18"/>
                          </w:rPr>
                        </w:pPr>
                        <w:r>
                          <w:rPr>
                            <w:sz w:val="18"/>
                            <w:szCs w:val="18"/>
                          </w:rPr>
                          <w:t>4.2.1. Krovinių tvarkymas rankomis</w:t>
                        </w:r>
                      </w:p>
                    </w:tc>
                    <w:tc>
                      <w:tcPr>
                        <w:tcW w:w="1748" w:type="dxa"/>
                        <w:vMerge w:val="restart"/>
                      </w:tcPr>
                      <w:p>
                        <w:pPr>
                          <w:rPr>
                            <w:strike/>
                            <w:sz w:val="18"/>
                            <w:szCs w:val="18"/>
                            <w:highlight w:val="yellow"/>
                          </w:rPr>
                        </w:pPr>
                        <w:r>
                          <w:rPr>
                            <w:sz w:val="18"/>
                            <w:szCs w:val="18"/>
                          </w:rPr>
                          <w:t>Bet koks krovinio gabenimas ar laikymas, kai vienas ar daugiau darbuotojų kelia, leidžia žemyn, stumia, traukia, neša ar judina krovinį, kuris dėl jo savybių ar nepalankių ergonominių sąlygų kelia riziką darbuotojams, ypač susižeisti nugarą.</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Dinamometrija, 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G54–G64,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tromboflebitas, hemorojus </w:t>
                        </w:r>
                        <w:r>
                          <w:rPr>
                            <w:sz w:val="18"/>
                            <w:szCs w:val="18"/>
                          </w:rPr>
                          <w:t>I80–I84</w:t>
                        </w:r>
                      </w:p>
                      <w:p>
                        <w:pPr>
                          <w:rPr>
                            <w:bCs/>
                            <w:sz w:val="18"/>
                            <w:szCs w:val="18"/>
                          </w:rPr>
                        </w:pPr>
                        <w:r>
                          <w:rPr>
                            <w:bCs/>
                            <w:sz w:val="18"/>
                            <w:szCs w:val="18"/>
                          </w:rPr>
                          <w:t xml:space="preserve">5. Išvaržos, enteroptozės K40–K46, K63.4, </w:t>
                        </w:r>
                      </w:p>
                      <w:p>
                        <w:pPr>
                          <w:rPr>
                            <w:bCs/>
                            <w:i/>
                            <w:sz w:val="18"/>
                            <w:szCs w:val="18"/>
                          </w:rPr>
                        </w:pPr>
                        <w:r>
                          <w:rPr>
                            <w:bCs/>
                            <w:sz w:val="18"/>
                            <w:szCs w:val="18"/>
                          </w:rPr>
                          <w:t>6. Diskogeninės kaklo ir juosmens stuburo ligos M50, M51.1</w:t>
                        </w:r>
                      </w:p>
                    </w:tc>
                  </w:tr>
                  <w:tr>
                    <w:trPr>
                      <w:trHeight w:val="1861"/>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 xml:space="preserve">Neurologas, </w:t>
                        </w:r>
                      </w:p>
                      <w:p>
                        <w:pPr>
                          <w:rPr>
                            <w:bCs/>
                            <w:sz w:val="18"/>
                            <w:szCs w:val="18"/>
                          </w:rPr>
                        </w:pPr>
                        <w:r>
                          <w:rPr>
                            <w:bCs/>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52"/>
                    </w:trPr>
                    <w:tc>
                      <w:tcPr>
                        <w:tcW w:w="2383" w:type="dxa"/>
                        <w:vMerge w:val="restart"/>
                      </w:tcPr>
                      <w:p>
                        <w:pPr>
                          <w:rPr>
                            <w:sz w:val="18"/>
                            <w:szCs w:val="18"/>
                          </w:rPr>
                        </w:pPr>
                        <w:r>
                          <w:rPr>
                            <w:sz w:val="18"/>
                            <w:szCs w:val="18"/>
                          </w:rPr>
                          <w:t xml:space="preserve">4.2.2. Stereotipiniai (nuolat pasikartojantys) darbo judesiai </w:t>
                        </w:r>
                      </w:p>
                    </w:tc>
                    <w:tc>
                      <w:tcPr>
                        <w:tcW w:w="1748" w:type="dxa"/>
                        <w:vMerge w:val="restart"/>
                      </w:tcPr>
                      <w:p>
                        <w:pPr>
                          <w:rPr>
                            <w:sz w:val="18"/>
                            <w:szCs w:val="18"/>
                          </w:rPr>
                        </w:pPr>
                        <w:r>
                          <w:rPr>
                            <w:sz w:val="18"/>
                            <w:szCs w:val="18"/>
                          </w:rPr>
                          <w:t>Dalyvaujant plaštakos ir pirštų, rankų ir pečių juostos raumenims (kai judesiams atlikti naudojama jėga, kai judesių atlikimui būtinas greitis ir tikslumas)</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radiologas</w:t>
                        </w:r>
                      </w:p>
                    </w:tc>
                    <w:tc>
                      <w:tcPr>
                        <w:tcW w:w="2984" w:type="dxa"/>
                        <w:gridSpan w:val="2"/>
                        <w:vMerge w:val="restart"/>
                      </w:tcPr>
                      <w:p>
                        <w:pPr>
                          <w:rPr>
                            <w:bCs/>
                            <w:sz w:val="18"/>
                            <w:szCs w:val="18"/>
                          </w:rPr>
                        </w:pPr>
                        <w:r>
                          <w:rPr>
                            <w:bCs/>
                            <w:sz w:val="18"/>
                            <w:szCs w:val="18"/>
                          </w:rPr>
                          <w:t>Esant indikacijų –</w:t>
                        </w:r>
                        <w:r>
                          <w:rPr>
                            <w:sz w:val="18"/>
                            <w:szCs w:val="18"/>
                          </w:rPr>
                          <w:t xml:space="preserve"> p</w:t>
                        </w:r>
                        <w:r>
                          <w:rPr>
                            <w:bCs/>
                            <w:sz w:val="18"/>
                            <w:szCs w:val="18"/>
                          </w:rPr>
                          <w:t>laštakų rentgenograma</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2.Lėtinės periferinės nervų sistemos ir raumenų ligos </w:t>
                        </w:r>
                        <w:r>
                          <w:rPr>
                            <w:sz w:val="18"/>
                            <w:szCs w:val="18"/>
                          </w:rPr>
                          <w:t>G54–G64, G70–G73</w:t>
                        </w:r>
                      </w:p>
                      <w:p>
                        <w:pPr>
                          <w:rPr>
                            <w:bCs/>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tc>
                  </w:tr>
                  <w:tr>
                    <w:trPr>
                      <w:trHeight w:val="930"/>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47"/>
                    </w:trPr>
                    <w:tc>
                      <w:tcPr>
                        <w:tcW w:w="2383" w:type="dxa"/>
                        <w:vMerge w:val="restart"/>
                      </w:tcPr>
                      <w:p>
                        <w:pPr>
                          <w:rPr>
                            <w:sz w:val="18"/>
                            <w:szCs w:val="18"/>
                          </w:rPr>
                        </w:pPr>
                        <w:r>
                          <w:rPr>
                            <w:sz w:val="18"/>
                            <w:szCs w:val="18"/>
                          </w:rPr>
                          <w:t>4.2.3. Darbo poza</w:t>
                        </w:r>
                      </w:p>
                    </w:tc>
                    <w:tc>
                      <w:tcPr>
                        <w:tcW w:w="1748" w:type="dxa"/>
                        <w:vMerge w:val="restart"/>
                      </w:tcPr>
                      <w:p>
                        <w:pPr>
                          <w:rPr>
                            <w:sz w:val="18"/>
                            <w:szCs w:val="18"/>
                          </w:rPr>
                        </w:pPr>
                        <w:r>
                          <w:rPr>
                            <w:sz w:val="18"/>
                            <w:szCs w:val="18"/>
                          </w:rPr>
                          <w:t xml:space="preserve">Periodiškai esant nepatogioje, fiksuotoje, priverstinėje padėtyje. </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G60–G64,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w:t>
                        </w:r>
                        <w:r>
                          <w:rPr>
                            <w:sz w:val="18"/>
                            <w:szCs w:val="18"/>
                          </w:rPr>
                          <w:t>I80–I84</w:t>
                        </w:r>
                      </w:p>
                    </w:tc>
                  </w:tr>
                  <w:tr>
                    <w:trPr>
                      <w:trHeight w:val="1346"/>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kardiologas</w:t>
                        </w:r>
                      </w:p>
                      <w:p>
                        <w:pPr>
                          <w:rPr>
                            <w:bCs/>
                            <w:sz w:val="18"/>
                            <w:szCs w:val="18"/>
                          </w:rPr>
                        </w:pPr>
                        <w:r>
                          <w:rPr>
                            <w:sz w:val="18"/>
                            <w:szCs w:val="18"/>
                          </w:rPr>
                          <w:t>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178"/>
                    </w:trPr>
                    <w:tc>
                      <w:tcPr>
                        <w:tcW w:w="2383" w:type="dxa"/>
                        <w:tcBorders>
                          <w:bottom w:val="single" w:sz="4" w:space="0" w:color="auto"/>
                        </w:tcBorders>
                      </w:tcPr>
                      <w:p>
                        <w:pPr>
                          <w:pageBreakBefore/>
                          <w:rPr>
                            <w:sz w:val="18"/>
                            <w:szCs w:val="18"/>
                          </w:rPr>
                        </w:pPr>
                        <w:r>
                          <w:rPr>
                            <w:sz w:val="18"/>
                            <w:szCs w:val="18"/>
                          </w:rPr>
                          <w:t>4.3.Darbo įtampa</w:t>
                        </w:r>
                      </w:p>
                    </w:tc>
                    <w:tc>
                      <w:tcPr>
                        <w:tcW w:w="1748" w:type="dxa"/>
                        <w:tcBorders>
                          <w:bottom w:val="single" w:sz="4" w:space="0" w:color="auto"/>
                        </w:tcBorders>
                      </w:tcPr>
                      <w:p>
                        <w:pPr>
                          <w:pageBreakBefore/>
                          <w:rPr>
                            <w:sz w:val="18"/>
                            <w:szCs w:val="18"/>
                          </w:rPr>
                        </w:pPr>
                      </w:p>
                    </w:tc>
                    <w:tc>
                      <w:tcPr>
                        <w:tcW w:w="1413" w:type="dxa"/>
                        <w:tcBorders>
                          <w:bottom w:val="single" w:sz="4" w:space="0" w:color="auto"/>
                        </w:tcBorders>
                      </w:tcPr>
                      <w:p>
                        <w:pPr>
                          <w:pageBreakBefore/>
                          <w:rPr>
                            <w:sz w:val="18"/>
                            <w:szCs w:val="18"/>
                          </w:rPr>
                        </w:pPr>
                      </w:p>
                    </w:tc>
                    <w:tc>
                      <w:tcPr>
                        <w:tcW w:w="1938" w:type="dxa"/>
                        <w:gridSpan w:val="2"/>
                        <w:tcBorders>
                          <w:bottom w:val="single" w:sz="4" w:space="0" w:color="auto"/>
                        </w:tcBorders>
                      </w:tcPr>
                      <w:p>
                        <w:pPr>
                          <w:pageBreakBefore/>
                          <w:rPr>
                            <w:bCs/>
                            <w:sz w:val="18"/>
                            <w:szCs w:val="18"/>
                          </w:rPr>
                        </w:pPr>
                      </w:p>
                    </w:tc>
                    <w:tc>
                      <w:tcPr>
                        <w:tcW w:w="2106" w:type="dxa"/>
                        <w:tcBorders>
                          <w:bottom w:val="single" w:sz="4" w:space="0" w:color="auto"/>
                        </w:tcBorders>
                      </w:tcPr>
                      <w:p>
                        <w:pPr>
                          <w:pageBreakBefore/>
                          <w:rPr>
                            <w:sz w:val="18"/>
                            <w:szCs w:val="18"/>
                          </w:rPr>
                        </w:pPr>
                      </w:p>
                    </w:tc>
                    <w:tc>
                      <w:tcPr>
                        <w:tcW w:w="2984" w:type="dxa"/>
                        <w:gridSpan w:val="2"/>
                        <w:tcBorders>
                          <w:bottom w:val="single" w:sz="4" w:space="0" w:color="auto"/>
                        </w:tcBorders>
                      </w:tcPr>
                      <w:p>
                        <w:pPr>
                          <w:pageBreakBefore/>
                          <w:rPr>
                            <w:sz w:val="18"/>
                            <w:szCs w:val="18"/>
                          </w:rPr>
                        </w:pPr>
                      </w:p>
                    </w:tc>
                    <w:tc>
                      <w:tcPr>
                        <w:tcW w:w="2168" w:type="dxa"/>
                        <w:tcBorders>
                          <w:bottom w:val="single" w:sz="4" w:space="0" w:color="auto"/>
                        </w:tcBorders>
                      </w:tcPr>
                      <w:p>
                        <w:pPr>
                          <w:pageBreakBefore/>
                          <w:rPr>
                            <w:sz w:val="18"/>
                            <w:szCs w:val="18"/>
                          </w:rPr>
                        </w:pPr>
                      </w:p>
                    </w:tc>
                  </w:tr>
                  <w:tr>
                    <w:trPr>
                      <w:cantSplit/>
                    </w:trPr>
                    <w:tc>
                      <w:tcPr>
                        <w:tcW w:w="2383" w:type="dxa"/>
                        <w:tcBorders>
                          <w:top w:val="single" w:sz="4" w:space="0" w:color="auto"/>
                          <w:bottom w:val="single" w:sz="4" w:space="0" w:color="auto"/>
                        </w:tcBorders>
                      </w:tcPr>
                      <w:p>
                        <w:pPr>
                          <w:rPr>
                            <w:sz w:val="18"/>
                            <w:szCs w:val="18"/>
                          </w:rPr>
                        </w:pPr>
                        <w:r>
                          <w:rPr>
                            <w:sz w:val="18"/>
                            <w:szCs w:val="18"/>
                          </w:rPr>
                          <w:t>4.3.1.analizatoriai</w:t>
                        </w:r>
                      </w:p>
                    </w:tc>
                    <w:tc>
                      <w:tcPr>
                        <w:tcW w:w="1748" w:type="dxa"/>
                        <w:tcBorders>
                          <w:top w:val="single" w:sz="4" w:space="0" w:color="auto"/>
                          <w:bottom w:val="single" w:sz="4" w:space="0" w:color="auto"/>
                        </w:tcBorders>
                      </w:tcPr>
                      <w:p>
                        <w:pPr>
                          <w:rPr>
                            <w:sz w:val="18"/>
                            <w:szCs w:val="18"/>
                          </w:rPr>
                        </w:pPr>
                      </w:p>
                    </w:tc>
                    <w:tc>
                      <w:tcPr>
                        <w:tcW w:w="1413" w:type="dxa"/>
                        <w:tcBorders>
                          <w:top w:val="single" w:sz="4" w:space="0" w:color="auto"/>
                          <w:bottom w:val="single" w:sz="4" w:space="0" w:color="auto"/>
                        </w:tcBorders>
                      </w:tcPr>
                      <w:p>
                        <w:pPr>
                          <w:widowControl w:val="0"/>
                          <w:rPr>
                            <w:sz w:val="18"/>
                            <w:szCs w:val="18"/>
                          </w:rPr>
                        </w:pPr>
                      </w:p>
                    </w:tc>
                    <w:tc>
                      <w:tcPr>
                        <w:tcW w:w="1938" w:type="dxa"/>
                        <w:gridSpan w:val="2"/>
                        <w:tcBorders>
                          <w:top w:val="single" w:sz="4" w:space="0" w:color="auto"/>
                          <w:bottom w:val="single" w:sz="4" w:space="0" w:color="auto"/>
                        </w:tcBorders>
                      </w:tcPr>
                      <w:p>
                        <w:pPr>
                          <w:rPr>
                            <w:bCs/>
                            <w:sz w:val="18"/>
                            <w:szCs w:val="18"/>
                          </w:rPr>
                        </w:pPr>
                      </w:p>
                    </w:tc>
                    <w:tc>
                      <w:tcPr>
                        <w:tcW w:w="2106" w:type="dxa"/>
                        <w:tcBorders>
                          <w:top w:val="single" w:sz="4" w:space="0" w:color="auto"/>
                          <w:bottom w:val="single" w:sz="4" w:space="0" w:color="auto"/>
                        </w:tcBorders>
                      </w:tcPr>
                      <w:p>
                        <w:pPr>
                          <w:rPr>
                            <w:sz w:val="18"/>
                            <w:szCs w:val="18"/>
                          </w:rPr>
                        </w:pPr>
                      </w:p>
                    </w:tc>
                    <w:tc>
                      <w:tcPr>
                        <w:tcW w:w="2984" w:type="dxa"/>
                        <w:gridSpan w:val="2"/>
                        <w:tcBorders>
                          <w:top w:val="single" w:sz="4" w:space="0" w:color="auto"/>
                          <w:bottom w:val="single" w:sz="4" w:space="0" w:color="auto"/>
                        </w:tcBorders>
                      </w:tcPr>
                      <w:p>
                        <w:pPr>
                          <w:rPr>
                            <w:sz w:val="18"/>
                            <w:szCs w:val="18"/>
                          </w:rPr>
                        </w:pPr>
                      </w:p>
                    </w:tc>
                    <w:tc>
                      <w:tcPr>
                        <w:tcW w:w="2168" w:type="dxa"/>
                        <w:tcBorders>
                          <w:top w:val="single" w:sz="4" w:space="0" w:color="auto"/>
                          <w:bottom w:val="single" w:sz="4" w:space="0" w:color="auto"/>
                        </w:tcBorders>
                      </w:tcPr>
                      <w:p>
                        <w:pPr>
                          <w:rPr>
                            <w:sz w:val="18"/>
                            <w:szCs w:val="18"/>
                          </w:rPr>
                        </w:pPr>
                      </w:p>
                    </w:tc>
                  </w:tr>
                  <w:tr>
                    <w:trPr>
                      <w:trHeight w:val="6929"/>
                    </w:trPr>
                    <w:tc>
                      <w:tcPr>
                        <w:tcW w:w="2383" w:type="dxa"/>
                        <w:vMerge w:val="restart"/>
                        <w:tcBorders>
                          <w:top w:val="single" w:sz="4" w:space="0" w:color="auto"/>
                        </w:tcBorders>
                      </w:tcPr>
                      <w:p>
                        <w:pPr>
                          <w:rPr>
                            <w:sz w:val="18"/>
                            <w:szCs w:val="18"/>
                          </w:rPr>
                        </w:pPr>
                        <w:r>
                          <w:rPr>
                            <w:sz w:val="18"/>
                            <w:szCs w:val="18"/>
                          </w:rPr>
                          <w:t>4.3.1.1. Padidėjusi regėjimo įtampa, stebimo objekto dydis</w:t>
                        </w:r>
                      </w:p>
                    </w:tc>
                    <w:tc>
                      <w:tcPr>
                        <w:tcW w:w="1748" w:type="dxa"/>
                        <w:tcBorders>
                          <w:top w:val="single" w:sz="4" w:space="0" w:color="auto"/>
                          <w:bottom w:val="single" w:sz="4" w:space="0" w:color="auto"/>
                        </w:tcBorders>
                      </w:tcPr>
                      <w:p>
                        <w:pPr>
                          <w:rPr>
                            <w:sz w:val="18"/>
                            <w:szCs w:val="18"/>
                          </w:rPr>
                        </w:pPr>
                        <w:r>
                          <w:rPr>
                            <w:sz w:val="18"/>
                            <w:szCs w:val="18"/>
                          </w:rPr>
                          <w:t>Visos darbo rūšys, susijusios su regėjimo įtampa</w:t>
                        </w:r>
                      </w:p>
                      <w:p>
                        <w:pPr>
                          <w:rPr>
                            <w:sz w:val="18"/>
                            <w:szCs w:val="18"/>
                          </w:rPr>
                        </w:pPr>
                        <w:r>
                          <w:rPr>
                            <w:sz w:val="18"/>
                            <w:szCs w:val="18"/>
                          </w:rPr>
                          <w:t>a) I° (su objektu iki 0,15 mm) ir II° (su objektu nuo 0,15 iki 0,3 mm) preciziniai darbai</w:t>
                        </w:r>
                      </w:p>
                    </w:tc>
                    <w:tc>
                      <w:tcPr>
                        <w:tcW w:w="1413" w:type="dxa"/>
                        <w:vMerge w:val="restart"/>
                        <w:tcBorders>
                          <w:top w:val="single" w:sz="4" w:space="0" w:color="auto"/>
                        </w:tcBorders>
                      </w:tcPr>
                      <w:p>
                        <w:pPr>
                          <w:rPr>
                            <w:sz w:val="18"/>
                            <w:szCs w:val="18"/>
                          </w:rPr>
                        </w:pPr>
                        <w:r>
                          <w:rPr>
                            <w:sz w:val="18"/>
                            <w:szCs w:val="18"/>
                          </w:rPr>
                          <w:t>1 kartą per 2 metus</w:t>
                        </w:r>
                      </w:p>
                    </w:tc>
                    <w:tc>
                      <w:tcPr>
                        <w:tcW w:w="1938" w:type="dxa"/>
                        <w:gridSpan w:val="2"/>
                        <w:vMerge w:val="restart"/>
                        <w:tcBorders>
                          <w:top w:val="single" w:sz="4" w:space="0" w:color="auto"/>
                        </w:tcBorders>
                      </w:tcPr>
                      <w:p>
                        <w:pPr>
                          <w:rPr>
                            <w:sz w:val="18"/>
                            <w:szCs w:val="18"/>
                          </w:rPr>
                        </w:pPr>
                        <w:r>
                          <w:rPr>
                            <w:sz w:val="18"/>
                            <w:szCs w:val="18"/>
                          </w:rPr>
                          <w:t>Šeimos medicinos paslaugas teikiantys gydytojai arba darbo medicinos gydytojas</w:t>
                        </w:r>
                      </w:p>
                    </w:tc>
                    <w:tc>
                      <w:tcPr>
                        <w:tcW w:w="2106" w:type="dxa"/>
                        <w:tcBorders>
                          <w:top w:val="single" w:sz="4" w:space="0" w:color="auto"/>
                          <w:bottom w:val="single" w:sz="4" w:space="0" w:color="auto"/>
                        </w:tcBorders>
                      </w:tcPr>
                      <w:p>
                        <w:pPr>
                          <w:rPr>
                            <w:sz w:val="18"/>
                            <w:szCs w:val="18"/>
                          </w:rPr>
                        </w:pPr>
                        <w:r>
                          <w:rPr>
                            <w:sz w:val="18"/>
                            <w:szCs w:val="18"/>
                          </w:rPr>
                          <w:t>Oftalmologas</w:t>
                        </w:r>
                      </w:p>
                    </w:tc>
                    <w:tc>
                      <w:tcPr>
                        <w:tcW w:w="2984" w:type="dxa"/>
                        <w:gridSpan w:val="2"/>
                        <w:tcBorders>
                          <w:top w:val="single" w:sz="4" w:space="0" w:color="auto"/>
                          <w:bottom w:val="single" w:sz="4" w:space="0" w:color="auto"/>
                        </w:tcBorders>
                      </w:tcPr>
                      <w:p>
                        <w:pPr>
                          <w:rPr>
                            <w:sz w:val="18"/>
                            <w:szCs w:val="18"/>
                          </w:rPr>
                        </w:pPr>
                        <w:r>
                          <w:rPr>
                            <w:sz w:val="18"/>
                            <w:szCs w:val="18"/>
                          </w:rPr>
                          <w:t>Regėjimo aštrumo, akispūdžio nustatymas</w:t>
                        </w:r>
                      </w:p>
                    </w:tc>
                    <w:tc>
                      <w:tcPr>
                        <w:tcW w:w="2168" w:type="dxa"/>
                        <w:tcBorders>
                          <w:top w:val="single" w:sz="4" w:space="0" w:color="auto"/>
                          <w:bottom w:val="single" w:sz="4" w:space="0" w:color="auto"/>
                        </w:tcBorders>
                      </w:tcPr>
                      <w:p>
                        <w:pPr>
                          <w:rPr>
                            <w:sz w:val="18"/>
                            <w:szCs w:val="18"/>
                          </w:rPr>
                        </w:pPr>
                        <w:r>
                          <w:rPr>
                            <w:sz w:val="18"/>
                            <w:szCs w:val="18"/>
                          </w:rPr>
                          <w:t>1. Regėjimas su korekcija: išankstinio tikrinimo metu – mažiau kaip 1,0, periodinių tikrinimų metu – mažiau kaip 0,8 viena ir 0,5 kita akimi</w:t>
                        </w:r>
                      </w:p>
                      <w:p>
                        <w:pPr>
                          <w:rPr>
                            <w:sz w:val="18"/>
                            <w:szCs w:val="18"/>
                          </w:rPr>
                        </w:pPr>
                        <w:r>
                          <w:rPr>
                            <w:sz w:val="18"/>
                            <w:szCs w:val="18"/>
                          </w:rPr>
                          <w:t xml:space="preserve">2. Refrakcijos anomalijos H52: išankstinio tikrinimo metu: miopija – daugiau kaip 3 D, </w:t>
                        </w:r>
                      </w:p>
                      <w:p>
                        <w:pPr>
                          <w:rPr>
                            <w:sz w:val="18"/>
                            <w:szCs w:val="18"/>
                          </w:rPr>
                        </w:pPr>
                        <w:r>
                          <w:rPr>
                            <w:sz w:val="18"/>
                            <w:szCs w:val="18"/>
                          </w:rPr>
                          <w:t xml:space="preserve">hipermetropija – daugiau kaip 3 D, </w:t>
                        </w:r>
                      </w:p>
                      <w:p>
                        <w:pPr>
                          <w:rPr>
                            <w:sz w:val="18"/>
                            <w:szCs w:val="18"/>
                          </w:rPr>
                        </w:pPr>
                        <w:r>
                          <w:rPr>
                            <w:sz w:val="18"/>
                            <w:szCs w:val="18"/>
                          </w:rPr>
                          <w:t xml:space="preserve">astigmatizmas – daugiau kaip 1,5 D, </w:t>
                        </w:r>
                      </w:p>
                      <w:p>
                        <w:pPr>
                          <w:rPr>
                            <w:sz w:val="18"/>
                            <w:szCs w:val="18"/>
                          </w:rPr>
                        </w:pPr>
                        <w:r>
                          <w:rPr>
                            <w:sz w:val="18"/>
                            <w:szCs w:val="18"/>
                          </w:rPr>
                          <w:t xml:space="preserve">periodiškų tikrinimų metu: miopija – daugiau kaip 6,0 D, </w:t>
                        </w:r>
                      </w:p>
                      <w:p>
                        <w:pPr>
                          <w:rPr>
                            <w:sz w:val="18"/>
                            <w:szCs w:val="18"/>
                          </w:rPr>
                        </w:pPr>
                        <w:r>
                          <w:rPr>
                            <w:sz w:val="18"/>
                            <w:szCs w:val="18"/>
                          </w:rPr>
                          <w:t xml:space="preserve">hipermetropija – daugiau kaip 4,0 D, </w:t>
                        </w:r>
                      </w:p>
                      <w:p>
                        <w:pPr>
                          <w:rPr>
                            <w:sz w:val="18"/>
                            <w:szCs w:val="18"/>
                          </w:rPr>
                        </w:pPr>
                        <w:r>
                          <w:rPr>
                            <w:sz w:val="18"/>
                            <w:szCs w:val="18"/>
                          </w:rPr>
                          <w:t>astigmatizmas – daugiau kaip 2,0 D</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sprendžia gydytojas oftalmologas</w:t>
                        </w:r>
                      </w:p>
                    </w:tc>
                  </w:tr>
                  <w:tr>
                    <w:trPr>
                      <w:trHeight w:val="1010"/>
                    </w:trPr>
                    <w:tc>
                      <w:tcPr>
                        <w:tcW w:w="2383" w:type="dxa"/>
                        <w:vMerge/>
                      </w:tcPr>
                      <w:p>
                        <w:pPr>
                          <w:rPr>
                            <w:sz w:val="18"/>
                            <w:szCs w:val="18"/>
                          </w:rPr>
                        </w:pPr>
                      </w:p>
                    </w:tc>
                    <w:tc>
                      <w:tcPr>
                        <w:tcW w:w="1748" w:type="dxa"/>
                        <w:tcBorders>
                          <w:top w:val="single" w:sz="4" w:space="0" w:color="auto"/>
                        </w:tcBorders>
                      </w:tcPr>
                      <w:p>
                        <w:pPr>
                          <w:rPr>
                            <w:sz w:val="18"/>
                            <w:szCs w:val="18"/>
                          </w:rPr>
                        </w:pPr>
                        <w:r>
                          <w:rPr>
                            <w:sz w:val="18"/>
                            <w:szCs w:val="18"/>
                          </w:rPr>
                          <w:t>b) III ir IV laipsnio tikslumo (0,5–1 mm) darbai įtempus regėjimą: informacijos stebėjimas ekrane ir pan.</w:t>
                        </w:r>
                      </w:p>
                    </w:tc>
                    <w:tc>
                      <w:tcPr>
                        <w:tcW w:w="1413" w:type="dxa"/>
                        <w:vMerge/>
                      </w:tcPr>
                      <w:p>
                        <w:pPr>
                          <w:widowControl w:val="0"/>
                          <w:rPr>
                            <w:sz w:val="18"/>
                            <w:szCs w:val="18"/>
                          </w:rPr>
                        </w:pPr>
                      </w:p>
                    </w:tc>
                    <w:tc>
                      <w:tcPr>
                        <w:tcW w:w="1938" w:type="dxa"/>
                        <w:gridSpan w:val="2"/>
                        <w:vMerge/>
                      </w:tcPr>
                      <w:p>
                        <w:pPr>
                          <w:rPr>
                            <w:sz w:val="18"/>
                            <w:szCs w:val="18"/>
                          </w:rPr>
                        </w:pPr>
                      </w:p>
                    </w:tc>
                    <w:tc>
                      <w:tcPr>
                        <w:tcW w:w="2106" w:type="dxa"/>
                        <w:tcBorders>
                          <w:top w:val="single" w:sz="4" w:space="0" w:color="auto"/>
                        </w:tcBorders>
                      </w:tcPr>
                      <w:p>
                        <w:pPr>
                          <w:rPr>
                            <w:sz w:val="18"/>
                            <w:szCs w:val="18"/>
                          </w:rPr>
                        </w:pPr>
                        <w:r>
                          <w:rPr>
                            <w:sz w:val="18"/>
                            <w:szCs w:val="18"/>
                          </w:rPr>
                          <w:t>Oftalmologas</w:t>
                        </w:r>
                      </w:p>
                    </w:tc>
                    <w:tc>
                      <w:tcPr>
                        <w:tcW w:w="2984" w:type="dxa"/>
                        <w:gridSpan w:val="2"/>
                        <w:tcBorders>
                          <w:top w:val="single" w:sz="4" w:space="0" w:color="auto"/>
                        </w:tcBorders>
                      </w:tcPr>
                      <w:p>
                        <w:pPr>
                          <w:rPr>
                            <w:sz w:val="18"/>
                            <w:szCs w:val="18"/>
                          </w:rPr>
                        </w:pPr>
                        <w:r>
                          <w:rPr>
                            <w:sz w:val="18"/>
                            <w:szCs w:val="18"/>
                          </w:rPr>
                          <w:t>Regėjimo aštrumo, akispūdžio, binokulinio regėjimo nustatymas</w:t>
                        </w:r>
                      </w:p>
                    </w:tc>
                    <w:tc>
                      <w:tcPr>
                        <w:tcW w:w="2168" w:type="dxa"/>
                        <w:tcBorders>
                          <w:top w:val="single" w:sz="4" w:space="0" w:color="auto"/>
                        </w:tcBorders>
                      </w:tcPr>
                      <w:p>
                        <w:pPr>
                          <w:rPr>
                            <w:sz w:val="18"/>
                            <w:szCs w:val="18"/>
                          </w:rPr>
                        </w:pPr>
                        <w:r>
                          <w:rPr>
                            <w:sz w:val="18"/>
                            <w:szCs w:val="18"/>
                          </w:rPr>
                          <w:t>1. Regėjimas su korekcija – ne mažesnis kaip 0,5 viena ir 0,2 – kita akimi</w:t>
                        </w:r>
                      </w:p>
                      <w:p>
                        <w:pPr>
                          <w:rPr>
                            <w:sz w:val="18"/>
                            <w:szCs w:val="18"/>
                          </w:rPr>
                        </w:pPr>
                        <w:r>
                          <w:rPr>
                            <w:sz w:val="18"/>
                            <w:szCs w:val="18"/>
                          </w:rPr>
                          <w:t xml:space="preserve">Refrakcijos anomalijos H52: </w:t>
                        </w:r>
                      </w:p>
                      <w:p>
                        <w:pPr>
                          <w:rPr>
                            <w:sz w:val="18"/>
                            <w:szCs w:val="18"/>
                          </w:rPr>
                        </w:pPr>
                        <w:r>
                          <w:rPr>
                            <w:sz w:val="18"/>
                            <w:szCs w:val="18"/>
                          </w:rPr>
                          <w:t xml:space="preserve">miopija – daugiau kaip </w:t>
                          <w:br/>
                          <w:t>8,0 D,</w:t>
                        </w:r>
                      </w:p>
                      <w:p>
                        <w:pPr>
                          <w:rPr>
                            <w:sz w:val="18"/>
                            <w:szCs w:val="18"/>
                          </w:rPr>
                        </w:pPr>
                        <w:r>
                          <w:rPr>
                            <w:sz w:val="18"/>
                            <w:szCs w:val="18"/>
                          </w:rPr>
                          <w:t>hipermetropija – daugiau kaip 6,0 D,</w:t>
                        </w:r>
                      </w:p>
                      <w:p>
                        <w:pPr>
                          <w:rPr>
                            <w:sz w:val="18"/>
                            <w:szCs w:val="18"/>
                          </w:rPr>
                        </w:pPr>
                        <w:r>
                          <w:rPr>
                            <w:sz w:val="18"/>
                            <w:szCs w:val="18"/>
                          </w:rPr>
                          <w:t>astigmatizmas – daugiau kaip 2,0 D</w:t>
                        </w:r>
                      </w:p>
                      <w:p>
                        <w:pPr>
                          <w:rPr>
                            <w:sz w:val="18"/>
                            <w:szCs w:val="18"/>
                          </w:rPr>
                        </w:pPr>
                        <w:r>
                          <w:rPr>
                            <w:sz w:val="18"/>
                            <w:szCs w:val="18"/>
                          </w:rPr>
                          <w:t>2. Binokulinio regėjimo nebuvimas H49–H52</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dėl galimybės dirbti sprendžia gydytojas oftalmologas.</w:t>
                        </w:r>
                      </w:p>
                    </w:tc>
                  </w:tr>
                  <w:tr>
                    <w:trPr>
                      <w:cantSplit/>
                    </w:trPr>
                    <w:tc>
                      <w:tcPr>
                        <w:tcW w:w="2383" w:type="dxa"/>
                      </w:tcPr>
                      <w:p>
                        <w:pPr>
                          <w:rPr>
                            <w:sz w:val="18"/>
                            <w:szCs w:val="18"/>
                          </w:rPr>
                        </w:pPr>
                        <w:r>
                          <w:rPr>
                            <w:sz w:val="18"/>
                            <w:szCs w:val="18"/>
                          </w:rPr>
                          <w:t xml:space="preserve">4.3.1.2. Padidėjusi klausos įtampa  (darbo procesui būtini aiškiai suprantami žodžiai ir signalai)</w:t>
                        </w:r>
                      </w:p>
                    </w:tc>
                    <w:tc>
                      <w:tcPr>
                        <w:tcW w:w="1748" w:type="dxa"/>
                      </w:tcPr>
                      <w:p>
                        <w:pPr>
                          <w:rPr>
                            <w:sz w:val="18"/>
                            <w:szCs w:val="18"/>
                          </w:rPr>
                        </w:pPr>
                        <w:r>
                          <w:rPr>
                            <w:sz w:val="18"/>
                            <w:szCs w:val="18"/>
                          </w:rPr>
                          <w:t>Darbai dispečerinėse, informacines paslaugas telefonu teikiančiose tarnybose ir pan.</w:t>
                        </w: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Otorinolaringologas</w:t>
                        </w:r>
                      </w:p>
                    </w:tc>
                    <w:tc>
                      <w:tcPr>
                        <w:tcW w:w="2984" w:type="dxa"/>
                        <w:gridSpan w:val="2"/>
                      </w:tcPr>
                      <w:p>
                        <w:pPr>
                          <w:rPr>
                            <w:sz w:val="18"/>
                            <w:szCs w:val="18"/>
                          </w:rPr>
                        </w:pPr>
                        <w:r>
                          <w:rPr>
                            <w:sz w:val="18"/>
                            <w:szCs w:val="18"/>
                          </w:rPr>
                          <w:t>Esant indikacijų – audiograma</w:t>
                        </w:r>
                      </w:p>
                    </w:tc>
                    <w:tc>
                      <w:tcPr>
                        <w:tcW w:w="2168" w:type="dxa"/>
                      </w:tcPr>
                      <w:p>
                        <w:pPr>
                          <w:tabs>
                            <w:tab w:val="center" w:pos="33"/>
                          </w:tabs>
                          <w:rPr>
                            <w:sz w:val="18"/>
                            <w:szCs w:val="18"/>
                          </w:rPr>
                        </w:pPr>
                        <w:r>
                          <w:rPr>
                            <w:sz w:val="18"/>
                            <w:szCs w:val="18"/>
                          </w:rPr>
                          <w:t xml:space="preserve">1. Įvairios etiologijos klausos susilpnėjimas viena arba abiem ausimis, kai šnabždesys girdimas mažesniu kaip 3 m atstumu H65.2; H65.3; H66.1; H66.2; H74.0, H74.1; H74.2; H74.3; H80; H83; H90; H91.0; H91.1; H91.3; H91.8; H91.9; H93.3; H94. </w:t>
                        </w:r>
                      </w:p>
                      <w:p>
                        <w:pPr>
                          <w:tabs>
                            <w:tab w:val="center" w:pos="33"/>
                          </w:tabs>
                          <w:rPr>
                            <w:sz w:val="18"/>
                            <w:szCs w:val="18"/>
                          </w:rPr>
                        </w:pPr>
                        <w:r>
                          <w:rPr>
                            <w:sz w:val="18"/>
                            <w:szCs w:val="18"/>
                          </w:rPr>
                          <w:t>Individualiu atveju dėl galimybės dirbti sprendžia gydytojas otorinolaringologas. (ypatingais atvejais leidžiama naudotis klausos aparatais)</w:t>
                        </w:r>
                      </w:p>
                    </w:tc>
                  </w:tr>
                  <w:tr>
                    <w:tc>
                      <w:tcPr>
                        <w:tcW w:w="2383" w:type="dxa"/>
                      </w:tcPr>
                      <w:p>
                        <w:pPr>
                          <w:rPr>
                            <w:sz w:val="18"/>
                            <w:szCs w:val="18"/>
                          </w:rPr>
                        </w:pPr>
                        <w:r>
                          <w:rPr>
                            <w:sz w:val="18"/>
                            <w:szCs w:val="18"/>
                          </w:rPr>
                          <w:t>4.3.2. Darbas su videoterminalais (kompiuteriais ir kt.)</w:t>
                        </w:r>
                      </w:p>
                    </w:tc>
                    <w:tc>
                      <w:tcPr>
                        <w:tcW w:w="1748" w:type="dxa"/>
                      </w:tcPr>
                      <w:p>
                        <w:pPr>
                          <w:rPr>
                            <w:sz w:val="18"/>
                            <w:szCs w:val="18"/>
                          </w:rPr>
                        </w:pP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gridSpan w:val="2"/>
                      </w:tcPr>
                      <w:p>
                        <w:pPr>
                          <w:rPr>
                            <w:sz w:val="18"/>
                            <w:szCs w:val="18"/>
                          </w:rPr>
                        </w:pPr>
                        <w:r>
                          <w:rPr>
                            <w:sz w:val="18"/>
                            <w:szCs w:val="18"/>
                          </w:rPr>
                          <w:t>Regėjimo aštrumo,</w:t>
                        </w:r>
                      </w:p>
                      <w:p>
                        <w:pPr>
                          <w:rPr>
                            <w:sz w:val="18"/>
                            <w:szCs w:val="18"/>
                          </w:rPr>
                        </w:pPr>
                        <w:r>
                          <w:rPr>
                            <w:sz w:val="18"/>
                            <w:szCs w:val="18"/>
                          </w:rPr>
                          <w:t>refrakcijos,</w:t>
                        </w:r>
                      </w:p>
                      <w:p>
                        <w:pPr>
                          <w:rPr>
                            <w:sz w:val="18"/>
                            <w:szCs w:val="18"/>
                          </w:rPr>
                        </w:pPr>
                        <w:r>
                          <w:rPr>
                            <w:sz w:val="18"/>
                            <w:szCs w:val="18"/>
                          </w:rPr>
                          <w:t>akių dugno ištyrimas, akispūdžio nustatymas –vyresniems nei 40 m.</w:t>
                        </w:r>
                      </w:p>
                    </w:tc>
                    <w:tc>
                      <w:tcPr>
                        <w:tcW w:w="2168" w:type="dxa"/>
                      </w:tcPr>
                      <w:p>
                        <w:pPr>
                          <w:rPr>
                            <w:sz w:val="18"/>
                            <w:szCs w:val="18"/>
                          </w:rPr>
                        </w:pPr>
                        <w:r>
                          <w:rPr>
                            <w:sz w:val="18"/>
                            <w:szCs w:val="18"/>
                          </w:rPr>
                          <w:t>1. Regėjimas su korekcija ne mažesnis kaip 0,5 viena ir 0,2 – kita akimi</w:t>
                        </w:r>
                      </w:p>
                      <w:p>
                        <w:pPr>
                          <w:rPr>
                            <w:sz w:val="18"/>
                            <w:szCs w:val="18"/>
                          </w:rPr>
                        </w:pPr>
                        <w:r>
                          <w:rPr>
                            <w:sz w:val="18"/>
                            <w:szCs w:val="18"/>
                          </w:rPr>
                          <w:t>2. Refrakcijos anomalijos H52:</w:t>
                        </w:r>
                      </w:p>
                      <w:p>
                        <w:pPr>
                          <w:rPr>
                            <w:sz w:val="18"/>
                            <w:szCs w:val="18"/>
                          </w:rPr>
                        </w:pPr>
                        <w:r>
                          <w:rPr>
                            <w:spacing w:val="-4"/>
                            <w:sz w:val="18"/>
                            <w:szCs w:val="18"/>
                          </w:rPr>
                          <w:t>miopija – daugiau kaip 10,0 D</w:t>
                        </w:r>
                        <w:r>
                          <w:rPr>
                            <w:sz w:val="18"/>
                            <w:szCs w:val="18"/>
                          </w:rPr>
                          <w:t>, hipermetropija – daugiau kaip 8.0 D, astigmatizmas – daugiau kaip 3,0 D</w:t>
                        </w:r>
                      </w:p>
                      <w:p>
                        <w:pPr>
                          <w:rPr>
                            <w:sz w:val="18"/>
                            <w:szCs w:val="18"/>
                          </w:rPr>
                        </w:pPr>
                        <w:r>
                          <w:rPr>
                            <w:sz w:val="18"/>
                            <w:szCs w:val="18"/>
                          </w:rPr>
                          <w:t>3. Akomodacijos susilpnėjimas ne pagal amžių H45- H51</w:t>
                        </w:r>
                      </w:p>
                      <w:p>
                        <w:pPr>
                          <w:tabs>
                            <w:tab w:val="center" w:pos="33"/>
                          </w:tabs>
                          <w:rPr>
                            <w:sz w:val="18"/>
                            <w:szCs w:val="18"/>
                          </w:rPr>
                        </w:pPr>
                        <w:r>
                          <w:rPr>
                            <w:sz w:val="18"/>
                            <w:szCs w:val="18"/>
                          </w:rPr>
                          <w:t>4. Lėtinės akių ligos H15–H45. Individualiu atveju dėl galimybės dirbti sprendžia gydytojas oftalmologas.</w:t>
                        </w:r>
                      </w:p>
                      <w:p>
                        <w:pPr>
                          <w:rPr>
                            <w:sz w:val="18"/>
                            <w:szCs w:val="18"/>
                          </w:rPr>
                        </w:pPr>
                        <w:r>
                          <w:rPr>
                            <w:sz w:val="18"/>
                            <w:szCs w:val="18"/>
                          </w:rPr>
                          <w:t>5. Regos nervo ir tinklainės ligos H30–H36, H46–H48. Individualiu atveju dėl galimybės dirbti sprendžia gydytojas oftalmologas.</w:t>
                        </w:r>
                      </w:p>
                      <w:p>
                        <w:pPr>
                          <w:rPr>
                            <w:sz w:val="18"/>
                            <w:szCs w:val="18"/>
                          </w:rPr>
                        </w:pPr>
                        <w:r>
                          <w:rPr>
                            <w:sz w:val="18"/>
                            <w:szCs w:val="18"/>
                          </w:rPr>
                          <w:t>6. Glaukoma H40–H42. Individualiu atveju dėl galimybės dirbti sprendžia gydytojas oftalmologas.</w:t>
                        </w:r>
                      </w:p>
                    </w:tc>
                  </w:tr>
                  <w:tr>
                    <w:tc>
                      <w:tcPr>
                        <w:tcW w:w="14740" w:type="dxa"/>
                        <w:gridSpan w:val="9"/>
                      </w:tcPr>
                      <w:p>
                        <w:pPr>
                          <w:jc w:val="center"/>
                          <w:rPr>
                            <w:b/>
                            <w:caps/>
                            <w:sz w:val="18"/>
                            <w:szCs w:val="18"/>
                            <w:highlight w:val="yellow"/>
                          </w:rPr>
                        </w:pPr>
                        <w:r>
                          <w:rPr>
                            <w:b/>
                            <w:caps/>
                            <w:sz w:val="18"/>
                            <w:szCs w:val="18"/>
                          </w:rPr>
                          <w:t>5. Psichosocialiniai veiksniai</w:t>
                        </w:r>
                      </w:p>
                    </w:tc>
                  </w:tr>
                  <w:tr>
                    <w:tc>
                      <w:tcPr>
                        <w:tcW w:w="2383" w:type="dxa"/>
                      </w:tcPr>
                      <w:p>
                        <w:pPr>
                          <w:rPr>
                            <w:sz w:val="18"/>
                            <w:szCs w:val="18"/>
                          </w:rPr>
                        </w:pPr>
                        <w:r>
                          <w:rPr>
                            <w:sz w:val="18"/>
                            <w:szCs w:val="18"/>
                          </w:rPr>
                          <w:t xml:space="preserve">5.1. Naktinis darbas </w:t>
                        </w:r>
                      </w:p>
                    </w:tc>
                    <w:tc>
                      <w:tcPr>
                        <w:tcW w:w="1748" w:type="dxa"/>
                      </w:tcPr>
                      <w:p>
                        <w:pPr>
                          <w:rPr>
                            <w:sz w:val="18"/>
                            <w:szCs w:val="18"/>
                          </w:rPr>
                        </w:pPr>
                        <w:r>
                          <w:rPr>
                            <w:sz w:val="18"/>
                            <w:szCs w:val="18"/>
                          </w:rPr>
                          <w:t>Naktį dirbantys darbuotojai</w:t>
                        </w:r>
                      </w:p>
                    </w:tc>
                    <w:tc>
                      <w:tcPr>
                        <w:tcW w:w="1419" w:type="dxa"/>
                        <w:gridSpan w:val="2"/>
                      </w:tcPr>
                      <w:p>
                        <w:pPr>
                          <w:rPr>
                            <w:sz w:val="18"/>
                            <w:szCs w:val="18"/>
                          </w:rPr>
                        </w:pPr>
                        <w:r>
                          <w:rPr>
                            <w:sz w:val="18"/>
                            <w:szCs w:val="18"/>
                          </w:rPr>
                          <w:t>1 kartą per 2 metus</w:t>
                        </w:r>
                      </w:p>
                    </w:tc>
                    <w:tc>
                      <w:tcPr>
                        <w:tcW w:w="1932" w:type="dxa"/>
                      </w:tcPr>
                      <w:p>
                        <w:pPr>
                          <w:rPr>
                            <w:sz w:val="18"/>
                            <w:szCs w:val="18"/>
                          </w:rPr>
                        </w:pPr>
                        <w:r>
                          <w:rPr>
                            <w:sz w:val="18"/>
                            <w:szCs w:val="18"/>
                          </w:rPr>
                          <w:t>Šeimos medicinos paslaugas teikiantys gydytojai arba darbo medicinos gydytojas</w:t>
                        </w:r>
                      </w:p>
                    </w:tc>
                    <w:tc>
                      <w:tcPr>
                        <w:tcW w:w="2460" w:type="dxa"/>
                        <w:gridSpan w:val="2"/>
                      </w:tcPr>
                      <w:p>
                        <w:pPr>
                          <w:rPr>
                            <w:sz w:val="18"/>
                            <w:szCs w:val="18"/>
                          </w:rPr>
                        </w:pPr>
                        <w:r>
                          <w:rPr>
                            <w:sz w:val="18"/>
                            <w:szCs w:val="18"/>
                          </w:rPr>
                          <w:t xml:space="preserve">Esant indikacijų – </w:t>
                        </w:r>
                        <w:r>
                          <w:rPr>
                            <w:bCs/>
                            <w:sz w:val="18"/>
                            <w:szCs w:val="18"/>
                          </w:rPr>
                          <w:t>kitų profesinių kvalifikacijų gydytojai</w:t>
                        </w:r>
                        <w:r>
                          <w:rPr>
                            <w:sz w:val="18"/>
                            <w:szCs w:val="18"/>
                          </w:rPr>
                          <w:t xml:space="preserve"> </w:t>
                        </w:r>
                      </w:p>
                    </w:tc>
                    <w:tc>
                      <w:tcPr>
                        <w:tcW w:w="2630" w:type="dxa"/>
                      </w:tcPr>
                      <w:p>
                        <w:pPr>
                          <w:rPr>
                            <w:sz w:val="18"/>
                            <w:szCs w:val="18"/>
                          </w:rPr>
                        </w:pPr>
                        <w:r>
                          <w:rPr>
                            <w:sz w:val="18"/>
                            <w:szCs w:val="18"/>
                          </w:rPr>
                          <w:t xml:space="preserve">EKG, </w:t>
                        </w:r>
                      </w:p>
                      <w:p>
                        <w:pPr>
                          <w:rPr>
                            <w:sz w:val="18"/>
                            <w:szCs w:val="18"/>
                          </w:rPr>
                        </w:pPr>
                        <w:r>
                          <w:rPr>
                            <w:sz w:val="18"/>
                            <w:szCs w:val="18"/>
                          </w:rPr>
                          <w:t>esant indikacijų – radiologinis tyrimas</w:t>
                        </w:r>
                      </w:p>
                    </w:tc>
                    <w:tc>
                      <w:tcPr>
                        <w:tcW w:w="2168" w:type="dxa"/>
                      </w:tcPr>
                      <w:p>
                        <w:pPr>
                          <w:rPr>
                            <w:sz w:val="18"/>
                            <w:szCs w:val="18"/>
                          </w:rPr>
                        </w:pPr>
                        <w:r>
                          <w:rPr>
                            <w:sz w:val="18"/>
                            <w:szCs w:val="18"/>
                          </w:rPr>
                          <w:t>1. Kvėpavimo organų ir širdies kraujagyslių ligos su nepakankamumu J44.9, J45, J80, J84, I05–I52;</w:t>
                        </w:r>
                      </w:p>
                      <w:p>
                        <w:pPr>
                          <w:rPr>
                            <w:sz w:val="18"/>
                            <w:szCs w:val="18"/>
                          </w:rPr>
                        </w:pPr>
                        <w:r>
                          <w:rPr>
                            <w:sz w:val="18"/>
                            <w:szCs w:val="18"/>
                          </w:rPr>
                          <w:t>2. Miego sutrikimai F51.1, F51.4, F51.5;</w:t>
                        </w:r>
                      </w:p>
                      <w:p>
                        <w:pPr>
                          <w:rPr>
                            <w:sz w:val="18"/>
                            <w:szCs w:val="18"/>
                          </w:rPr>
                        </w:pPr>
                        <w:r>
                          <w:rPr>
                            <w:sz w:val="18"/>
                            <w:szCs w:val="18"/>
                          </w:rPr>
                          <w:t xml:space="preserve">3.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jei remisija trumpesnė negu 3m.; suaugusiųjų asmenybės sutrikimai F60.0–F60.3; F61.0; F63.1 – kai kompensacija trunka mažiau kaip 3 m; protinis atsilikimas F71–F79.</w:t>
                        </w:r>
                      </w:p>
                    </w:tc>
                  </w:tr>
                </w:tbl>
                <w:p>
                  <w:pPr>
                    <w:ind w:firstLine="567"/>
                    <w:jc w:val="both"/>
                    <w:rPr>
                      <w:sz w:val="16"/>
                    </w:rPr>
                  </w:pPr>
                  <w:r>
                    <w:rPr>
                      <w:sz w:val="16"/>
                    </w:rPr>
                    <w:t xml:space="preserve">*– poveikis: F – fibrogeninis, J – jautrinantis, K – kancerogeninis, M – mutageninis, O – patekimas per nepažeistą odą, </w:t>
                  </w:r>
                </w:p>
                <w:p>
                  <w:pPr>
                    <w:ind w:firstLine="567"/>
                    <w:jc w:val="both"/>
                    <w:rPr>
                      <w:sz w:val="16"/>
                    </w:rPr>
                  </w:pPr>
                  <w:r>
                    <w:rPr>
                      <w:sz w:val="16"/>
                    </w:rPr>
                    <w:t>R – reprodukcijai toksiškas, Ū – ūmus.</w:t>
                  </w:r>
                </w:p>
                <w:p>
                  <w:pPr>
                    <w:ind w:firstLine="567"/>
                    <w:jc w:val="both"/>
                    <w:rPr>
                      <w:sz w:val="16"/>
                    </w:rPr>
                  </w:pPr>
                  <w:r>
                    <w:rPr>
                      <w:b/>
                      <w:sz w:val="16"/>
                    </w:rPr>
                    <w:t>SANTRUMPOS</w:t>
                  </w:r>
                  <w:r>
                    <w:rPr>
                      <w:sz w:val="16"/>
                    </w:rPr>
                    <w:t xml:space="preserve">: </w:t>
                  </w:r>
                  <w:r>
                    <w:rPr>
                      <w:bCs/>
                      <w:sz w:val="16"/>
                    </w:rPr>
                    <w:t>EEG</w:t>
                  </w:r>
                  <w:r>
                    <w:rPr>
                      <w:sz w:val="16"/>
                    </w:rPr>
                    <w:t xml:space="preserve"> – elektroencefalograma, </w:t>
                  </w:r>
                </w:p>
                <w:p>
                  <w:pPr>
                    <w:ind w:firstLine="567"/>
                    <w:jc w:val="both"/>
                    <w:rPr>
                      <w:sz w:val="16"/>
                    </w:rPr>
                  </w:pPr>
                  <w:r>
                    <w:rPr>
                      <w:sz w:val="16"/>
                    </w:rPr>
                    <w:t xml:space="preserve">EKG – elektrokardiograma, </w:t>
                  </w:r>
                </w:p>
                <w:p>
                  <w:pPr>
                    <w:ind w:firstLine="567"/>
                    <w:jc w:val="both"/>
                    <w:rPr>
                      <w:sz w:val="16"/>
                    </w:rPr>
                  </w:pPr>
                  <w:r>
                    <w:rPr>
                      <w:sz w:val="16"/>
                    </w:rPr>
                    <w:t>ENG – eritrocitų nusėdimo greitis,</w:t>
                  </w:r>
                </w:p>
                <w:p>
                  <w:pPr>
                    <w:ind w:firstLine="567"/>
                    <w:jc w:val="both"/>
                    <w:rPr>
                      <w:sz w:val="16"/>
                    </w:rPr>
                  </w:pPr>
                  <w:r>
                    <w:rPr>
                      <w:sz w:val="16"/>
                    </w:rPr>
                    <w:t xml:space="preserve">KLR – krūtinės ląstos rentgenograma, </w:t>
                  </w:r>
                </w:p>
                <w:p>
                  <w:pPr>
                    <w:ind w:firstLine="567"/>
                    <w:jc w:val="both"/>
                    <w:rPr>
                      <w:sz w:val="16"/>
                    </w:rPr>
                  </w:pPr>
                  <w:r>
                    <w:rPr>
                      <w:sz w:val="16"/>
                    </w:rPr>
                    <w:t xml:space="preserve">IKFT – išorinio kvėpavimo funkcijos tyrimas. </w:t>
                  </w:r>
                </w:p>
                <w:p>
                  <w:pPr>
                    <w:ind w:firstLine="567"/>
                    <w:jc w:val="both"/>
                  </w:pPr>
                </w:p>
                <w:p>
                  <w:pPr>
                    <w:jc w:val="center"/>
                  </w:pPr>
                  <w:r>
                    <w:t>_________________</w:t>
                  </w:r>
                </w:p>
              </w:sdtContent>
            </w:sdt>
            <w:sdt>
              <w:sdtPr>
                <w:alias w:val="lentele"/>
                <w:tag w:val="part_d191563c536c4380a058e5d3a644277e"/>
                <w:lock w:val="sdtLocked"/>
                <w:richText/>
              </w:sdtPr>
              <w:sdtContent>
                <w:p>
                  <w:pPr>
                    <w:ind w:firstLine="567"/>
                    <w:jc w:val="both"/>
                  </w:pPr>
                </w:p>
                <w:p>
                  <w:pPr>
                    <w:ind w:firstLine="567"/>
                    <w:jc w:val="both"/>
                    <w:sectPr>
                      <w:pgSz w:w="16840" w:h="11907" w:orient="landscape" w:code="9"/>
                      <w:pgMar w:top="1701" w:right="1134" w:bottom="1134" w:left="1134" w:header="567" w:footer="284" w:gutter="0"/>
                      <w:cols w:space="1296"/>
                      <w:docGrid w:linePitch="360"/>
                    </w:sectPr>
                  </w:pPr>
                </w:p>
                <w:p>
                  <w:pPr>
                    <w:ind w:firstLine="567"/>
                    <w:jc w:val="both"/>
                  </w:pPr>
                </w:p>
                <w:p>
                  <w:pPr>
                    <w:ind w:left="4535"/>
                    <w:jc w:val="right"/>
                    <w:rPr>
                      <w:b/>
                      <w:caps/>
                    </w:rPr>
                  </w:pPr>
                  <w:r>
                    <w:t>3 lentelė</w:t>
                  </w:r>
                </w:p>
                <w:sdt>
                  <w:sdtPr>
                    <w:alias w:val="Pavadinimas"/>
                    <w:tag w:val="title_d191563c536c4380a058e5d3a644277e"/>
                    <w:lock w:val="sdtLocked"/>
                    <w:richText/>
                  </w:sdtPr>
                  <w:sdtContent>
                    <w:p>
                      <w:pPr>
                        <w:jc w:val="center"/>
                        <w:rPr>
                          <w:b/>
                          <w:caps/>
                        </w:rPr>
                      </w:pPr>
                      <w:r>
                        <w:rPr>
                          <w:b/>
                          <w:caps/>
                        </w:rPr>
                        <w:t>Pavyzdinis PROTOKOLAS</w:t>
                      </w:r>
                    </w:p>
                  </w:sdtContent>
                </w:sdt>
                <w:p/>
                <w:tbl>
                  <w:tblPr>
                    <w:tblW w:w="9070" w:type="dxa"/>
                    <w:tblLayout w:type="fixed"/>
                    <w:tblLook w:val="0000" w:firstRow="0" w:lastRow="0" w:firstColumn="0" w:lastColumn="0" w:noHBand="0" w:noVBand="0"/>
                  </w:tblPr>
                  <w:tblGrid>
                    <w:gridCol w:w="1990"/>
                    <w:gridCol w:w="1990"/>
                    <w:gridCol w:w="5090"/>
                  </w:tblGrid>
                  <w:tr>
                    <w:tc>
                      <w:tcPr>
                        <w:tcW w:w="9070" w:type="dxa"/>
                        <w:gridSpan w:val="3"/>
                      </w:tcPr>
                      <w:p>
                        <w:r>
                          <w:t>Įstaigos (įmonės) pavadinimas</w:t>
                        </w:r>
                      </w:p>
                    </w:tc>
                  </w:tr>
                  <w:tr>
                    <w:tc>
                      <w:tcPr>
                        <w:tcW w:w="9070" w:type="dxa"/>
                        <w:gridSpan w:val="3"/>
                        <w:tcBorders>
                          <w:top w:val="single" w:sz="6" w:space="0" w:color="auto"/>
                          <w:bottom w:val="single" w:sz="6" w:space="0" w:color="auto"/>
                        </w:tcBorders>
                      </w:tcPr>
                      <w:p>
                        <w:r>
                          <w:t>Adresas</w:t>
                        </w:r>
                      </w:p>
                    </w:tc>
                  </w:tr>
                  <w:tr>
                    <w:tc>
                      <w:tcPr>
                        <w:tcW w:w="1990" w:type="dxa"/>
                        <w:tcBorders>
                          <w:bottom w:val="single" w:sz="6" w:space="0" w:color="auto"/>
                        </w:tcBorders>
                      </w:tcPr>
                      <w:p>
                        <w:r>
                          <w:t>Tel.,</w:t>
                        </w:r>
                      </w:p>
                    </w:tc>
                    <w:tc>
                      <w:tcPr>
                        <w:tcW w:w="1990" w:type="dxa"/>
                        <w:tcBorders>
                          <w:bottom w:val="single" w:sz="6" w:space="0" w:color="auto"/>
                        </w:tcBorders>
                      </w:tcPr>
                      <w:p>
                        <w:r>
                          <w:t>faks.</w:t>
                        </w:r>
                      </w:p>
                    </w:tc>
                    <w:tc>
                      <w:tcPr>
                        <w:tcW w:w="5090" w:type="dxa"/>
                        <w:tcBorders>
                          <w:bottom w:val="single" w:sz="6" w:space="0" w:color="auto"/>
                        </w:tcBorders>
                      </w:tcPr>
                      <w:p>
                        <w:r>
                          <w:t xml:space="preserve">el. paštas </w:t>
                        </w:r>
                      </w:p>
                    </w:tc>
                  </w:tr>
                </w:tbl>
                <w:p/>
                <w:sdt>
                  <w:sdtPr>
                    <w:alias w:val="skirsnis"/>
                    <w:tag w:val="part_89c0df95c14c4cd1819ea8a6dc04edb7"/>
                    <w:lock w:val="sdtLocked"/>
                    <w:richText/>
                  </w:sdtPr>
                  <w:sdtContent>
                    <w:p>
                      <w:pPr>
                        <w:jc w:val="center"/>
                      </w:pPr>
                      <w:sdt>
                        <w:sdtPr>
                          <w:alias w:val="Pavadinimas"/>
                          <w:tag w:val="title_89c0df95c14c4cd1819ea8a6dc04edb7"/>
                          <w:lock w:val="sdtLocked"/>
                          <w:richText/>
                        </w:sdtPr>
                        <w:sdtContent>
                          <w:r>
                            <w:t>PROTOKOLAS</w:t>
                          </w:r>
                        </w:sdtContent>
                      </w:sdt>
                    </w:p>
                    <w:sdt>
                      <w:sdtPr>
                        <w:alias w:val="13 pr. 200 p."/>
                        <w:tag w:val="part_be0958740bd147479ef6b8addb801973"/>
                        <w:lock w:val="sdtLocked"/>
                        <w:richText/>
                      </w:sdtPr>
                      <w:sdtContent>
                        <w:p>
                          <w:pPr>
                            <w:jc w:val="center"/>
                          </w:pPr>
                          <w:sdt>
                            <w:sdtPr>
                              <w:alias w:val="Numeris"/>
                              <w:tag w:val="nr_be0958740bd147479ef6b8addb801973"/>
                              <w:lock w:val="sdtLocked"/>
                              <w:richText/>
                            </w:sdtPr>
                            <w:sdtContent>
                              <w:r>
                                <w:t>200.................</w:t>
                              </w:r>
                            </w:sdtContent>
                          </w:sdt>
                        </w:p>
                        <w:p>
                          <w:pPr>
                            <w:jc w:val="center"/>
                          </w:pPr>
                          <w:r>
                            <w:t>(Data, Nr.)</w:t>
                          </w:r>
                        </w:p>
                        <w:p>
                          <w:pPr>
                            <w:jc w:val="center"/>
                          </w:pPr>
                          <w:r>
                            <w:t>..................</w:t>
                          </w:r>
                        </w:p>
                        <w:p>
                          <w:pPr>
                            <w:jc w:val="center"/>
                          </w:pPr>
                          <w:r>
                            <w:t>(Vieta)</w:t>
                          </w:r>
                        </w:p>
                        <w:p>
                          <w:pPr>
                            <w:ind w:firstLine="567"/>
                            <w:jc w:val="both"/>
                          </w:pPr>
                        </w:p>
                        <w:p>
                          <w:pPr>
                            <w:ind w:firstLine="567"/>
                            <w:jc w:val="both"/>
                          </w:pPr>
                          <w:r>
                            <w:t xml:space="preserve">Vadovaujantis Lietuvos Respublikos pacientų teisių ir žalos sveikatai atlyginimo įstatymu (Žin., 1996, Nr. </w:t>
                          </w:r>
                          <w:hyperlink r:id="rId85" w:tgtFrame="_blank" w:history="1">
                            <w:r>
                              <w:rPr>
                                <w:color w:val="0000FF" w:themeColor="hyperlink"/>
                                <w:u w:val="single"/>
                              </w:rPr>
                              <w:t>102-2317</w:t>
                            </w:r>
                          </w:hyperlink>
                          <w:r>
                            <w:t>; 2004, Nr. 115-4284), visa informacija apie paciento sveikatos būklę, diagnozę, prognozę ir gydymą turi būti konfidenciali, ja galima naudotis tik dėl dirbančiojo interesų, gerbiant pastarojo asmens privatumą.</w:t>
                          </w:r>
                        </w:p>
                        <w:p>
                          <w:pPr>
                            <w:jc w:val="both"/>
                          </w:pPr>
                        </w:p>
                      </w:sdtContent>
                    </w:sdt>
                  </w:sdtContent>
                </w:sdt>
                <w:sdt>
                  <w:sdtPr>
                    <w:alias w:val="skirsnis"/>
                    <w:tag w:val="part_4d3e7ca4abf24c3393f54bac95296bc3"/>
                    <w:lock w:val="sdtLocked"/>
                    <w:richText/>
                  </w:sdtPr>
                  <w:sdtContent>
                    <w:p>
                      <w:pPr>
                        <w:jc w:val="both"/>
                        <w:rPr>
                          <w:b/>
                        </w:rPr>
                      </w:pPr>
                      <w:sdt>
                        <w:sdtPr>
                          <w:alias w:val="Pavadinimas"/>
                          <w:tag w:val="title_4d3e7ca4abf24c3393f54bac95296bc3"/>
                          <w:lock w:val="sdtLocked"/>
                          <w:richText/>
                        </w:sdtPr>
                        <w:sdtContent>
                          <w:r>
                            <w:rPr>
                              <w:b/>
                            </w:rPr>
                            <w:t>Dėl asmenų, dirbančių galimos profesinės rizikos sąlygomis, sveikatos tikrinimo</w:t>
                          </w:r>
                        </w:sdtContent>
                      </w:sdt>
                    </w:p>
                    <w:p>
                      <w:pPr>
                        <w:jc w:val="both"/>
                      </w:pPr>
                    </w:p>
                    <w:p>
                      <w:pPr>
                        <w:tabs>
                          <w:tab w:val="left" w:leader="dot" w:pos="8902"/>
                        </w:tabs>
                        <w:jc w:val="both"/>
                      </w:pPr>
                      <w:r>
                        <w:t>...</w:t>
                        <w:tab/>
                      </w:r>
                    </w:p>
                    <w:p>
                      <w:pPr>
                        <w:jc w:val="center"/>
                      </w:pPr>
                      <w:r>
                        <w:t>(asmens sveikatos priežiūros įstaigos pavadinimas)</w:t>
                      </w:r>
                    </w:p>
                    <w:p>
                      <w:pPr>
                        <w:jc w:val="both"/>
                      </w:pPr>
                    </w:p>
                    <w:p>
                      <w:pPr>
                        <w:tabs>
                          <w:tab w:val="left" w:leader="dot" w:pos="8902"/>
                        </w:tabs>
                        <w:jc w:val="both"/>
                      </w:pPr>
                      <w:r>
                        <w:t>...</w:t>
                        <w:tab/>
                      </w:r>
                    </w:p>
                    <w:p>
                      <w:pPr>
                        <w:jc w:val="both"/>
                      </w:pPr>
                      <w:r>
                        <w:t>šeimos medicinos paslaugas teikiantis gydytojas arba darbo medicinos gydytojas</w:t>
                        <w:tab/>
                      </w:r>
                    </w:p>
                    <w:p>
                      <w:pPr>
                        <w:jc w:val="center"/>
                      </w:pPr>
                      <w:r>
                        <w:t>(gydytojo vardas, pavardė)</w:t>
                      </w:r>
                    </w:p>
                    <w:p>
                      <w:pPr>
                        <w:jc w:val="both"/>
                      </w:pPr>
                      <w:r>
                        <w:t xml:space="preserve">vadovaudamasis įstaigos vadovo 200... m. ...............mėn.       d. įsakymu Nr. ... atliko profilaktinį dirbančiųjų sveikatos tikrinimą.</w:t>
                      </w:r>
                    </w:p>
                    <w:p>
                      <w:pPr>
                        <w:jc w:val="both"/>
                      </w:pPr>
                    </w:p>
                    <w:sdt>
                      <w:sdtPr>
                        <w:alias w:val="13 pr. 1 p."/>
                        <w:tag w:val="part_b73a34da9ca44c2881405de7ac62184c"/>
                        <w:lock w:val="sdtLocked"/>
                        <w:richText/>
                      </w:sdtPr>
                      <w:sdtContent>
                        <w:p>
                          <w:pPr>
                            <w:jc w:val="both"/>
                          </w:pPr>
                          <w:sdt>
                            <w:sdtPr>
                              <w:alias w:val="Numeris"/>
                              <w:tag w:val="nr_b73a34da9ca44c2881405de7ac62184c"/>
                              <w:lock w:val="sdtLocked"/>
                              <w:richText/>
                            </w:sdtPr>
                            <w:sdtContent>
                              <w:r>
                                <w:t>1</w:t>
                              </w:r>
                            </w:sdtContent>
                          </w:sdt>
                          <w:r>
                            <w:t>. Įmonės (įstaigos) profesinės rizikos veiksniai (cheminiai, biologiniai, fizikiniai, ergonominiai, fiziniai ir kt.):</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016"/>
                            <w:gridCol w:w="5054"/>
                          </w:tblGrid>
                          <w:tr>
                            <w:tc>
                              <w:tcPr>
                                <w:tcW w:w="4428" w:type="dxa"/>
                              </w:tcPr>
                              <w:p/>
                            </w:tc>
                            <w:tc>
                              <w:tcPr>
                                <w:tcW w:w="5580" w:type="dxa"/>
                              </w:tcPr>
                              <w:p/>
                            </w:tc>
                          </w:tr>
                          <w:tr>
                            <w:tc>
                              <w:tcPr>
                                <w:tcW w:w="4428" w:type="dxa"/>
                              </w:tcPr>
                              <w:p/>
                            </w:tc>
                            <w:tc>
                              <w:tcPr>
                                <w:tcW w:w="5580" w:type="dxa"/>
                              </w:tcPr>
                              <w:p/>
                            </w:tc>
                          </w:tr>
                          <w:tr>
                            <w:tc>
                              <w:tcPr>
                                <w:tcW w:w="4428" w:type="dxa"/>
                              </w:tcPr>
                              <w:p/>
                            </w:tc>
                            <w:tc>
                              <w:tcPr>
                                <w:tcW w:w="5580" w:type="dxa"/>
                              </w:tcPr>
                              <w:p/>
                            </w:tc>
                          </w:tr>
                        </w:tbl>
                        <w:p/>
                      </w:sdtContent>
                    </w:sdt>
                    <w:sdt>
                      <w:sdtPr>
                        <w:alias w:val="13 pr. 2 p."/>
                        <w:tag w:val="part_ad7c93319de54f1da04fb75c50f4fb3c"/>
                        <w:lock w:val="sdtLocked"/>
                        <w:richText/>
                      </w:sdtPr>
                      <w:sdtContent>
                        <w:p>
                          <w:sdt>
                            <w:sdtPr>
                              <w:alias w:val="Numeris"/>
                              <w:tag w:val="nr_ad7c93319de54f1da04fb75c50f4fb3c"/>
                              <w:lock w:val="sdtLocked"/>
                              <w:richText/>
                            </w:sdtPr>
                            <w:sdtContent>
                              <w:r>
                                <w:t>2</w:t>
                              </w:r>
                            </w:sdtContent>
                          </w:sdt>
                          <w:r>
                            <w:t>. Profilaktinio sveikatos tikrinimo duomenys: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54"/>
                            <w:gridCol w:w="1895"/>
                            <w:gridCol w:w="918"/>
                            <w:gridCol w:w="999"/>
                            <w:gridCol w:w="1732"/>
                            <w:gridCol w:w="999"/>
                            <w:gridCol w:w="999"/>
                            <w:gridCol w:w="674"/>
                          </w:tblGrid>
                          <w:tr>
                            <w:tc>
                              <w:tcPr>
                                <w:tcW w:w="6948" w:type="dxa"/>
                                <w:gridSpan w:val="5"/>
                              </w:tcPr>
                              <w:p>
                                <w:r>
                                  <w:t>Tikrinimo duomenys</w:t>
                                </w:r>
                              </w:p>
                            </w:tc>
                            <w:tc>
                              <w:tcPr>
                                <w:tcW w:w="1080" w:type="dxa"/>
                              </w:tcPr>
                              <w:p>
                                <w:r>
                                  <w:t>Vyrai</w:t>
                                </w:r>
                              </w:p>
                            </w:tc>
                            <w:tc>
                              <w:tcPr>
                                <w:tcW w:w="1080" w:type="dxa"/>
                              </w:tcPr>
                              <w:p>
                                <w:r>
                                  <w:t>Moterys</w:t>
                                </w:r>
                              </w:p>
                            </w:tc>
                            <w:tc>
                              <w:tcPr>
                                <w:tcW w:w="720" w:type="dxa"/>
                              </w:tcPr>
                              <w:p>
                                <w:r>
                                  <w:t>Iš viso</w:t>
                                </w:r>
                              </w:p>
                            </w:tc>
                          </w:tr>
                          <w:tr>
                            <w:tc>
                              <w:tcPr>
                                <w:tcW w:w="6948" w:type="dxa"/>
                                <w:gridSpan w:val="5"/>
                              </w:tcPr>
                              <w:p>
                                <w:r>
                                  <w:t>Reikėjo patikrinti</w:t>
                                </w:r>
                              </w:p>
                            </w:tc>
                            <w:tc>
                              <w:tcPr>
                                <w:tcW w:w="1080" w:type="dxa"/>
                              </w:tcPr>
                              <w:p/>
                            </w:tc>
                            <w:tc>
                              <w:tcPr>
                                <w:tcW w:w="1080" w:type="dxa"/>
                              </w:tcPr>
                              <w:p/>
                            </w:tc>
                            <w:tc>
                              <w:tcPr>
                                <w:tcW w:w="720" w:type="dxa"/>
                              </w:tcPr>
                              <w:p/>
                            </w:tc>
                          </w:tr>
                          <w:tr>
                            <w:tc>
                              <w:tcPr>
                                <w:tcW w:w="6948" w:type="dxa"/>
                                <w:gridSpan w:val="5"/>
                              </w:tcPr>
                              <w:p>
                                <w:r>
                                  <w:t>Patikrinta</w:t>
                                </w:r>
                              </w:p>
                            </w:tc>
                            <w:tc>
                              <w:tcPr>
                                <w:tcW w:w="1080" w:type="dxa"/>
                              </w:tcPr>
                              <w:p/>
                            </w:tc>
                            <w:tc>
                              <w:tcPr>
                                <w:tcW w:w="1080" w:type="dxa"/>
                              </w:tcPr>
                              <w:p/>
                            </w:tc>
                            <w:tc>
                              <w:tcPr>
                                <w:tcW w:w="720" w:type="dxa"/>
                              </w:tcPr>
                              <w:p/>
                            </w:tc>
                          </w:tr>
                          <w:tr>
                            <w:trPr>
                              <w:cantSplit/>
                            </w:trPr>
                            <w:tc>
                              <w:tcPr>
                                <w:tcW w:w="918" w:type="dxa"/>
                              </w:tcPr>
                              <w:p>
                                <w:r>
                                  <w:t>Eil. Nr.</w:t>
                                </w:r>
                              </w:p>
                            </w:tc>
                            <w:tc>
                              <w:tcPr>
                                <w:tcW w:w="2070" w:type="dxa"/>
                              </w:tcPr>
                              <w:p>
                                <w:r>
                                  <w:t>vardas, pavardė</w:t>
                                </w:r>
                              </w:p>
                            </w:tc>
                            <w:tc>
                              <w:tcPr>
                                <w:tcW w:w="990" w:type="dxa"/>
                              </w:tcPr>
                              <w:p>
                                <w:r>
                                  <w:t>gim. m.</w:t>
                                </w:r>
                              </w:p>
                            </w:tc>
                            <w:tc>
                              <w:tcPr>
                                <w:tcW w:w="1080" w:type="dxa"/>
                              </w:tcPr>
                              <w:p>
                                <w:r>
                                  <w:t>profesija</w:t>
                                </w:r>
                              </w:p>
                            </w:tc>
                            <w:tc>
                              <w:tcPr>
                                <w:tcW w:w="1890" w:type="dxa"/>
                              </w:tcPr>
                              <w:p>
                                <w:r>
                                  <w:t>profesinės rizikos veiksnys</w:t>
                                </w:r>
                              </w:p>
                            </w:tc>
                            <w:tc>
                              <w:tcPr>
                                <w:tcW w:w="1080" w:type="dxa"/>
                              </w:tcPr>
                              <w:p/>
                            </w:tc>
                            <w:tc>
                              <w:tcPr>
                                <w:tcW w:w="1080" w:type="dxa"/>
                              </w:tcPr>
                              <w:p/>
                            </w:tc>
                            <w:tc>
                              <w:tcPr>
                                <w:tcW w:w="720" w:type="dxa"/>
                              </w:tcPr>
                              <w:p/>
                            </w:tc>
                          </w:tr>
                          <w:tr>
                            <w:trPr>
                              <w:cantSplit/>
                            </w:trPr>
                            <w:tc>
                              <w:tcPr>
                                <w:tcW w:w="918" w:type="dxa"/>
                              </w:tcPr>
                              <w:p>
                                <w:r>
                                  <w:t>1.</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2.</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3.</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bl>
                        <w:p/>
                      </w:sdtContent>
                    </w:sdt>
                    <w:sdt>
                      <w:sdtPr>
                        <w:alias w:val="13 pr. 3 p."/>
                        <w:tag w:val="part_adb6e8e62ec844cfb39e03130ff62487"/>
                        <w:lock w:val="sdtLocked"/>
                        <w:richText/>
                      </w:sdtPr>
                      <w:sdtContent>
                        <w:p>
                          <w:sdt>
                            <w:sdtPr>
                              <w:alias w:val="Numeris"/>
                              <w:tag w:val="nr_adb6e8e62ec844cfb39e03130ff62487"/>
                              <w:lock w:val="sdtLocked"/>
                              <w:richText/>
                            </w:sdtPr>
                            <w:sdtContent>
                              <w:r>
                                <w:t>3</w:t>
                              </w:r>
                            </w:sdtContent>
                          </w:sdt>
                          <w:r>
                            <w:t>. Tikrinimo metu atlikta:</w:t>
                          </w:r>
                        </w:p>
                        <w:tbl>
                          <w:tblPr>
                            <w:tblW w:w="9070" w:type="dxa"/>
                            <w:tblLayout w:type="fixed"/>
                            <w:tblLook w:val="0000" w:firstRow="0" w:lastRow="0" w:firstColumn="0" w:lastColumn="0" w:noHBand="0" w:noVBand="0"/>
                          </w:tblPr>
                          <w:tblGrid>
                            <w:gridCol w:w="915"/>
                            <w:gridCol w:w="4749"/>
                            <w:gridCol w:w="3406"/>
                          </w:tblGrid>
                          <w:tr>
                            <w:trPr>
                              <w:tblHeader/>
                            </w:trPr>
                            <w:tc>
                              <w:tcPr>
                                <w:tcW w:w="918" w:type="dxa"/>
                                <w:tcBorders>
                                  <w:top w:val="single" w:sz="6" w:space="0" w:color="auto"/>
                                  <w:left w:val="single" w:sz="6" w:space="0" w:color="auto"/>
                                  <w:bottom w:val="single" w:sz="6" w:space="0" w:color="auto"/>
                                  <w:right w:val="single" w:sz="6" w:space="0" w:color="auto"/>
                                </w:tcBorders>
                              </w:tcPr>
                              <w:p>
                                <w:r>
                                  <w:t>Eil. Nr.</w:t>
                                </w:r>
                              </w:p>
                            </w:tc>
                            <w:tc>
                              <w:tcPr>
                                <w:tcW w:w="4770" w:type="dxa"/>
                                <w:tcBorders>
                                  <w:top w:val="single" w:sz="6" w:space="0" w:color="auto"/>
                                  <w:left w:val="single" w:sz="6" w:space="0" w:color="auto"/>
                                  <w:bottom w:val="single" w:sz="6" w:space="0" w:color="auto"/>
                                  <w:right w:val="single" w:sz="6" w:space="0" w:color="auto"/>
                                </w:tcBorders>
                              </w:tcPr>
                              <w:p>
                                <w:r>
                                  <w:t>Tyrimai</w:t>
                                </w:r>
                              </w:p>
                            </w:tc>
                            <w:tc>
                              <w:tcPr>
                                <w:tcW w:w="3420" w:type="dxa"/>
                                <w:tcBorders>
                                  <w:top w:val="single" w:sz="6" w:space="0" w:color="auto"/>
                                  <w:bottom w:val="single" w:sz="6" w:space="0" w:color="auto"/>
                                  <w:right w:val="single" w:sz="6" w:space="0" w:color="auto"/>
                                </w:tcBorders>
                              </w:tcPr>
                              <w:p>
                                <w:r>
                                  <w:t>Skaičius</w:t>
                                </w: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1.</w:t>
                                </w:r>
                              </w:p>
                            </w:tc>
                            <w:tc>
                              <w:tcPr>
                                <w:tcW w:w="4770" w:type="dxa"/>
                              </w:tcPr>
                              <w:p>
                                <w:r>
                                  <w:t>Klinikiniai kraujo tyrimai (Hb, leukocitai, ENG)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2.</w:t>
                                </w:r>
                              </w:p>
                            </w:tc>
                            <w:tc>
                              <w:tcPr>
                                <w:tcW w:w="4770" w:type="dxa"/>
                              </w:tcPr>
                              <w:p>
                                <w:r>
                                  <w:t>Šlapimo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3.</w:t>
                                </w:r>
                              </w:p>
                            </w:tc>
                            <w:tc>
                              <w:tcPr>
                                <w:tcW w:w="4770" w:type="dxa"/>
                              </w:tcPr>
                              <w:p>
                                <w:r>
                                  <w:t>Krūtinės ląstos rentgenogramos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4.</w:t>
                                </w:r>
                              </w:p>
                            </w:tc>
                            <w:tc>
                              <w:tcPr>
                                <w:tcW w:w="4770" w:type="dxa"/>
                              </w:tcPr>
                              <w:p>
                                <w:r>
                                  <w:t>Biocheminiai kraujo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5. </w:t>
                                </w:r>
                              </w:p>
                            </w:tc>
                            <w:tc>
                              <w:tcPr>
                                <w:tcW w:w="4770" w:type="dxa"/>
                              </w:tcPr>
                              <w:p>
                                <w:r>
                                  <w:t>Mikroprecipitacijos reakcijos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6.</w:t>
                                </w:r>
                              </w:p>
                            </w:tc>
                            <w:tc>
                              <w:tcPr>
                                <w:tcW w:w="4770" w:type="dxa"/>
                              </w:tcPr>
                              <w:p>
                                <w:r>
                                  <w:t>Audiogramos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7.</w:t>
                                </w:r>
                              </w:p>
                            </w:tc>
                            <w:tc>
                              <w:tcPr>
                                <w:tcW w:w="4770" w:type="dxa"/>
                              </w:tcPr>
                              <w:p>
                                <w:r>
                                  <w:t>EKG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8.</w:t>
                                </w:r>
                              </w:p>
                            </w:tc>
                            <w:tc>
                              <w:tcPr>
                                <w:tcW w:w="4770" w:type="dxa"/>
                              </w:tcPr>
                              <w:p>
                                <w:r>
                                  <w:t>Tyrimai ultragarsu</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9.</w:t>
                                </w:r>
                              </w:p>
                            </w:tc>
                            <w:tc>
                              <w:tcPr>
                                <w:tcW w:w="4770" w:type="dxa"/>
                              </w:tcPr>
                              <w:p>
                                <w:r>
                                  <w:t>Kvėpavimo funkcijos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10. </w:t>
                                </w:r>
                              </w:p>
                            </w:tc>
                            <w:tc>
                              <w:tcPr>
                                <w:tcW w:w="4770" w:type="dxa"/>
                              </w:tcPr>
                              <w:p>
                                <w:r>
                                  <w:t>Skreplių citologiniai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11. </w:t>
                                </w:r>
                              </w:p>
                            </w:tc>
                            <w:tc>
                              <w:tcPr>
                                <w:tcW w:w="4770" w:type="dxa"/>
                              </w:tcPr>
                              <w:p>
                                <w:r>
                                  <w:t>Kiti tyrimai</w:t>
                                </w:r>
                              </w:p>
                            </w:tc>
                            <w:tc>
                              <w:tcPr>
                                <w:tcW w:w="3420" w:type="dxa"/>
                              </w:tcPr>
                              <w:p/>
                            </w:tc>
                          </w:tr>
                        </w:tbl>
                        <w:p/>
                      </w:sdtContent>
                    </w:sdt>
                    <w:sdt>
                      <w:sdtPr>
                        <w:alias w:val="13 pr. 4 p."/>
                        <w:tag w:val="part_31470062180c4d71b3f5d7f7b735a64d"/>
                        <w:lock w:val="sdtLocked"/>
                        <w:richText/>
                      </w:sdtPr>
                      <w:sdtContent>
                        <w:p>
                          <w:sdt>
                            <w:sdtPr>
                              <w:alias w:val="Numeris"/>
                              <w:tag w:val="nr_31470062180c4d71b3f5d7f7b735a64d"/>
                              <w:lock w:val="sdtLocked"/>
                              <w:richText/>
                            </w:sdtPr>
                            <w:sdtContent>
                              <w:r>
                                <w:t>4</w:t>
                              </w:r>
                            </w:sdtContent>
                          </w:sdt>
                          <w:r>
                            <w:t>. Pateiktos išvados:</w:t>
                          </w:r>
                        </w:p>
                        <w:sdt>
                          <w:sdtPr>
                            <w:alias w:val="13 pr. 4.1 p."/>
                            <w:tag w:val="part_f59816ec77884423b6c9571ff20a5ac3"/>
                            <w:lock w:val="sdtLocked"/>
                            <w:richText/>
                          </w:sdtPr>
                          <w:sdtContent>
                            <w:p>
                              <w:sdt>
                                <w:sdtPr>
                                  <w:alias w:val="Numeris"/>
                                  <w:tag w:val="nr_f59816ec77884423b6c9571ff20a5ac3"/>
                                  <w:lock w:val="sdtLocked"/>
                                  <w:richText/>
                                </w:sdtPr>
                                <w:sdtContent>
                                  <w:r>
                                    <w:t>4.1</w:t>
                                  </w:r>
                                </w:sdtContent>
                              </w:sdt>
                              <w:r>
                                <w:t>. Dėl asmenų, kuriems leidžiama dirbti su apribojimais: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51"/>
                                <w:gridCol w:w="896"/>
                                <w:gridCol w:w="1074"/>
                                <w:gridCol w:w="1397"/>
                                <w:gridCol w:w="1478"/>
                                <w:gridCol w:w="2043"/>
                              </w:tblGrid>
                              <w:tr>
                                <w:tc>
                                  <w:tcPr>
                                    <w:tcW w:w="675" w:type="dxa"/>
                                  </w:tcPr>
                                  <w:p>
                                    <w:r>
                                      <w:t>Eil. Nr.</w:t>
                                    </w:r>
                                  </w:p>
                                </w:tc>
                                <w:tc>
                                  <w:tcPr>
                                    <w:tcW w:w="1701" w:type="dxa"/>
                                  </w:tcPr>
                                  <w:p>
                                    <w:r>
                                      <w:t>Vardas, pavardė</w:t>
                                    </w:r>
                                  </w:p>
                                </w:tc>
                                <w:tc>
                                  <w:tcPr>
                                    <w:tcW w:w="972" w:type="dxa"/>
                                  </w:tcPr>
                                  <w:p>
                                    <w:r>
                                      <w:t>Gim. m.</w:t>
                                    </w:r>
                                  </w:p>
                                </w:tc>
                                <w:tc>
                                  <w:tcPr>
                                    <w:tcW w:w="1170" w:type="dxa"/>
                                  </w:tcPr>
                                  <w:p>
                                    <w:r>
                                      <w:t>Profesija</w:t>
                                    </w:r>
                                  </w:p>
                                </w:tc>
                                <w:tc>
                                  <w:tcPr>
                                    <w:tcW w:w="1530" w:type="dxa"/>
                                  </w:tcPr>
                                  <w:p>
                                    <w:r>
                                      <w:t>Profesinės rizikos veiksnys</w:t>
                                    </w:r>
                                  </w:p>
                                </w:tc>
                                <w:tc>
                                  <w:tcPr>
                                    <w:tcW w:w="1620" w:type="dxa"/>
                                  </w:tcPr>
                                  <w:p>
                                    <w:r>
                                      <w:t>Apribojimai</w:t>
                                    </w:r>
                                  </w:p>
                                </w:tc>
                                <w:tc>
                                  <w:tcPr>
                                    <w:tcW w:w="2250" w:type="dxa"/>
                                  </w:tcPr>
                                  <w:p>
                                    <w:r>
                                      <w:t>Siūlymai darbdaviui ir darbuotojui</w:t>
                                    </w:r>
                                  </w:p>
                                </w:tc>
                              </w:tr>
                              <w:tr>
                                <w:tc>
                                  <w:tcPr>
                                    <w:tcW w:w="675" w:type="dxa"/>
                                    <w:tcBorders>
                                      <w:top w:val="nil"/>
                                    </w:tcBorders>
                                  </w:tcPr>
                                  <w:p>
                                    <w:r>
                                      <w:t>1.</w:t>
                                    </w:r>
                                  </w:p>
                                </w:tc>
                                <w:tc>
                                  <w:tcPr>
                                    <w:tcW w:w="1701" w:type="dxa"/>
                                    <w:tcBorders>
                                      <w:top w:val="nil"/>
                                    </w:tcBorders>
                                  </w:tcPr>
                                  <w:p/>
                                </w:tc>
                                <w:tc>
                                  <w:tcPr>
                                    <w:tcW w:w="972" w:type="dxa"/>
                                    <w:tcBorders>
                                      <w:top w:val="nil"/>
                                    </w:tcBorders>
                                  </w:tcPr>
                                  <w:p/>
                                </w:tc>
                                <w:tc>
                                  <w:tcPr>
                                    <w:tcW w:w="1170" w:type="dxa"/>
                                    <w:tcBorders>
                                      <w:top w:val="nil"/>
                                    </w:tcBorders>
                                  </w:tcPr>
                                  <w:p/>
                                </w:tc>
                                <w:tc>
                                  <w:tcPr>
                                    <w:tcW w:w="1530" w:type="dxa"/>
                                    <w:tcBorders>
                                      <w:top w:val="nil"/>
                                    </w:tcBorders>
                                  </w:tcPr>
                                  <w:p/>
                                </w:tc>
                                <w:tc>
                                  <w:tcPr>
                                    <w:tcW w:w="1620" w:type="dxa"/>
                                    <w:tcBorders>
                                      <w:top w:val="nil"/>
                                    </w:tcBorders>
                                  </w:tcPr>
                                  <w:p/>
                                </w:tc>
                                <w:tc>
                                  <w:tcPr>
                                    <w:tcW w:w="2250" w:type="dxa"/>
                                    <w:tcBorders>
                                      <w:top w:val="nil"/>
                                    </w:tcBorders>
                                  </w:tcPr>
                                  <w:p/>
                                </w:tc>
                              </w:tr>
                              <w:tr>
                                <w:tc>
                                  <w:tcPr>
                                    <w:tcW w:w="675" w:type="dxa"/>
                                  </w:tcPr>
                                  <w:p>
                                    <w:r>
                                      <w:t>2.</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bl>
                            <w:p/>
                          </w:sdtContent>
                        </w:sdt>
                        <w:sdt>
                          <w:sdtPr>
                            <w:alias w:val="13 pr. 4.2 p."/>
                            <w:tag w:val="part_deb46bf600d24d2090065763213bfbf6"/>
                            <w:lock w:val="sdtLocked"/>
                            <w:richText/>
                          </w:sdtPr>
                          <w:sdtContent>
                            <w:p>
                              <w:sdt>
                                <w:sdtPr>
                                  <w:alias w:val="Numeris"/>
                                  <w:tag w:val="nr_deb46bf600d24d2090065763213bfbf6"/>
                                  <w:lock w:val="sdtLocked"/>
                                  <w:richText/>
                                </w:sdtPr>
                                <w:sdtContent>
                                  <w:r>
                                    <w:t>4.2</w:t>
                                  </w:r>
                                </w:sdtContent>
                              </w:sdt>
                              <w:r>
                                <w:t>. Dėl asmenų, kuriems įtariama profesinė liga:</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0"/>
                                <w:gridCol w:w="1535"/>
                                <w:gridCol w:w="913"/>
                                <w:gridCol w:w="1074"/>
                                <w:gridCol w:w="1397"/>
                                <w:gridCol w:w="1478"/>
                                <w:gridCol w:w="2043"/>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1530" w:type="dxa"/>
                                  </w:tcPr>
                                  <w:p>
                                    <w:r>
                                      <w:t>Profesinės rizikos veiksnys</w:t>
                                    </w:r>
                                  </w:p>
                                </w:tc>
                                <w:tc>
                                  <w:tcPr>
                                    <w:tcW w:w="1620" w:type="dxa"/>
                                  </w:tcPr>
                                  <w:p>
                                    <w:r>
                                      <w:t>Įtariama diagnozė</w:t>
                                    </w:r>
                                  </w:p>
                                </w:tc>
                                <w:tc>
                                  <w:tcPr>
                                    <w:tcW w:w="2250" w:type="dxa"/>
                                  </w:tcPr>
                                  <w:p>
                                    <w:r>
                                      <w:t xml:space="preserve">Siūlymai darbdaviui ir darbuotojui </w:t>
                                    </w:r>
                                  </w:p>
                                </w:tc>
                              </w:tr>
                              <w:tr>
                                <w:tc>
                                  <w:tcPr>
                                    <w:tcW w:w="675" w:type="dxa"/>
                                  </w:tcPr>
                                  <w:p>
                                    <w:r>
                                      <w:t>1.</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2.</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bl>
                            <w:p/>
                          </w:sdtContent>
                        </w:sdt>
                        <w:sdt>
                          <w:sdtPr>
                            <w:alias w:val="13 pr. 4.3 p."/>
                            <w:tag w:val="part_2984e5fe057947eab12160cf989c762e"/>
                            <w:lock w:val="sdtLocked"/>
                            <w:richText/>
                          </w:sdtPr>
                          <w:sdtContent>
                            <w:p>
                              <w:sdt>
                                <w:sdtPr>
                                  <w:alias w:val="Numeris"/>
                                  <w:tag w:val="nr_2984e5fe057947eab12160cf989c762e"/>
                                  <w:lock w:val="sdtLocked"/>
                                  <w:richText/>
                                </w:sdtPr>
                                <w:sdtContent>
                                  <w:r>
                                    <w:t>4.3</w:t>
                                  </w:r>
                                </w:sdtContent>
                              </w:sdt>
                              <w:r>
                                <w:t>. Dėl asmenų, kuriems dėl sveikatos būklės būtina pakeisti darbo sąlygas į nesusijusias su profesinės rizikos veiksniais: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39"/>
                                <w:gridCol w:w="915"/>
                                <w:gridCol w:w="1077"/>
                                <w:gridCol w:w="2130"/>
                                <w:gridCol w:w="2778"/>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2340" w:type="dxa"/>
                                  </w:tcPr>
                                  <w:p>
                                    <w:r>
                                      <w:t>Profesinės rizikos veiksnys</w:t>
                                    </w:r>
                                  </w:p>
                                </w:tc>
                                <w:tc>
                                  <w:tcPr>
                                    <w:tcW w:w="3060" w:type="dxa"/>
                                  </w:tcPr>
                                  <w:p>
                                    <w:r>
                                      <w:t>Siūlymai darbdaviui ir darbuotojui</w:t>
                                    </w:r>
                                  </w:p>
                                </w:tc>
                              </w:tr>
                              <w:tr>
                                <w:tc>
                                  <w:tcPr>
                                    <w:tcW w:w="675" w:type="dxa"/>
                                  </w:tcPr>
                                  <w:p>
                                    <w:r>
                                      <w:t>1.</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2.</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3.</w:t>
                                    </w:r>
                                  </w:p>
                                </w:tc>
                                <w:tc>
                                  <w:tcPr>
                                    <w:tcW w:w="1683" w:type="dxa"/>
                                  </w:tcPr>
                                  <w:p/>
                                </w:tc>
                                <w:tc>
                                  <w:tcPr>
                                    <w:tcW w:w="990" w:type="dxa"/>
                                  </w:tcPr>
                                  <w:p/>
                                </w:tc>
                                <w:tc>
                                  <w:tcPr>
                                    <w:tcW w:w="1170" w:type="dxa"/>
                                  </w:tcPr>
                                  <w:p/>
                                </w:tc>
                                <w:tc>
                                  <w:tcPr>
                                    <w:tcW w:w="2340" w:type="dxa"/>
                                  </w:tcPr>
                                  <w:p/>
                                </w:tc>
                                <w:tc>
                                  <w:tcPr>
                                    <w:tcW w:w="3060" w:type="dxa"/>
                                  </w:tcPr>
                                  <w:p/>
                                </w:tc>
                              </w:tr>
                            </w:tbl>
                            <w:p>
                              <w:r>
                                <w:t xml:space="preserve">Protokolas surašomas dviem egzemplioriais (paciento darbdaviui, patikrinimą atlikusiai ASPĮ) </w:t>
                              </w:r>
                            </w:p>
                            <w:p/>
                            <w:p>
                              <w:pPr>
                                <w:tabs>
                                  <w:tab w:val="left" w:leader="dot" w:pos="8902"/>
                                </w:tabs>
                                <w:jc w:val="both"/>
                              </w:pPr>
                              <w:r>
                                <w:t>...</w:t>
                                <w:tab/>
                              </w:r>
                            </w:p>
                            <w:tbl>
                              <w:tblPr>
                                <w:tblW w:w="9070" w:type="dxa"/>
                                <w:tblLook w:val="01E0" w:firstRow="1" w:lastRow="1" w:firstColumn="1" w:lastColumn="1" w:noHBand="0" w:noVBand="0"/>
                              </w:tblPr>
                              <w:tblGrid>
                                <w:gridCol w:w="4537"/>
                                <w:gridCol w:w="4533"/>
                              </w:tblGrid>
                              <w:tr>
                                <w:tc>
                                  <w:tcPr>
                                    <w:tcW w:w="4644" w:type="dxa"/>
                                  </w:tcPr>
                                  <w:p>
                                    <w:r>
                                      <w:t>šeimos medicinos paslaugas teikiantis gydytojas arba darbo medicinos gydytojas, tel. ...... (vardas, pavardė) “</w:t>
                                    </w:r>
                                  </w:p>
                                </w:tc>
                                <w:tc>
                                  <w:tcPr>
                                    <w:tcW w:w="4644" w:type="dxa"/>
                                  </w:tcPr>
                                  <w:p>
                                    <w:pPr>
                                      <w:jc w:val="center"/>
                                    </w:pPr>
                                    <w:r>
                                      <w:t>(parašas)</w:t>
                                    </w:r>
                                  </w:p>
                                </w:tc>
                              </w:tr>
                            </w:tbl>
                            <w:p/>
                          </w:sdtContent>
                        </w:sdt>
                      </w:sdtContent>
                    </w:sdt>
                  </w:sdtContent>
                </w:sdt>
                <w:sdt>
                  <w:sdtPr>
                    <w:alias w:val="pabaiga"/>
                    <w:tag w:val="part_f9964173ee2a4b89a1a3afa977e4b92e"/>
                    <w:lock w:val="sdtLocked"/>
                    <w:richText/>
                  </w:sdtPr>
                  <w:sdtContent>
                    <w:p>
                      <w:pPr>
                        <w:jc w:val="center"/>
                      </w:pPr>
                      <w:r>
                        <w:t>_________________</w:t>
                      </w:r>
                    </w:p>
                    <w:p/>
                    <w:p>
                      <w:pPr>
                        <w:rPr>
                          <w:color w:val="000000"/>
                        </w:rPr>
                      </w:pPr>
                    </w:p>
                  </w:sdtContent>
                </w:sdt>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4 pr."/>
        <w:tag w:val="part_2fdcd7c0cfd84c7b9b74f1415695a5bb"/>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14</w:t>
          </w:r>
          <w:r>
            <w:rPr>
              <w:rFonts w:ascii="Times New Roman" w:hAnsi="Times New Roman"/>
              <w:b/>
              <w:sz w:val="22"/>
            </w:rPr>
            <w:t xml:space="preserve"> priedas.</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5 pr."/>
        <w:tag w:val="part_ad4efd8c177b4a289b600a2975af93d6"/>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15</w:t>
          </w:r>
          <w:r>
            <w:rPr>
              <w:rFonts w:ascii="Times New Roman" w:hAnsi="Times New Roman"/>
              <w:b/>
              <w:sz w:val="22"/>
            </w:rPr>
            <w:t xml:space="preserve"> priedas.</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6 pr."/>
        <w:tag w:val="part_7ad791ab7dd94f85be58aa9d4360274a"/>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16</w:t>
          </w:r>
          <w:r>
            <w:rPr>
              <w:rFonts w:ascii="Times New Roman" w:hAnsi="Times New Roman"/>
              <w:b/>
              <w:sz w:val="22"/>
            </w:rPr>
            <w:t xml:space="preserve"> priedas.</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7 pr."/>
        <w:tag w:val="part_8b0d19f6b5e94bb7ae372cc42e2efe46"/>
        <w:lock w:val="sdtLocked"/>
        <w:richText/>
      </w:sdtPr>
      <w:sdtContent>
        <w:p>
          <w:pPr>
            <w:tabs>
              <w:tab w:val="left" w:pos="1304"/>
              <w:tab w:val="left" w:pos="1457"/>
              <w:tab w:val="left" w:pos="1604"/>
              <w:tab w:val="left" w:pos="1757"/>
            </w:tabs>
            <w:ind w:left="5102"/>
            <w:sectPr>
              <w:pgSz w:w="11907" w:h="16839"/>
              <w:pgMar w:top="1134" w:right="567" w:bottom="1134" w:left="1701" w:header="567" w:footer="567" w:gutter="0"/>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8b0d19f6b5e94bb7ae372cc42e2efe46"/>
              <w:lock w:val="sdtLocked"/>
              <w:richText/>
            </w:sdtPr>
            <w:sdtContent>
              <w:r>
                <w:rPr>
                  <w:color w:val="000000"/>
                </w:rPr>
                <w:t>17</w:t>
              </w:r>
            </w:sdtContent>
          </w:sdt>
          <w:r>
            <w:rPr>
              <w:color w:val="000000"/>
            </w:rPr>
            <w:t xml:space="preserve"> priedas</w:t>
          </w:r>
        </w:p>
        <w:p>
          <w:pPr>
            <w:widowControl w:val="0"/>
            <w:ind w:left="5462"/>
            <w:rPr>
              <w:color w:val="000000"/>
            </w:rPr>
          </w:pPr>
        </w:p>
        <w:p>
          <w:pPr>
            <w:jc w:val="center"/>
            <w:rPr>
              <w:b/>
              <w:caps/>
              <w:color w:val="000000"/>
            </w:rPr>
          </w:pPr>
          <w:sdt>
            <w:sdtPr>
              <w:alias w:val="Pavadinimas"/>
              <w:tag w:val="title_8b0d19f6b5e94bb7ae372cc42e2efe46"/>
              <w:lock w:val="sdtLocked"/>
              <w:richText/>
            </w:sdtPr>
            <w:sdtContent>
              <w:r>
                <w:rPr>
                  <w:b/>
                  <w:caps/>
                  <w:color w:val="000000"/>
                </w:rPr>
                <w:t>ASMENŲ, NORINČIŲ SUSITUOKTI, SVEIKATOS TIKRINIMO TVARKA</w:t>
              </w:r>
            </w:sdtContent>
          </w:sdt>
        </w:p>
        <w:p>
          <w:pPr>
            <w:widowControl w:val="0"/>
            <w:tabs>
              <w:tab w:val="left" w:pos="1304"/>
              <w:tab w:val="left" w:pos="2778"/>
              <w:tab w:val="left" w:pos="4876"/>
              <w:tab w:val="left" w:pos="6860"/>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6"/>
            <w:gridCol w:w="3178"/>
            <w:gridCol w:w="3303"/>
          </w:tblGrid>
          <w:tr>
            <w:tc>
              <w:tcPr>
                <w:tcW w:w="6334" w:type="dxa"/>
                <w:gridSpan w:val="2"/>
                <w:shd w:val="clear" w:color="auto" w:fill="auto"/>
              </w:tcPr>
              <w:p>
                <w:pPr>
                  <w:widowControl w:val="0"/>
                  <w:ind w:left="360"/>
                  <w:jc w:val="center"/>
                  <w:rPr>
                    <w:sz w:val="14"/>
                  </w:rPr>
                </w:pPr>
                <w:r>
                  <w:rPr>
                    <w:sz w:val="14"/>
                  </w:rPr>
                  <w:t>Sveikatos tikrintojas</w:t>
                </w:r>
              </w:p>
            </w:tc>
            <w:tc>
              <w:tcPr>
                <w:tcW w:w="3303" w:type="dxa"/>
                <w:vMerge w:val="restart"/>
                <w:shd w:val="clear" w:color="auto" w:fill="auto"/>
              </w:tcPr>
              <w:p>
                <w:pPr>
                  <w:widowControl w:val="0"/>
                  <w:ind w:left="360"/>
                  <w:jc w:val="center"/>
                  <w:rPr>
                    <w:sz w:val="14"/>
                  </w:rPr>
                </w:pPr>
                <w:r>
                  <w:rPr>
                    <w:sz w:val="14"/>
                  </w:rPr>
                  <w:t>Tyrimai</w:t>
                </w:r>
              </w:p>
            </w:tc>
          </w:tr>
          <w:tr>
            <w:trPr>
              <w:trHeight w:val="680"/>
            </w:trPr>
            <w:tc>
              <w:tcPr>
                <w:tcW w:w="3156"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3178"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3303" w:type="dxa"/>
                <w:vMerge/>
                <w:tcBorders>
                  <w:bottom w:val="single" w:sz="4" w:space="0" w:color="auto"/>
                </w:tcBorders>
                <w:shd w:val="clear" w:color="auto" w:fill="auto"/>
              </w:tcPr>
              <w:p>
                <w:pPr>
                  <w:widowControl w:val="0"/>
                  <w:ind w:left="360"/>
                  <w:jc w:val="center"/>
                  <w:rPr>
                    <w:sz w:val="14"/>
                  </w:rPr>
                </w:pPr>
              </w:p>
            </w:tc>
          </w:tr>
          <w:tr>
            <w:trPr>
              <w:trHeight w:val="2065"/>
            </w:trPr>
            <w:tc>
              <w:tcPr>
                <w:tcW w:w="3156" w:type="dxa"/>
                <w:shd w:val="clear" w:color="auto" w:fill="auto"/>
              </w:tcPr>
              <w:p>
                <w:pPr>
                  <w:widowControl w:val="0"/>
                  <w:ind w:left="360"/>
                  <w:rPr>
                    <w:sz w:val="14"/>
                  </w:rPr>
                </w:pPr>
                <w:r>
                  <w:rPr>
                    <w:sz w:val="14"/>
                  </w:rPr>
                  <w:t>Bendrosios praktikos gydytojas (pagal normą MN 14) arba terapeutas</w:t>
                </w:r>
              </w:p>
            </w:tc>
            <w:tc>
              <w:tcPr>
                <w:tcW w:w="3178" w:type="dxa"/>
                <w:tcBorders>
                  <w:bottom w:val="single" w:sz="4" w:space="0" w:color="auto"/>
                </w:tcBorders>
                <w:shd w:val="clear" w:color="auto" w:fill="auto"/>
              </w:tcPr>
              <w:p>
                <w:pPr>
                  <w:widowControl w:val="0"/>
                  <w:ind w:left="360"/>
                  <w:rPr>
                    <w:sz w:val="14"/>
                  </w:rPr>
                </w:pPr>
                <w:r>
                  <w:rPr>
                    <w:sz w:val="14"/>
                  </w:rPr>
                  <w:t>Pagal indikacijas</w:t>
                </w:r>
              </w:p>
              <w:p>
                <w:pPr>
                  <w:widowControl w:val="0"/>
                  <w:ind w:left="360"/>
                  <w:rPr>
                    <w:sz w:val="14"/>
                  </w:rPr>
                </w:pPr>
                <w:r>
                  <w:rPr>
                    <w:sz w:val="14"/>
                  </w:rPr>
                  <w:t>Akušeris-ginekologas, kiti specialistai – pagal indikacijas</w:t>
                </w:r>
              </w:p>
            </w:tc>
            <w:tc>
              <w:tcPr>
                <w:tcW w:w="3303" w:type="dxa"/>
                <w:tcBorders>
                  <w:bottom w:val="single" w:sz="4" w:space="0" w:color="auto"/>
                </w:tcBorders>
                <w:shd w:val="clear" w:color="auto" w:fill="auto"/>
              </w:tcPr>
              <w:p>
                <w:pPr>
                  <w:widowControl w:val="0"/>
                  <w:ind w:left="360"/>
                  <w:rPr>
                    <w:sz w:val="14"/>
                  </w:rPr>
                </w:pPr>
                <w:r>
                  <w:rPr>
                    <w:sz w:val="14"/>
                  </w:rPr>
                  <w:t>Atvykusių savo noru profilaktinių sveikatos tikrinimų (1.13.3 punktas), jei teisės aktai nenumato kitaip, periodiškumą, siuntimą atlikti tyrimus ir konsultuotis nustato pirminės sveikatos priežiūros paslaugas teikiantis gydytojas (bendrosios praktikos gydytojas ar apylinkės terapeutas, pediatras).</w:t>
                </w:r>
              </w:p>
            </w:tc>
          </w:tr>
        </w:tbl>
        <w:p>
          <w:pPr>
            <w:widowControl w:val="0"/>
            <w:tabs>
              <w:tab w:val="left" w:pos="1304"/>
              <w:tab w:val="left" w:pos="2778"/>
              <w:tab w:val="left" w:pos="4876"/>
              <w:tab w:val="left" w:pos="6860"/>
            </w:tabs>
            <w:ind w:left="1069"/>
            <w:rPr>
              <w:color w:val="000000"/>
            </w:rPr>
          </w:pPr>
        </w:p>
        <w:sdt>
          <w:sdtPr>
            <w:alias w:val="17 pr. 1 p."/>
            <w:tag w:val="part_8968eaa6cd5045f09329620d6ea9d1ff"/>
            <w:lock w:val="sdtLocked"/>
            <w:richText/>
          </w:sdtPr>
          <w:sdtContent>
            <w:p>
              <w:pPr>
                <w:widowControl w:val="0"/>
                <w:ind w:firstLine="720"/>
                <w:jc w:val="both"/>
                <w:rPr>
                  <w:color w:val="000000"/>
                </w:rPr>
              </w:pPr>
              <w:sdt>
                <w:sdtPr>
                  <w:alias w:val="Numeris"/>
                  <w:tag w:val="nr_8968eaa6cd5045f09329620d6ea9d1ff"/>
                  <w:lock w:val="sdtLocked"/>
                  <w:richText/>
                </w:sdtPr>
                <w:sdtContent>
                  <w:r>
                    <w:rPr>
                      <w:color w:val="000000"/>
                    </w:rPr>
                    <w:t>1</w:t>
                  </w:r>
                </w:sdtContent>
              </w:sdt>
              <w:r>
                <w:rPr>
                  <w:color w:val="000000"/>
                </w:rPr>
                <w:t>. Informacija apie tyrimų rezultatus yra konfidenciali, pateikiama tik sveikatą pasitikrinusiam asmeniui.</w:t>
              </w:r>
            </w:p>
          </w:sdtContent>
        </w:sdt>
        <w:sdt>
          <w:sdtPr>
            <w:alias w:val="17 pr. 2 p."/>
            <w:tag w:val="part_4196ae8d5fba4079b5f1fc78144a4f50"/>
            <w:lock w:val="sdtLocked"/>
            <w:richText/>
          </w:sdtPr>
          <w:sdtContent>
            <w:p>
              <w:pPr>
                <w:widowControl w:val="0"/>
                <w:ind w:firstLine="720"/>
                <w:jc w:val="both"/>
                <w:rPr>
                  <w:color w:val="000000"/>
                </w:rPr>
              </w:pPr>
              <w:sdt>
                <w:sdtPr>
                  <w:alias w:val="Numeris"/>
                  <w:tag w:val="nr_4196ae8d5fba4079b5f1fc78144a4f50"/>
                  <w:lock w:val="sdtLocked"/>
                  <w:richText/>
                </w:sdtPr>
                <w:sdtContent>
                  <w:r>
                    <w:rPr>
                      <w:color w:val="000000"/>
                    </w:rPr>
                    <w:t>2</w:t>
                  </w:r>
                </w:sdtContent>
              </w:sdt>
              <w:r>
                <w:rPr>
                  <w:color w:val="000000"/>
                </w:rPr>
                <w:t>. Civilinės metrikacijos biurui pateikiama pažyma (F 046/a), informuojanti apie atliktą sveikatos pasitikrinimą (nepateikiant ligos diagnozės ir kitų išvadų).</w:t>
              </w:r>
            </w:p>
            <w:p>
              <w:pPr>
                <w:jc w:val="center"/>
                <w:rPr>
                  <w:color w:val="000000"/>
                </w:rPr>
              </w:pPr>
              <w:r>
                <w:rPr>
                  <w:color w:val="000000"/>
                </w:rPr>
                <w:t>______________</w:t>
              </w:r>
            </w:p>
          </w:sdtContent>
        </w:sdt>
      </w:sdtContent>
    </w:sdt>
    <w:sdt>
      <w:sdtPr>
        <w:alias w:val="18 pr."/>
        <w:tag w:val="part_5e54d77e33034274b5a0d0ae5cf9bfe2"/>
        <w:lock w:val="sdtLocked"/>
        <w:richText/>
      </w:sdtPr>
      <w:sdtContent>
        <w:p>
          <w:pPr>
            <w:shd w:val="clear" w:color="000000" w:fill="au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60" w:firstLine="4204"/>
            <w:sectPr>
              <w:pgSz w:w="11907" w:h="16839"/>
              <w:pgMar w:top="1134" w:right="567" w:bottom="1134" w:left="1701" w:header="567" w:footer="567" w:gutter="0"/>
              <w:cols w:space="1296"/>
              <w:titlePg/>
              <w:docGrid w:linePitch="360"/>
            </w:sectPr>
          </w:pPr>
        </w:p>
        <w:p>
          <w:pPr>
            <w:shd w:val="clear" w:color="000000" w:fill="au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580"/>
            <w:rPr>
              <w:szCs w:val="24"/>
              <w:lang w:eastAsia="lt-LT"/>
            </w:rPr>
          </w:pPr>
          <w:r>
            <w:rPr>
              <w:szCs w:val="24"/>
              <w:lang w:eastAsia="lt-LT"/>
            </w:rPr>
            <w:t>PATVIRTINTA</w:t>
          </w:r>
        </w:p>
        <w:p>
          <w:pPr>
            <w:shd w:val="clear" w:color="000000" w:fill="au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580"/>
            <w:rPr>
              <w:szCs w:val="24"/>
              <w:lang w:eastAsia="lt-LT"/>
            </w:rPr>
          </w:pPr>
          <w:r>
            <w:rPr>
              <w:szCs w:val="24"/>
              <w:lang w:eastAsia="lt-LT"/>
            </w:rPr>
            <w:t>Lietuvos Respublikos</w:t>
          </w:r>
        </w:p>
        <w:p>
          <w:pPr>
            <w:shd w:val="clear" w:color="000000" w:fill="au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580"/>
            <w:rPr>
              <w:szCs w:val="24"/>
              <w:lang w:eastAsia="lt-LT"/>
            </w:rPr>
          </w:pPr>
          <w:r>
            <w:rPr>
              <w:szCs w:val="24"/>
              <w:lang w:eastAsia="lt-LT"/>
            </w:rPr>
            <w:t>sveikatos apsaugos ministro</w:t>
          </w:r>
        </w:p>
        <w:p>
          <w:pPr>
            <w:shd w:val="clear" w:color="000000" w:fill="au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580"/>
            <w:rPr>
              <w:szCs w:val="24"/>
              <w:lang w:eastAsia="lt-LT"/>
            </w:rPr>
          </w:pPr>
          <w:r>
            <w:rPr>
              <w:szCs w:val="24"/>
              <w:lang w:eastAsia="lt-LT"/>
            </w:rPr>
            <w:t>2000 m. gegužės 31d. įsakymu Nr. 301</w:t>
          </w:r>
        </w:p>
        <w:p>
          <w:pPr>
            <w:shd w:val="clear" w:color="000000" w:fill="au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580"/>
            <w:rPr>
              <w:szCs w:val="24"/>
              <w:lang w:eastAsia="lt-LT"/>
            </w:rPr>
          </w:pPr>
          <w:r>
            <w:rPr>
              <w:szCs w:val="24"/>
              <w:lang w:eastAsia="lt-LT"/>
            </w:rPr>
            <w:t xml:space="preserve">(Lietuvos Respublikos </w:t>
          </w:r>
        </w:p>
        <w:p>
          <w:pPr>
            <w:shd w:val="clear" w:color="000000" w:fill="au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580"/>
            <w:rPr>
              <w:szCs w:val="24"/>
              <w:lang w:eastAsia="lt-LT"/>
            </w:rPr>
          </w:pPr>
          <w:r>
            <w:rPr>
              <w:szCs w:val="24"/>
              <w:lang w:eastAsia="lt-LT"/>
            </w:rPr>
            <w:t>sveikatos apsaugos ministro</w:t>
          </w:r>
        </w:p>
        <w:p>
          <w:pPr>
            <w:shd w:val="clear" w:color="000000" w:fill="au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580"/>
            <w:rPr>
              <w:szCs w:val="24"/>
              <w:lang w:eastAsia="lt-LT"/>
            </w:rPr>
          </w:pPr>
          <w:r>
            <w:rPr>
              <w:szCs w:val="24"/>
              <w:lang w:eastAsia="lt-LT"/>
            </w:rPr>
            <w:t xml:space="preserve">2014 m. gruodžio 22 d. įsakymo </w:t>
          </w:r>
        </w:p>
        <w:p>
          <w:pPr>
            <w:shd w:val="clear" w:color="000000" w:fill="au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580"/>
            <w:rPr>
              <w:szCs w:val="24"/>
              <w:lang w:eastAsia="lt-LT"/>
            </w:rPr>
          </w:pPr>
          <w:r>
            <w:rPr>
              <w:szCs w:val="24"/>
              <w:lang w:eastAsia="lt-LT"/>
            </w:rPr>
            <w:t xml:space="preserve">Nr. V-1393 redakcija) </w:t>
          </w:r>
          <w:sdt>
            <w:sdtPr>
              <w:alias w:val="Numeris"/>
              <w:tag w:val="nr_5e54d77e33034274b5a0d0ae5cf9bfe2"/>
              <w:lock w:val="sdtLocked"/>
              <w:richText/>
            </w:sdtPr>
            <w:sdtContent>
              <w:r>
                <w:rPr>
                  <w:szCs w:val="24"/>
                  <w:lang w:eastAsia="lt-LT"/>
                </w:rPr>
                <w:t>18</w:t>
              </w:r>
            </w:sdtContent>
          </w:sdt>
          <w:r>
            <w:rPr>
              <w:szCs w:val="24"/>
              <w:lang w:eastAsia="lt-LT"/>
            </w:rPr>
            <w:t xml:space="preserve"> priedas</w:t>
          </w:r>
        </w:p>
        <w:p>
          <w:pPr>
            <w:shd w:val="clear" w:color="000000" w:fill="au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60"/>
            <w:rPr>
              <w:szCs w:val="24"/>
              <w:lang w:eastAsia="lt-LT"/>
            </w:rPr>
          </w:pPr>
        </w:p>
        <w:p>
          <w:pPr>
            <w:shd w:val="clear" w:color="000000" w:fill="au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16"/>
            <w:jc w:val="center"/>
            <w:rPr>
              <w:b/>
              <w:szCs w:val="24"/>
              <w:lang w:eastAsia="lt-LT"/>
            </w:rPr>
          </w:pPr>
          <w:sdt>
            <w:sdtPr>
              <w:alias w:val="Pavadinimas"/>
              <w:tag w:val="title_5e54d77e33034274b5a0d0ae5cf9bfe2"/>
              <w:lock w:val="sdtLocked"/>
              <w:richText/>
            </w:sdtPr>
            <w:sdtContent>
              <w:r>
                <w:rPr>
                  <w:b/>
                  <w:szCs w:val="24"/>
                  <w:lang w:eastAsia="lt-LT"/>
                </w:rPr>
                <w:t>PROFILAKTINIŲ SVEIKATOS TIKRINIMŲ KAINOS IR GYDYTOJŲ SPECIALISTŲ, TEIKIANČIŲ PROFILAKTINIŲ SVEIKATOS TIKRINIMŲ PASLAUGAS, APMOKAMAS IŠ PRIVALOMOJO SVEIKATOS DRAUDIMO FONDO BIUDŽETO, PASLAUGŲ KAINOS</w:t>
              </w:r>
            </w:sdtContent>
          </w:sdt>
        </w:p>
        <w:p>
          <w:pPr>
            <w:shd w:val="clear" w:color="000000" w:fill="au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Cs w:val="24"/>
              <w:lang w:eastAsia="lt-LT"/>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
          <w:sdtPr>
            <w:alias w:val="skyrius"/>
            <w:tag w:val="part_da7537f004654b40b74594c1c11422d0"/>
            <w:lock w:val="sdtLocked"/>
            <w:richText/>
          </w:sdtPr>
          <w:sdtContent>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Cs w:val="24"/>
                  <w:lang w:eastAsia="lt-LT"/>
                </w:rPr>
              </w:pPr>
              <w:sdt>
                <w:sdtPr>
                  <w:alias w:val="Numeris"/>
                  <w:tag w:val="nr_da7537f004654b40b74594c1c11422d0"/>
                  <w:lock w:val="sdtLocked"/>
                  <w:richText/>
                </w:sdtPr>
                <w:sdtContent>
                  <w:r>
                    <w:rPr>
                      <w:b/>
                      <w:szCs w:val="24"/>
                      <w:lang w:eastAsia="lt-LT"/>
                    </w:rPr>
                    <w:t>I</w:t>
                  </w:r>
                </w:sdtContent>
              </w:sdt>
              <w:r>
                <w:rPr>
                  <w:b/>
                  <w:szCs w:val="24"/>
                  <w:lang w:eastAsia="lt-LT"/>
                </w:rPr>
                <w:t xml:space="preserve"> SKYRIUS </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Cs w:val="24"/>
                  <w:lang w:eastAsia="lt-LT"/>
                </w:rPr>
              </w:pPr>
              <w:sdt>
                <w:sdtPr>
                  <w:alias w:val="Pavadinimas"/>
                  <w:tag w:val="title_da7537f004654b40b74594c1c11422d0"/>
                  <w:lock w:val="sdtLocked"/>
                  <w:richText/>
                </w:sdtPr>
                <w:sdtContent>
                  <w:r>
                    <w:rPr>
                      <w:b/>
                      <w:szCs w:val="24"/>
                      <w:lang w:eastAsia="lt-LT"/>
                    </w:rPr>
                    <w:t>PROFILAKTINIŲ SVEIKATOS TIKRINIMŲ, UŽ KURIUOS MOKA PATS DARBUOTOJAS, DARBDAVYS AR KITI ASMENYS, KAINOS</w:t>
                  </w:r>
                </w:sdtContent>
              </w:sdt>
            </w:p>
            <w:p>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Cs w:val="24"/>
                  <w:lang w:eastAsia="lt-LT"/>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5245"/>
                <w:gridCol w:w="1559"/>
                <w:gridCol w:w="1242"/>
              </w:tblGrid>
              <w:tr>
                <w:tc>
                  <w:tcPr>
                    <w:tcW w:w="992" w:type="dxa"/>
                    <w:vMerge w:val="restart"/>
                    <w:vAlign w:val="center"/>
                  </w:tcPr>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108" w:right="-113" w:hanging="5"/>
                      <w:jc w:val="center"/>
                      <w:rPr>
                        <w:b/>
                        <w:color w:val="000000"/>
                        <w:szCs w:val="24"/>
                        <w:lang w:eastAsia="lt-LT"/>
                      </w:rPr>
                    </w:pPr>
                    <w:r>
                      <w:rPr>
                        <w:b/>
                        <w:color w:val="000000"/>
                        <w:szCs w:val="24"/>
                        <w:lang w:eastAsia="lt-LT"/>
                      </w:rPr>
                      <w:t>Eil. Nr.</w:t>
                    </w:r>
                  </w:p>
                </w:tc>
                <w:tc>
                  <w:tcPr>
                    <w:tcW w:w="5245" w:type="dxa"/>
                    <w:vMerge w:val="restart"/>
                    <w:vAlign w:val="center"/>
                  </w:tcPr>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right="-108"/>
                      <w:jc w:val="center"/>
                      <w:rPr>
                        <w:b/>
                        <w:color w:val="000000"/>
                        <w:szCs w:val="24"/>
                        <w:lang w:eastAsia="lt-LT"/>
                      </w:rPr>
                    </w:pPr>
                    <w:r>
                      <w:rPr>
                        <w:b/>
                        <w:szCs w:val="24"/>
                        <w:lang w:eastAsia="lt-LT"/>
                      </w:rPr>
                      <w:t>Profilaktinių sveikatos tikrinimų rūšys</w:t>
                    </w:r>
                  </w:p>
                </w:tc>
                <w:tc>
                  <w:tcPr>
                    <w:tcW w:w="2801" w:type="dxa"/>
                    <w:gridSpan w:val="2"/>
                    <w:tcBorders>
                      <w:bottom w:val="single" w:sz="4" w:space="0" w:color="auto"/>
                    </w:tcBorders>
                    <w:vAlign w:val="center"/>
                  </w:tcPr>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szCs w:val="24"/>
                        <w:lang w:eastAsia="lt-LT"/>
                      </w:rPr>
                    </w:pPr>
                    <w:r>
                      <w:rPr>
                        <w:b/>
                        <w:szCs w:val="24"/>
                        <w:lang w:eastAsia="lt-LT"/>
                      </w:rPr>
                      <w:t>Kaina (eurais)</w:t>
                    </w:r>
                  </w:p>
                </w:tc>
              </w:tr>
              <w:tr>
                <w:trPr>
                  <w:trHeight w:val="351"/>
                </w:trPr>
                <w:tc>
                  <w:tcPr>
                    <w:tcW w:w="992" w:type="dxa"/>
                    <w:vMerge/>
                    <w:tcBorders>
                      <w:bottom w:val="single" w:sz="4" w:space="0" w:color="auto"/>
                    </w:tcBorders>
                  </w:tcPr>
                  <w:p>
                    <w:pPr>
                      <w:tabs>
                        <w:tab w:val="left" w:pos="916"/>
                      </w:tabs>
                      <w:spacing w:line="276" w:lineRule="auto"/>
                      <w:rPr>
                        <w:b/>
                        <w:color w:val="000000"/>
                        <w:szCs w:val="24"/>
                      </w:rPr>
                    </w:pPr>
                  </w:p>
                </w:tc>
                <w:tc>
                  <w:tcPr>
                    <w:tcW w:w="5245" w:type="dxa"/>
                    <w:vMerge/>
                    <w:tcBorders>
                      <w:bottom w:val="single" w:sz="4" w:space="0" w:color="auto"/>
                    </w:tcBorders>
                  </w:tcPr>
                  <w:p>
                    <w:pPr>
                      <w:tabs>
                        <w:tab w:val="left" w:pos="916"/>
                      </w:tabs>
                      <w:spacing w:line="276" w:lineRule="auto"/>
                      <w:rPr>
                        <w:b/>
                        <w:szCs w:val="24"/>
                        <w:lang w:eastAsia="lt-LT"/>
                      </w:rPr>
                    </w:pPr>
                  </w:p>
                </w:tc>
                <w:tc>
                  <w:tcPr>
                    <w:tcW w:w="1559" w:type="dxa"/>
                    <w:tcBorders>
                      <w:top w:val="single" w:sz="4" w:space="0" w:color="auto"/>
                      <w:bottom w:val="single" w:sz="4" w:space="0" w:color="auto"/>
                      <w:right w:val="single" w:sz="4" w:space="0" w:color="auto"/>
                    </w:tcBorders>
                  </w:tcPr>
                  <w:p>
                    <w:pPr>
                      <w:tabs>
                        <w:tab w:val="left" w:pos="33"/>
                      </w:tabs>
                      <w:spacing w:line="276" w:lineRule="auto"/>
                      <w:ind w:firstLine="33"/>
                      <w:jc w:val="center"/>
                      <w:rPr>
                        <w:b/>
                        <w:color w:val="000000"/>
                        <w:szCs w:val="24"/>
                      </w:rPr>
                    </w:pPr>
                    <w:r>
                      <w:rPr>
                        <w:b/>
                        <w:color w:val="000000"/>
                        <w:szCs w:val="24"/>
                      </w:rPr>
                      <w:t>įsidarbinant</w:t>
                    </w:r>
                  </w:p>
                </w:tc>
                <w:tc>
                  <w:tcPr>
                    <w:tcW w:w="1242" w:type="dxa"/>
                    <w:tcBorders>
                      <w:top w:val="single" w:sz="4" w:space="0" w:color="auto"/>
                      <w:left w:val="single" w:sz="4" w:space="0" w:color="auto"/>
                      <w:bottom w:val="single" w:sz="4" w:space="0" w:color="auto"/>
                      <w:right w:val="single" w:sz="4" w:space="0" w:color="auto"/>
                    </w:tcBorders>
                  </w:tcPr>
                  <w:p>
                    <w:pPr>
                      <w:tabs>
                        <w:tab w:val="left" w:pos="0"/>
                      </w:tabs>
                      <w:spacing w:line="276" w:lineRule="auto"/>
                      <w:jc w:val="center"/>
                      <w:rPr>
                        <w:b/>
                        <w:color w:val="000000"/>
                        <w:szCs w:val="24"/>
                      </w:rPr>
                    </w:pPr>
                    <w:r>
                      <w:rPr>
                        <w:b/>
                        <w:szCs w:val="24"/>
                        <w:lang w:eastAsia="lt-LT"/>
                      </w:rPr>
                      <w:t>dirbant</w:t>
                    </w:r>
                  </w:p>
                </w:tc>
              </w:tr>
              <w:tr>
                <w:trPr>
                  <w:trHeight w:val="173"/>
                </w:trPr>
                <w:tc>
                  <w:tcPr>
                    <w:tcW w:w="992" w:type="dxa"/>
                    <w:tcBorders>
                      <w:top w:val="single" w:sz="4" w:space="0" w:color="auto"/>
                      <w:left w:val="single" w:sz="4" w:space="0" w:color="auto"/>
                      <w:bottom w:val="single" w:sz="4" w:space="0" w:color="auto"/>
                      <w:right w:val="single" w:sz="4" w:space="0" w:color="auto"/>
                    </w:tcBorders>
                  </w:tcPr>
                  <w:p>
                    <w:pPr>
                      <w:tabs>
                        <w:tab w:val="left" w:pos="916"/>
                      </w:tabs>
                      <w:spacing w:line="276" w:lineRule="auto"/>
                      <w:jc w:val="center"/>
                      <w:rPr>
                        <w:color w:val="000000"/>
                        <w:szCs w:val="24"/>
                      </w:rPr>
                    </w:pPr>
                    <w:r>
                      <w:rPr>
                        <w:color w:val="000000"/>
                        <w:szCs w:val="24"/>
                      </w:rPr>
                      <w:t>1</w:t>
                    </w:r>
                  </w:p>
                </w:tc>
                <w:tc>
                  <w:tcPr>
                    <w:tcW w:w="5245" w:type="dxa"/>
                    <w:tcBorders>
                      <w:top w:val="single" w:sz="4" w:space="0" w:color="auto"/>
                      <w:left w:val="single" w:sz="4" w:space="0" w:color="auto"/>
                      <w:bottom w:val="single" w:sz="4" w:space="0" w:color="auto"/>
                      <w:right w:val="single" w:sz="4" w:space="0" w:color="auto"/>
                    </w:tcBorders>
                  </w:tcPr>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Cs w:val="24"/>
                        <w:lang w:eastAsia="lt-LT"/>
                      </w:rPr>
                    </w:pPr>
                    <w:r>
                      <w:rPr>
                        <w:szCs w:val="24"/>
                        <w:lang w:eastAsia="lt-LT"/>
                      </w:rPr>
                      <w:t>2</w:t>
                    </w:r>
                  </w:p>
                </w:tc>
                <w:tc>
                  <w:tcPr>
                    <w:tcW w:w="1559" w:type="dxa"/>
                    <w:tcBorders>
                      <w:top w:val="single" w:sz="4" w:space="0" w:color="auto"/>
                      <w:left w:val="single" w:sz="4" w:space="0" w:color="auto"/>
                      <w:bottom w:val="single" w:sz="4" w:space="0" w:color="auto"/>
                      <w:right w:val="single" w:sz="4" w:space="0" w:color="auto"/>
                    </w:tcBorders>
                    <w:vAlign w:val="center"/>
                  </w:tcPr>
                  <w:p>
                    <w:pPr>
                      <w:tabs>
                        <w:tab w:val="left" w:pos="916"/>
                      </w:tabs>
                      <w:spacing w:line="276" w:lineRule="auto"/>
                      <w:jc w:val="center"/>
                      <w:rPr>
                        <w:szCs w:val="24"/>
                        <w:lang w:eastAsia="lt-LT"/>
                      </w:rPr>
                    </w:pPr>
                    <w:r>
                      <w:rPr>
                        <w:szCs w:val="24"/>
                        <w:lang w:eastAsia="lt-LT"/>
                      </w:rPr>
                      <w:t>3</w:t>
                    </w:r>
                  </w:p>
                </w:tc>
                <w:tc>
                  <w:tcPr>
                    <w:tcW w:w="1242" w:type="dxa"/>
                    <w:tcBorders>
                      <w:top w:val="single" w:sz="4" w:space="0" w:color="auto"/>
                      <w:left w:val="single" w:sz="4" w:space="0" w:color="auto"/>
                      <w:bottom w:val="single" w:sz="4" w:space="0" w:color="auto"/>
                      <w:right w:val="single" w:sz="4" w:space="0" w:color="auto"/>
                    </w:tcBorders>
                    <w:vAlign w:val="bottom"/>
                  </w:tcPr>
                  <w:p>
                    <w:pPr>
                      <w:tabs>
                        <w:tab w:val="left" w:pos="916"/>
                      </w:tabs>
                      <w:spacing w:line="276" w:lineRule="auto"/>
                      <w:jc w:val="center"/>
                      <w:rPr>
                        <w:strike/>
                        <w:szCs w:val="24"/>
                        <w:lang w:eastAsia="lt-LT"/>
                      </w:rPr>
                    </w:pPr>
                    <w:r>
                      <w:rPr>
                        <w:strike/>
                        <w:szCs w:val="24"/>
                        <w:lang w:eastAsia="lt-LT"/>
                      </w:rPr>
                      <w:t>4</w:t>
                    </w:r>
                  </w:p>
                </w:tc>
              </w:tr>
              <w:tr>
                <w:tc>
                  <w:tcPr>
                    <w:tcW w:w="992" w:type="dxa"/>
                  </w:tcPr>
                  <w:p>
                    <w:pPr>
                      <w:tabs>
                        <w:tab w:val="left" w:pos="916"/>
                      </w:tabs>
                      <w:spacing w:line="276" w:lineRule="auto"/>
                      <w:rPr>
                        <w:color w:val="000000"/>
                        <w:szCs w:val="24"/>
                      </w:rPr>
                    </w:pPr>
                    <w:r>
                      <w:rPr>
                        <w:color w:val="000000"/>
                        <w:szCs w:val="24"/>
                      </w:rPr>
                      <w:t>1.</w:t>
                    </w:r>
                  </w:p>
                </w:tc>
                <w:tc>
                  <w:tcPr>
                    <w:tcW w:w="5245" w:type="dxa"/>
                  </w:tcPr>
                  <w:p>
                    <w:pPr>
                      <w:tabs>
                        <w:tab w:val="left" w:pos="916"/>
                      </w:tabs>
                      <w:spacing w:line="276" w:lineRule="auto"/>
                      <w:rPr>
                        <w:color w:val="000000"/>
                        <w:szCs w:val="24"/>
                      </w:rPr>
                    </w:pPr>
                    <w:r>
                      <w:rPr>
                        <w:szCs w:val="24"/>
                        <w:lang w:eastAsia="lt-LT"/>
                      </w:rPr>
                      <w:t>Jūrininkų ir vidaus vandenų transporto specialistų bei motorinių pramoginių laivų ir kitų motorinių plaukiojimo priemonių laivavedžių</w:t>
                    </w:r>
                  </w:p>
                </w:tc>
                <w:tc>
                  <w:tcPr>
                    <w:tcW w:w="1559" w:type="dxa"/>
                  </w:tcPr>
                  <w:p>
                    <w:pPr>
                      <w:tabs>
                        <w:tab w:val="left" w:pos="916"/>
                      </w:tabs>
                      <w:spacing w:line="276" w:lineRule="auto"/>
                      <w:jc w:val="center"/>
                      <w:rPr>
                        <w:strike/>
                        <w:color w:val="000000"/>
                        <w:szCs w:val="24"/>
                      </w:rPr>
                    </w:pPr>
                    <w:r>
                      <w:rPr>
                        <w:szCs w:val="24"/>
                        <w:lang w:eastAsia="lt-LT"/>
                      </w:rPr>
                      <w:t>28,71</w:t>
                    </w:r>
                  </w:p>
                </w:tc>
                <w:tc>
                  <w:tcPr>
                    <w:tcW w:w="1242" w:type="dxa"/>
                  </w:tcPr>
                  <w:p>
                    <w:pPr>
                      <w:tabs>
                        <w:tab w:val="left" w:pos="916"/>
                      </w:tabs>
                      <w:spacing w:line="276" w:lineRule="auto"/>
                      <w:jc w:val="center"/>
                      <w:rPr>
                        <w:strike/>
                        <w:color w:val="000000"/>
                        <w:szCs w:val="24"/>
                      </w:rPr>
                    </w:pPr>
                    <w:r>
                      <w:rPr>
                        <w:szCs w:val="24"/>
                        <w:lang w:eastAsia="lt-LT"/>
                      </w:rPr>
                      <w:t>43,3</w:t>
                    </w:r>
                  </w:p>
                </w:tc>
              </w:tr>
              <w:tr>
                <w:trPr>
                  <w:trHeight w:val="300"/>
                </w:trPr>
                <w:tc>
                  <w:tcPr>
                    <w:tcW w:w="992" w:type="dxa"/>
                  </w:tcPr>
                  <w:p>
                    <w:pPr>
                      <w:tabs>
                        <w:tab w:val="left" w:pos="916"/>
                      </w:tabs>
                      <w:spacing w:line="276" w:lineRule="auto"/>
                      <w:rPr>
                        <w:strike/>
                        <w:color w:val="000000"/>
                        <w:szCs w:val="24"/>
                        <w:lang w:eastAsia="lt-LT"/>
                      </w:rPr>
                    </w:pPr>
                    <w:r>
                      <w:rPr>
                        <w:color w:val="000000"/>
                        <w:szCs w:val="24"/>
                        <w:lang w:eastAsia="lt-LT"/>
                      </w:rPr>
                      <w:t>2.</w:t>
                    </w:r>
                  </w:p>
                </w:tc>
                <w:tc>
                  <w:tcPr>
                    <w:tcW w:w="5245" w:type="dxa"/>
                  </w:tcPr>
                  <w:p>
                    <w:pPr>
                      <w:tabs>
                        <w:tab w:val="left" w:pos="916"/>
                      </w:tabs>
                      <w:spacing w:line="276" w:lineRule="auto"/>
                      <w:rPr>
                        <w:color w:val="000000"/>
                        <w:szCs w:val="24"/>
                        <w:lang w:eastAsia="lt-LT"/>
                      </w:rPr>
                    </w:pPr>
                    <w:r>
                      <w:rPr>
                        <w:szCs w:val="24"/>
                        <w:lang w:eastAsia="lt-LT"/>
                      </w:rPr>
                      <w:t>Traukinio mašinistų ir darbuotojų, kurių darbas susijęs su geležinkelių transporto eismu</w:t>
                    </w:r>
                  </w:p>
                </w:tc>
                <w:tc>
                  <w:tcPr>
                    <w:tcW w:w="1559" w:type="dxa"/>
                    <w:noWrap/>
                  </w:tcPr>
                  <w:p>
                    <w:pPr>
                      <w:tabs>
                        <w:tab w:val="left" w:pos="916"/>
                      </w:tabs>
                      <w:spacing w:line="276" w:lineRule="auto"/>
                      <w:jc w:val="center"/>
                      <w:rPr>
                        <w:strike/>
                        <w:color w:val="000000"/>
                        <w:szCs w:val="24"/>
                        <w:lang w:eastAsia="lt-LT"/>
                      </w:rPr>
                    </w:pPr>
                    <w:r>
                      <w:rPr>
                        <w:szCs w:val="24"/>
                        <w:lang w:eastAsia="lt-LT"/>
                      </w:rPr>
                      <w:t>5,35</w:t>
                    </w:r>
                  </w:p>
                </w:tc>
                <w:tc>
                  <w:tcPr>
                    <w:tcW w:w="1242" w:type="dxa"/>
                    <w:noWrap/>
                  </w:tcPr>
                  <w:p>
                    <w:pPr>
                      <w:tabs>
                        <w:tab w:val="left" w:pos="916"/>
                      </w:tabs>
                      <w:spacing w:line="276" w:lineRule="auto"/>
                      <w:jc w:val="center"/>
                      <w:rPr>
                        <w:strike/>
                        <w:color w:val="000000"/>
                        <w:szCs w:val="24"/>
                        <w:lang w:eastAsia="lt-LT"/>
                      </w:rPr>
                    </w:pPr>
                    <w:r>
                      <w:rPr>
                        <w:szCs w:val="24"/>
                        <w:lang w:eastAsia="lt-LT"/>
                      </w:rPr>
                      <w:t>13,14</w:t>
                    </w:r>
                  </w:p>
                </w:tc>
              </w:tr>
              <w:tr>
                <w:trPr>
                  <w:trHeight w:val="263"/>
                </w:trPr>
                <w:tc>
                  <w:tcPr>
                    <w:tcW w:w="992" w:type="dxa"/>
                  </w:tcPr>
                  <w:p>
                    <w:pPr>
                      <w:tabs>
                        <w:tab w:val="left" w:pos="916"/>
                      </w:tabs>
                      <w:spacing w:line="276" w:lineRule="auto"/>
                      <w:rPr>
                        <w:strike/>
                        <w:color w:val="000000"/>
                        <w:szCs w:val="24"/>
                      </w:rPr>
                    </w:pPr>
                    <w:r>
                      <w:rPr>
                        <w:color w:val="000000"/>
                        <w:szCs w:val="24"/>
                      </w:rPr>
                      <w:t>3.</w:t>
                    </w:r>
                    <w:r>
                      <w:rPr>
                        <w:strike/>
                        <w:color w:val="000000"/>
                        <w:szCs w:val="24"/>
                      </w:rPr>
                      <w:t xml:space="preserve"> </w:t>
                    </w:r>
                  </w:p>
                </w:tc>
                <w:tc>
                  <w:tcPr>
                    <w:tcW w:w="5245" w:type="dxa"/>
                  </w:tcPr>
                  <w:p>
                    <w:pPr>
                      <w:tabs>
                        <w:tab w:val="left" w:pos="916"/>
                      </w:tabs>
                      <w:spacing w:line="276" w:lineRule="auto"/>
                      <w:rPr>
                        <w:color w:val="000000"/>
                        <w:szCs w:val="24"/>
                      </w:rPr>
                    </w:pPr>
                    <w:r>
                      <w:rPr>
                        <w:szCs w:val="24"/>
                        <w:lang w:eastAsia="lt-LT"/>
                      </w:rPr>
                      <w:t>Aviacijos darbuotojų</w:t>
                    </w:r>
                  </w:p>
                </w:tc>
                <w:tc>
                  <w:tcPr>
                    <w:tcW w:w="1559" w:type="dxa"/>
                  </w:tcPr>
                  <w:p>
                    <w:pPr>
                      <w:tabs>
                        <w:tab w:val="left" w:pos="916"/>
                      </w:tabs>
                      <w:spacing w:line="276" w:lineRule="auto"/>
                      <w:jc w:val="center"/>
                      <w:rPr>
                        <w:strike/>
                        <w:color w:val="000000"/>
                        <w:szCs w:val="24"/>
                      </w:rPr>
                    </w:pPr>
                    <w:r>
                      <w:rPr>
                        <w:szCs w:val="24"/>
                        <w:lang w:eastAsia="lt-LT"/>
                      </w:rPr>
                      <w:t>77,85</w:t>
                    </w:r>
                  </w:p>
                </w:tc>
                <w:tc>
                  <w:tcPr>
                    <w:tcW w:w="1242" w:type="dxa"/>
                  </w:tcPr>
                  <w:p>
                    <w:pPr>
                      <w:tabs>
                        <w:tab w:val="left" w:pos="916"/>
                      </w:tabs>
                      <w:spacing w:line="276" w:lineRule="auto"/>
                      <w:jc w:val="center"/>
                      <w:rPr>
                        <w:color w:val="000000"/>
                        <w:szCs w:val="24"/>
                      </w:rPr>
                    </w:pPr>
                    <w:r>
                      <w:rPr>
                        <w:szCs w:val="24"/>
                        <w:lang w:eastAsia="lt-LT"/>
                      </w:rPr>
                      <w:t xml:space="preserve">101,69*/  46,22*</w:t>
                    </w:r>
                  </w:p>
                </w:tc>
              </w:tr>
              <w:tr>
                <w:trPr>
                  <w:trHeight w:val="351"/>
                </w:trPr>
                <w:tc>
                  <w:tcPr>
                    <w:tcW w:w="992" w:type="dxa"/>
                    <w:tcBorders>
                      <w:top w:val="single" w:sz="4" w:space="0" w:color="auto"/>
                      <w:left w:val="single" w:sz="4" w:space="0" w:color="auto"/>
                      <w:bottom w:val="single" w:sz="4" w:space="0" w:color="auto"/>
                      <w:right w:val="single" w:sz="4" w:space="0" w:color="auto"/>
                    </w:tcBorders>
                  </w:tcPr>
                  <w:p>
                    <w:pPr>
                      <w:tabs>
                        <w:tab w:val="left" w:pos="916"/>
                      </w:tabs>
                      <w:spacing w:line="276" w:lineRule="auto"/>
                      <w:rPr>
                        <w:color w:val="000000"/>
                        <w:szCs w:val="24"/>
                      </w:rPr>
                    </w:pPr>
                    <w:r>
                      <w:rPr>
                        <w:color w:val="000000"/>
                        <w:szCs w:val="24"/>
                      </w:rPr>
                      <w:t>4.</w:t>
                    </w:r>
                  </w:p>
                </w:tc>
                <w:tc>
                  <w:tcPr>
                    <w:tcW w:w="5245" w:type="dxa"/>
                    <w:tcBorders>
                      <w:top w:val="single" w:sz="4" w:space="0" w:color="auto"/>
                      <w:left w:val="single" w:sz="4" w:space="0" w:color="auto"/>
                      <w:bottom w:val="single" w:sz="4" w:space="0" w:color="auto"/>
                      <w:right w:val="single" w:sz="4" w:space="0" w:color="auto"/>
                    </w:tcBorders>
                  </w:tcPr>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Cs w:val="24"/>
                        <w:lang w:eastAsia="lt-LT"/>
                      </w:rPr>
                    </w:pPr>
                    <w:r>
                      <w:rPr>
                        <w:szCs w:val="24"/>
                        <w:lang w:eastAsia="lt-LT"/>
                      </w:rPr>
                      <w:t xml:space="preserve">Vairuotojų </w:t>
                    </w:r>
                  </w:p>
                </w:tc>
                <w:tc>
                  <w:tcPr>
                    <w:tcW w:w="1559" w:type="dxa"/>
                    <w:tcBorders>
                      <w:top w:val="single" w:sz="4" w:space="0" w:color="auto"/>
                      <w:left w:val="single" w:sz="4" w:space="0" w:color="auto"/>
                      <w:bottom w:val="single" w:sz="4" w:space="0" w:color="auto"/>
                      <w:right w:val="single" w:sz="4" w:space="0" w:color="auto"/>
                    </w:tcBorders>
                  </w:tcPr>
                  <w:p>
                    <w:pPr>
                      <w:spacing w:line="276" w:lineRule="auto"/>
                      <w:jc w:val="center"/>
                      <w:rPr>
                        <w:szCs w:val="24"/>
                      </w:rPr>
                    </w:pPr>
                    <w:r>
                      <w:rPr>
                        <w:szCs w:val="24"/>
                      </w:rPr>
                      <w:t>17,03</w:t>
                    </w:r>
                  </w:p>
                </w:tc>
                <w:tc>
                  <w:tcPr>
                    <w:tcW w:w="1242" w:type="dxa"/>
                    <w:tcBorders>
                      <w:top w:val="single" w:sz="4" w:space="0" w:color="auto"/>
                      <w:left w:val="single" w:sz="4" w:space="0" w:color="auto"/>
                      <w:bottom w:val="single" w:sz="4" w:space="0" w:color="auto"/>
                      <w:right w:val="single" w:sz="4" w:space="0" w:color="auto"/>
                    </w:tcBorders>
                  </w:tcPr>
                  <w:p>
                    <w:pPr>
                      <w:spacing w:line="276" w:lineRule="auto"/>
                      <w:jc w:val="center"/>
                      <w:rPr>
                        <w:szCs w:val="24"/>
                      </w:rPr>
                    </w:pPr>
                    <w:r>
                      <w:rPr>
                        <w:szCs w:val="24"/>
                      </w:rPr>
                      <w:t>19,46</w:t>
                    </w:r>
                  </w:p>
                </w:tc>
              </w:tr>
              <w:tr>
                <w:trPr>
                  <w:trHeight w:val="300"/>
                </w:trPr>
                <w:tc>
                  <w:tcPr>
                    <w:tcW w:w="992" w:type="dxa"/>
                    <w:tcBorders>
                      <w:top w:val="single" w:sz="4" w:space="0" w:color="auto"/>
                      <w:left w:val="single" w:sz="4" w:space="0" w:color="auto"/>
                      <w:bottom w:val="single" w:sz="4" w:space="0" w:color="auto"/>
                      <w:right w:val="single" w:sz="4" w:space="0" w:color="auto"/>
                    </w:tcBorders>
                  </w:tcPr>
                  <w:p>
                    <w:pPr>
                      <w:tabs>
                        <w:tab w:val="left" w:pos="916"/>
                      </w:tabs>
                      <w:spacing w:line="276" w:lineRule="auto"/>
                      <w:rPr>
                        <w:color w:val="000000"/>
                        <w:szCs w:val="24"/>
                        <w:lang w:eastAsia="lt-LT"/>
                      </w:rPr>
                    </w:pPr>
                    <w:r>
                      <w:rPr>
                        <w:color w:val="000000"/>
                        <w:szCs w:val="24"/>
                        <w:lang w:eastAsia="lt-LT"/>
                      </w:rPr>
                      <w:t>5.</w:t>
                    </w:r>
                  </w:p>
                </w:tc>
                <w:tc>
                  <w:tcPr>
                    <w:tcW w:w="5245" w:type="dxa"/>
                    <w:tcBorders>
                      <w:top w:val="single" w:sz="4" w:space="0" w:color="auto"/>
                      <w:left w:val="single" w:sz="4" w:space="0" w:color="auto"/>
                      <w:bottom w:val="single" w:sz="4" w:space="0" w:color="auto"/>
                      <w:right w:val="single" w:sz="4" w:space="0" w:color="auto"/>
                    </w:tcBorders>
                  </w:tcPr>
                  <w:p>
                    <w:pPr>
                      <w:tabs>
                        <w:tab w:val="left" w:pos="916"/>
                      </w:tabs>
                      <w:spacing w:line="276" w:lineRule="auto"/>
                      <w:rPr>
                        <w:color w:val="000000"/>
                        <w:szCs w:val="24"/>
                        <w:lang w:eastAsia="lt-LT"/>
                      </w:rPr>
                    </w:pPr>
                    <w:r>
                      <w:rPr>
                        <w:szCs w:val="24"/>
                        <w:lang w:eastAsia="lt-LT"/>
                      </w:rPr>
                      <w:t>Asmenų, norinčių pradėti dirbti ar dirbančių galimos profesinės rizikos sąlygomis (veikiant sveikatą kenksmingiems veiksniams ar pavojingus darbus):</w:t>
                    </w:r>
                  </w:p>
                </w:tc>
                <w:tc>
                  <w:tcPr>
                    <w:tcW w:w="1559" w:type="dxa"/>
                    <w:tcBorders>
                      <w:top w:val="single" w:sz="4" w:space="0" w:color="auto"/>
                      <w:left w:val="single" w:sz="4" w:space="0" w:color="auto"/>
                      <w:bottom w:val="single" w:sz="4" w:space="0" w:color="auto"/>
                      <w:right w:val="single" w:sz="4" w:space="0" w:color="auto"/>
                    </w:tcBorders>
                    <w:noWrap/>
                  </w:tcPr>
                  <w:p>
                    <w:pPr>
                      <w:tabs>
                        <w:tab w:val="left" w:pos="916"/>
                      </w:tabs>
                      <w:spacing w:line="276" w:lineRule="auto"/>
                      <w:rPr>
                        <w:color w:val="000000"/>
                        <w:szCs w:val="24"/>
                        <w:lang w:eastAsia="lt-LT"/>
                      </w:rPr>
                    </w:pPr>
                  </w:p>
                </w:tc>
                <w:tc>
                  <w:tcPr>
                    <w:tcW w:w="1242" w:type="dxa"/>
                    <w:tcBorders>
                      <w:top w:val="single" w:sz="4" w:space="0" w:color="auto"/>
                      <w:left w:val="single" w:sz="4" w:space="0" w:color="auto"/>
                      <w:bottom w:val="single" w:sz="4" w:space="0" w:color="auto"/>
                      <w:right w:val="single" w:sz="4" w:space="0" w:color="auto"/>
                    </w:tcBorders>
                    <w:noWrap/>
                  </w:tcPr>
                  <w:p>
                    <w:pPr>
                      <w:tabs>
                        <w:tab w:val="left" w:pos="916"/>
                      </w:tabs>
                      <w:spacing w:line="276" w:lineRule="auto"/>
                      <w:rPr>
                        <w:color w:val="000000"/>
                        <w:szCs w:val="24"/>
                        <w:lang w:eastAsia="lt-LT"/>
                      </w:rPr>
                    </w:pPr>
                  </w:p>
                </w:tc>
              </w:tr>
              <w:tr>
                <w:trPr>
                  <w:trHeight w:val="300"/>
                </w:trPr>
                <w:tc>
                  <w:tcPr>
                    <w:tcW w:w="992" w:type="dxa"/>
                    <w:tcBorders>
                      <w:top w:val="single" w:sz="4" w:space="0" w:color="auto"/>
                      <w:left w:val="single" w:sz="4" w:space="0" w:color="auto"/>
                      <w:bottom w:val="single" w:sz="4" w:space="0" w:color="auto"/>
                      <w:right w:val="single" w:sz="4" w:space="0" w:color="auto"/>
                    </w:tcBorders>
                  </w:tcPr>
                  <w:p>
                    <w:pPr>
                      <w:tabs>
                        <w:tab w:val="left" w:pos="916"/>
                      </w:tabs>
                      <w:spacing w:line="276" w:lineRule="auto"/>
                      <w:rPr>
                        <w:color w:val="000000"/>
                        <w:szCs w:val="24"/>
                        <w:lang w:eastAsia="lt-LT"/>
                      </w:rPr>
                    </w:pPr>
                    <w:r>
                      <w:rPr>
                        <w:color w:val="000000"/>
                        <w:szCs w:val="24"/>
                        <w:lang w:eastAsia="lt-LT"/>
                      </w:rPr>
                      <w:t>5.1.</w:t>
                    </w:r>
                  </w:p>
                </w:tc>
                <w:tc>
                  <w:tcPr>
                    <w:tcW w:w="5245" w:type="dxa"/>
                    <w:tcBorders>
                      <w:top w:val="single" w:sz="4" w:space="0" w:color="auto"/>
                      <w:left w:val="single" w:sz="4" w:space="0" w:color="auto"/>
                      <w:bottom w:val="single" w:sz="4" w:space="0" w:color="auto"/>
                      <w:right w:val="single" w:sz="4" w:space="0" w:color="auto"/>
                    </w:tcBorders>
                  </w:tcPr>
                  <w:p>
                    <w:pPr>
                      <w:tabs>
                        <w:tab w:val="left" w:pos="916"/>
                      </w:tabs>
                      <w:spacing w:line="276" w:lineRule="auto"/>
                      <w:rPr>
                        <w:color w:val="000000"/>
                        <w:szCs w:val="24"/>
                        <w:lang w:eastAsia="lt-LT"/>
                      </w:rPr>
                    </w:pPr>
                    <w:r>
                      <w:rPr>
                        <w:szCs w:val="24"/>
                        <w:lang w:eastAsia="lt-LT"/>
                      </w:rPr>
                      <w:t>Darbuotojų, dirbančių profesinės rizikos sąlygomis</w:t>
                    </w:r>
                  </w:p>
                </w:tc>
                <w:tc>
                  <w:tcPr>
                    <w:tcW w:w="1559" w:type="dxa"/>
                    <w:tcBorders>
                      <w:top w:val="single" w:sz="4" w:space="0" w:color="auto"/>
                      <w:left w:val="single" w:sz="4" w:space="0" w:color="auto"/>
                      <w:bottom w:val="single" w:sz="4" w:space="0" w:color="auto"/>
                      <w:right w:val="single" w:sz="4" w:space="0" w:color="auto"/>
                    </w:tcBorders>
                    <w:noWrap/>
                  </w:tcPr>
                  <w:p>
                    <w:pPr>
                      <w:tabs>
                        <w:tab w:val="left" w:pos="916"/>
                      </w:tabs>
                      <w:spacing w:line="276" w:lineRule="auto"/>
                      <w:jc w:val="center"/>
                      <w:rPr>
                        <w:strike/>
                        <w:color w:val="000000"/>
                        <w:szCs w:val="24"/>
                        <w:lang w:eastAsia="lt-LT"/>
                      </w:rPr>
                    </w:pPr>
                    <w:r>
                      <w:rPr>
                        <w:szCs w:val="24"/>
                        <w:lang w:eastAsia="lt-LT"/>
                      </w:rPr>
                      <w:t>6,33</w:t>
                    </w:r>
                  </w:p>
                </w:tc>
                <w:tc>
                  <w:tcPr>
                    <w:tcW w:w="1242" w:type="dxa"/>
                    <w:tcBorders>
                      <w:top w:val="single" w:sz="4" w:space="0" w:color="auto"/>
                      <w:left w:val="single" w:sz="4" w:space="0" w:color="auto"/>
                      <w:bottom w:val="single" w:sz="4" w:space="0" w:color="auto"/>
                      <w:right w:val="single" w:sz="4" w:space="0" w:color="auto"/>
                    </w:tcBorders>
                    <w:noWrap/>
                  </w:tcPr>
                  <w:p>
                    <w:pPr>
                      <w:tabs>
                        <w:tab w:val="left" w:pos="916"/>
                      </w:tabs>
                      <w:spacing w:line="276" w:lineRule="auto"/>
                      <w:jc w:val="center"/>
                      <w:rPr>
                        <w:strike/>
                        <w:color w:val="000000"/>
                        <w:szCs w:val="24"/>
                        <w:lang w:eastAsia="lt-LT"/>
                      </w:rPr>
                    </w:pPr>
                    <w:r>
                      <w:rPr>
                        <w:color w:val="000000"/>
                        <w:szCs w:val="24"/>
                        <w:lang w:eastAsia="lt-LT"/>
                      </w:rPr>
                      <w:t>10,70</w:t>
                    </w:r>
                  </w:p>
                </w:tc>
              </w:tr>
              <w:tr>
                <w:trPr>
                  <w:trHeight w:val="300"/>
                </w:trPr>
                <w:tc>
                  <w:tcPr>
                    <w:tcW w:w="992" w:type="dxa"/>
                    <w:tcBorders>
                      <w:top w:val="single" w:sz="4" w:space="0" w:color="auto"/>
                      <w:left w:val="single" w:sz="4" w:space="0" w:color="auto"/>
                      <w:bottom w:val="single" w:sz="4" w:space="0" w:color="auto"/>
                      <w:right w:val="single" w:sz="4" w:space="0" w:color="auto"/>
                    </w:tcBorders>
                  </w:tcPr>
                  <w:p>
                    <w:pPr>
                      <w:tabs>
                        <w:tab w:val="left" w:pos="916"/>
                      </w:tabs>
                      <w:spacing w:line="276" w:lineRule="auto"/>
                      <w:rPr>
                        <w:color w:val="000000"/>
                        <w:szCs w:val="24"/>
                        <w:lang w:eastAsia="lt-LT"/>
                      </w:rPr>
                    </w:pPr>
                    <w:r>
                      <w:rPr>
                        <w:color w:val="000000"/>
                        <w:szCs w:val="24"/>
                        <w:lang w:eastAsia="lt-LT"/>
                      </w:rPr>
                      <w:t>5.2.</w:t>
                    </w:r>
                  </w:p>
                </w:tc>
                <w:tc>
                  <w:tcPr>
                    <w:tcW w:w="5245" w:type="dxa"/>
                    <w:tcBorders>
                      <w:top w:val="single" w:sz="4" w:space="0" w:color="auto"/>
                      <w:left w:val="single" w:sz="4" w:space="0" w:color="auto"/>
                      <w:bottom w:val="single" w:sz="4" w:space="0" w:color="auto"/>
                      <w:right w:val="single" w:sz="4" w:space="0" w:color="auto"/>
                    </w:tcBorders>
                  </w:tcPr>
                  <w:p>
                    <w:pPr>
                      <w:tabs>
                        <w:tab w:val="left" w:pos="916"/>
                      </w:tabs>
                      <w:spacing w:line="276" w:lineRule="auto"/>
                      <w:rPr>
                        <w:color w:val="000000"/>
                        <w:szCs w:val="24"/>
                        <w:lang w:eastAsia="lt-LT"/>
                      </w:rPr>
                    </w:pPr>
                    <w:r>
                      <w:rPr>
                        <w:szCs w:val="24"/>
                        <w:lang w:eastAsia="lt-LT"/>
                      </w:rPr>
                      <w:t>darbuotojų, dirbančių kenksmingų cheminių veiksnių rizikos sąlygomis</w:t>
                    </w:r>
                  </w:p>
                </w:tc>
                <w:tc>
                  <w:tcPr>
                    <w:tcW w:w="1559" w:type="dxa"/>
                    <w:tcBorders>
                      <w:top w:val="single" w:sz="4" w:space="0" w:color="auto"/>
                      <w:left w:val="single" w:sz="4" w:space="0" w:color="auto"/>
                      <w:bottom w:val="single" w:sz="4" w:space="0" w:color="auto"/>
                      <w:right w:val="single" w:sz="4" w:space="0" w:color="auto"/>
                    </w:tcBorders>
                    <w:noWrap/>
                  </w:tcPr>
                  <w:p>
                    <w:pPr>
                      <w:tabs>
                        <w:tab w:val="left" w:pos="916"/>
                      </w:tabs>
                      <w:spacing w:line="276" w:lineRule="auto"/>
                      <w:jc w:val="center"/>
                      <w:rPr>
                        <w:strike/>
                        <w:color w:val="000000"/>
                        <w:szCs w:val="24"/>
                        <w:lang w:eastAsia="lt-LT"/>
                      </w:rPr>
                    </w:pPr>
                    <w:r>
                      <w:rPr>
                        <w:szCs w:val="24"/>
                        <w:lang w:eastAsia="lt-LT"/>
                      </w:rPr>
                      <w:t>1,95</w:t>
                    </w:r>
                  </w:p>
                </w:tc>
                <w:tc>
                  <w:tcPr>
                    <w:tcW w:w="1242" w:type="dxa"/>
                    <w:tcBorders>
                      <w:top w:val="single" w:sz="4" w:space="0" w:color="auto"/>
                      <w:left w:val="single" w:sz="4" w:space="0" w:color="auto"/>
                      <w:bottom w:val="single" w:sz="4" w:space="0" w:color="auto"/>
                      <w:right w:val="single" w:sz="4" w:space="0" w:color="auto"/>
                    </w:tcBorders>
                    <w:noWrap/>
                  </w:tcPr>
                  <w:p>
                    <w:pPr>
                      <w:tabs>
                        <w:tab w:val="left" w:pos="916"/>
                      </w:tabs>
                      <w:spacing w:line="276" w:lineRule="auto"/>
                      <w:jc w:val="center"/>
                      <w:rPr>
                        <w:strike/>
                        <w:color w:val="000000"/>
                        <w:szCs w:val="24"/>
                        <w:lang w:eastAsia="lt-LT"/>
                      </w:rPr>
                    </w:pPr>
                    <w:r>
                      <w:rPr>
                        <w:color w:val="000000"/>
                        <w:szCs w:val="24"/>
                        <w:lang w:eastAsia="lt-LT"/>
                      </w:rPr>
                      <w:t>9,24</w:t>
                    </w:r>
                  </w:p>
                  <w:p>
                    <w:pPr>
                      <w:rPr>
                        <w:sz w:val="18"/>
                        <w:szCs w:val="18"/>
                      </w:rPr>
                    </w:pPr>
                  </w:p>
                  <w:p>
                    <w:pPr>
                      <w:tabs>
                        <w:tab w:val="left" w:pos="916"/>
                      </w:tabs>
                      <w:spacing w:line="276" w:lineRule="auto"/>
                      <w:jc w:val="center"/>
                      <w:rPr>
                        <w:strike/>
                        <w:color w:val="000000"/>
                        <w:szCs w:val="24"/>
                        <w:lang w:eastAsia="lt-LT"/>
                      </w:rPr>
                    </w:pPr>
                  </w:p>
                </w:tc>
              </w:tr>
              <w:tr>
                <w:trPr>
                  <w:trHeight w:val="300"/>
                </w:trPr>
                <w:tc>
                  <w:tcPr>
                    <w:tcW w:w="992" w:type="dxa"/>
                    <w:tcBorders>
                      <w:top w:val="single" w:sz="4" w:space="0" w:color="auto"/>
                      <w:left w:val="single" w:sz="4" w:space="0" w:color="auto"/>
                      <w:bottom w:val="single" w:sz="4" w:space="0" w:color="auto"/>
                      <w:right w:val="single" w:sz="4" w:space="0" w:color="auto"/>
                    </w:tcBorders>
                  </w:tcPr>
                  <w:p>
                    <w:pPr>
                      <w:tabs>
                        <w:tab w:val="left" w:pos="916"/>
                      </w:tabs>
                      <w:spacing w:line="276" w:lineRule="auto"/>
                      <w:rPr>
                        <w:color w:val="000000"/>
                        <w:szCs w:val="24"/>
                        <w:lang w:eastAsia="lt-LT"/>
                      </w:rPr>
                    </w:pPr>
                    <w:r>
                      <w:rPr>
                        <w:color w:val="000000"/>
                        <w:szCs w:val="24"/>
                        <w:lang w:eastAsia="lt-LT"/>
                      </w:rPr>
                      <w:t>5.3.</w:t>
                    </w:r>
                  </w:p>
                </w:tc>
                <w:tc>
                  <w:tcPr>
                    <w:tcW w:w="5245" w:type="dxa"/>
                    <w:tcBorders>
                      <w:top w:val="single" w:sz="4" w:space="0" w:color="auto"/>
                      <w:left w:val="single" w:sz="4" w:space="0" w:color="auto"/>
                      <w:bottom w:val="single" w:sz="4" w:space="0" w:color="auto"/>
                      <w:right w:val="single" w:sz="4" w:space="0" w:color="auto"/>
                    </w:tcBorders>
                  </w:tcPr>
                  <w:p>
                    <w:pPr>
                      <w:tabs>
                        <w:tab w:val="left" w:pos="916"/>
                      </w:tabs>
                      <w:spacing w:line="276" w:lineRule="auto"/>
                      <w:rPr>
                        <w:color w:val="000000"/>
                        <w:szCs w:val="24"/>
                        <w:lang w:eastAsia="lt-LT"/>
                      </w:rPr>
                    </w:pPr>
                    <w:r>
                      <w:rPr>
                        <w:szCs w:val="24"/>
                        <w:lang w:eastAsia="lt-LT"/>
                      </w:rPr>
                      <w:t>darbuotojų, dirbančių kenksmingų biologinių veiksnių rizikos sąlygomis</w:t>
                    </w:r>
                  </w:p>
                </w:tc>
                <w:tc>
                  <w:tcPr>
                    <w:tcW w:w="1559" w:type="dxa"/>
                    <w:tcBorders>
                      <w:top w:val="single" w:sz="4" w:space="0" w:color="auto"/>
                      <w:left w:val="single" w:sz="4" w:space="0" w:color="auto"/>
                      <w:bottom w:val="single" w:sz="4" w:space="0" w:color="auto"/>
                      <w:right w:val="single" w:sz="4" w:space="0" w:color="auto"/>
                    </w:tcBorders>
                    <w:noWrap/>
                  </w:tcPr>
                  <w:p>
                    <w:pPr>
                      <w:tabs>
                        <w:tab w:val="left" w:pos="916"/>
                      </w:tabs>
                      <w:spacing w:line="276" w:lineRule="auto"/>
                      <w:jc w:val="center"/>
                      <w:rPr>
                        <w:color w:val="000000"/>
                        <w:szCs w:val="24"/>
                        <w:lang w:eastAsia="lt-LT"/>
                      </w:rPr>
                    </w:pPr>
                    <w:r>
                      <w:rPr>
                        <w:color w:val="000000"/>
                        <w:szCs w:val="24"/>
                        <w:lang w:eastAsia="lt-LT"/>
                      </w:rPr>
                      <w:t>-</w:t>
                    </w:r>
                  </w:p>
                </w:tc>
                <w:tc>
                  <w:tcPr>
                    <w:tcW w:w="1242" w:type="dxa"/>
                    <w:tcBorders>
                      <w:top w:val="single" w:sz="4" w:space="0" w:color="auto"/>
                      <w:left w:val="single" w:sz="4" w:space="0" w:color="auto"/>
                      <w:bottom w:val="single" w:sz="4" w:space="0" w:color="auto"/>
                      <w:right w:val="single" w:sz="4" w:space="0" w:color="auto"/>
                    </w:tcBorders>
                    <w:noWrap/>
                  </w:tcPr>
                  <w:p>
                    <w:pPr>
                      <w:tabs>
                        <w:tab w:val="left" w:pos="1310"/>
                      </w:tabs>
                      <w:spacing w:line="276" w:lineRule="auto"/>
                      <w:jc w:val="center"/>
                      <w:rPr>
                        <w:strike/>
                        <w:color w:val="000000"/>
                        <w:szCs w:val="24"/>
                        <w:lang w:eastAsia="lt-LT"/>
                      </w:rPr>
                    </w:pPr>
                    <w:r>
                      <w:rPr>
                        <w:color w:val="000000"/>
                        <w:szCs w:val="24"/>
                        <w:lang w:eastAsia="lt-LT"/>
                      </w:rPr>
                      <w:t>6,81</w:t>
                    </w:r>
                  </w:p>
                </w:tc>
              </w:tr>
              <w:tr>
                <w:trPr>
                  <w:trHeight w:val="300"/>
                </w:trPr>
                <w:tc>
                  <w:tcPr>
                    <w:tcW w:w="992" w:type="dxa"/>
                    <w:tcBorders>
                      <w:top w:val="single" w:sz="4" w:space="0" w:color="auto"/>
                      <w:left w:val="single" w:sz="4" w:space="0" w:color="auto"/>
                      <w:bottom w:val="single" w:sz="4" w:space="0" w:color="auto"/>
                      <w:right w:val="single" w:sz="4" w:space="0" w:color="auto"/>
                    </w:tcBorders>
                  </w:tcPr>
                  <w:p>
                    <w:pPr>
                      <w:tabs>
                        <w:tab w:val="left" w:pos="916"/>
                      </w:tabs>
                      <w:spacing w:line="276" w:lineRule="auto"/>
                      <w:rPr>
                        <w:color w:val="000000"/>
                        <w:szCs w:val="24"/>
                        <w:lang w:eastAsia="lt-LT"/>
                      </w:rPr>
                    </w:pPr>
                    <w:r>
                      <w:rPr>
                        <w:color w:val="000000"/>
                        <w:szCs w:val="24"/>
                        <w:lang w:eastAsia="lt-LT"/>
                      </w:rPr>
                      <w:t>5.4.</w:t>
                    </w:r>
                  </w:p>
                </w:tc>
                <w:tc>
                  <w:tcPr>
                    <w:tcW w:w="5245" w:type="dxa"/>
                    <w:tcBorders>
                      <w:top w:val="single" w:sz="4" w:space="0" w:color="auto"/>
                      <w:left w:val="single" w:sz="4" w:space="0" w:color="auto"/>
                      <w:bottom w:val="single" w:sz="4" w:space="0" w:color="auto"/>
                      <w:right w:val="single" w:sz="4" w:space="0" w:color="auto"/>
                    </w:tcBorders>
                  </w:tcPr>
                  <w:p>
                    <w:pPr>
                      <w:tabs>
                        <w:tab w:val="left" w:pos="916"/>
                      </w:tabs>
                      <w:spacing w:line="276" w:lineRule="auto"/>
                      <w:rPr>
                        <w:color w:val="000000"/>
                        <w:szCs w:val="24"/>
                        <w:lang w:eastAsia="lt-LT"/>
                      </w:rPr>
                    </w:pPr>
                    <w:r>
                      <w:rPr>
                        <w:szCs w:val="24"/>
                        <w:lang w:eastAsia="lt-LT"/>
                      </w:rPr>
                      <w:t>darbuotojų, dirbančių kenksmingų pramoninių aerozolių rizikos sąlygomis</w:t>
                    </w:r>
                  </w:p>
                </w:tc>
                <w:tc>
                  <w:tcPr>
                    <w:tcW w:w="1559" w:type="dxa"/>
                    <w:tcBorders>
                      <w:top w:val="single" w:sz="4" w:space="0" w:color="auto"/>
                      <w:left w:val="single" w:sz="4" w:space="0" w:color="auto"/>
                      <w:bottom w:val="single" w:sz="4" w:space="0" w:color="auto"/>
                      <w:right w:val="single" w:sz="4" w:space="0" w:color="auto"/>
                    </w:tcBorders>
                    <w:noWrap/>
                  </w:tcPr>
                  <w:p>
                    <w:pPr>
                      <w:tabs>
                        <w:tab w:val="left" w:pos="916"/>
                      </w:tabs>
                      <w:spacing w:line="276" w:lineRule="auto"/>
                      <w:jc w:val="center"/>
                      <w:rPr>
                        <w:strike/>
                        <w:color w:val="000000"/>
                        <w:szCs w:val="24"/>
                        <w:lang w:eastAsia="lt-LT"/>
                      </w:rPr>
                    </w:pPr>
                    <w:r>
                      <w:rPr>
                        <w:szCs w:val="24"/>
                        <w:lang w:eastAsia="lt-LT"/>
                      </w:rPr>
                      <w:t>5,35</w:t>
                    </w:r>
                  </w:p>
                </w:tc>
                <w:tc>
                  <w:tcPr>
                    <w:tcW w:w="1242" w:type="dxa"/>
                    <w:tcBorders>
                      <w:top w:val="single" w:sz="4" w:space="0" w:color="auto"/>
                      <w:left w:val="single" w:sz="4" w:space="0" w:color="auto"/>
                      <w:bottom w:val="single" w:sz="4" w:space="0" w:color="auto"/>
                      <w:right w:val="single" w:sz="4" w:space="0" w:color="auto"/>
                    </w:tcBorders>
                    <w:noWrap/>
                  </w:tcPr>
                  <w:p>
                    <w:pPr>
                      <w:tabs>
                        <w:tab w:val="left" w:pos="916"/>
                      </w:tabs>
                      <w:spacing w:line="276" w:lineRule="auto"/>
                      <w:jc w:val="center"/>
                      <w:rPr>
                        <w:strike/>
                        <w:color w:val="000000"/>
                        <w:szCs w:val="24"/>
                        <w:lang w:eastAsia="lt-LT"/>
                      </w:rPr>
                    </w:pPr>
                    <w:r>
                      <w:rPr>
                        <w:color w:val="000000"/>
                        <w:szCs w:val="24"/>
                        <w:lang w:eastAsia="lt-LT"/>
                      </w:rPr>
                      <w:t>11,19</w:t>
                    </w:r>
                  </w:p>
                </w:tc>
              </w:tr>
              <w:tr>
                <w:trPr>
                  <w:trHeight w:val="300"/>
                </w:trPr>
                <w:tc>
                  <w:tcPr>
                    <w:tcW w:w="992" w:type="dxa"/>
                    <w:tcBorders>
                      <w:top w:val="single" w:sz="4" w:space="0" w:color="auto"/>
                      <w:left w:val="single" w:sz="4" w:space="0" w:color="auto"/>
                      <w:bottom w:val="single" w:sz="4" w:space="0" w:color="auto"/>
                      <w:right w:val="single" w:sz="4" w:space="0" w:color="auto"/>
                    </w:tcBorders>
                  </w:tcPr>
                  <w:p>
                    <w:pPr>
                      <w:tabs>
                        <w:tab w:val="left" w:pos="916"/>
                      </w:tabs>
                      <w:spacing w:line="276" w:lineRule="auto"/>
                      <w:rPr>
                        <w:color w:val="000000"/>
                        <w:szCs w:val="24"/>
                        <w:lang w:eastAsia="lt-LT"/>
                      </w:rPr>
                    </w:pPr>
                    <w:r>
                      <w:rPr>
                        <w:color w:val="000000"/>
                        <w:szCs w:val="24"/>
                        <w:lang w:eastAsia="lt-LT"/>
                      </w:rPr>
                      <w:t>5.5.</w:t>
                    </w:r>
                  </w:p>
                </w:tc>
                <w:tc>
                  <w:tcPr>
                    <w:tcW w:w="5245" w:type="dxa"/>
                    <w:tcBorders>
                      <w:top w:val="single" w:sz="4" w:space="0" w:color="auto"/>
                      <w:left w:val="single" w:sz="4" w:space="0" w:color="auto"/>
                      <w:bottom w:val="single" w:sz="4" w:space="0" w:color="auto"/>
                      <w:right w:val="single" w:sz="4" w:space="0" w:color="auto"/>
                    </w:tcBorders>
                  </w:tcPr>
                  <w:p>
                    <w:pPr>
                      <w:tabs>
                        <w:tab w:val="left" w:pos="916"/>
                      </w:tabs>
                      <w:spacing w:line="276" w:lineRule="auto"/>
                      <w:rPr>
                        <w:color w:val="000000"/>
                        <w:szCs w:val="24"/>
                        <w:lang w:eastAsia="lt-LT"/>
                      </w:rPr>
                    </w:pPr>
                    <w:r>
                      <w:rPr>
                        <w:szCs w:val="24"/>
                        <w:lang w:eastAsia="lt-LT"/>
                      </w:rPr>
                      <w:t>darbuotojų, dirbančių kenksmingų fizikinių veiksnių rizikos sąlygomis</w:t>
                    </w:r>
                  </w:p>
                </w:tc>
                <w:tc>
                  <w:tcPr>
                    <w:tcW w:w="1559" w:type="dxa"/>
                    <w:tcBorders>
                      <w:top w:val="single" w:sz="4" w:space="0" w:color="auto"/>
                      <w:left w:val="single" w:sz="4" w:space="0" w:color="auto"/>
                      <w:bottom w:val="single" w:sz="4" w:space="0" w:color="auto"/>
                      <w:right w:val="single" w:sz="4" w:space="0" w:color="auto"/>
                    </w:tcBorders>
                  </w:tcPr>
                  <w:p>
                    <w:pPr>
                      <w:tabs>
                        <w:tab w:val="left" w:pos="916"/>
                      </w:tabs>
                      <w:spacing w:line="276" w:lineRule="auto"/>
                      <w:jc w:val="center"/>
                      <w:rPr>
                        <w:strike/>
                        <w:color w:val="000000"/>
                        <w:szCs w:val="24"/>
                        <w:lang w:eastAsia="lt-LT"/>
                      </w:rPr>
                    </w:pPr>
                    <w:r>
                      <w:rPr>
                        <w:color w:val="000000"/>
                        <w:szCs w:val="24"/>
                        <w:lang w:eastAsia="lt-LT"/>
                      </w:rPr>
                      <w:t>2,43</w:t>
                    </w:r>
                  </w:p>
                </w:tc>
                <w:tc>
                  <w:tcPr>
                    <w:tcW w:w="1242" w:type="dxa"/>
                    <w:tcBorders>
                      <w:top w:val="single" w:sz="4" w:space="0" w:color="auto"/>
                      <w:left w:val="single" w:sz="4" w:space="0" w:color="auto"/>
                      <w:bottom w:val="single" w:sz="4" w:space="0" w:color="auto"/>
                      <w:right w:val="single" w:sz="4" w:space="0" w:color="auto"/>
                    </w:tcBorders>
                    <w:noWrap/>
                  </w:tcPr>
                  <w:p>
                    <w:pPr>
                      <w:tabs>
                        <w:tab w:val="left" w:pos="916"/>
                      </w:tabs>
                      <w:spacing w:line="276" w:lineRule="auto"/>
                      <w:jc w:val="center"/>
                      <w:rPr>
                        <w:strike/>
                        <w:color w:val="000000"/>
                        <w:szCs w:val="24"/>
                        <w:lang w:eastAsia="lt-LT"/>
                      </w:rPr>
                    </w:pPr>
                    <w:r>
                      <w:rPr>
                        <w:color w:val="000000"/>
                        <w:szCs w:val="24"/>
                        <w:lang w:eastAsia="lt-LT"/>
                      </w:rPr>
                      <w:t>7,30</w:t>
                    </w:r>
                  </w:p>
                </w:tc>
              </w:tr>
              <w:tr>
                <w:trPr>
                  <w:trHeight w:val="300"/>
                </w:trPr>
                <w:tc>
                  <w:tcPr>
                    <w:tcW w:w="992" w:type="dxa"/>
                    <w:tcBorders>
                      <w:top w:val="single" w:sz="4" w:space="0" w:color="auto"/>
                      <w:left w:val="single" w:sz="4" w:space="0" w:color="auto"/>
                      <w:bottom w:val="single" w:sz="4" w:space="0" w:color="auto"/>
                      <w:right w:val="single" w:sz="4" w:space="0" w:color="auto"/>
                    </w:tcBorders>
                  </w:tcPr>
                  <w:p>
                    <w:pPr>
                      <w:tabs>
                        <w:tab w:val="left" w:pos="916"/>
                      </w:tabs>
                      <w:spacing w:line="276" w:lineRule="auto"/>
                      <w:rPr>
                        <w:color w:val="000000"/>
                        <w:szCs w:val="24"/>
                        <w:lang w:eastAsia="lt-LT"/>
                      </w:rPr>
                    </w:pPr>
                    <w:r>
                      <w:rPr>
                        <w:color w:val="000000"/>
                        <w:szCs w:val="24"/>
                        <w:lang w:eastAsia="lt-LT"/>
                      </w:rPr>
                      <w:t>5.6.</w:t>
                    </w:r>
                  </w:p>
                </w:tc>
                <w:tc>
                  <w:tcPr>
                    <w:tcW w:w="5245" w:type="dxa"/>
                    <w:tcBorders>
                      <w:top w:val="single" w:sz="4" w:space="0" w:color="auto"/>
                      <w:left w:val="single" w:sz="4" w:space="0" w:color="auto"/>
                      <w:bottom w:val="single" w:sz="4" w:space="0" w:color="auto"/>
                      <w:right w:val="single" w:sz="4" w:space="0" w:color="auto"/>
                    </w:tcBorders>
                  </w:tcPr>
                  <w:p>
                    <w:pPr>
                      <w:tabs>
                        <w:tab w:val="left" w:pos="916"/>
                      </w:tabs>
                      <w:spacing w:line="276" w:lineRule="auto"/>
                      <w:rPr>
                        <w:color w:val="000000"/>
                        <w:szCs w:val="24"/>
                        <w:lang w:eastAsia="lt-LT"/>
                      </w:rPr>
                    </w:pPr>
                    <w:r>
                      <w:rPr>
                        <w:szCs w:val="24"/>
                        <w:lang w:eastAsia="lt-LT"/>
                      </w:rPr>
                      <w:t>darbuotojų, dirbančių dėl fizinių perkrovų pavojingą darbą</w:t>
                    </w:r>
                  </w:p>
                </w:tc>
                <w:tc>
                  <w:tcPr>
                    <w:tcW w:w="1559" w:type="dxa"/>
                    <w:tcBorders>
                      <w:top w:val="single" w:sz="4" w:space="0" w:color="auto"/>
                      <w:left w:val="single" w:sz="4" w:space="0" w:color="auto"/>
                      <w:bottom w:val="single" w:sz="4" w:space="0" w:color="auto"/>
                      <w:right w:val="single" w:sz="4" w:space="0" w:color="auto"/>
                    </w:tcBorders>
                    <w:noWrap/>
                  </w:tcPr>
                  <w:p>
                    <w:pPr>
                      <w:tabs>
                        <w:tab w:val="left" w:pos="916"/>
                      </w:tabs>
                      <w:spacing w:line="276" w:lineRule="auto"/>
                      <w:jc w:val="center"/>
                      <w:rPr>
                        <w:strike/>
                        <w:color w:val="000000"/>
                        <w:szCs w:val="24"/>
                        <w:lang w:eastAsia="lt-LT"/>
                      </w:rPr>
                    </w:pPr>
                    <w:r>
                      <w:rPr>
                        <w:color w:val="000000"/>
                        <w:szCs w:val="24"/>
                        <w:lang w:eastAsia="lt-LT"/>
                      </w:rPr>
                      <w:t>2,92</w:t>
                    </w:r>
                  </w:p>
                </w:tc>
                <w:tc>
                  <w:tcPr>
                    <w:tcW w:w="1242" w:type="dxa"/>
                    <w:tcBorders>
                      <w:top w:val="single" w:sz="4" w:space="0" w:color="auto"/>
                      <w:left w:val="single" w:sz="4" w:space="0" w:color="auto"/>
                      <w:bottom w:val="single" w:sz="4" w:space="0" w:color="auto"/>
                      <w:right w:val="single" w:sz="4" w:space="0" w:color="auto"/>
                    </w:tcBorders>
                    <w:noWrap/>
                  </w:tcPr>
                  <w:p>
                    <w:pPr>
                      <w:tabs>
                        <w:tab w:val="left" w:pos="916"/>
                      </w:tabs>
                      <w:spacing w:line="276" w:lineRule="auto"/>
                      <w:jc w:val="center"/>
                      <w:rPr>
                        <w:strike/>
                        <w:color w:val="000000"/>
                        <w:szCs w:val="24"/>
                        <w:lang w:eastAsia="lt-LT"/>
                      </w:rPr>
                    </w:pPr>
                    <w:r>
                      <w:rPr>
                        <w:color w:val="000000"/>
                        <w:szCs w:val="24"/>
                        <w:lang w:eastAsia="lt-LT"/>
                      </w:rPr>
                      <w:t>7,30</w:t>
                    </w:r>
                  </w:p>
                </w:tc>
              </w:tr>
              <w:tr>
                <w:trPr>
                  <w:trHeight w:val="300"/>
                </w:trPr>
                <w:tc>
                  <w:tcPr>
                    <w:tcW w:w="992" w:type="dxa"/>
                    <w:tcBorders>
                      <w:top w:val="single" w:sz="4" w:space="0" w:color="auto"/>
                      <w:left w:val="single" w:sz="4" w:space="0" w:color="auto"/>
                      <w:bottom w:val="single" w:sz="4" w:space="0" w:color="auto"/>
                      <w:right w:val="single" w:sz="4" w:space="0" w:color="auto"/>
                    </w:tcBorders>
                  </w:tcPr>
                  <w:p>
                    <w:pPr>
                      <w:tabs>
                        <w:tab w:val="left" w:pos="916"/>
                      </w:tabs>
                      <w:spacing w:line="276" w:lineRule="auto"/>
                      <w:rPr>
                        <w:color w:val="000000"/>
                        <w:szCs w:val="24"/>
                        <w:lang w:eastAsia="lt-LT"/>
                      </w:rPr>
                    </w:pPr>
                    <w:r>
                      <w:rPr>
                        <w:color w:val="000000"/>
                        <w:szCs w:val="24"/>
                        <w:lang w:eastAsia="lt-LT"/>
                      </w:rPr>
                      <w:t>6.</w:t>
                    </w:r>
                  </w:p>
                </w:tc>
                <w:tc>
                  <w:tcPr>
                    <w:tcW w:w="5245" w:type="dxa"/>
                    <w:tcBorders>
                      <w:top w:val="single" w:sz="4" w:space="0" w:color="auto"/>
                      <w:left w:val="single" w:sz="4" w:space="0" w:color="auto"/>
                      <w:bottom w:val="single" w:sz="4" w:space="0" w:color="auto"/>
                      <w:right w:val="single" w:sz="4" w:space="0" w:color="auto"/>
                    </w:tcBorders>
                  </w:tcPr>
                  <w:p>
                    <w:pPr>
                      <w:tabs>
                        <w:tab w:val="left" w:pos="916"/>
                      </w:tabs>
                      <w:spacing w:line="276" w:lineRule="auto"/>
                      <w:rPr>
                        <w:color w:val="000000"/>
                        <w:szCs w:val="24"/>
                        <w:lang w:eastAsia="lt-LT"/>
                      </w:rPr>
                    </w:pPr>
                    <w:r>
                      <w:rPr>
                        <w:szCs w:val="24"/>
                        <w:lang w:eastAsia="lt-LT"/>
                      </w:rPr>
                      <w:t xml:space="preserve">Darbuotojų, kuriems leidžiama dirbti  darbus ar vykdyti veiklas, kur privaloma profilaktiškai tikrintis sveikatą dėl užkrečiamųjų ligų</w:t>
                    </w:r>
                  </w:p>
                </w:tc>
                <w:tc>
                  <w:tcPr>
                    <w:tcW w:w="1559" w:type="dxa"/>
                    <w:tcBorders>
                      <w:top w:val="single" w:sz="4" w:space="0" w:color="auto"/>
                      <w:left w:val="single" w:sz="4" w:space="0" w:color="auto"/>
                      <w:bottom w:val="single" w:sz="4" w:space="0" w:color="auto"/>
                      <w:right w:val="single" w:sz="4" w:space="0" w:color="auto"/>
                    </w:tcBorders>
                    <w:noWrap/>
                  </w:tcPr>
                  <w:p>
                    <w:pPr>
                      <w:tabs>
                        <w:tab w:val="left" w:pos="916"/>
                      </w:tabs>
                      <w:spacing w:line="276" w:lineRule="auto"/>
                      <w:jc w:val="center"/>
                      <w:rPr>
                        <w:strike/>
                        <w:color w:val="000000"/>
                        <w:szCs w:val="24"/>
                        <w:lang w:eastAsia="lt-LT"/>
                      </w:rPr>
                    </w:pPr>
                    <w:r>
                      <w:rPr>
                        <w:color w:val="000000"/>
                        <w:szCs w:val="24"/>
                        <w:lang w:eastAsia="lt-LT"/>
                      </w:rPr>
                      <w:t>3,41</w:t>
                    </w:r>
                  </w:p>
                </w:tc>
                <w:tc>
                  <w:tcPr>
                    <w:tcW w:w="1242" w:type="dxa"/>
                    <w:tcBorders>
                      <w:top w:val="single" w:sz="4" w:space="0" w:color="auto"/>
                      <w:left w:val="single" w:sz="4" w:space="0" w:color="auto"/>
                      <w:bottom w:val="single" w:sz="4" w:space="0" w:color="auto"/>
                      <w:right w:val="single" w:sz="4" w:space="0" w:color="auto"/>
                    </w:tcBorders>
                    <w:noWrap/>
                  </w:tcPr>
                  <w:p>
                    <w:pPr>
                      <w:tabs>
                        <w:tab w:val="left" w:pos="916"/>
                      </w:tabs>
                      <w:spacing w:line="276" w:lineRule="auto"/>
                      <w:jc w:val="center"/>
                      <w:rPr>
                        <w:strike/>
                        <w:color w:val="000000"/>
                        <w:szCs w:val="24"/>
                        <w:lang w:eastAsia="lt-LT"/>
                      </w:rPr>
                    </w:pPr>
                    <w:r>
                      <w:rPr>
                        <w:color w:val="000000"/>
                        <w:szCs w:val="24"/>
                        <w:lang w:eastAsia="lt-LT"/>
                      </w:rPr>
                      <w:t>2,43</w:t>
                    </w:r>
                  </w:p>
                  <w:p>
                    <w:pPr>
                      <w:rPr>
                        <w:sz w:val="18"/>
                        <w:szCs w:val="18"/>
                      </w:rPr>
                    </w:pPr>
                  </w:p>
                  <w:p>
                    <w:pPr>
                      <w:tabs>
                        <w:tab w:val="left" w:pos="916"/>
                      </w:tabs>
                      <w:spacing w:line="276" w:lineRule="auto"/>
                      <w:jc w:val="center"/>
                      <w:rPr>
                        <w:color w:val="000000"/>
                        <w:szCs w:val="24"/>
                        <w:lang w:eastAsia="lt-LT"/>
                      </w:rPr>
                    </w:pPr>
                  </w:p>
                </w:tc>
              </w:tr>
              <w:tr>
                <w:trPr>
                  <w:trHeight w:val="300"/>
                </w:trPr>
                <w:tc>
                  <w:tcPr>
                    <w:tcW w:w="992" w:type="dxa"/>
                    <w:tcBorders>
                      <w:top w:val="single" w:sz="4" w:space="0" w:color="auto"/>
                      <w:left w:val="single" w:sz="4" w:space="0" w:color="auto"/>
                      <w:bottom w:val="single" w:sz="4" w:space="0" w:color="auto"/>
                      <w:right w:val="single" w:sz="4" w:space="0" w:color="auto"/>
                    </w:tcBorders>
                  </w:tcPr>
                  <w:p>
                    <w:pPr>
                      <w:tabs>
                        <w:tab w:val="left" w:pos="916"/>
                      </w:tabs>
                      <w:rPr>
                        <w:color w:val="000000"/>
                        <w:szCs w:val="24"/>
                      </w:rPr>
                    </w:pPr>
                    <w:r>
                      <w:rPr>
                        <w:color w:val="000000"/>
                        <w:szCs w:val="24"/>
                      </w:rPr>
                      <w:t>7.</w:t>
                    </w:r>
                  </w:p>
                </w:tc>
                <w:tc>
                  <w:tcPr>
                    <w:tcW w:w="5245" w:type="dxa"/>
                    <w:tcBorders>
                      <w:top w:val="single" w:sz="4" w:space="0" w:color="auto"/>
                      <w:left w:val="single" w:sz="4" w:space="0" w:color="auto"/>
                      <w:bottom w:val="single" w:sz="4" w:space="0" w:color="auto"/>
                      <w:right w:val="single" w:sz="4" w:space="0" w:color="auto"/>
                    </w:tcBorders>
                  </w:tcPr>
                  <w:p>
                    <w:pPr>
                      <w:tabs>
                        <w:tab w:val="left" w:pos="916"/>
                        <w:tab w:val="left" w:pos="1832"/>
                        <w:tab w:val="left" w:pos="2748"/>
                        <w:tab w:val="left" w:pos="3664"/>
                        <w:tab w:val="left" w:pos="4580"/>
                        <w:tab w:val="left" w:pos="5420"/>
                        <w:tab w:val="left" w:pos="5496"/>
                        <w:tab w:val="left" w:pos="6412"/>
                        <w:tab w:val="left" w:pos="7328"/>
                        <w:tab w:val="left" w:pos="8244"/>
                        <w:tab w:val="left" w:pos="9160"/>
                        <w:tab w:val="left" w:pos="10076"/>
                        <w:tab w:val="left" w:pos="10992"/>
                        <w:tab w:val="left" w:pos="11908"/>
                        <w:tab w:val="left" w:pos="12824"/>
                        <w:tab w:val="left" w:pos="13740"/>
                        <w:tab w:val="left" w:pos="14656"/>
                      </w:tabs>
                      <w:ind w:right="34"/>
                      <w:rPr>
                        <w:b/>
                        <w:szCs w:val="24"/>
                        <w:lang w:eastAsia="lt-LT"/>
                      </w:rPr>
                    </w:pPr>
                    <w:r>
                      <w:rPr>
                        <w:szCs w:val="24"/>
                        <w:lang w:eastAsia="lt-LT"/>
                      </w:rPr>
                      <w:t>Vidaus tarnybos sistemos pareigūnų, kurie tikrinami pagal</w:t>
                    </w:r>
                    <w:r>
                      <w:rPr>
                        <w:b/>
                        <w:szCs w:val="24"/>
                        <w:lang w:eastAsia="lt-LT"/>
                      </w:rPr>
                      <w:t xml:space="preserve"> </w:t>
                    </w:r>
                    <w:r>
                      <w:rPr>
                        <w:szCs w:val="24"/>
                        <w:lang w:eastAsia="lt-LT"/>
                      </w:rPr>
                      <w:t xml:space="preserve">Vidaus tarnybos sistemos pareigūnų privalomų periodinių profilaktinių sveikatos patikrinimų tvarkos aprašą, patvirtintą </w:t>
                    </w:r>
                    <w:r>
                      <w:rPr>
                        <w:szCs w:val="24"/>
                        <w:lang w:val="pt-BR" w:eastAsia="lt-LT"/>
                      </w:rPr>
                      <w:t xml:space="preserve">Lietuvos Respublikos vidaus reikalų ministro 2008 m. birželio 16 d. įsakymu Nr. 1V-230 </w:t>
                    </w:r>
                    <w:r>
                      <w:rPr>
                        <w:szCs w:val="24"/>
                        <w:lang w:eastAsia="lt-LT"/>
                      </w:rPr>
                      <w:t>„Dėl Vidaus tarnybos sistemos pareigūnų privalomų periodinių profilaktinių sveikatos patikrinimų</w:t>
                    </w:r>
                    <w:r>
                      <w:rPr>
                        <w:bCs/>
                        <w:szCs w:val="24"/>
                        <w:lang w:eastAsia="lt-LT"/>
                      </w:rPr>
                      <w:t xml:space="preserve"> tvarkos aprašo patvirtinimo“ (toliau </w:t>
                    </w:r>
                    <w:r>
                      <w:rPr>
                        <w:szCs w:val="24"/>
                        <w:lang w:eastAsia="lt-LT"/>
                      </w:rPr>
                      <w:t>– Aprašas):</w:t>
                    </w:r>
                  </w:p>
                </w:tc>
                <w:tc>
                  <w:tcPr>
                    <w:tcW w:w="1559" w:type="dxa"/>
                    <w:tcBorders>
                      <w:top w:val="single" w:sz="4" w:space="0" w:color="auto"/>
                      <w:left w:val="single" w:sz="4" w:space="0" w:color="auto"/>
                      <w:bottom w:val="single" w:sz="4" w:space="0" w:color="auto"/>
                      <w:right w:val="single" w:sz="4" w:space="0" w:color="auto"/>
                    </w:tcBorders>
                    <w:noWrap/>
                  </w:tcPr>
                  <w:p>
                    <w:pPr>
                      <w:tabs>
                        <w:tab w:val="left" w:pos="916"/>
                      </w:tabs>
                      <w:jc w:val="center"/>
                      <w:rPr>
                        <w:szCs w:val="24"/>
                        <w:lang w:eastAsia="lt-LT"/>
                      </w:rPr>
                    </w:pPr>
                  </w:p>
                </w:tc>
                <w:tc>
                  <w:tcPr>
                    <w:tcW w:w="1242" w:type="dxa"/>
                    <w:tcBorders>
                      <w:top w:val="single" w:sz="4" w:space="0" w:color="auto"/>
                      <w:left w:val="single" w:sz="4" w:space="0" w:color="auto"/>
                      <w:bottom w:val="single" w:sz="4" w:space="0" w:color="auto"/>
                      <w:right w:val="single" w:sz="4" w:space="0" w:color="auto"/>
                    </w:tcBorders>
                    <w:noWrap/>
                  </w:tcPr>
                  <w:p>
                    <w:pPr>
                      <w:tabs>
                        <w:tab w:val="left" w:pos="916"/>
                      </w:tabs>
                      <w:jc w:val="center"/>
                      <w:rPr>
                        <w:strike/>
                        <w:szCs w:val="24"/>
                        <w:lang w:eastAsia="lt-LT"/>
                      </w:rPr>
                    </w:pPr>
                  </w:p>
                </w:tc>
              </w:tr>
              <w:tr>
                <w:trPr>
                  <w:trHeight w:val="300"/>
                </w:trPr>
                <w:tc>
                  <w:tcPr>
                    <w:tcW w:w="992" w:type="dxa"/>
                    <w:tcBorders>
                      <w:top w:val="single" w:sz="4" w:space="0" w:color="auto"/>
                      <w:left w:val="single" w:sz="4" w:space="0" w:color="auto"/>
                      <w:bottom w:val="single" w:sz="4" w:space="0" w:color="auto"/>
                      <w:right w:val="single" w:sz="4" w:space="0" w:color="auto"/>
                    </w:tcBorders>
                  </w:tcPr>
                  <w:p>
                    <w:pPr>
                      <w:tabs>
                        <w:tab w:val="left" w:pos="916"/>
                      </w:tabs>
                      <w:rPr>
                        <w:color w:val="000000"/>
                        <w:szCs w:val="24"/>
                        <w:lang w:eastAsia="lt-LT"/>
                      </w:rPr>
                    </w:pPr>
                    <w:r>
                      <w:rPr>
                        <w:color w:val="000000"/>
                        <w:szCs w:val="24"/>
                        <w:lang w:eastAsia="lt-LT"/>
                      </w:rPr>
                      <w:t>7.1.</w:t>
                    </w:r>
                  </w:p>
                </w:tc>
                <w:tc>
                  <w:tcPr>
                    <w:tcW w:w="5245" w:type="dxa"/>
                    <w:tcBorders>
                      <w:top w:val="single" w:sz="4" w:space="0" w:color="auto"/>
                      <w:left w:val="single" w:sz="4" w:space="0" w:color="auto"/>
                      <w:bottom w:val="single" w:sz="4" w:space="0" w:color="auto"/>
                      <w:right w:val="single" w:sz="4" w:space="0" w:color="auto"/>
                    </w:tcBorders>
                  </w:tcPr>
                  <w:p>
                    <w:pPr>
                      <w:tabs>
                        <w:tab w:val="left" w:pos="916"/>
                        <w:tab w:val="left" w:pos="5420"/>
                      </w:tabs>
                      <w:jc w:val="both"/>
                      <w:rPr>
                        <w:color w:val="000000"/>
                        <w:szCs w:val="24"/>
                        <w:lang w:eastAsia="lt-LT"/>
                      </w:rPr>
                    </w:pPr>
                    <w:r>
                      <w:rPr>
                        <w:color w:val="000000"/>
                        <w:szCs w:val="24"/>
                        <w:lang w:eastAsia="lt-LT"/>
                      </w:rPr>
                      <w:t>pareigūnų – pagal Aprašo 1 priedo 1 ir 2 punktus;</w:t>
                    </w:r>
                  </w:p>
                  <w:p>
                    <w:pPr>
                      <w:tabs>
                        <w:tab w:val="left" w:pos="916"/>
                        <w:tab w:val="left" w:pos="5420"/>
                      </w:tabs>
                      <w:rPr>
                        <w:color w:val="000000"/>
                        <w:szCs w:val="24"/>
                        <w:lang w:eastAsia="lt-LT"/>
                      </w:rPr>
                    </w:pPr>
                    <w:r>
                      <w:rPr>
                        <w:color w:val="000000"/>
                        <w:szCs w:val="24"/>
                        <w:lang w:eastAsia="lt-LT"/>
                      </w:rPr>
                      <w:t>pareigūnų, kurie pagal pareigybių aprašymus patruliuoja, saugo asmenis, vykdo mobiliąsias palydas, konvojuoja – pagal Aprašo 2 priedo 1 punktą;</w:t>
                    </w:r>
                  </w:p>
                  <w:p>
                    <w:pPr>
                      <w:tabs>
                        <w:tab w:val="left" w:pos="916"/>
                        <w:tab w:val="left" w:pos="5420"/>
                      </w:tabs>
                      <w:rPr>
                        <w:color w:val="000000"/>
                        <w:szCs w:val="24"/>
                        <w:lang w:eastAsia="lt-LT"/>
                      </w:rPr>
                    </w:pPr>
                    <w:r>
                      <w:rPr>
                        <w:color w:val="000000"/>
                        <w:szCs w:val="24"/>
                        <w:lang w:eastAsia="lt-LT"/>
                      </w:rPr>
                      <w:t>pareigūnų, vykdančių tarnybines pareigas aplinkoje, kurioje veikia sveikatai kenksmingi veiksniai ir medžiagos, dirbančių pavojingą darbą – pagal Aprašo 2 priedo 9 punktą</w:t>
                    </w:r>
                  </w:p>
                </w:tc>
                <w:tc>
                  <w:tcPr>
                    <w:tcW w:w="1559" w:type="dxa"/>
                    <w:tcBorders>
                      <w:top w:val="single" w:sz="4" w:space="0" w:color="auto"/>
                      <w:left w:val="single" w:sz="4" w:space="0" w:color="auto"/>
                      <w:bottom w:val="single" w:sz="4" w:space="0" w:color="auto"/>
                      <w:right w:val="single" w:sz="4" w:space="0" w:color="auto"/>
                    </w:tcBorders>
                    <w:noWrap/>
                  </w:tcPr>
                  <w:p>
                    <w:pPr>
                      <w:tabs>
                        <w:tab w:val="left" w:pos="916"/>
                      </w:tabs>
                      <w:jc w:val="center"/>
                      <w:rPr>
                        <w:szCs w:val="24"/>
                        <w:lang w:eastAsia="lt-LT"/>
                      </w:rPr>
                    </w:pPr>
                    <w:r>
                      <w:rPr>
                        <w:szCs w:val="24"/>
                        <w:lang w:eastAsia="lt-LT"/>
                      </w:rPr>
                      <w:t>x</w:t>
                    </w:r>
                  </w:p>
                </w:tc>
                <w:tc>
                  <w:tcPr>
                    <w:tcW w:w="1242" w:type="dxa"/>
                    <w:tcBorders>
                      <w:top w:val="single" w:sz="4" w:space="0" w:color="auto"/>
                      <w:left w:val="single" w:sz="4" w:space="0" w:color="auto"/>
                      <w:bottom w:val="single" w:sz="4" w:space="0" w:color="auto"/>
                      <w:right w:val="single" w:sz="4" w:space="0" w:color="auto"/>
                    </w:tcBorders>
                    <w:noWrap/>
                  </w:tcPr>
                  <w:p>
                    <w:pPr>
                      <w:tabs>
                        <w:tab w:val="left" w:pos="916"/>
                      </w:tabs>
                      <w:jc w:val="center"/>
                      <w:rPr>
                        <w:szCs w:val="24"/>
                        <w:lang w:eastAsia="lt-LT"/>
                      </w:rPr>
                    </w:pPr>
                    <w:r>
                      <w:rPr>
                        <w:szCs w:val="24"/>
                        <w:lang w:eastAsia="lt-LT"/>
                      </w:rPr>
                      <w:t>49,84</w:t>
                    </w:r>
                  </w:p>
                </w:tc>
              </w:tr>
              <w:tr>
                <w:trPr>
                  <w:trHeight w:val="300"/>
                </w:trPr>
                <w:tc>
                  <w:tcPr>
                    <w:tcW w:w="992" w:type="dxa"/>
                    <w:tcBorders>
                      <w:top w:val="single" w:sz="4" w:space="0" w:color="auto"/>
                      <w:left w:val="single" w:sz="4" w:space="0" w:color="auto"/>
                      <w:bottom w:val="single" w:sz="4" w:space="0" w:color="auto"/>
                      <w:right w:val="single" w:sz="4" w:space="0" w:color="auto"/>
                    </w:tcBorders>
                  </w:tcPr>
                  <w:p>
                    <w:pPr>
                      <w:tabs>
                        <w:tab w:val="left" w:pos="916"/>
                      </w:tabs>
                      <w:rPr>
                        <w:color w:val="000000"/>
                        <w:szCs w:val="24"/>
                      </w:rPr>
                    </w:pPr>
                    <w:r>
                      <w:rPr>
                        <w:color w:val="000000"/>
                        <w:szCs w:val="24"/>
                      </w:rPr>
                      <w:t>7.2.</w:t>
                    </w:r>
                  </w:p>
                </w:tc>
                <w:tc>
                  <w:tcPr>
                    <w:tcW w:w="5245" w:type="dxa"/>
                    <w:tcBorders>
                      <w:top w:val="single" w:sz="4" w:space="0" w:color="auto"/>
                      <w:left w:val="single" w:sz="4" w:space="0" w:color="auto"/>
                      <w:bottom w:val="single" w:sz="4" w:space="0" w:color="auto"/>
                      <w:right w:val="single" w:sz="4" w:space="0" w:color="auto"/>
                    </w:tcBorders>
                  </w:tcPr>
                  <w:p>
                    <w:pPr>
                      <w:tabs>
                        <w:tab w:val="left" w:pos="916"/>
                        <w:tab w:val="left" w:pos="5420"/>
                      </w:tabs>
                      <w:ind w:right="34"/>
                      <w:rPr>
                        <w:color w:val="000000"/>
                        <w:szCs w:val="24"/>
                      </w:rPr>
                    </w:pPr>
                    <w:r>
                      <w:rPr>
                        <w:color w:val="000000"/>
                        <w:szCs w:val="24"/>
                      </w:rPr>
                      <w:t>pareigūnų, kurie pagal pareigybės aprašymą</w:t>
                    </w:r>
                  </w:p>
                  <w:p>
                    <w:pPr>
                      <w:tabs>
                        <w:tab w:val="left" w:pos="916"/>
                        <w:tab w:val="left" w:pos="5420"/>
                      </w:tabs>
                      <w:ind w:right="34"/>
                      <w:rPr>
                        <w:color w:val="000000"/>
                        <w:szCs w:val="24"/>
                      </w:rPr>
                    </w:pPr>
                    <w:r>
                      <w:rPr>
                        <w:color w:val="000000"/>
                        <w:szCs w:val="24"/>
                      </w:rPr>
                      <w:t>vykdo organizuotas ginkluotas (specialiąsias) operacijas ne karo metu – pagal Aprašo 2 priedo 2 punktą;</w:t>
                    </w:r>
                  </w:p>
                </w:tc>
                <w:tc>
                  <w:tcPr>
                    <w:tcW w:w="1559" w:type="dxa"/>
                    <w:tcBorders>
                      <w:top w:val="single" w:sz="4" w:space="0" w:color="auto"/>
                      <w:left w:val="single" w:sz="4" w:space="0" w:color="auto"/>
                      <w:bottom w:val="single" w:sz="4" w:space="0" w:color="auto"/>
                      <w:right w:val="single" w:sz="4" w:space="0" w:color="auto"/>
                    </w:tcBorders>
                    <w:noWrap/>
                  </w:tcPr>
                  <w:p>
                    <w:pPr>
                      <w:tabs>
                        <w:tab w:val="left" w:pos="916"/>
                      </w:tabs>
                      <w:jc w:val="center"/>
                      <w:rPr>
                        <w:szCs w:val="24"/>
                        <w:lang w:eastAsia="lt-LT"/>
                      </w:rPr>
                    </w:pPr>
                    <w:r>
                      <w:rPr>
                        <w:szCs w:val="24"/>
                        <w:lang w:eastAsia="lt-LT"/>
                      </w:rPr>
                      <w:t>x</w:t>
                    </w:r>
                  </w:p>
                  <w:p>
                    <w:pPr>
                      <w:tabs>
                        <w:tab w:val="left" w:pos="916"/>
                      </w:tabs>
                      <w:jc w:val="center"/>
                      <w:rPr>
                        <w:szCs w:val="24"/>
                        <w:lang w:eastAsia="lt-LT"/>
                      </w:rPr>
                    </w:pPr>
                  </w:p>
                  <w:p>
                    <w:pPr>
                      <w:tabs>
                        <w:tab w:val="left" w:pos="916"/>
                      </w:tabs>
                      <w:jc w:val="center"/>
                      <w:rPr>
                        <w:szCs w:val="24"/>
                        <w:lang w:eastAsia="lt-LT"/>
                      </w:rPr>
                    </w:pPr>
                  </w:p>
                </w:tc>
                <w:tc>
                  <w:tcPr>
                    <w:tcW w:w="1242" w:type="dxa"/>
                    <w:tcBorders>
                      <w:top w:val="single" w:sz="4" w:space="0" w:color="auto"/>
                      <w:left w:val="single" w:sz="4" w:space="0" w:color="auto"/>
                      <w:bottom w:val="single" w:sz="4" w:space="0" w:color="auto"/>
                      <w:right w:val="single" w:sz="4" w:space="0" w:color="auto"/>
                    </w:tcBorders>
                    <w:noWrap/>
                  </w:tcPr>
                  <w:p>
                    <w:pPr>
                      <w:tabs>
                        <w:tab w:val="left" w:pos="916"/>
                      </w:tabs>
                      <w:jc w:val="center"/>
                      <w:rPr>
                        <w:szCs w:val="24"/>
                        <w:lang w:eastAsia="lt-LT"/>
                      </w:rPr>
                    </w:pPr>
                    <w:r>
                      <w:rPr>
                        <w:szCs w:val="24"/>
                        <w:lang w:eastAsia="lt-LT"/>
                      </w:rPr>
                      <w:t>53,67</w:t>
                    </w:r>
                  </w:p>
                  <w:p>
                    <w:pPr>
                      <w:tabs>
                        <w:tab w:val="left" w:pos="916"/>
                      </w:tabs>
                      <w:jc w:val="center"/>
                      <w:rPr>
                        <w:szCs w:val="24"/>
                        <w:lang w:eastAsia="lt-LT"/>
                      </w:rPr>
                    </w:pPr>
                  </w:p>
                  <w:p>
                    <w:pPr>
                      <w:tabs>
                        <w:tab w:val="left" w:pos="916"/>
                      </w:tabs>
                      <w:jc w:val="center"/>
                      <w:rPr>
                        <w:strike/>
                        <w:szCs w:val="24"/>
                        <w:lang w:eastAsia="lt-LT"/>
                      </w:rPr>
                    </w:pPr>
                  </w:p>
                </w:tc>
              </w:tr>
              <w:tr>
                <w:trPr>
                  <w:trHeight w:val="300"/>
                </w:trPr>
                <w:tc>
                  <w:tcPr>
                    <w:tcW w:w="992" w:type="dxa"/>
                    <w:tcBorders>
                      <w:top w:val="single" w:sz="4" w:space="0" w:color="auto"/>
                      <w:left w:val="single" w:sz="4" w:space="0" w:color="auto"/>
                      <w:bottom w:val="single" w:sz="4" w:space="0" w:color="auto"/>
                      <w:right w:val="single" w:sz="4" w:space="0" w:color="auto"/>
                    </w:tcBorders>
                  </w:tcPr>
                  <w:p>
                    <w:pPr>
                      <w:tabs>
                        <w:tab w:val="left" w:pos="916"/>
                      </w:tabs>
                      <w:rPr>
                        <w:color w:val="000000"/>
                        <w:szCs w:val="24"/>
                      </w:rPr>
                    </w:pPr>
                    <w:r>
                      <w:rPr>
                        <w:color w:val="000000"/>
                        <w:szCs w:val="24"/>
                      </w:rPr>
                      <w:t>7.3</w:t>
                    </w:r>
                  </w:p>
                </w:tc>
                <w:tc>
                  <w:tcPr>
                    <w:tcW w:w="5245" w:type="dxa"/>
                    <w:tcBorders>
                      <w:top w:val="single" w:sz="4" w:space="0" w:color="auto"/>
                      <w:left w:val="single" w:sz="4" w:space="0" w:color="auto"/>
                      <w:bottom w:val="single" w:sz="4" w:space="0" w:color="auto"/>
                      <w:right w:val="single" w:sz="4" w:space="0" w:color="auto"/>
                    </w:tcBorders>
                  </w:tcPr>
                  <w:p>
                    <w:pPr>
                      <w:tabs>
                        <w:tab w:val="left" w:pos="916"/>
                        <w:tab w:val="left" w:pos="5420"/>
                      </w:tabs>
                      <w:ind w:right="34"/>
                      <w:rPr>
                        <w:color w:val="000000"/>
                        <w:szCs w:val="24"/>
                      </w:rPr>
                    </w:pPr>
                    <w:r>
                      <w:rPr>
                        <w:color w:val="000000"/>
                        <w:szCs w:val="24"/>
                      </w:rPr>
                      <w:t>pareigūnų, kurie pagal pareigybės aprašymą</w:t>
                    </w:r>
                  </w:p>
                  <w:p>
                    <w:pPr>
                      <w:tabs>
                        <w:tab w:val="left" w:pos="916"/>
                        <w:tab w:val="left" w:pos="5420"/>
                      </w:tabs>
                      <w:ind w:right="34"/>
                      <w:rPr>
                        <w:color w:val="000000"/>
                        <w:szCs w:val="24"/>
                      </w:rPr>
                    </w:pPr>
                    <w:r>
                      <w:rPr>
                        <w:color w:val="000000"/>
                        <w:szCs w:val="24"/>
                      </w:rPr>
                      <w:t>atlieka objektų patikrą, kurios tikslas – aptikti, nustatyti ir neutralizuoti ginklus ir (ar) šaudmenis, sprogstamąsias medžiagas ir (ar) užtaisus – pagal Aprašo 2 priedo 8 punktą</w:t>
                    </w:r>
                  </w:p>
                </w:tc>
                <w:tc>
                  <w:tcPr>
                    <w:tcW w:w="1559" w:type="dxa"/>
                    <w:tcBorders>
                      <w:top w:val="single" w:sz="4" w:space="0" w:color="auto"/>
                      <w:left w:val="single" w:sz="4" w:space="0" w:color="auto"/>
                      <w:bottom w:val="single" w:sz="4" w:space="0" w:color="auto"/>
                      <w:right w:val="single" w:sz="4" w:space="0" w:color="auto"/>
                    </w:tcBorders>
                    <w:noWrap/>
                  </w:tcPr>
                  <w:p>
                    <w:pPr>
                      <w:tabs>
                        <w:tab w:val="left" w:pos="916"/>
                      </w:tabs>
                      <w:jc w:val="center"/>
                      <w:rPr>
                        <w:szCs w:val="24"/>
                        <w:lang w:eastAsia="lt-LT"/>
                      </w:rPr>
                    </w:pPr>
                    <w:r>
                      <w:rPr>
                        <w:szCs w:val="24"/>
                        <w:lang w:eastAsia="lt-LT"/>
                      </w:rPr>
                      <w:t>x</w:t>
                    </w:r>
                  </w:p>
                </w:tc>
                <w:tc>
                  <w:tcPr>
                    <w:tcW w:w="1242" w:type="dxa"/>
                    <w:tcBorders>
                      <w:top w:val="single" w:sz="4" w:space="0" w:color="auto"/>
                      <w:left w:val="single" w:sz="4" w:space="0" w:color="auto"/>
                      <w:bottom w:val="single" w:sz="4" w:space="0" w:color="auto"/>
                      <w:right w:val="single" w:sz="4" w:space="0" w:color="auto"/>
                    </w:tcBorders>
                    <w:noWrap/>
                  </w:tcPr>
                  <w:p>
                    <w:pPr>
                      <w:tabs>
                        <w:tab w:val="left" w:pos="916"/>
                      </w:tabs>
                      <w:jc w:val="center"/>
                      <w:rPr>
                        <w:szCs w:val="24"/>
                        <w:lang w:eastAsia="lt-LT"/>
                      </w:rPr>
                    </w:pPr>
                    <w:r>
                      <w:rPr>
                        <w:szCs w:val="24"/>
                        <w:lang w:eastAsia="lt-LT"/>
                      </w:rPr>
                      <w:t>65,63</w:t>
                    </w:r>
                  </w:p>
                </w:tc>
              </w:tr>
              <w:tr>
                <w:trPr>
                  <w:trHeight w:val="300"/>
                </w:trPr>
                <w:tc>
                  <w:tcPr>
                    <w:tcW w:w="992" w:type="dxa"/>
                    <w:tcBorders>
                      <w:top w:val="single" w:sz="4" w:space="0" w:color="auto"/>
                      <w:left w:val="single" w:sz="4" w:space="0" w:color="auto"/>
                      <w:bottom w:val="single" w:sz="4" w:space="0" w:color="auto"/>
                      <w:right w:val="single" w:sz="4" w:space="0" w:color="auto"/>
                    </w:tcBorders>
                  </w:tcPr>
                  <w:p>
                    <w:pPr>
                      <w:tabs>
                        <w:tab w:val="left" w:pos="916"/>
                      </w:tabs>
                      <w:rPr>
                        <w:color w:val="000000"/>
                        <w:szCs w:val="24"/>
                      </w:rPr>
                    </w:pPr>
                    <w:r>
                      <w:rPr>
                        <w:color w:val="000000"/>
                        <w:szCs w:val="24"/>
                      </w:rPr>
                      <w:t>7.4.</w:t>
                    </w:r>
                  </w:p>
                </w:tc>
                <w:tc>
                  <w:tcPr>
                    <w:tcW w:w="5245" w:type="dxa"/>
                    <w:tcBorders>
                      <w:top w:val="single" w:sz="4" w:space="0" w:color="auto"/>
                      <w:left w:val="single" w:sz="4" w:space="0" w:color="auto"/>
                      <w:bottom w:val="single" w:sz="4" w:space="0" w:color="auto"/>
                      <w:right w:val="single" w:sz="4" w:space="0" w:color="auto"/>
                    </w:tcBorders>
                  </w:tcPr>
                  <w:p>
                    <w:pPr>
                      <w:tabs>
                        <w:tab w:val="left" w:pos="916"/>
                        <w:tab w:val="left" w:pos="5420"/>
                      </w:tabs>
                      <w:ind w:right="34"/>
                      <w:rPr>
                        <w:color w:val="000000"/>
                        <w:szCs w:val="24"/>
                      </w:rPr>
                    </w:pPr>
                    <w:r>
                      <w:rPr>
                        <w:color w:val="000000"/>
                        <w:szCs w:val="24"/>
                      </w:rPr>
                      <w:t>ugniagesių gelbėtojų, dirbančių kvėpuoti netinkamoje aplinkoje su autonominiu atvirojo kvėpavimo suslėgtu oru aparatu – pagal Aprašo 2 priedo 3 punktą</w:t>
                    </w:r>
                  </w:p>
                </w:tc>
                <w:tc>
                  <w:tcPr>
                    <w:tcW w:w="1559" w:type="dxa"/>
                    <w:tcBorders>
                      <w:top w:val="single" w:sz="4" w:space="0" w:color="auto"/>
                      <w:left w:val="single" w:sz="4" w:space="0" w:color="auto"/>
                      <w:bottom w:val="single" w:sz="4" w:space="0" w:color="auto"/>
                      <w:right w:val="single" w:sz="4" w:space="0" w:color="auto"/>
                    </w:tcBorders>
                    <w:noWrap/>
                    <w:vAlign w:val="center"/>
                  </w:tcPr>
                  <w:p>
                    <w:pPr>
                      <w:tabs>
                        <w:tab w:val="left" w:pos="916"/>
                      </w:tabs>
                      <w:jc w:val="center"/>
                      <w:rPr>
                        <w:szCs w:val="24"/>
                        <w:lang w:eastAsia="lt-LT"/>
                      </w:rPr>
                    </w:pPr>
                    <w:r>
                      <w:rPr>
                        <w:szCs w:val="24"/>
                        <w:lang w:eastAsia="lt-LT"/>
                      </w:rPr>
                      <w:t>x</w:t>
                    </w:r>
                  </w:p>
                  <w:p>
                    <w:pPr>
                      <w:tabs>
                        <w:tab w:val="left" w:pos="916"/>
                      </w:tabs>
                      <w:jc w:val="center"/>
                      <w:rPr>
                        <w:szCs w:val="24"/>
                        <w:lang w:eastAsia="lt-LT"/>
                      </w:rPr>
                    </w:pPr>
                  </w:p>
                  <w:p>
                    <w:pPr>
                      <w:tabs>
                        <w:tab w:val="left" w:pos="916"/>
                      </w:tabs>
                      <w:jc w:val="center"/>
                      <w:rPr>
                        <w:szCs w:val="24"/>
                        <w:lang w:eastAsia="lt-LT"/>
                      </w:rPr>
                    </w:pPr>
                  </w:p>
                </w:tc>
                <w:tc>
                  <w:tcPr>
                    <w:tcW w:w="1242" w:type="dxa"/>
                    <w:tcBorders>
                      <w:top w:val="single" w:sz="4" w:space="0" w:color="auto"/>
                      <w:left w:val="single" w:sz="4" w:space="0" w:color="auto"/>
                      <w:bottom w:val="single" w:sz="4" w:space="0" w:color="auto"/>
                      <w:right w:val="single" w:sz="4" w:space="0" w:color="auto"/>
                    </w:tcBorders>
                    <w:noWrap/>
                    <w:vAlign w:val="bottom"/>
                  </w:tcPr>
                  <w:p>
                    <w:pPr>
                      <w:tabs>
                        <w:tab w:val="left" w:pos="916"/>
                      </w:tabs>
                      <w:jc w:val="center"/>
                      <w:rPr>
                        <w:szCs w:val="24"/>
                        <w:lang w:eastAsia="lt-LT"/>
                      </w:rPr>
                    </w:pPr>
                    <w:r>
                      <w:rPr>
                        <w:szCs w:val="24"/>
                        <w:lang w:eastAsia="lt-LT"/>
                      </w:rPr>
                      <w:t>65,33</w:t>
                    </w:r>
                  </w:p>
                  <w:p>
                    <w:pPr>
                      <w:tabs>
                        <w:tab w:val="left" w:pos="916"/>
                      </w:tabs>
                      <w:jc w:val="center"/>
                      <w:rPr>
                        <w:szCs w:val="24"/>
                        <w:lang w:eastAsia="lt-LT"/>
                      </w:rPr>
                    </w:pPr>
                  </w:p>
                  <w:p>
                    <w:pPr>
                      <w:tabs>
                        <w:tab w:val="left" w:pos="916"/>
                      </w:tabs>
                      <w:jc w:val="center"/>
                      <w:rPr>
                        <w:szCs w:val="24"/>
                        <w:lang w:eastAsia="lt-LT"/>
                      </w:rPr>
                    </w:pPr>
                  </w:p>
                </w:tc>
              </w:tr>
              <w:tr>
                <w:trPr>
                  <w:trHeight w:val="300"/>
                </w:trPr>
                <w:tc>
                  <w:tcPr>
                    <w:tcW w:w="992" w:type="dxa"/>
                    <w:tcBorders>
                      <w:top w:val="single" w:sz="4" w:space="0" w:color="auto"/>
                      <w:left w:val="single" w:sz="4" w:space="0" w:color="auto"/>
                      <w:bottom w:val="single" w:sz="4" w:space="0" w:color="auto"/>
                      <w:right w:val="single" w:sz="4" w:space="0" w:color="auto"/>
                    </w:tcBorders>
                  </w:tcPr>
                  <w:p>
                    <w:pPr>
                      <w:tabs>
                        <w:tab w:val="left" w:pos="916"/>
                      </w:tabs>
                      <w:rPr>
                        <w:color w:val="000000"/>
                        <w:szCs w:val="24"/>
                      </w:rPr>
                    </w:pPr>
                    <w:r>
                      <w:rPr>
                        <w:color w:val="000000"/>
                        <w:szCs w:val="24"/>
                      </w:rPr>
                      <w:t>7.5.</w:t>
                    </w:r>
                  </w:p>
                </w:tc>
                <w:tc>
                  <w:tcPr>
                    <w:tcW w:w="5245" w:type="dxa"/>
                    <w:tcBorders>
                      <w:top w:val="single" w:sz="4" w:space="0" w:color="auto"/>
                      <w:left w:val="single" w:sz="4" w:space="0" w:color="auto"/>
                      <w:bottom w:val="single" w:sz="4" w:space="0" w:color="auto"/>
                      <w:right w:val="single" w:sz="4" w:space="0" w:color="auto"/>
                    </w:tcBorders>
                  </w:tcPr>
                  <w:p>
                    <w:pPr>
                      <w:tabs>
                        <w:tab w:val="left" w:pos="916"/>
                        <w:tab w:val="left" w:pos="5420"/>
                      </w:tabs>
                      <w:ind w:right="34"/>
                      <w:rPr>
                        <w:color w:val="000000"/>
                        <w:szCs w:val="24"/>
                      </w:rPr>
                    </w:pPr>
                    <w:r>
                      <w:rPr>
                        <w:color w:val="000000"/>
                        <w:szCs w:val="24"/>
                      </w:rPr>
                      <w:t xml:space="preserve">skraidančiojo aviacijos personalo – pagal Aprašo 2 priedo        4 punktą</w:t>
                    </w:r>
                  </w:p>
                </w:tc>
                <w:tc>
                  <w:tcPr>
                    <w:tcW w:w="1559" w:type="dxa"/>
                    <w:tcBorders>
                      <w:top w:val="single" w:sz="4" w:space="0" w:color="auto"/>
                      <w:left w:val="single" w:sz="4" w:space="0" w:color="auto"/>
                      <w:bottom w:val="single" w:sz="4" w:space="0" w:color="auto"/>
                      <w:right w:val="single" w:sz="4" w:space="0" w:color="auto"/>
                    </w:tcBorders>
                    <w:noWrap/>
                  </w:tcPr>
                  <w:p>
                    <w:pPr>
                      <w:tabs>
                        <w:tab w:val="left" w:pos="916"/>
                      </w:tabs>
                      <w:jc w:val="center"/>
                      <w:rPr>
                        <w:szCs w:val="24"/>
                        <w:lang w:eastAsia="lt-LT"/>
                      </w:rPr>
                    </w:pPr>
                    <w:r>
                      <w:rPr>
                        <w:szCs w:val="24"/>
                        <w:lang w:eastAsia="lt-LT"/>
                      </w:rPr>
                      <w:t>x</w:t>
                    </w:r>
                  </w:p>
                </w:tc>
                <w:tc>
                  <w:tcPr>
                    <w:tcW w:w="1242" w:type="dxa"/>
                    <w:tcBorders>
                      <w:top w:val="single" w:sz="4" w:space="0" w:color="auto"/>
                      <w:left w:val="single" w:sz="4" w:space="0" w:color="auto"/>
                      <w:bottom w:val="single" w:sz="4" w:space="0" w:color="auto"/>
                      <w:right w:val="single" w:sz="4" w:space="0" w:color="auto"/>
                    </w:tcBorders>
                    <w:noWrap/>
                  </w:tcPr>
                  <w:p>
                    <w:pPr>
                      <w:tabs>
                        <w:tab w:val="left" w:pos="916"/>
                      </w:tabs>
                      <w:jc w:val="center"/>
                      <w:rPr>
                        <w:szCs w:val="24"/>
                        <w:lang w:eastAsia="lt-LT"/>
                      </w:rPr>
                    </w:pPr>
                    <w:r>
                      <w:rPr>
                        <w:szCs w:val="24"/>
                        <w:lang w:eastAsia="lt-LT"/>
                      </w:rPr>
                      <w:t>79,55</w:t>
                    </w:r>
                  </w:p>
                </w:tc>
              </w:tr>
              <w:tr>
                <w:trPr>
                  <w:trHeight w:val="300"/>
                </w:trPr>
                <w:tc>
                  <w:tcPr>
                    <w:tcW w:w="992" w:type="dxa"/>
                    <w:tcBorders>
                      <w:top w:val="single" w:sz="4" w:space="0" w:color="auto"/>
                      <w:left w:val="single" w:sz="4" w:space="0" w:color="auto"/>
                      <w:bottom w:val="single" w:sz="4" w:space="0" w:color="auto"/>
                      <w:right w:val="single" w:sz="4" w:space="0" w:color="auto"/>
                    </w:tcBorders>
                  </w:tcPr>
                  <w:p>
                    <w:pPr>
                      <w:tabs>
                        <w:tab w:val="left" w:pos="916"/>
                      </w:tabs>
                      <w:rPr>
                        <w:color w:val="000000"/>
                        <w:szCs w:val="24"/>
                      </w:rPr>
                    </w:pPr>
                    <w:r>
                      <w:rPr>
                        <w:color w:val="000000"/>
                        <w:szCs w:val="24"/>
                      </w:rPr>
                      <w:t>7.6.</w:t>
                    </w:r>
                  </w:p>
                </w:tc>
                <w:tc>
                  <w:tcPr>
                    <w:tcW w:w="5245" w:type="dxa"/>
                    <w:tcBorders>
                      <w:top w:val="single" w:sz="4" w:space="0" w:color="auto"/>
                      <w:left w:val="single" w:sz="4" w:space="0" w:color="auto"/>
                      <w:bottom w:val="single" w:sz="4" w:space="0" w:color="auto"/>
                      <w:right w:val="single" w:sz="4" w:space="0" w:color="auto"/>
                    </w:tcBorders>
                  </w:tcPr>
                  <w:p>
                    <w:pPr>
                      <w:tabs>
                        <w:tab w:val="left" w:pos="916"/>
                        <w:tab w:val="left" w:pos="5420"/>
                      </w:tabs>
                      <w:ind w:right="34"/>
                      <w:rPr>
                        <w:color w:val="000000"/>
                        <w:szCs w:val="24"/>
                      </w:rPr>
                    </w:pPr>
                    <w:r>
                      <w:rPr>
                        <w:color w:val="000000"/>
                        <w:szCs w:val="24"/>
                      </w:rPr>
                      <w:t>narų, dirbančių po vandeniu su autonominiu atvirojo kvėpavimo suslėgtu oru aparatu – pagal Aprašo 2 priedo 5 punktą</w:t>
                    </w:r>
                  </w:p>
                </w:tc>
                <w:tc>
                  <w:tcPr>
                    <w:tcW w:w="1559" w:type="dxa"/>
                    <w:tcBorders>
                      <w:top w:val="single" w:sz="4" w:space="0" w:color="auto"/>
                      <w:left w:val="single" w:sz="4" w:space="0" w:color="auto"/>
                      <w:bottom w:val="single" w:sz="4" w:space="0" w:color="auto"/>
                      <w:right w:val="single" w:sz="4" w:space="0" w:color="auto"/>
                    </w:tcBorders>
                    <w:noWrap/>
                  </w:tcPr>
                  <w:p>
                    <w:pPr>
                      <w:tabs>
                        <w:tab w:val="left" w:pos="916"/>
                      </w:tabs>
                      <w:jc w:val="center"/>
                      <w:rPr>
                        <w:szCs w:val="24"/>
                        <w:lang w:eastAsia="lt-LT"/>
                      </w:rPr>
                    </w:pPr>
                    <w:r>
                      <w:rPr>
                        <w:szCs w:val="24"/>
                        <w:lang w:eastAsia="lt-LT"/>
                      </w:rPr>
                      <w:t>x</w:t>
                    </w:r>
                  </w:p>
                  <w:p>
                    <w:pPr>
                      <w:tabs>
                        <w:tab w:val="left" w:pos="916"/>
                      </w:tabs>
                      <w:jc w:val="center"/>
                      <w:rPr>
                        <w:szCs w:val="24"/>
                        <w:lang w:eastAsia="lt-LT"/>
                      </w:rPr>
                    </w:pPr>
                  </w:p>
                </w:tc>
                <w:tc>
                  <w:tcPr>
                    <w:tcW w:w="1242" w:type="dxa"/>
                    <w:tcBorders>
                      <w:top w:val="single" w:sz="4" w:space="0" w:color="auto"/>
                      <w:left w:val="single" w:sz="4" w:space="0" w:color="auto"/>
                      <w:bottom w:val="single" w:sz="4" w:space="0" w:color="auto"/>
                      <w:right w:val="single" w:sz="4" w:space="0" w:color="auto"/>
                    </w:tcBorders>
                    <w:noWrap/>
                  </w:tcPr>
                  <w:p>
                    <w:pPr>
                      <w:tabs>
                        <w:tab w:val="left" w:pos="916"/>
                      </w:tabs>
                      <w:jc w:val="center"/>
                      <w:rPr>
                        <w:szCs w:val="24"/>
                        <w:lang w:eastAsia="lt-LT"/>
                      </w:rPr>
                    </w:pPr>
                    <w:r>
                      <w:rPr>
                        <w:szCs w:val="24"/>
                        <w:lang w:eastAsia="lt-LT"/>
                      </w:rPr>
                      <w:t>61,83</w:t>
                    </w:r>
                  </w:p>
                  <w:p>
                    <w:pPr>
                      <w:tabs>
                        <w:tab w:val="left" w:pos="916"/>
                      </w:tabs>
                      <w:jc w:val="center"/>
                      <w:rPr>
                        <w:szCs w:val="24"/>
                        <w:lang w:eastAsia="lt-LT"/>
                      </w:rPr>
                    </w:pPr>
                  </w:p>
                </w:tc>
              </w:tr>
              <w:tr>
                <w:trPr>
                  <w:trHeight w:val="300"/>
                </w:trPr>
                <w:tc>
                  <w:tcPr>
                    <w:tcW w:w="992" w:type="dxa"/>
                    <w:tcBorders>
                      <w:top w:val="single" w:sz="4" w:space="0" w:color="auto"/>
                      <w:left w:val="single" w:sz="4" w:space="0" w:color="auto"/>
                      <w:bottom w:val="single" w:sz="4" w:space="0" w:color="auto"/>
                      <w:right w:val="single" w:sz="4" w:space="0" w:color="auto"/>
                    </w:tcBorders>
                  </w:tcPr>
                  <w:p>
                    <w:pPr>
                      <w:tabs>
                        <w:tab w:val="left" w:pos="916"/>
                      </w:tabs>
                      <w:rPr>
                        <w:color w:val="000000"/>
                        <w:szCs w:val="24"/>
                      </w:rPr>
                    </w:pPr>
                    <w:r>
                      <w:rPr>
                        <w:color w:val="000000"/>
                        <w:szCs w:val="24"/>
                      </w:rPr>
                      <w:t>7.7.</w:t>
                    </w:r>
                  </w:p>
                </w:tc>
                <w:tc>
                  <w:tcPr>
                    <w:tcW w:w="5245" w:type="dxa"/>
                    <w:tcBorders>
                      <w:top w:val="single" w:sz="4" w:space="0" w:color="auto"/>
                      <w:left w:val="single" w:sz="4" w:space="0" w:color="auto"/>
                      <w:bottom w:val="single" w:sz="4" w:space="0" w:color="auto"/>
                      <w:right w:val="single" w:sz="4" w:space="0" w:color="auto"/>
                    </w:tcBorders>
                  </w:tcPr>
                  <w:p>
                    <w:pPr>
                      <w:tabs>
                        <w:tab w:val="left" w:pos="916"/>
                        <w:tab w:val="left" w:pos="5420"/>
                      </w:tabs>
                      <w:ind w:right="34"/>
                      <w:rPr>
                        <w:color w:val="000000"/>
                        <w:szCs w:val="24"/>
                      </w:rPr>
                    </w:pPr>
                    <w:r>
                      <w:rPr>
                        <w:color w:val="000000"/>
                        <w:szCs w:val="24"/>
                      </w:rPr>
                      <w:t>pareigūnų neeilinis sveikatos tikrinimas</w:t>
                    </w:r>
                  </w:p>
                  <w:p>
                    <w:pPr>
                      <w:tabs>
                        <w:tab w:val="left" w:pos="916"/>
                        <w:tab w:val="left" w:pos="5420"/>
                      </w:tabs>
                      <w:ind w:right="34"/>
                      <w:rPr>
                        <w:szCs w:val="24"/>
                      </w:rPr>
                    </w:pPr>
                    <w:r>
                      <w:rPr>
                        <w:color w:val="000000"/>
                        <w:szCs w:val="24"/>
                      </w:rPr>
                      <w:t>po nelaimingo atsitikimo tarnyboje – pagal a</w:t>
                    </w:r>
                    <w:r>
                      <w:rPr>
                        <w:szCs w:val="24"/>
                      </w:rPr>
                      <w:t>titinkamus Aprašo 2 priedo 3, 4, 5 ir 6 punktus;</w:t>
                    </w:r>
                  </w:p>
                  <w:p>
                    <w:pPr>
                      <w:tabs>
                        <w:tab w:val="left" w:pos="916"/>
                        <w:tab w:val="left" w:pos="5420"/>
                      </w:tabs>
                      <w:ind w:right="34"/>
                      <w:rPr>
                        <w:color w:val="000000"/>
                        <w:szCs w:val="24"/>
                      </w:rPr>
                    </w:pPr>
                    <w:r>
                      <w:rPr>
                        <w:color w:val="000000"/>
                        <w:szCs w:val="24"/>
                      </w:rPr>
                      <w:t>po incidento (šaunamojo ginklo panaudojimo, nelaimingo atsitikimo) tarnyboje – pagal Aprašo 2 priedo 7 punktą</w:t>
                    </w:r>
                  </w:p>
                </w:tc>
                <w:tc>
                  <w:tcPr>
                    <w:tcW w:w="1559" w:type="dxa"/>
                    <w:tcBorders>
                      <w:top w:val="single" w:sz="4" w:space="0" w:color="auto"/>
                      <w:left w:val="single" w:sz="4" w:space="0" w:color="auto"/>
                      <w:bottom w:val="single" w:sz="4" w:space="0" w:color="auto"/>
                      <w:right w:val="single" w:sz="4" w:space="0" w:color="auto"/>
                    </w:tcBorders>
                    <w:noWrap/>
                    <w:vAlign w:val="center"/>
                  </w:tcPr>
                  <w:p>
                    <w:pPr>
                      <w:tabs>
                        <w:tab w:val="left" w:pos="916"/>
                      </w:tabs>
                      <w:jc w:val="center"/>
                      <w:rPr>
                        <w:szCs w:val="24"/>
                        <w:lang w:eastAsia="lt-LT"/>
                      </w:rPr>
                    </w:pPr>
                    <w:r>
                      <w:rPr>
                        <w:szCs w:val="24"/>
                        <w:lang w:eastAsia="lt-LT"/>
                      </w:rPr>
                      <w:t>x</w:t>
                    </w:r>
                  </w:p>
                  <w:p>
                    <w:pPr>
                      <w:tabs>
                        <w:tab w:val="left" w:pos="916"/>
                      </w:tabs>
                      <w:jc w:val="center"/>
                      <w:rPr>
                        <w:szCs w:val="24"/>
                        <w:lang w:eastAsia="lt-LT"/>
                      </w:rPr>
                    </w:pPr>
                  </w:p>
                  <w:p>
                    <w:pPr>
                      <w:tabs>
                        <w:tab w:val="left" w:pos="916"/>
                      </w:tabs>
                      <w:jc w:val="center"/>
                      <w:rPr>
                        <w:szCs w:val="24"/>
                        <w:lang w:eastAsia="lt-LT"/>
                      </w:rPr>
                    </w:pPr>
                  </w:p>
                  <w:p>
                    <w:pPr>
                      <w:tabs>
                        <w:tab w:val="left" w:pos="916"/>
                      </w:tabs>
                      <w:jc w:val="center"/>
                      <w:rPr>
                        <w:szCs w:val="24"/>
                        <w:lang w:eastAsia="lt-LT"/>
                      </w:rPr>
                    </w:pPr>
                  </w:p>
                </w:tc>
                <w:tc>
                  <w:tcPr>
                    <w:tcW w:w="1242" w:type="dxa"/>
                    <w:tcBorders>
                      <w:top w:val="single" w:sz="4" w:space="0" w:color="auto"/>
                      <w:left w:val="single" w:sz="4" w:space="0" w:color="auto"/>
                      <w:bottom w:val="single" w:sz="4" w:space="0" w:color="auto"/>
                      <w:right w:val="single" w:sz="4" w:space="0" w:color="auto"/>
                    </w:tcBorders>
                    <w:noWrap/>
                  </w:tcPr>
                  <w:p>
                    <w:pPr>
                      <w:jc w:val="center"/>
                      <w:rPr>
                        <w:szCs w:val="24"/>
                      </w:rPr>
                    </w:pPr>
                    <w:r>
                      <w:rPr>
                        <w:szCs w:val="24"/>
                        <w:lang w:eastAsia="lt-LT"/>
                      </w:rPr>
                      <w:t>7,38</w:t>
                    </w:r>
                  </w:p>
                  <w:p>
                    <w:pPr>
                      <w:jc w:val="center"/>
                      <w:rPr>
                        <w:szCs w:val="24"/>
                      </w:rPr>
                    </w:pPr>
                  </w:p>
                  <w:p>
                    <w:pPr>
                      <w:jc w:val="center"/>
                      <w:rPr>
                        <w:szCs w:val="24"/>
                      </w:rPr>
                    </w:pPr>
                  </w:p>
                  <w:p>
                    <w:pPr>
                      <w:jc w:val="center"/>
                      <w:rPr>
                        <w:szCs w:val="24"/>
                      </w:rPr>
                    </w:pPr>
                  </w:p>
                </w:tc>
              </w:tr>
            </w:tbl>
            <w:p>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firstLine="960"/>
                <w:rPr>
                  <w:szCs w:val="24"/>
                  <w:lang w:eastAsia="lt-LT"/>
                </w:rPr>
              </w:pPr>
              <w:r>
                <w:rPr>
                  <w:szCs w:val="24"/>
                  <w:lang w:eastAsia="lt-LT"/>
                </w:rPr>
                <w:t xml:space="preserve">* Aviacijos  darbuotojų visapusiškos medicinos ekspertizės kaina – 101,69 Eur,         dalinės medicinos ekspertizės kaina – 46,22 Eur.</w:t>
              </w:r>
            </w:p>
            <w:p>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firstLine="960"/>
                <w:rPr>
                  <w:szCs w:val="24"/>
                  <w:lang w:eastAsia="lt-LT"/>
                </w:rPr>
              </w:pPr>
              <w:r>
                <w:rPr>
                  <w:szCs w:val="24"/>
                </w:rPr>
                <w:t>Pastaba. 7 punktu patvirtintos maksimalios</w:t>
              </w:r>
              <w:r>
                <w:rPr>
                  <w:szCs w:val="24"/>
                  <w:lang w:eastAsia="lt-LT"/>
                </w:rPr>
                <w:t xml:space="preserve"> vidaus tarnybos sistemos pareigūnų privalomų periodinių profilaktinių sveikatos patikrinimų</w:t>
              </w:r>
              <w:r>
                <w:rPr>
                  <w:szCs w:val="24"/>
                </w:rPr>
                <w:t xml:space="preserve"> kainos nustatytos pagal</w:t>
              </w:r>
              <w:r>
                <w:rPr>
                  <w:szCs w:val="24"/>
                  <w:lang w:eastAsia="lt-LT"/>
                </w:rPr>
                <w:t xml:space="preserve"> asmens sveikatos priežiūros įstaigų, kurių savininko teises ir pareigas įgyvendina </w:t>
              </w:r>
              <w:r>
                <w:rPr>
                  <w:rFonts w:eastAsia="Calibri"/>
                  <w:szCs w:val="24"/>
                  <w:lang w:val="pt-BR"/>
                </w:rPr>
                <w:t>Lietuvos Respublikos vidaus reikalų ministerija, apskaičiavimus.</w:t>
              </w:r>
            </w:p>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37533c0af7f11e5b12fbb7dc920ee2c">
                <w:r w:rsidRPr="00532B9F">
                  <w:rPr>
                    <w:rFonts w:ascii="Times New Roman" w:eastAsia="MS Mincho" w:hAnsi="Times New Roman"/>
                    <w:sz w:val="20"/>
                    <w:i/>
                    <w:iCs/>
                    <w:color w:val="0000FF" w:themeColor="hyperlink"/>
                    <w:u w:val="single"/>
                  </w:rPr>
                  <w:t>V-1500</w:t>
                </w:r>
              </w:fldSimple>
              <w:r>
                <w:rPr>
                  <w:rFonts w:ascii="Times New Roman" w:eastAsia="MS Mincho" w:hAnsi="Times New Roman"/>
                  <w:sz w:val="20"/>
                  <w:i/>
                  <w:iCs/>
                </w:rPr>
                <w:t>,
2015-12-23,
paskelbta TAR 2015-12-31, i. k. 2015-21184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87a1c2015da11e79800e8266c1e5d1b">
                <w:r w:rsidRPr="00532B9F">
                  <w:rPr>
                    <w:rFonts w:ascii="Times New Roman" w:eastAsia="MS Mincho" w:hAnsi="Times New Roman"/>
                    <w:sz w:val="20"/>
                    <w:i/>
                    <w:iCs/>
                    <w:color w:val="0000FF" w:themeColor="hyperlink"/>
                    <w:u w:val="single"/>
                  </w:rPr>
                  <w:t>V-354</w:t>
                </w:r>
              </w:fldSimple>
              <w:r>
                <w:rPr>
                  <w:rFonts w:ascii="Times New Roman" w:eastAsia="MS Mincho" w:hAnsi="Times New Roman"/>
                  <w:sz w:val="20"/>
                  <w:i/>
                  <w:iCs/>
                </w:rPr>
                <w:t>,
2017-03-27,
paskelbta TAR 2017-03-31, i. k. 2017-05281            </w:t>
              </w:r>
            </w:p>
            <w:p/>
          </w:sdtContent>
        </w:sdt>
        <w:sdt>
          <w:sdtPr>
            <w:alias w:val="skyrius"/>
            <w:tag w:val="part_4fe74421a0e5406a99443c2f7d4f5184"/>
            <w:lock w:val="sdtLocked"/>
            <w:richText/>
          </w:sdtPr>
          <w:sdtContent>
            <w:p>
              <w:pPr>
                <w:jc w:val="center"/>
                <w:rPr>
                  <w:b/>
                  <w:szCs w:val="24"/>
                </w:rPr>
              </w:pPr>
              <w:sdt>
                <w:sdtPr>
                  <w:alias w:val="Numeris"/>
                  <w:tag w:val="nr_4fe74421a0e5406a99443c2f7d4f5184"/>
                  <w:lock w:val="sdtLocked"/>
                  <w:richText/>
                </w:sdtPr>
                <w:sdtContent>
                  <w:r>
                    <w:rPr>
                      <w:b/>
                      <w:szCs w:val="24"/>
                    </w:rPr>
                    <w:t>II</w:t>
                  </w:r>
                </w:sdtContent>
              </w:sdt>
              <w:r>
                <w:rPr>
                  <w:b/>
                  <w:szCs w:val="24"/>
                </w:rPr>
                <w:t xml:space="preserve"> SKYRIUS</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Cs w:val="24"/>
                </w:rPr>
              </w:pPr>
              <w:sdt>
                <w:sdtPr>
                  <w:alias w:val="Pavadinimas"/>
                  <w:tag w:val="title_4fe74421a0e5406a99443c2f7d4f5184"/>
                  <w:lock w:val="sdtLocked"/>
                  <w:richText/>
                </w:sdtPr>
                <w:sdtContent>
                  <w:r>
                    <w:rPr>
                      <w:b/>
                      <w:szCs w:val="24"/>
                    </w:rPr>
                    <w:t>GYDYTOJŲ SPECIALISTŲ, TEIKIANČIŲ PROFILAKTINIŲ SVEIKATOS TIKRINIMŲ PASLAUGAS, APMOKAMAS IŠ PRIVALOMOJO SVEIKATOS DRAUDIMO FONDO BIUDŽETO, PASLAUGŲ KAINOS</w:t>
                  </w:r>
                </w:sdtContent>
              </w:sdt>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Cs w:val="24"/>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07"/>
                <w:gridCol w:w="6000"/>
                <w:gridCol w:w="2632"/>
              </w:tblGrid>
              <w:tr>
                <w:tc>
                  <w:tcPr>
                    <w:tcW w:w="1007" w:type="dxa"/>
                    <w:tcBorders>
                      <w:top w:val="single" w:sz="4" w:space="0" w:color="auto"/>
                      <w:left w:val="single" w:sz="4" w:space="0" w:color="auto"/>
                      <w:bottom w:val="single" w:sz="4" w:space="0" w:color="auto"/>
                      <w:right w:val="single" w:sz="4" w:space="0" w:color="auto"/>
                    </w:tcBorders>
                  </w:tcPr>
                  <w:p>
                    <w:pPr>
                      <w:tabs>
                        <w:tab w:val="left" w:pos="0"/>
                        <w:tab w:val="left" w:pos="850"/>
                        <w:tab w:val="left" w:pos="8504"/>
                        <w:tab w:val="left" w:pos="9000"/>
                      </w:tabs>
                      <w:jc w:val="center"/>
                      <w:rPr>
                        <w:szCs w:val="24"/>
                      </w:rPr>
                    </w:pPr>
                    <w:r>
                      <w:rPr>
                        <w:szCs w:val="24"/>
                      </w:rPr>
                      <w:t>Eil. Nr.</w:t>
                    </w:r>
                  </w:p>
                </w:tc>
                <w:tc>
                  <w:tcPr>
                    <w:tcW w:w="6000" w:type="dxa"/>
                    <w:tcBorders>
                      <w:top w:val="single" w:sz="4" w:space="0" w:color="auto"/>
                      <w:left w:val="single" w:sz="4" w:space="0" w:color="auto"/>
                      <w:bottom w:val="single" w:sz="4" w:space="0" w:color="auto"/>
                      <w:right w:val="single" w:sz="4" w:space="0" w:color="auto"/>
                    </w:tcBorders>
                  </w:tcPr>
                  <w:p>
                    <w:pPr>
                      <w:tabs>
                        <w:tab w:val="left" w:pos="0"/>
                        <w:tab w:val="left" w:pos="850"/>
                        <w:tab w:val="left" w:pos="8504"/>
                        <w:tab w:val="left" w:pos="9000"/>
                      </w:tabs>
                      <w:jc w:val="center"/>
                      <w:rPr>
                        <w:szCs w:val="24"/>
                      </w:rPr>
                    </w:pPr>
                    <w:r>
                      <w:rPr>
                        <w:szCs w:val="24"/>
                      </w:rPr>
                      <w:t>Profilaktiniai sveikatos tikrinimai</w:t>
                    </w:r>
                  </w:p>
                </w:tc>
                <w:tc>
                  <w:tcPr>
                    <w:tcW w:w="2632" w:type="dxa"/>
                    <w:tcBorders>
                      <w:top w:val="single" w:sz="4" w:space="0" w:color="auto"/>
                      <w:left w:val="single" w:sz="4" w:space="0" w:color="auto"/>
                      <w:bottom w:val="single" w:sz="4" w:space="0" w:color="auto"/>
                      <w:right w:val="single" w:sz="4" w:space="0" w:color="auto"/>
                    </w:tcBorders>
                  </w:tcPr>
                  <w:p>
                    <w:pPr>
                      <w:tabs>
                        <w:tab w:val="left" w:pos="0"/>
                        <w:tab w:val="left" w:pos="850"/>
                        <w:tab w:val="left" w:pos="8504"/>
                        <w:tab w:val="left" w:pos="9000"/>
                      </w:tabs>
                      <w:jc w:val="center"/>
                      <w:rPr>
                        <w:szCs w:val="24"/>
                      </w:rPr>
                    </w:pPr>
                    <w:r>
                      <w:rPr>
                        <w:szCs w:val="24"/>
                      </w:rPr>
                      <w:t>Kaina</w:t>
                    </w:r>
                  </w:p>
                  <w:p>
                    <w:pPr>
                      <w:tabs>
                        <w:tab w:val="left" w:pos="0"/>
                        <w:tab w:val="left" w:pos="850"/>
                        <w:tab w:val="left" w:pos="8504"/>
                        <w:tab w:val="left" w:pos="9000"/>
                      </w:tabs>
                      <w:jc w:val="center"/>
                      <w:rPr>
                        <w:szCs w:val="24"/>
                      </w:rPr>
                    </w:pPr>
                    <w:r>
                      <w:rPr>
                        <w:szCs w:val="24"/>
                      </w:rPr>
                      <w:t>(balais)</w:t>
                    </w:r>
                  </w:p>
                </w:tc>
              </w:tr>
              <w:tr>
                <w:trPr>
                  <w:trHeight w:val="428"/>
                </w:trPr>
                <w:tc>
                  <w:tcPr>
                    <w:tcW w:w="1007" w:type="dxa"/>
                    <w:tcBorders>
                      <w:top w:val="single" w:sz="4" w:space="0" w:color="auto"/>
                      <w:left w:val="single" w:sz="4" w:space="0" w:color="auto"/>
                      <w:bottom w:val="single" w:sz="4" w:space="0" w:color="auto"/>
                      <w:right w:val="single" w:sz="4" w:space="0" w:color="auto"/>
                    </w:tcBorders>
                  </w:tcPr>
                  <w:p>
                    <w:pPr>
                      <w:tabs>
                        <w:tab w:val="left" w:pos="0"/>
                        <w:tab w:val="left" w:pos="850"/>
                        <w:tab w:val="left" w:pos="8504"/>
                        <w:tab w:val="left" w:pos="9000"/>
                      </w:tabs>
                      <w:jc w:val="center"/>
                      <w:rPr>
                        <w:szCs w:val="24"/>
                      </w:rPr>
                    </w:pPr>
                    <w:r>
                      <w:rPr>
                        <w:szCs w:val="24"/>
                      </w:rPr>
                      <w:t>1</w:t>
                    </w:r>
                  </w:p>
                </w:tc>
                <w:tc>
                  <w:tcPr>
                    <w:tcW w:w="6000" w:type="dxa"/>
                    <w:tcBorders>
                      <w:top w:val="single" w:sz="4" w:space="0" w:color="auto"/>
                      <w:left w:val="single" w:sz="4" w:space="0" w:color="auto"/>
                      <w:bottom w:val="single" w:sz="4" w:space="0" w:color="auto"/>
                      <w:right w:val="single" w:sz="4" w:space="0" w:color="auto"/>
                    </w:tcBorders>
                  </w:tcPr>
                  <w:p>
                    <w:pPr>
                      <w:tabs>
                        <w:tab w:val="left" w:pos="0"/>
                        <w:tab w:val="left" w:pos="850"/>
                        <w:tab w:val="left" w:pos="8504"/>
                        <w:tab w:val="left" w:pos="9000"/>
                      </w:tabs>
                      <w:rPr>
                        <w:szCs w:val="24"/>
                      </w:rPr>
                    </w:pPr>
                    <w:r>
                      <w:rPr>
                        <w:szCs w:val="24"/>
                      </w:rPr>
                      <w:t>Gydytojo specialisto</w:t>
                    </w:r>
                  </w:p>
                </w:tc>
                <w:tc>
                  <w:tcPr>
                    <w:tcW w:w="2632" w:type="dxa"/>
                    <w:tcBorders>
                      <w:top w:val="single" w:sz="4" w:space="0" w:color="auto"/>
                      <w:left w:val="single" w:sz="4" w:space="0" w:color="auto"/>
                      <w:bottom w:val="single" w:sz="4" w:space="0" w:color="auto"/>
                      <w:right w:val="single" w:sz="4" w:space="0" w:color="auto"/>
                    </w:tcBorders>
                  </w:tcPr>
                  <w:p>
                    <w:pPr>
                      <w:tabs>
                        <w:tab w:val="left" w:pos="0"/>
                        <w:tab w:val="left" w:pos="850"/>
                        <w:tab w:val="left" w:pos="8504"/>
                        <w:tab w:val="left" w:pos="9000"/>
                      </w:tabs>
                      <w:jc w:val="center"/>
                      <w:rPr>
                        <w:szCs w:val="24"/>
                      </w:rPr>
                    </w:pPr>
                    <w:r>
                      <w:rPr>
                        <w:szCs w:val="24"/>
                      </w:rPr>
                      <w:t>9,13</w:t>
                    </w:r>
                  </w:p>
                </w:tc>
              </w:tr>
            </w:tbl>
            <w:p/>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752abb0378c11e69101aaab2992cbcd">
                <w:r w:rsidRPr="00532B9F">
                  <w:rPr>
                    <w:rFonts w:ascii="Times New Roman" w:eastAsia="MS Mincho" w:hAnsi="Times New Roman"/>
                    <w:sz w:val="20"/>
                    <w:i/>
                    <w:iCs/>
                    <w:color w:val="0000FF" w:themeColor="hyperlink"/>
                    <w:u w:val="single"/>
                  </w:rPr>
                  <w:t>V-804</w:t>
                </w:r>
              </w:fldSimple>
              <w:r>
                <w:rPr>
                  <w:rFonts w:ascii="Times New Roman" w:eastAsia="MS Mincho" w:hAnsi="Times New Roman"/>
                  <w:sz w:val="20"/>
                  <w:i/>
                  <w:iCs/>
                </w:rPr>
                <w:t>,
2016-06-14,
paskelbta TAR 2016-06-21, i. k. 2016-17335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943b540529011e7846ef01bfffb9b64">
                <w:r w:rsidRPr="00532B9F">
                  <w:rPr>
                    <w:rFonts w:ascii="Times New Roman" w:eastAsia="MS Mincho" w:hAnsi="Times New Roman"/>
                    <w:sz w:val="20"/>
                    <w:i/>
                    <w:iCs/>
                    <w:color w:val="0000FF" w:themeColor="hyperlink"/>
                    <w:u w:val="single"/>
                  </w:rPr>
                  <w:t>V-715</w:t>
                </w:r>
              </w:fldSimple>
              <w:r>
                <w:rPr>
                  <w:rFonts w:ascii="Times New Roman" w:eastAsia="MS Mincho" w:hAnsi="Times New Roman"/>
                  <w:sz w:val="20"/>
                  <w:i/>
                  <w:iCs/>
                </w:rPr>
                <w:t>,
2017-06-14,
paskelbta TAR 2017-06-19, i. k. 2017-10169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2427960447e11e8ad2f97b2a095557a">
                <w:r w:rsidRPr="00532B9F">
                  <w:rPr>
                    <w:rFonts w:ascii="Times New Roman" w:eastAsia="MS Mincho" w:hAnsi="Times New Roman"/>
                    <w:sz w:val="20"/>
                    <w:i/>
                    <w:iCs/>
                    <w:color w:val="0000FF" w:themeColor="hyperlink"/>
                    <w:u w:val="single"/>
                  </w:rPr>
                  <w:t>V-458</w:t>
                </w:r>
              </w:fldSimple>
              <w:r>
                <w:rPr>
                  <w:rFonts w:ascii="Times New Roman" w:eastAsia="MS Mincho" w:hAnsi="Times New Roman"/>
                  <w:sz w:val="20"/>
                  <w:i/>
                  <w:iCs/>
                </w:rPr>
                <w:t>,
2018-04-19,
paskelbta TAR 2018-04-20, i. k. 2018-06362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c383fb0a9f911e9964cdd77475976b0">
                <w:r w:rsidRPr="00532B9F">
                  <w:rPr>
                    <w:rFonts w:ascii="Times New Roman" w:eastAsia="MS Mincho" w:hAnsi="Times New Roman"/>
                    <w:sz w:val="20"/>
                    <w:i/>
                    <w:iCs/>
                    <w:color w:val="0000FF" w:themeColor="hyperlink"/>
                    <w:u w:val="single"/>
                  </w:rPr>
                  <w:t>V-844</w:t>
                </w:r>
              </w:fldSimple>
              <w:r>
                <w:rPr>
                  <w:rFonts w:ascii="Times New Roman" w:eastAsia="MS Mincho" w:hAnsi="Times New Roman"/>
                  <w:sz w:val="20"/>
                  <w:i/>
                  <w:iCs/>
                </w:rPr>
                <w:t>,
2019-07-18,
paskelbta TAR 2019-07-19, i. k. 2019-11907            </w:t>
              </w:r>
            </w:p>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ca090a090b811e4bb408baba2bdddf3">
            <w:r w:rsidRPr="00532B9F">
              <w:rPr>
                <w:rFonts w:ascii="Times New Roman" w:eastAsia="MS Mincho" w:hAnsi="Times New Roman"/>
                <w:sz w:val="20"/>
                <w:i/>
                <w:iCs/>
                <w:color w:val="0000FF" w:themeColor="hyperlink"/>
                <w:u w:val="single"/>
              </w:rPr>
              <w:t>V-1393</w:t>
            </w:r>
          </w:fldSimple>
          <w:r>
            <w:rPr>
              <w:rFonts w:ascii="Times New Roman" w:eastAsia="MS Mincho" w:hAnsi="Times New Roman"/>
              <w:sz w:val="20"/>
              <w:i/>
              <w:iCs/>
            </w:rPr>
            <w:t>,
2014-12-22,
paskelbta TAR 2014-12-31, i. k. 2014-21128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f2adef0aaeb11e48ebccd46991dfff9">
            <w:r w:rsidRPr="00532B9F">
              <w:rPr>
                <w:rFonts w:ascii="Times New Roman" w:eastAsia="MS Mincho" w:hAnsi="Times New Roman"/>
                <w:sz w:val="20"/>
                <w:i/>
                <w:iCs/>
                <w:color w:val="0000FF" w:themeColor="hyperlink"/>
                <w:u w:val="single"/>
              </w:rPr>
              <w:t>V-73</w:t>
            </w:r>
          </w:fldSimple>
          <w:r>
            <w:rPr>
              <w:rFonts w:ascii="Times New Roman" w:eastAsia="MS Mincho" w:hAnsi="Times New Roman"/>
              <w:sz w:val="20"/>
              <w:i/>
              <w:iCs/>
            </w:rPr>
            <w:t>,
2015-01-29,
paskelbta TAR 2015-02-02, i. k. 2015-01489            </w:t>
          </w:r>
        </w:p>
        <w:p/>
        <w:p>
          <w:pPr>
            <w:jc w:val="both"/>
            <w:rPr>
              <w:rFonts w:ascii="Times New Roman" w:hAnsi="Times New Roman"/>
              <w:sz w:val="20"/>
              <w:b/>
            </w:rPr>
          </w:pPr>
        </w:p>
        <w:p>
          <w:pPr>
            <w:jc w:val="both"/>
            <w:rPr>
              <w:rFonts w:ascii="Times New Roman" w:hAnsi="Times New Roman"/>
              <w:sz w:val="20"/>
              <w:b/>
            </w:rPr>
          </w:pPr>
        </w:p>
        <w:p>
          <w:pPr>
            <w:jc w:val="both"/>
            <w:rPr>
              <w:rFonts w:ascii="Times New Roman" w:hAnsi="Times New Roman"/>
              <w:b/>
            </w:rPr>
          </w:pPr>
          <w:r>
            <w:rPr>
              <w:rFonts w:ascii="Times New Roman" w:hAnsi="Times New Roman"/>
              <w:sz w:val="20"/>
              <w:b/>
            </w:rPr>
            <w:t>Pakeitimai:</w:t>
          </w:r>
        </w:p>
        <w:p>
          <w:pPr>
            <w:jc w:val="both"/>
            <w:rPr>
              <w:rFonts w:ascii="Times New Roman" w:hAnsi="Times New Roman"/>
              <w:sz w:val="20"/>
            </w:rPr>
          </w:pPr>
        </w:p>
        <w:p>
          <w:pPr>
            <w:jc w:val="both"/>
            <w:rPr>
              <w:rFonts w:ascii="Times New Roman" w:hAnsi="Times New Roman"/>
            </w:rPr>
          </w:pPr>
          <w:r>
            <w:rPr>
              <w:rFonts w:ascii="Times New Roman" w:hAnsi="Times New Roman"/>
              <w:sz w:val="20"/>
            </w:rPr>
            <w:t>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8AAE31A7848">
            <w:r w:rsidRPr="00532B9F">
              <w:rPr>
                <w:rFonts w:ascii="Times New Roman" w:eastAsia="MS Mincho" w:hAnsi="Times New Roman"/>
                <w:sz w:val="20"/>
                <w:iCs/>
                <w:color w:val="0000FF" w:themeColor="hyperlink"/>
                <w:u w:val="single"/>
              </w:rPr>
              <w:t>342</w:t>
            </w:r>
          </w:fldSimple>
          <w:r>
            <w:rPr>
              <w:rFonts w:ascii="Times New Roman" w:eastAsia="MS Mincho" w:hAnsi="Times New Roman"/>
              <w:sz w:val="20"/>
              <w:iCs/>
            </w:rPr>
            <w:t>,
2000-06-21,
Žin., 2000, Nr.
52-1509 (2000-06-28), i. k. 1002250ISAK00000342                </w:t>
          </w:r>
        </w:p>
        <w:p>
          <w:pPr>
            <w:jc w:val="both"/>
            <w:rPr>
              <w:rFonts w:ascii="Times New Roman" w:hAnsi="Times New Roman"/>
            </w:rPr>
          </w:pPr>
          <w:r>
            <w:rPr>
              <w:rFonts w:ascii="Times New Roman" w:hAnsi="Times New Roman"/>
              <w:sz w:val="20"/>
            </w:rPr>
            <w:t>Dėl sveikatos apsaugos ministro 2000 05 31 įsakymo Nr. 301 "Dėl profilaktinių sveikatos tikrinimų sveikatos priežiūros įstaigose" dalinio sustabdymo ir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3558C9A7E15">
            <w:r w:rsidRPr="00532B9F">
              <w:rPr>
                <w:rFonts w:ascii="Times New Roman" w:eastAsia="MS Mincho" w:hAnsi="Times New Roman"/>
                <w:sz w:val="20"/>
                <w:iCs/>
                <w:color w:val="0000FF" w:themeColor="hyperlink"/>
                <w:u w:val="single"/>
              </w:rPr>
              <w:t>305</w:t>
            </w:r>
          </w:fldSimple>
          <w:r>
            <w:rPr>
              <w:rFonts w:ascii="Times New Roman" w:eastAsia="MS Mincho" w:hAnsi="Times New Roman"/>
              <w:sz w:val="20"/>
              <w:iCs/>
            </w:rPr>
            <w:t>,
2001-05-28,
Žin., 2001, Nr.
47-1643 (2001-06-01), i. k. 1012250ISAK00000305                </w:t>
          </w:r>
        </w:p>
        <w:p>
          <w:pPr>
            <w:jc w:val="both"/>
            <w:rPr>
              <w:rFonts w:ascii="Times New Roman" w:hAnsi="Times New Roman"/>
            </w:rPr>
          </w:pPr>
          <w:r>
            <w:rPr>
              <w:rFonts w:ascii="Times New Roman" w:hAnsi="Times New Roman"/>
              <w:sz w:val="20"/>
            </w:rPr>
            <w:t>Dėl Lietuvos Respublikos sveikatos apsaugos ministro 2000 05 31 įsakymo Nr.301 "Dėl profilaktinių sveikatos tikrinimų sveikatos priežiūros įstaigose" 11 priedo "Laivyno darbuotojų sveikatos tikrinimo tvarka" dalinio pakeitimo ir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DA492D2283">
            <w:r w:rsidRPr="00532B9F">
              <w:rPr>
                <w:rFonts w:ascii="Times New Roman" w:eastAsia="MS Mincho" w:hAnsi="Times New Roman"/>
                <w:sz w:val="20"/>
                <w:iCs/>
                <w:color w:val="0000FF" w:themeColor="hyperlink"/>
                <w:u w:val="single"/>
              </w:rPr>
              <w:t>381</w:t>
            </w:r>
          </w:fldSimple>
          <w:r>
            <w:rPr>
              <w:rFonts w:ascii="Times New Roman" w:eastAsia="MS Mincho" w:hAnsi="Times New Roman"/>
              <w:sz w:val="20"/>
              <w:iCs/>
            </w:rPr>
            <w:t>,
2001-07-12,
Žin., 2001, Nr.
63-2294 (2001-07-19), i. k. 1012250ISAK00000381                </w:t>
          </w:r>
        </w:p>
        <w:p>
          <w:pPr>
            <w:jc w:val="both"/>
            <w:rPr>
              <w:rFonts w:ascii="Times New Roman" w:hAnsi="Times New Roman"/>
            </w:rPr>
          </w:pPr>
          <w:r>
            <w:rPr>
              <w:rFonts w:ascii="Times New Roman" w:hAnsi="Times New Roman"/>
              <w:sz w:val="20"/>
            </w:rPr>
            <w:t>Dėl sveikatos apsaugos ministro 2000-05-31 įsakymo Nr. 301 "Dėl profilaktinių sveikatos tikrinimų sveikatos priežiūros įstaigose" 13 priedo I dalies "Tikrinimo tvarka" 3 punkto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90487535B09">
            <w:r w:rsidRPr="00532B9F">
              <w:rPr>
                <w:rFonts w:ascii="Times New Roman" w:eastAsia="MS Mincho" w:hAnsi="Times New Roman"/>
                <w:sz w:val="20"/>
                <w:iCs/>
                <w:color w:val="0000FF" w:themeColor="hyperlink"/>
                <w:u w:val="single"/>
              </w:rPr>
              <w:t>16</w:t>
            </w:r>
          </w:fldSimple>
          <w:r>
            <w:rPr>
              <w:rFonts w:ascii="Times New Roman" w:eastAsia="MS Mincho" w:hAnsi="Times New Roman"/>
              <w:sz w:val="20"/>
              <w:iCs/>
            </w:rPr>
            <w:t>,
2002-01-14,
Žin., 2002, Nr.
9-328 (2002-01-26), i. k. 1022250ISAK00000016                </w:t>
          </w:r>
        </w:p>
        <w:p>
          <w:pPr>
            <w:jc w:val="both"/>
            <w:rPr>
              <w:rFonts w:ascii="Times New Roman" w:hAnsi="Times New Roman"/>
            </w:rPr>
          </w:pPr>
          <w:r>
            <w:rPr>
              <w:rFonts w:ascii="Times New Roman" w:hAnsi="Times New Roman"/>
              <w:sz w:val="20"/>
            </w:rPr>
            <w:t>Dėl sveikatos apsaugos ministro 2000 m. gegužės 31 d. įsakymo Nr. 301 "Dėl Profilaktinių sveikatos tikrinimų sveikatos priežiūros įstaigose 13 priedo I dalies "Tikrinimo tvarka" 3 punkto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835F6913824A">
            <w:r w:rsidRPr="00532B9F">
              <w:rPr>
                <w:rFonts w:ascii="Times New Roman" w:eastAsia="MS Mincho" w:hAnsi="Times New Roman"/>
                <w:sz w:val="20"/>
                <w:iCs/>
                <w:color w:val="0000FF" w:themeColor="hyperlink"/>
                <w:u w:val="single"/>
              </w:rPr>
              <w:t>198</w:t>
            </w:r>
          </w:fldSimple>
          <w:r>
            <w:rPr>
              <w:rFonts w:ascii="Times New Roman" w:eastAsia="MS Mincho" w:hAnsi="Times New Roman"/>
              <w:sz w:val="20"/>
              <w:iCs/>
            </w:rPr>
            <w:t>,
2002-05-03,
Žin., 2002, Nr.
47-1822 (2002-05-10), i. k. 1022250ISAK00000198                </w:t>
          </w:r>
        </w:p>
        <w:p>
          <w:pPr>
            <w:jc w:val="both"/>
            <w:rPr>
              <w:rFonts w:ascii="Times New Roman" w:hAnsi="Times New Roman"/>
            </w:rPr>
          </w:pPr>
          <w:r>
            <w:rPr>
              <w:rFonts w:ascii="Times New Roman" w:hAnsi="Times New Roman"/>
              <w:sz w:val="20"/>
            </w:rPr>
            <w:t>Dėl sveikatos apsaugos ministro 2000 m.gegužės 31 d. įsakymo Nr. 301 "Dėl profilaktinių sveikatos tikrinimų sveikatos priežiūros įstaigose"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0FF49B1BF8F5">
            <w:r w:rsidRPr="00532B9F">
              <w:rPr>
                <w:rFonts w:ascii="Times New Roman" w:eastAsia="MS Mincho" w:hAnsi="Times New Roman"/>
                <w:sz w:val="20"/>
                <w:iCs/>
                <w:color w:val="0000FF" w:themeColor="hyperlink"/>
                <w:u w:val="single"/>
              </w:rPr>
              <w:t>V-540</w:t>
            </w:r>
          </w:fldSimple>
          <w:r>
            <w:rPr>
              <w:rFonts w:ascii="Times New Roman" w:eastAsia="MS Mincho" w:hAnsi="Times New Roman"/>
              <w:sz w:val="20"/>
              <w:iCs/>
            </w:rPr>
            <w:t>,
2003-09-18,
Žin., 2003, Nr.
92-4164 (2003-10-01), i. k. 1032250ISAK000V-540                </w:t>
          </w:r>
        </w:p>
        <w:p>
          <w:pPr>
            <w:jc w:val="both"/>
            <w:rPr>
              <w:rFonts w:ascii="Times New Roman" w:hAnsi="Times New Roman"/>
            </w:rPr>
          </w:pPr>
          <w:r>
            <w:rPr>
              <w:rFonts w:ascii="Times New Roman" w:hAnsi="Times New Roman"/>
              <w:sz w:val="20"/>
            </w:rPr>
            <w:t>Dėl sveikatos apsaugos ministro 2000 m. gegužės 31 d. įsakymo Nr. 301 "Dėl profilaktinių sveikatos priežiūros tikrinimų sveikatos priežiūros įstaigose" 14 priedo pripažinimo netekusiu galios</w:t>
          </w:r>
        </w:p>
        <w:p>
          <w:pPr>
            <w:jc w:val="both"/>
            <w:rPr>
              <w:rFonts w:ascii="Times New Roman" w:hAnsi="Times New Roman"/>
              <w:sz w:val="20"/>
            </w:rPr>
          </w:pPr>
        </w:p>
        <w:p>
          <w:pPr>
            <w:jc w:val="both"/>
            <w:rPr>
              <w:rFonts w:ascii="Times New Roman" w:hAnsi="Times New Roman"/>
            </w:rPr>
          </w:pPr>
          <w:r>
            <w:rPr>
              <w:rFonts w:ascii="Times New Roman" w:hAnsi="Times New Roman"/>
              <w:sz w:val="20"/>
            </w:rPr>
            <w:t>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E4955D5C12C">
            <w:r w:rsidRPr="00532B9F">
              <w:rPr>
                <w:rFonts w:ascii="Times New Roman" w:eastAsia="MS Mincho" w:hAnsi="Times New Roman"/>
                <w:sz w:val="20"/>
                <w:iCs/>
                <w:color w:val="0000FF" w:themeColor="hyperlink"/>
                <w:u w:val="single"/>
              </w:rPr>
              <w:t>V-79</w:t>
            </w:r>
          </w:fldSimple>
          <w:r>
            <w:rPr>
              <w:rFonts w:ascii="Times New Roman" w:eastAsia="MS Mincho" w:hAnsi="Times New Roman"/>
              <w:sz w:val="20"/>
              <w:iCs/>
            </w:rPr>
            <w:t>,
2004-02-20,
Žin., 2004, Nr.
32-1030 (2004-02-28), i. k. 1042250ISAK0000V-79                </w:t>
          </w:r>
        </w:p>
        <w:p>
          <w:pPr>
            <w:jc w:val="both"/>
            <w:rPr>
              <w:rFonts w:ascii="Times New Roman" w:hAnsi="Times New Roman"/>
            </w:rPr>
          </w:pPr>
          <w:r>
            <w:rPr>
              <w:rFonts w:ascii="Times New Roman" w:hAnsi="Times New Roman"/>
              <w:sz w:val="20"/>
            </w:rPr>
            <w:t>Dėl Lietuvos Respublikos sveikatos apsaugos ministro įsakymų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13668E5C8160">
            <w:r w:rsidRPr="00532B9F">
              <w:rPr>
                <w:rFonts w:ascii="Times New Roman" w:eastAsia="MS Mincho" w:hAnsi="Times New Roman"/>
                <w:sz w:val="20"/>
                <w:iCs/>
                <w:color w:val="0000FF" w:themeColor="hyperlink"/>
                <w:u w:val="single"/>
              </w:rPr>
              <w:t>V-310</w:t>
            </w:r>
          </w:fldSimple>
          <w:r>
            <w:rPr>
              <w:rFonts w:ascii="Times New Roman" w:eastAsia="MS Mincho" w:hAnsi="Times New Roman"/>
              <w:sz w:val="20"/>
              <w:iCs/>
            </w:rPr>
            <w:t>,
2005-04-27,
Žin., 2005, Nr.
55-1896 (2005-04-30), i. k. 1052250ISAK000V-310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A2A80746DED">
            <w:r w:rsidRPr="00532B9F">
              <w:rPr>
                <w:rFonts w:ascii="Times New Roman" w:eastAsia="MS Mincho" w:hAnsi="Times New Roman"/>
                <w:sz w:val="20"/>
                <w:iCs/>
                <w:color w:val="0000FF" w:themeColor="hyperlink"/>
                <w:u w:val="single"/>
              </w:rPr>
              <w:t>V-815</w:t>
            </w:r>
          </w:fldSimple>
          <w:r>
            <w:rPr>
              <w:rFonts w:ascii="Times New Roman" w:eastAsia="MS Mincho" w:hAnsi="Times New Roman"/>
              <w:sz w:val="20"/>
              <w:iCs/>
            </w:rPr>
            <w:t>,
2005-10-27,
Žin., 2005, Nr.
128-4637 (2005-10-29), i. k. 1052250ISAK000V-815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6E09DC05FD21">
            <w:r w:rsidRPr="00532B9F">
              <w:rPr>
                <w:rFonts w:ascii="Times New Roman" w:eastAsia="MS Mincho" w:hAnsi="Times New Roman"/>
                <w:sz w:val="20"/>
                <w:iCs/>
                <w:color w:val="0000FF" w:themeColor="hyperlink"/>
                <w:u w:val="single"/>
              </w:rPr>
              <w:t>V-323</w:t>
            </w:r>
          </w:fldSimple>
          <w:r>
            <w:rPr>
              <w:rFonts w:ascii="Times New Roman" w:eastAsia="MS Mincho" w:hAnsi="Times New Roman"/>
              <w:sz w:val="20"/>
              <w:iCs/>
            </w:rPr>
            <w:t>,
2006-04-27,
Žin., 2006, Nr.
48-1728 (2006-04-29), i. k. 1062250ISAK000V-323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BFD5728271A">
            <w:r w:rsidRPr="00532B9F">
              <w:rPr>
                <w:rFonts w:ascii="Times New Roman" w:eastAsia="MS Mincho" w:hAnsi="Times New Roman"/>
                <w:sz w:val="20"/>
                <w:iCs/>
                <w:color w:val="0000FF" w:themeColor="hyperlink"/>
                <w:u w:val="single"/>
              </w:rPr>
              <w:t>V-319</w:t>
            </w:r>
          </w:fldSimple>
          <w:r>
            <w:rPr>
              <w:rFonts w:ascii="Times New Roman" w:eastAsia="MS Mincho" w:hAnsi="Times New Roman"/>
              <w:sz w:val="20"/>
              <w:iCs/>
            </w:rPr>
            <w:t>,
2007-05-03,
Žin., 2007, Nr.
50-1956 (2007-05-10), i. k. 1072250ISAK000V-319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CC85250B769">
            <w:r w:rsidRPr="00532B9F">
              <w:rPr>
                <w:rFonts w:ascii="Times New Roman" w:eastAsia="MS Mincho" w:hAnsi="Times New Roman"/>
                <w:sz w:val="20"/>
                <w:iCs/>
                <w:color w:val="0000FF" w:themeColor="hyperlink"/>
                <w:u w:val="single"/>
              </w:rPr>
              <w:t>V-423</w:t>
            </w:r>
          </w:fldSimple>
          <w:r>
            <w:rPr>
              <w:rFonts w:ascii="Times New Roman" w:eastAsia="MS Mincho" w:hAnsi="Times New Roman"/>
              <w:sz w:val="20"/>
              <w:iCs/>
            </w:rPr>
            <w:t>,
2008-05-09,
Žin., 2008, Nr.
54-2016 (2008-05-13), i. k. 1082250ISAK000V-423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7E759DF5DFE">
            <w:r w:rsidRPr="00532B9F">
              <w:rPr>
                <w:rFonts w:ascii="Times New Roman" w:eastAsia="MS Mincho" w:hAnsi="Times New Roman"/>
                <w:sz w:val="20"/>
                <w:iCs/>
                <w:color w:val="0000FF" w:themeColor="hyperlink"/>
                <w:u w:val="single"/>
              </w:rPr>
              <w:t>V-649</w:t>
            </w:r>
          </w:fldSimple>
          <w:r>
            <w:rPr>
              <w:rFonts w:ascii="Times New Roman" w:eastAsia="MS Mincho" w:hAnsi="Times New Roman"/>
              <w:sz w:val="20"/>
              <w:iCs/>
            </w:rPr>
            <w:t>,
2008-06-28,
Žin., 2008, Nr.
76-3030 (2008-07-05), i. k. 1082250ISAK000V-649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5693EEE35C8">
            <w:r w:rsidRPr="00532B9F">
              <w:rPr>
                <w:rFonts w:ascii="Times New Roman" w:eastAsia="MS Mincho" w:hAnsi="Times New Roman"/>
                <w:sz w:val="20"/>
                <w:iCs/>
                <w:color w:val="0000FF" w:themeColor="hyperlink"/>
                <w:u w:val="single"/>
              </w:rPr>
              <w:t>V-973</w:t>
            </w:r>
          </w:fldSimple>
          <w:r>
            <w:rPr>
              <w:rFonts w:ascii="Times New Roman" w:eastAsia="MS Mincho" w:hAnsi="Times New Roman"/>
              <w:sz w:val="20"/>
              <w:iCs/>
            </w:rPr>
            <w:t>,
2008-10-10,
Žin., 2008, Nr.
121-4626 (2008-10-21), i. k. 1082250ISAK000V-973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23F49D02CD8">
            <w:r w:rsidRPr="00532B9F">
              <w:rPr>
                <w:rFonts w:ascii="Times New Roman" w:eastAsia="MS Mincho" w:hAnsi="Times New Roman"/>
                <w:sz w:val="20"/>
                <w:iCs/>
                <w:color w:val="0000FF" w:themeColor="hyperlink"/>
                <w:u w:val="single"/>
              </w:rPr>
              <w:t>V-178</w:t>
            </w:r>
          </w:fldSimple>
          <w:r>
            <w:rPr>
              <w:rFonts w:ascii="Times New Roman" w:eastAsia="MS Mincho" w:hAnsi="Times New Roman"/>
              <w:sz w:val="20"/>
              <w:iCs/>
            </w:rPr>
            <w:t>,
2009-03-13,
Žin., 2009, Nr.
39-1480 (2009-04-07), i. k. 1092250ISAK000V-178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B82D19C6A6B6">
            <w:r w:rsidRPr="00532B9F">
              <w:rPr>
                <w:rFonts w:ascii="Times New Roman" w:eastAsia="MS Mincho" w:hAnsi="Times New Roman"/>
                <w:sz w:val="20"/>
                <w:iCs/>
                <w:color w:val="0000FF" w:themeColor="hyperlink"/>
                <w:u w:val="single"/>
              </w:rPr>
              <w:t>V-1062</w:t>
            </w:r>
          </w:fldSimple>
          <w:r>
            <w:rPr>
              <w:rFonts w:ascii="Times New Roman" w:eastAsia="MS Mincho" w:hAnsi="Times New Roman"/>
              <w:sz w:val="20"/>
              <w:iCs/>
            </w:rPr>
            <w:t>,
2009-12-23,
Žin., 2010, Nr.
1-45 (2010-01-05), i. k. 1092250ISAK00V-1062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CD069E8FA43">
            <w:r w:rsidRPr="00532B9F">
              <w:rPr>
                <w:rFonts w:ascii="Times New Roman" w:eastAsia="MS Mincho" w:hAnsi="Times New Roman"/>
                <w:sz w:val="20"/>
                <w:iCs/>
                <w:color w:val="0000FF" w:themeColor="hyperlink"/>
                <w:u w:val="single"/>
              </w:rPr>
              <w:t>V-1072</w:t>
            </w:r>
          </w:fldSimple>
          <w:r>
            <w:rPr>
              <w:rFonts w:ascii="Times New Roman" w:eastAsia="MS Mincho" w:hAnsi="Times New Roman"/>
              <w:sz w:val="20"/>
              <w:iCs/>
            </w:rPr>
            <w:t>,
2009-12-29,
Žin., 2010, Nr.
4-163 (2010-01-12), i. k. 1092250ISAK00V-1072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B1CEBF9C76E">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2010-03-03,
Žin., 2010, Nr.
27-1235 (2010-03-06), i. k. 1102250ISAK000V-175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ACCBFCF39B">
            <w:r w:rsidRPr="00532B9F">
              <w:rPr>
                <w:rFonts w:ascii="Times New Roman" w:eastAsia="MS Mincho" w:hAnsi="Times New Roman"/>
                <w:sz w:val="20"/>
                <w:iCs/>
                <w:color w:val="0000FF" w:themeColor="hyperlink"/>
                <w:u w:val="single"/>
              </w:rPr>
              <w:t>V-586</w:t>
            </w:r>
          </w:fldSimple>
          <w:r>
            <w:rPr>
              <w:rFonts w:ascii="Times New Roman" w:eastAsia="MS Mincho" w:hAnsi="Times New Roman"/>
              <w:sz w:val="20"/>
              <w:iCs/>
            </w:rPr>
            <w:t>,
2010-06-18,
Žin., 2010, Nr.
74-3769 (2010-06-26), i. k. 1102250ISAK000V-586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64DA17088A1">
            <w:r w:rsidRPr="00532B9F">
              <w:rPr>
                <w:rFonts w:ascii="Times New Roman" w:eastAsia="MS Mincho" w:hAnsi="Times New Roman"/>
                <w:sz w:val="20"/>
                <w:iCs/>
                <w:color w:val="0000FF" w:themeColor="hyperlink"/>
                <w:u w:val="single"/>
              </w:rPr>
              <w:t>V-802</w:t>
            </w:r>
          </w:fldSimple>
          <w:r>
            <w:rPr>
              <w:rFonts w:ascii="Times New Roman" w:eastAsia="MS Mincho" w:hAnsi="Times New Roman"/>
              <w:sz w:val="20"/>
              <w:iCs/>
            </w:rPr>
            <w:t>,
2010-09-20,
Žin., 2010, Nr.
113-5802 (2010-09-25), i. k. 1102250ISAK000V-802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F277448F3E">
            <w:r w:rsidRPr="00532B9F">
              <w:rPr>
                <w:rFonts w:ascii="Times New Roman" w:eastAsia="MS Mincho" w:hAnsi="Times New Roman"/>
                <w:sz w:val="20"/>
                <w:iCs/>
                <w:color w:val="0000FF" w:themeColor="hyperlink"/>
                <w:u w:val="single"/>
              </w:rPr>
              <w:t>V-101</w:t>
            </w:r>
          </w:fldSimple>
          <w:r>
            <w:rPr>
              <w:rFonts w:ascii="Times New Roman" w:eastAsia="MS Mincho" w:hAnsi="Times New Roman"/>
              <w:sz w:val="20"/>
              <w:iCs/>
            </w:rPr>
            <w:t>,
2011-02-03,
Žin., 2011, Nr.
17-816 (2011-02-10), i. k. 1112250ISAK000V-101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050BC6517F">
            <w:r w:rsidRPr="00532B9F">
              <w:rPr>
                <w:rFonts w:ascii="Times New Roman" w:eastAsia="MS Mincho" w:hAnsi="Times New Roman"/>
                <w:sz w:val="20"/>
                <w:iCs/>
                <w:color w:val="0000FF" w:themeColor="hyperlink"/>
                <w:u w:val="single"/>
              </w:rPr>
              <w:t>V-184</w:t>
            </w:r>
          </w:fldSimple>
          <w:r>
            <w:rPr>
              <w:rFonts w:ascii="Times New Roman" w:eastAsia="MS Mincho" w:hAnsi="Times New Roman"/>
              <w:sz w:val="20"/>
              <w:iCs/>
            </w:rPr>
            <w:t>,
2011-02-28,
Žin., 2011, Nr.
29-1370 (2011-03-08), i. k. 1112250ISAK000V-184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6BCB4E424F">
            <w:r w:rsidRPr="00532B9F">
              <w:rPr>
                <w:rFonts w:ascii="Times New Roman" w:eastAsia="MS Mincho" w:hAnsi="Times New Roman"/>
                <w:sz w:val="20"/>
                <w:iCs/>
                <w:color w:val="0000FF" w:themeColor="hyperlink"/>
                <w:u w:val="single"/>
              </w:rPr>
              <w:t>V-441</w:t>
            </w:r>
          </w:fldSimple>
          <w:r>
            <w:rPr>
              <w:rFonts w:ascii="Times New Roman" w:eastAsia="MS Mincho" w:hAnsi="Times New Roman"/>
              <w:sz w:val="20"/>
              <w:iCs/>
            </w:rPr>
            <w:t>,
2011-05-06,
Žin., 2011, Nr.
57-2724 (2011-05-12), i. k. 1112250ISAK000V-441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F677B2B031">
            <w:r w:rsidRPr="00532B9F">
              <w:rPr>
                <w:rFonts w:ascii="Times New Roman" w:eastAsia="MS Mincho" w:hAnsi="Times New Roman"/>
                <w:sz w:val="20"/>
                <w:iCs/>
                <w:color w:val="0000FF" w:themeColor="hyperlink"/>
                <w:u w:val="single"/>
              </w:rPr>
              <w:t>V-481</w:t>
            </w:r>
          </w:fldSimple>
          <w:r>
            <w:rPr>
              <w:rFonts w:ascii="Times New Roman" w:eastAsia="MS Mincho" w:hAnsi="Times New Roman"/>
              <w:sz w:val="20"/>
              <w:iCs/>
            </w:rPr>
            <w:t>,
2011-05-19,
Žin., 2011, Nr.
63-3002 (2011-05-26), i. k. 1112250ISAK000V-481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395BE7E412D5">
            <w:r w:rsidRPr="00532B9F">
              <w:rPr>
                <w:rFonts w:ascii="Times New Roman" w:eastAsia="MS Mincho" w:hAnsi="Times New Roman"/>
                <w:sz w:val="20"/>
                <w:iCs/>
                <w:color w:val="0000FF" w:themeColor="hyperlink"/>
                <w:u w:val="single"/>
              </w:rPr>
              <w:t>V-547</w:t>
            </w:r>
          </w:fldSimple>
          <w:r>
            <w:rPr>
              <w:rFonts w:ascii="Times New Roman" w:eastAsia="MS Mincho" w:hAnsi="Times New Roman"/>
              <w:sz w:val="20"/>
              <w:iCs/>
            </w:rPr>
            <w:t>,
2011-05-27,
Žin., 2011, Nr.
67-3186 (2011-06-02), i. k. 1112250ISAK000V-547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6fd07d0a53f11e3aeb49a67165e3ad3">
            <w:r w:rsidRPr="00532B9F">
              <w:rPr>
                <w:rFonts w:ascii="Times New Roman" w:eastAsia="MS Mincho" w:hAnsi="Times New Roman"/>
                <w:sz w:val="20"/>
                <w:iCs/>
                <w:color w:val="0000FF" w:themeColor="hyperlink"/>
                <w:u w:val="single"/>
              </w:rPr>
              <w:t>V-320</w:t>
            </w:r>
          </w:fldSimple>
          <w:r>
            <w:rPr>
              <w:rFonts w:ascii="Times New Roman" w:eastAsia="MS Mincho" w:hAnsi="Times New Roman"/>
              <w:sz w:val="20"/>
              <w:iCs/>
            </w:rPr>
            <w:t>,
2014-03-05,
paskelbta TAR 2014-03-06, i. k. 2014-02740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ca090a090b811e4bb408baba2bdddf3">
            <w:r w:rsidRPr="00532B9F">
              <w:rPr>
                <w:rFonts w:ascii="Times New Roman" w:eastAsia="MS Mincho" w:hAnsi="Times New Roman"/>
                <w:sz w:val="20"/>
                <w:iCs/>
                <w:color w:val="0000FF" w:themeColor="hyperlink"/>
                <w:u w:val="single"/>
              </w:rPr>
              <w:t>V-1393</w:t>
            </w:r>
          </w:fldSimple>
          <w:r>
            <w:rPr>
              <w:rFonts w:ascii="Times New Roman" w:eastAsia="MS Mincho" w:hAnsi="Times New Roman"/>
              <w:sz w:val="20"/>
              <w:iCs/>
            </w:rPr>
            <w:t>,
2014-12-22,
paskelbta TAR 2014-12-31, i. k. 2014-21128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f2adef0aaeb11e48ebccd46991dfff9">
            <w:r w:rsidRPr="00532B9F">
              <w:rPr>
                <w:rFonts w:ascii="Times New Roman" w:eastAsia="MS Mincho" w:hAnsi="Times New Roman"/>
                <w:sz w:val="20"/>
                <w:iCs/>
                <w:color w:val="0000FF" w:themeColor="hyperlink"/>
                <w:u w:val="single"/>
              </w:rPr>
              <w:t>V-73</w:t>
            </w:r>
          </w:fldSimple>
          <w:r>
            <w:rPr>
              <w:rFonts w:ascii="Times New Roman" w:eastAsia="MS Mincho" w:hAnsi="Times New Roman"/>
              <w:sz w:val="20"/>
              <w:iCs/>
            </w:rPr>
            <w:t>,
2015-01-29,
paskelbta TAR 2015-02-02, i. k. 2015-01489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3b7aa50bcfd11e4afdc866ec67ebcf3">
            <w:r w:rsidRPr="00532B9F">
              <w:rPr>
                <w:rFonts w:ascii="Times New Roman" w:eastAsia="MS Mincho" w:hAnsi="Times New Roman"/>
                <w:sz w:val="20"/>
                <w:iCs/>
                <w:color w:val="0000FF" w:themeColor="hyperlink"/>
                <w:u w:val="single"/>
              </w:rPr>
              <w:t>V-224</w:t>
            </w:r>
          </w:fldSimple>
          <w:r>
            <w:rPr>
              <w:rFonts w:ascii="Times New Roman" w:eastAsia="MS Mincho" w:hAnsi="Times New Roman"/>
              <w:sz w:val="20"/>
              <w:iCs/>
            </w:rPr>
            <w:t>,
2015-02-18,
paskelbta TAR 2015-02-26, i. k. 2015-02965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ad17f70d3c111e4bcd1a882e9a189f1">
            <w:r w:rsidRPr="00532B9F">
              <w:rPr>
                <w:rFonts w:ascii="Times New Roman" w:eastAsia="MS Mincho" w:hAnsi="Times New Roman"/>
                <w:sz w:val="20"/>
                <w:iCs/>
                <w:color w:val="0000FF" w:themeColor="hyperlink"/>
                <w:u w:val="single"/>
              </w:rPr>
              <w:t>V-383</w:t>
            </w:r>
          </w:fldSimple>
          <w:r>
            <w:rPr>
              <w:rFonts w:ascii="Times New Roman" w:eastAsia="MS Mincho" w:hAnsi="Times New Roman"/>
              <w:sz w:val="20"/>
              <w:iCs/>
            </w:rPr>
            <w:t>,
2015-03-23,
paskelbta TAR 2015-03-26, i. k. 2015-04324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52a9f300dd811e5920c94700bb1958e">
            <w:r w:rsidRPr="00532B9F">
              <w:rPr>
                <w:rFonts w:ascii="Times New Roman" w:eastAsia="MS Mincho" w:hAnsi="Times New Roman"/>
                <w:sz w:val="20"/>
                <w:iCs/>
                <w:color w:val="0000FF" w:themeColor="hyperlink"/>
                <w:u w:val="single"/>
              </w:rPr>
              <w:t>V-714</w:t>
            </w:r>
          </w:fldSimple>
          <w:r>
            <w:rPr>
              <w:rFonts w:ascii="Times New Roman" w:eastAsia="MS Mincho" w:hAnsi="Times New Roman"/>
              <w:sz w:val="20"/>
              <w:iCs/>
            </w:rPr>
            <w:t>,
2015-06-08,
paskelbta TAR 2015-06-08, i. k. 2015-09000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687770029ee11e5a2d7e5e47b869348">
            <w:r w:rsidRPr="00532B9F">
              <w:rPr>
                <w:rFonts w:ascii="Times New Roman" w:eastAsia="MS Mincho" w:hAnsi="Times New Roman"/>
                <w:sz w:val="20"/>
                <w:iCs/>
                <w:color w:val="0000FF" w:themeColor="hyperlink"/>
                <w:u w:val="single"/>
              </w:rPr>
              <w:t>V-862</w:t>
            </w:r>
          </w:fldSimple>
          <w:r>
            <w:rPr>
              <w:rFonts w:ascii="Times New Roman" w:eastAsia="MS Mincho" w:hAnsi="Times New Roman"/>
              <w:sz w:val="20"/>
              <w:iCs/>
            </w:rPr>
            <w:t>,
2015-07-10,
paskelbta TAR 2015-07-14, i. k. 2015-11317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040b3b8044e611e58568ed613eb39a73">
            <w:r w:rsidRPr="00532B9F">
              <w:rPr>
                <w:rFonts w:ascii="Times New Roman" w:eastAsia="MS Mincho" w:hAnsi="Times New Roman"/>
                <w:sz w:val="20"/>
                <w:iCs/>
                <w:color w:val="0000FF" w:themeColor="hyperlink"/>
                <w:u w:val="single"/>
              </w:rPr>
              <w:t>V-943</w:t>
            </w:r>
          </w:fldSimple>
          <w:r>
            <w:rPr>
              <w:rFonts w:ascii="Times New Roman" w:eastAsia="MS Mincho" w:hAnsi="Times New Roman"/>
              <w:sz w:val="20"/>
              <w:iCs/>
            </w:rPr>
            <w:t>,
2015-08-11,
paskelbta TAR 2015-08-17, i. k. 2015-12372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3a1f2e047c611e5a38cd6cdb94b0c51">
            <w:r w:rsidRPr="00532B9F">
              <w:rPr>
                <w:rFonts w:ascii="Times New Roman" w:eastAsia="MS Mincho" w:hAnsi="Times New Roman"/>
                <w:sz w:val="20"/>
                <w:iCs/>
                <w:color w:val="0000FF" w:themeColor="hyperlink"/>
                <w:u w:val="single"/>
              </w:rPr>
              <w:t>V-974</w:t>
            </w:r>
          </w:fldSimple>
          <w:r>
            <w:rPr>
              <w:rFonts w:ascii="Times New Roman" w:eastAsia="MS Mincho" w:hAnsi="Times New Roman"/>
              <w:sz w:val="20"/>
              <w:iCs/>
            </w:rPr>
            <w:t>,
2015-08-18,
paskelbta TAR 2015-08-21, i. k. 2015-12478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57c9c90465d11e5a38cd6cdb94b0c51">
            <w:r w:rsidRPr="00532B9F">
              <w:rPr>
                <w:rFonts w:ascii="Times New Roman" w:eastAsia="MS Mincho" w:hAnsi="Times New Roman"/>
                <w:sz w:val="20"/>
                <w:iCs/>
                <w:color w:val="0000FF" w:themeColor="hyperlink"/>
                <w:u w:val="single"/>
              </w:rPr>
              <w:t>V-990</w:t>
            </w:r>
          </w:fldSimple>
          <w:r>
            <w:rPr>
              <w:rFonts w:ascii="Times New Roman" w:eastAsia="MS Mincho" w:hAnsi="Times New Roman"/>
              <w:sz w:val="20"/>
              <w:iCs/>
            </w:rPr>
            <w:t>,
2015-08-18,
paskelbta TAR 2015-08-19, i. k. 2015-12418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37533c0af7f11e5b12fbb7dc920ee2c">
            <w:r w:rsidRPr="00532B9F">
              <w:rPr>
                <w:rFonts w:ascii="Times New Roman" w:eastAsia="MS Mincho" w:hAnsi="Times New Roman"/>
                <w:sz w:val="20"/>
                <w:iCs/>
                <w:color w:val="0000FF" w:themeColor="hyperlink"/>
                <w:u w:val="single"/>
              </w:rPr>
              <w:t>V-1500</w:t>
            </w:r>
          </w:fldSimple>
          <w:r>
            <w:rPr>
              <w:rFonts w:ascii="Times New Roman" w:eastAsia="MS Mincho" w:hAnsi="Times New Roman"/>
              <w:sz w:val="20"/>
              <w:iCs/>
            </w:rPr>
            <w:t>,
2015-12-23,
paskelbta TAR 2015-12-31, i. k. 2015-21184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f70b810aee111e5b12fbb7dc920ee2c">
            <w:r w:rsidRPr="00532B9F">
              <w:rPr>
                <w:rFonts w:ascii="Times New Roman" w:eastAsia="MS Mincho" w:hAnsi="Times New Roman"/>
                <w:sz w:val="20"/>
                <w:iCs/>
                <w:color w:val="0000FF" w:themeColor="hyperlink"/>
                <w:u w:val="single"/>
              </w:rPr>
              <w:t>V-1521</w:t>
            </w:r>
          </w:fldSimple>
          <w:r>
            <w:rPr>
              <w:rFonts w:ascii="Times New Roman" w:eastAsia="MS Mincho" w:hAnsi="Times New Roman"/>
              <w:sz w:val="20"/>
              <w:iCs/>
            </w:rPr>
            <w:t>,
2015-12-29,
paskelbta TAR 2015-12-30, i. k. 2015-20985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2a3f320b48611e598c4c7724bda031b">
            <w:r w:rsidRPr="00532B9F">
              <w:rPr>
                <w:rFonts w:ascii="Times New Roman" w:eastAsia="MS Mincho" w:hAnsi="Times New Roman"/>
                <w:sz w:val="20"/>
                <w:iCs/>
                <w:color w:val="0000FF" w:themeColor="hyperlink"/>
                <w:u w:val="single"/>
              </w:rPr>
              <w:t>V-1604</w:t>
            </w:r>
          </w:fldSimple>
          <w:r>
            <w:rPr>
              <w:rFonts w:ascii="Times New Roman" w:eastAsia="MS Mincho" w:hAnsi="Times New Roman"/>
              <w:sz w:val="20"/>
              <w:iCs/>
            </w:rPr>
            <w:t>,
2015-12-31,
paskelbta TAR 2016-01-07, i. k. 2016-00381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752abb0378c11e69101aaab2992cbcd">
            <w:r w:rsidRPr="00532B9F">
              <w:rPr>
                <w:rFonts w:ascii="Times New Roman" w:eastAsia="MS Mincho" w:hAnsi="Times New Roman"/>
                <w:sz w:val="20"/>
                <w:iCs/>
                <w:color w:val="0000FF" w:themeColor="hyperlink"/>
                <w:u w:val="single"/>
              </w:rPr>
              <w:t>V-804</w:t>
            </w:r>
          </w:fldSimple>
          <w:r>
            <w:rPr>
              <w:rFonts w:ascii="Times New Roman" w:eastAsia="MS Mincho" w:hAnsi="Times New Roman"/>
              <w:sz w:val="20"/>
              <w:iCs/>
            </w:rPr>
            <w:t>,
2016-06-14,
paskelbta TAR 2016-06-21, i. k. 2016-17335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d61ee00d19011e68d79c2033f194657">
            <w:r w:rsidRPr="00532B9F">
              <w:rPr>
                <w:rFonts w:ascii="Times New Roman" w:eastAsia="MS Mincho" w:hAnsi="Times New Roman"/>
                <w:sz w:val="20"/>
                <w:iCs/>
                <w:color w:val="0000FF" w:themeColor="hyperlink"/>
                <w:u w:val="single"/>
              </w:rPr>
              <w:t>V-1</w:t>
            </w:r>
          </w:fldSimple>
          <w:r>
            <w:rPr>
              <w:rFonts w:ascii="Times New Roman" w:eastAsia="MS Mincho" w:hAnsi="Times New Roman"/>
              <w:sz w:val="20"/>
              <w:iCs/>
            </w:rPr>
            <w:t>,
2017-01-02,
paskelbta TAR 2017-01-03, i. k. 2017-00405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87a1c2015da11e79800e8266c1e5d1b">
            <w:r w:rsidRPr="00532B9F">
              <w:rPr>
                <w:rFonts w:ascii="Times New Roman" w:eastAsia="MS Mincho" w:hAnsi="Times New Roman"/>
                <w:sz w:val="20"/>
                <w:iCs/>
                <w:color w:val="0000FF" w:themeColor="hyperlink"/>
                <w:u w:val="single"/>
              </w:rPr>
              <w:t>V-354</w:t>
            </w:r>
          </w:fldSimple>
          <w:r>
            <w:rPr>
              <w:rFonts w:ascii="Times New Roman" w:eastAsia="MS Mincho" w:hAnsi="Times New Roman"/>
              <w:sz w:val="20"/>
              <w:iCs/>
            </w:rPr>
            <w:t>,
2017-03-27,
paskelbta TAR 2017-03-31, i. k. 2017-05281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943b540529011e7846ef01bfffb9b64">
            <w:r w:rsidRPr="00532B9F">
              <w:rPr>
                <w:rFonts w:ascii="Times New Roman" w:eastAsia="MS Mincho" w:hAnsi="Times New Roman"/>
                <w:sz w:val="20"/>
                <w:iCs/>
                <w:color w:val="0000FF" w:themeColor="hyperlink"/>
                <w:u w:val="single"/>
              </w:rPr>
              <w:t>V-715</w:t>
            </w:r>
          </w:fldSimple>
          <w:r>
            <w:rPr>
              <w:rFonts w:ascii="Times New Roman" w:eastAsia="MS Mincho" w:hAnsi="Times New Roman"/>
              <w:sz w:val="20"/>
              <w:iCs/>
            </w:rPr>
            <w:t>,
2017-06-14,
paskelbta TAR 2017-06-19, i. k. 2017-10169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45be9f0398911e881f2ba995b003ed2">
            <w:r w:rsidRPr="00532B9F">
              <w:rPr>
                <w:rFonts w:ascii="Times New Roman" w:eastAsia="MS Mincho" w:hAnsi="Times New Roman"/>
                <w:sz w:val="20"/>
                <w:iCs/>
                <w:color w:val="0000FF" w:themeColor="hyperlink"/>
                <w:u w:val="single"/>
              </w:rPr>
              <w:t>V-381</w:t>
            </w:r>
          </w:fldSimple>
          <w:r>
            <w:rPr>
              <w:rFonts w:ascii="Times New Roman" w:eastAsia="MS Mincho" w:hAnsi="Times New Roman"/>
              <w:sz w:val="20"/>
              <w:iCs/>
            </w:rPr>
            <w:t>,
2018-04-06,
paskelbta TAR 2018-04-09, i. k. 2018-05598                </w:t>
          </w:r>
        </w:p>
        <w:p>
          <w:pPr>
            <w:jc w:val="both"/>
            <w:rPr>
              <w:rFonts w:ascii="Times New Roman" w:hAnsi="Times New Roman"/>
            </w:rPr>
          </w:pPr>
          <w:r>
            <w:rPr>
              <w:rFonts w:ascii="Times New Roman" w:hAnsi="Times New Roman"/>
              <w:sz w:val="20"/>
            </w:rPr>
            <w:t>Dėl Lietuvos Respublikos sveikatos apsaugos ministro 2000 m. gegužės 31 d. įsakymu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2427960447e11e8ad2f97b2a095557a">
            <w:r w:rsidRPr="00532B9F">
              <w:rPr>
                <w:rFonts w:ascii="Times New Roman" w:eastAsia="MS Mincho" w:hAnsi="Times New Roman"/>
                <w:sz w:val="20"/>
                <w:iCs/>
                <w:color w:val="0000FF" w:themeColor="hyperlink"/>
                <w:u w:val="single"/>
              </w:rPr>
              <w:t>V-458</w:t>
            </w:r>
          </w:fldSimple>
          <w:r>
            <w:rPr>
              <w:rFonts w:ascii="Times New Roman" w:eastAsia="MS Mincho" w:hAnsi="Times New Roman"/>
              <w:sz w:val="20"/>
              <w:iCs/>
            </w:rPr>
            <w:t>,
2018-04-19,
paskelbta TAR 2018-04-20, i. k. 2018-06362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03834b0b03d11e88f64a5ecc703f89b">
            <w:r w:rsidRPr="00532B9F">
              <w:rPr>
                <w:rFonts w:ascii="Times New Roman" w:eastAsia="MS Mincho" w:hAnsi="Times New Roman"/>
                <w:sz w:val="20"/>
                <w:iCs/>
                <w:color w:val="0000FF" w:themeColor="hyperlink"/>
                <w:u w:val="single"/>
              </w:rPr>
              <w:t>V-976</w:t>
            </w:r>
          </w:fldSimple>
          <w:r>
            <w:rPr>
              <w:rFonts w:ascii="Times New Roman" w:eastAsia="MS Mincho" w:hAnsi="Times New Roman"/>
              <w:sz w:val="20"/>
              <w:iCs/>
            </w:rPr>
            <w:t>,
2018-09-04,
paskelbta TAR 2018-09-04, i. k. 2018-13962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88105e0b72011e88f64a5ecc703f89b">
            <w:r w:rsidRPr="00532B9F">
              <w:rPr>
                <w:rFonts w:ascii="Times New Roman" w:eastAsia="MS Mincho" w:hAnsi="Times New Roman"/>
                <w:sz w:val="20"/>
                <w:iCs/>
                <w:color w:val="0000FF" w:themeColor="hyperlink"/>
                <w:u w:val="single"/>
              </w:rPr>
              <w:t>V-1000</w:t>
            </w:r>
          </w:fldSimple>
          <w:r>
            <w:rPr>
              <w:rFonts w:ascii="Times New Roman" w:eastAsia="MS Mincho" w:hAnsi="Times New Roman"/>
              <w:sz w:val="20"/>
              <w:iCs/>
            </w:rPr>
            <w:t>,
2018-09-11,
paskelbta TAR 2018-09-13, i. k. 2018-14464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9506cda0e0df11e89acab3ff12d77081">
            <w:r w:rsidRPr="00532B9F">
              <w:rPr>
                <w:rFonts w:ascii="Times New Roman" w:eastAsia="MS Mincho" w:hAnsi="Times New Roman"/>
                <w:sz w:val="20"/>
                <w:iCs/>
                <w:color w:val="0000FF" w:themeColor="hyperlink"/>
                <w:u w:val="single"/>
              </w:rPr>
              <w:t>V-1210</w:t>
            </w:r>
          </w:fldSimple>
          <w:r>
            <w:rPr>
              <w:rFonts w:ascii="Times New Roman" w:eastAsia="MS Mincho" w:hAnsi="Times New Roman"/>
              <w:sz w:val="20"/>
              <w:iCs/>
            </w:rPr>
            <w:t>,
2018-11-02,
paskelbta TAR 2018-11-05, i. k. 2018-17813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fbf82d0127b11e9b2b6e7cdb14007b4">
            <w:r w:rsidRPr="00532B9F">
              <w:rPr>
                <w:rFonts w:ascii="Times New Roman" w:eastAsia="MS Mincho" w:hAnsi="Times New Roman"/>
                <w:sz w:val="20"/>
                <w:iCs/>
                <w:color w:val="0000FF" w:themeColor="hyperlink"/>
                <w:u w:val="single"/>
              </w:rPr>
              <w:t>V-12</w:t>
            </w:r>
          </w:fldSimple>
          <w:r>
            <w:rPr>
              <w:rFonts w:ascii="Times New Roman" w:eastAsia="MS Mincho" w:hAnsi="Times New Roman"/>
              <w:sz w:val="20"/>
              <w:iCs/>
            </w:rPr>
            <w:t>,
2019-01-03,
paskelbta TAR 2019-01-07, i. k. 2019-00194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03cf8f0601411e98b599e654d7d03a0">
            <w:r w:rsidRPr="00532B9F">
              <w:rPr>
                <w:rFonts w:ascii="Times New Roman" w:eastAsia="MS Mincho" w:hAnsi="Times New Roman"/>
                <w:sz w:val="20"/>
                <w:iCs/>
                <w:color w:val="0000FF" w:themeColor="hyperlink"/>
                <w:u w:val="single"/>
              </w:rPr>
              <w:t>V-422</w:t>
            </w:r>
          </w:fldSimple>
          <w:r>
            <w:rPr>
              <w:rFonts w:ascii="Times New Roman" w:eastAsia="MS Mincho" w:hAnsi="Times New Roman"/>
              <w:sz w:val="20"/>
              <w:iCs/>
            </w:rPr>
            <w:t>,
2019-04-15,
paskelbta TAR 2019-04-16, i. k. 2019-06202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595bc076f111e9b81587fcbd5a76f6">
            <w:r w:rsidRPr="00532B9F">
              <w:rPr>
                <w:rFonts w:ascii="Times New Roman" w:eastAsia="MS Mincho" w:hAnsi="Times New Roman"/>
                <w:sz w:val="20"/>
                <w:iCs/>
                <w:color w:val="0000FF" w:themeColor="hyperlink"/>
                <w:u w:val="single"/>
              </w:rPr>
              <w:t>V-566</w:t>
            </w:r>
          </w:fldSimple>
          <w:r>
            <w:rPr>
              <w:rFonts w:ascii="Times New Roman" w:eastAsia="MS Mincho" w:hAnsi="Times New Roman"/>
              <w:sz w:val="20"/>
              <w:iCs/>
            </w:rPr>
            <w:t>,
2019-05-14,
paskelbta TAR 2019-05-15, i. k. 2019-07703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c383fb0a9f911e9964cdd77475976b0">
            <w:r w:rsidRPr="00532B9F">
              <w:rPr>
                <w:rFonts w:ascii="Times New Roman" w:eastAsia="MS Mincho" w:hAnsi="Times New Roman"/>
                <w:sz w:val="20"/>
                <w:iCs/>
                <w:color w:val="0000FF" w:themeColor="hyperlink"/>
                <w:u w:val="single"/>
              </w:rPr>
              <w:t>V-844</w:t>
            </w:r>
          </w:fldSimple>
          <w:r>
            <w:rPr>
              <w:rFonts w:ascii="Times New Roman" w:eastAsia="MS Mincho" w:hAnsi="Times New Roman"/>
              <w:sz w:val="20"/>
              <w:iCs/>
            </w:rPr>
            <w:t>,
2019-07-18,
paskelbta TAR 2019-07-19, i. k. 2019-11907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52331b102b1511eabe008ea93139d588">
            <w:r w:rsidRPr="00532B9F">
              <w:rPr>
                <w:rFonts w:ascii="Times New Roman" w:eastAsia="MS Mincho" w:hAnsi="Times New Roman"/>
                <w:sz w:val="20"/>
                <w:iCs/>
                <w:color w:val="0000FF" w:themeColor="hyperlink"/>
                <w:u w:val="single"/>
              </w:rPr>
              <w:t>V-1512</w:t>
            </w:r>
          </w:fldSimple>
          <w:r>
            <w:rPr>
              <w:rFonts w:ascii="Times New Roman" w:eastAsia="MS Mincho" w:hAnsi="Times New Roman"/>
              <w:sz w:val="20"/>
              <w:iCs/>
            </w:rPr>
            <w:t>,
2019-12-30,
paskelbta TAR 2019-12-31, i. k. 2019-21686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3e619f0322711eabe008ea93139d588">
            <w:r w:rsidRPr="00532B9F">
              <w:rPr>
                <w:rFonts w:ascii="Times New Roman" w:eastAsia="MS Mincho" w:hAnsi="Times New Roman"/>
                <w:sz w:val="20"/>
                <w:iCs/>
                <w:color w:val="0000FF" w:themeColor="hyperlink"/>
                <w:u w:val="single"/>
              </w:rPr>
              <w:t>V-20</w:t>
            </w:r>
          </w:fldSimple>
          <w:r>
            <w:rPr>
              <w:rFonts w:ascii="Times New Roman" w:eastAsia="MS Mincho" w:hAnsi="Times New Roman"/>
              <w:sz w:val="20"/>
              <w:iCs/>
            </w:rPr>
            <w:t>,
2020-01-07,
paskelbta TAR 2020-01-09, i. k. 2020-00251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babfed02ba411eabe008ea93139d588">
            <w:r w:rsidRPr="00532B9F">
              <w:rPr>
                <w:rFonts w:ascii="Times New Roman" w:eastAsia="MS Mincho" w:hAnsi="Times New Roman"/>
                <w:sz w:val="20"/>
                <w:iCs/>
                <w:color w:val="0000FF" w:themeColor="hyperlink"/>
                <w:u w:val="single"/>
              </w:rPr>
              <w:t>V-1535</w:t>
            </w:r>
          </w:fldSimple>
          <w:r>
            <w:rPr>
              <w:rFonts w:ascii="Times New Roman" w:eastAsia="MS Mincho" w:hAnsi="Times New Roman"/>
              <w:sz w:val="20"/>
              <w:iCs/>
            </w:rPr>
            <w:t>,
2019-12-30,
paskelbta TAR 2019-12-31, i. k. 2019-21774                </w:t>
          </w:r>
        </w:p>
        <w:p>
          <w:pPr>
            <w:jc w:val="both"/>
            <w:rPr>
              <w:rFonts w:ascii="Times New Roman" w:hAnsi="Times New Roman"/>
            </w:rPr>
          </w:pPr>
          <w:r>
            <w:rPr>
              <w:rFonts w:ascii="Times New Roman" w:hAnsi="Times New Roman"/>
              <w:sz w:val="20"/>
            </w:rPr>
            <w:t>Dėl Lietuvos Respublikos sveikatos apsaugos ministro 2019 m. gegužės 14 d. įsakymo Nr. V-566 "Dėl Lietuvos Respublikos sveikatos apsaugos ministro 2000 m. gegužės 31 d. įsakymo Nr. 301 „Dėl profilaktinių sveikatos tikrinimų sveikatos priežiūros įstaigose“ pakeitimo“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dfc9970c0f011ea9815f635b9c0dcef">
            <w:r w:rsidRPr="00532B9F">
              <w:rPr>
                <w:rFonts w:ascii="Times New Roman" w:eastAsia="MS Mincho" w:hAnsi="Times New Roman"/>
                <w:sz w:val="20"/>
                <w:iCs/>
                <w:color w:val="0000FF" w:themeColor="hyperlink"/>
                <w:u w:val="single"/>
              </w:rPr>
              <w:t>V-1615</w:t>
            </w:r>
          </w:fldSimple>
          <w:r>
            <w:rPr>
              <w:rFonts w:ascii="Times New Roman" w:eastAsia="MS Mincho" w:hAnsi="Times New Roman"/>
              <w:sz w:val="20"/>
              <w:iCs/>
            </w:rPr>
            <w:t>,
2020-07-07,
paskelbta TAR 2020-07-08, i. k. 2020-15197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b5f42a0ee9f11eaa12ad7c04a383ca0">
            <w:r w:rsidRPr="00532B9F">
              <w:rPr>
                <w:rFonts w:ascii="Times New Roman" w:eastAsia="MS Mincho" w:hAnsi="Times New Roman"/>
                <w:sz w:val="20"/>
                <w:iCs/>
                <w:color w:val="0000FF" w:themeColor="hyperlink"/>
                <w:u w:val="single"/>
              </w:rPr>
              <w:t>V-1978</w:t>
            </w:r>
          </w:fldSimple>
          <w:r>
            <w:rPr>
              <w:rFonts w:ascii="Times New Roman" w:eastAsia="MS Mincho" w:hAnsi="Times New Roman"/>
              <w:sz w:val="20"/>
              <w:iCs/>
            </w:rPr>
            <w:t>,
2020-09-04,
paskelbta TAR 2020-09-04, i. k. 2020-18795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f3a0a0015a11ebb74de75171d26d52">
            <w:r w:rsidRPr="00532B9F">
              <w:rPr>
                <w:rFonts w:ascii="Times New Roman" w:eastAsia="MS Mincho" w:hAnsi="Times New Roman"/>
                <w:sz w:val="20"/>
                <w:iCs/>
                <w:color w:val="0000FF" w:themeColor="hyperlink"/>
                <w:u w:val="single"/>
              </w:rPr>
              <w:t>V-2130</w:t>
            </w:r>
          </w:fldSimple>
          <w:r>
            <w:rPr>
              <w:rFonts w:ascii="Times New Roman" w:eastAsia="MS Mincho" w:hAnsi="Times New Roman"/>
              <w:sz w:val="20"/>
              <w:iCs/>
            </w:rPr>
            <w:t>,
2020-09-28,
paskelbta TAR 2020-09-28, i. k. 2020-20108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a867da0079e11ebb74de75171d26d52">
            <w:r w:rsidRPr="00532B9F">
              <w:rPr>
                <w:rFonts w:ascii="Times New Roman" w:eastAsia="MS Mincho" w:hAnsi="Times New Roman"/>
                <w:sz w:val="20"/>
                <w:iCs/>
                <w:color w:val="0000FF" w:themeColor="hyperlink"/>
                <w:u w:val="single"/>
              </w:rPr>
              <w:t>V-2191</w:t>
            </w:r>
          </w:fldSimple>
          <w:r>
            <w:rPr>
              <w:rFonts w:ascii="Times New Roman" w:eastAsia="MS Mincho" w:hAnsi="Times New Roman"/>
              <w:sz w:val="20"/>
              <w:iCs/>
            </w:rPr>
            <w:t>,
2020-10-06,
paskelbta TAR 2020-10-06, i. k. 2020-20813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6786370499811eb8d9fe110e148c770">
            <w:r w:rsidRPr="00532B9F">
              <w:rPr>
                <w:rFonts w:ascii="Times New Roman" w:eastAsia="MS Mincho" w:hAnsi="Times New Roman"/>
                <w:sz w:val="20"/>
                <w:iCs/>
                <w:color w:val="0000FF" w:themeColor="hyperlink"/>
                <w:u w:val="single"/>
              </w:rPr>
              <w:t>V-3037</w:t>
            </w:r>
          </w:fldSimple>
          <w:r>
            <w:rPr>
              <w:rFonts w:ascii="Times New Roman" w:eastAsia="MS Mincho" w:hAnsi="Times New Roman"/>
              <w:sz w:val="20"/>
              <w:iCs/>
            </w:rPr>
            <w:t>,
2020-12-28,
paskelbta TAR 2020-12-29, i. k. 2020-28848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4401b00a81711ebbcbbc2971cdac3cb">
            <w:r w:rsidRPr="00532B9F">
              <w:rPr>
                <w:rFonts w:ascii="Times New Roman" w:eastAsia="MS Mincho" w:hAnsi="Times New Roman"/>
                <w:sz w:val="20"/>
                <w:iCs/>
                <w:color w:val="0000FF" w:themeColor="hyperlink"/>
                <w:u w:val="single"/>
              </w:rPr>
              <w:t>V-967</w:t>
            </w:r>
          </w:fldSimple>
          <w:r>
            <w:rPr>
              <w:rFonts w:ascii="Times New Roman" w:eastAsia="MS Mincho" w:hAnsi="Times New Roman"/>
              <w:sz w:val="20"/>
              <w:iCs/>
            </w:rPr>
            <w:t>,
2021-04-28,
paskelbta TAR 2021-04-28, i. k. 2021-08887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d6f3b7046d011ec992fe4cdfceb5666">
            <w:r w:rsidRPr="00532B9F">
              <w:rPr>
                <w:rFonts w:ascii="Times New Roman" w:eastAsia="MS Mincho" w:hAnsi="Times New Roman"/>
                <w:sz w:val="20"/>
                <w:iCs/>
                <w:color w:val="0000FF" w:themeColor="hyperlink"/>
                <w:u w:val="single"/>
              </w:rPr>
              <w:t>V-2596</w:t>
            </w:r>
          </w:fldSimple>
          <w:r>
            <w:rPr>
              <w:rFonts w:ascii="Times New Roman" w:eastAsia="MS Mincho" w:hAnsi="Times New Roman"/>
              <w:sz w:val="20"/>
              <w:iCs/>
            </w:rPr>
            <w:t>,
2021-11-16,
paskelbta TAR 2021-11-16, i. k. 2021-23674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widowControl w:val="0"/>
            <w:rPr>
              <w:rFonts w:ascii="Times New Roman" w:hAnsi="Times New Roman"/>
              <w:snapToGrid w:val="0"/>
            </w:rPr>
          </w:pPr>
        </w:p>
      </w:sdtContent>
    </w:sdt>
    <w:sectPr>
      <w:pgSz w:w="11907" w:h="16839"/>
      <w:pgMar w:top="1134" w:right="567" w:bottom="1134" w:left="1701" w:header="567" w:footer="567" w:gutter="0"/>
      <w:pgNumType w:start="1"/>
      <w:cols w:space="1296"/>
      <w:titlePg/>
      <w:docGrid w:linePitch="360"/>
    </w:sectPr>
  </w:body>
</w:document>
</file>

<file path=word/endnotes.xml><?xml version="1.0" encoding="utf-8"?>
<w:end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endnote w:type="separator" w:id="-1">
    <w:p>
      <w:r>
        <w:separator/>
      </w:r>
    </w:p>
  </w:endnote>
  <w:endnote w:type="continuationSeparator" w:id="0">
    <w:p>
      <w:r>
        <w:continuationSeparator/>
      </w:r>
    </w:p>
  </w:endnote>
</w:endnotes>
</file>

<file path=word/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roman"/>
    <w:notTrueType/>
    <w:pitch w:val="fixed"/>
    <w:sig w:usb0="00000000"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ind w:right="360"/>
    </w:pPr>
  </w:p>
</w:ftr>
</file>

<file path=word/footer2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2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2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notes.xml><?xml version="1.0" encoding="utf-8"?>
<w:foot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footnote w:type="separator" w:id="-1">
    <w:p>
      <w:r>
        <w:separator/>
      </w:r>
    </w:p>
  </w:footnote>
  <w:footnote w:type="continuationSeparator" w:id="0">
    <w:p>
      <w:r>
        <w:continuationSeparator/>
      </w:r>
    </w:p>
  </w:footnote>
</w:footnotes>
</file>

<file path=word/header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szCs w:val="24"/>
      </w:rPr>
    </w:pPr>
  </w:p>
</w:hdr>
</file>

<file path=word/header1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7</w:t>
    </w:r>
    <w:r>
      <w:fldChar w:fldCharType="end"/>
    </w:r>
  </w:p>
  <w:p>
    <w:pPr>
      <w:tabs>
        <w:tab w:val="center" w:pos="4153"/>
        <w:tab w:val="right" w:pos="8306"/>
      </w:tabs>
      <w:rPr>
        <w:szCs w:val="24"/>
      </w:rPr>
    </w:pPr>
  </w:p>
</w:hdr>
</file>

<file path=word/header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28</w:t>
    </w:r>
    <w:r>
      <w:rPr>
        <w:lang w:val="en-GB"/>
      </w:rPr>
      <w:fldChar w:fldCharType="end"/>
    </w:r>
  </w:p>
  <w:p>
    <w:pPr>
      <w:tabs>
        <w:tab w:val="center" w:pos="4153"/>
        <w:tab w:val="right" w:pos="8306"/>
      </w:tabs>
      <w:rPr>
        <w:lang w:val="en-GB"/>
      </w:rPr>
    </w:pPr>
  </w:p>
</w:hdr>
</file>

<file path=word/header1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szCs w:val="24"/>
      </w:rPr>
    </w:pPr>
  </w:p>
</w:hdr>
</file>

<file path=word/header1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53</w:t>
    </w:r>
    <w:r>
      <w:rPr>
        <w:lang w:val="en-GB"/>
      </w:rPr>
      <w:fldChar w:fldCharType="end"/>
    </w:r>
  </w:p>
  <w:p>
    <w:pPr>
      <w:tabs>
        <w:tab w:val="center" w:pos="4153"/>
        <w:tab w:val="right" w:pos="8306"/>
      </w:tabs>
      <w:rPr>
        <w:lang w:val="en-GB"/>
      </w:rPr>
    </w:pPr>
  </w:p>
</w:hdr>
</file>

<file path=word/header1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1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25</w:t>
    </w:r>
    <w:r>
      <w:fldChar w:fldCharType="end"/>
    </w:r>
  </w:p>
  <w:p>
    <w:pPr>
      <w:tabs>
        <w:tab w:val="center" w:pos="4153"/>
        <w:tab w:val="right" w:pos="8306"/>
      </w:tabs>
      <w:rPr>
        <w:lang w:val="en-GB"/>
      </w:rPr>
    </w:pPr>
  </w:p>
</w:hdr>
</file>

<file path=word/header1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1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15</w:t>
    </w:r>
    <w:r>
      <w:fldChar w:fldCharType="end"/>
    </w:r>
  </w:p>
  <w:p>
    <w:pPr>
      <w:tabs>
        <w:tab w:val="center" w:pos="4153"/>
        <w:tab w:val="right" w:pos="8306"/>
      </w:tabs>
      <w:rPr>
        <w:lang w:val="en-GB"/>
      </w:rPr>
    </w:pPr>
  </w:p>
</w:hdr>
</file>

<file path=word/header1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17</w:t>
    </w:r>
    <w:r>
      <w:fldChar w:fldCharType="end"/>
    </w:r>
  </w:p>
  <w:p>
    <w:pPr>
      <w:tabs>
        <w:tab w:val="center" w:pos="4153"/>
        <w:tab w:val="right" w:pos="8306"/>
      </w:tabs>
      <w:rPr>
        <w:lang w:val="en-GB"/>
      </w:rPr>
    </w:pPr>
  </w:p>
</w:hdr>
</file>

<file path=word/header1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26</w:t>
    </w:r>
    <w:r>
      <w:fldChar w:fldCharType="end"/>
    </w:r>
  </w:p>
  <w:p>
    <w:pPr>
      <w:tabs>
        <w:tab w:val="center" w:pos="4153"/>
        <w:tab w:val="right" w:pos="8306"/>
      </w:tabs>
      <w:rPr>
        <w:lang w:val="en-GB"/>
      </w:rPr>
    </w:pPr>
  </w:p>
</w:hdr>
</file>

<file path=word/header1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eastAsia="lt-LT"/>
      </w:rPr>
    </w:pPr>
  </w:p>
</w:hdr>
</file>

<file path=word/header1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1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19</w:t>
    </w:r>
    <w:r>
      <w:fldChar w:fldCharType="end"/>
    </w:r>
  </w:p>
  <w:p>
    <w:pPr>
      <w:tabs>
        <w:tab w:val="center" w:pos="4153"/>
        <w:tab w:val="right" w:pos="8306"/>
      </w:tabs>
      <w:rPr>
        <w:lang w:val="en-GB"/>
      </w:rPr>
    </w:pPr>
  </w:p>
</w:hdr>
</file>

<file path=word/header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24</w:t>
    </w:r>
    <w:r>
      <w:fldChar w:fldCharType="end"/>
    </w:r>
  </w:p>
  <w:p>
    <w:pPr>
      <w:tabs>
        <w:tab w:val="center" w:pos="4153"/>
        <w:tab w:val="right" w:pos="8306"/>
      </w:tabs>
      <w:rPr>
        <w:lang w:val="en-GB"/>
      </w:rPr>
    </w:pPr>
  </w:p>
</w:hdr>
</file>

<file path=word/header1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1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1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1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1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35</w:t>
    </w:r>
    <w:r>
      <w:rPr>
        <w:lang w:val="en-GB"/>
      </w:rPr>
      <w:fldChar w:fldCharType="end"/>
    </w:r>
  </w:p>
  <w:p>
    <w:pPr>
      <w:tabs>
        <w:tab w:val="center" w:pos="4153"/>
        <w:tab w:val="right" w:pos="8306"/>
      </w:tabs>
      <w:rPr>
        <w:lang w:val="en-GB"/>
      </w:rPr>
    </w:pPr>
  </w:p>
</w:hdr>
</file>

<file path=word/header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p>
  <w:p>
    <w:pPr>
      <w:tabs>
        <w:tab w:val="center" w:pos="4153"/>
        <w:tab w:val="right" w:pos="8306"/>
      </w:tabs>
      <w:rPr>
        <w:lang w:val="en-GB"/>
      </w:rPr>
    </w:pPr>
  </w:p>
</w:hdr>
</file>

<file path=word/header2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val="en-GB"/>
      </w:rPr>
    </w:pPr>
  </w:p>
</w:hdr>
</file>

<file path=word/header2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36</w:t>
    </w:r>
    <w:r>
      <w:fldChar w:fldCharType="end"/>
    </w:r>
  </w:p>
  <w:p>
    <w:pPr>
      <w:tabs>
        <w:tab w:val="center" w:pos="4153"/>
        <w:tab w:val="right" w:pos="8306"/>
      </w:tabs>
      <w:rPr>
        <w:lang w:val="en-GB"/>
      </w:rPr>
    </w:pPr>
  </w:p>
</w:hdr>
</file>

<file path=word/header2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34</w:t>
    </w:r>
    <w:r>
      <w:fldChar w:fldCharType="end"/>
    </w:r>
  </w:p>
  <w:p>
    <w:pPr>
      <w:tabs>
        <w:tab w:val="center" w:pos="4153"/>
        <w:tab w:val="right" w:pos="8306"/>
      </w:tabs>
      <w:rPr>
        <w:lang w:val="en-GB"/>
      </w:rPr>
    </w:pPr>
  </w:p>
</w:hdr>
</file>

<file path=word/header2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center"/>
      <w:rPr>
        <w:sz w:val="22"/>
        <w:szCs w:val="22"/>
      </w:rPr>
    </w:pPr>
  </w:p>
  <w:p>
    <w:pPr>
      <w:tabs>
        <w:tab w:val="center" w:pos="4819"/>
        <w:tab w:val="right" w:pos="9638"/>
      </w:tabs>
      <w:rPr>
        <w:sz w:val="22"/>
        <w:szCs w:val="22"/>
      </w:rPr>
    </w:pPr>
  </w:p>
</w:hdr>
</file>

<file path=word/header2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2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2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2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2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2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141</w:t>
    </w:r>
    <w:r>
      <w:rPr>
        <w:lang w:val="en-GB"/>
      </w:rPr>
      <w:fldChar w:fldCharType="end"/>
    </w:r>
  </w:p>
  <w:p>
    <w:pPr>
      <w:tabs>
        <w:tab w:val="center" w:pos="4153"/>
        <w:tab w:val="right" w:pos="8306"/>
      </w:tabs>
      <w:rPr>
        <w:lang w:val="en-GB"/>
      </w:rPr>
    </w:pPr>
  </w:p>
</w:hdr>
</file>

<file path=word/header2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2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68</w:t>
    </w:r>
    <w:r>
      <w:rPr>
        <w:lang w:val="en-GB"/>
      </w:rPr>
      <w:fldChar w:fldCharType="end"/>
    </w:r>
  </w:p>
  <w:p>
    <w:pPr>
      <w:tabs>
        <w:tab w:val="center" w:pos="4153"/>
        <w:tab w:val="right" w:pos="8306"/>
      </w:tabs>
      <w:rPr>
        <w:lang w:val="en-GB"/>
      </w:rPr>
    </w:pPr>
  </w:p>
</w:hdr>
</file>

<file path=word/header2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66</w:t>
    </w:r>
    <w:r>
      <w:rPr>
        <w:lang w:val="en-GB"/>
      </w:rPr>
      <w:fldChar w:fldCharType="end"/>
    </w:r>
  </w:p>
  <w:p>
    <w:pPr>
      <w:tabs>
        <w:tab w:val="center" w:pos="4153"/>
        <w:tab w:val="right" w:pos="8306"/>
      </w:tabs>
      <w:rPr>
        <w:lang w:val="en-GB"/>
      </w:rPr>
    </w:pPr>
  </w:p>
</w:hdr>
</file>

<file path=word/header2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6</w:t>
    </w:r>
  </w:p>
  <w:p>
    <w:pPr>
      <w:tabs>
        <w:tab w:val="center" w:pos="4153"/>
        <w:tab w:val="right" w:pos="8306"/>
      </w:tabs>
      <w:rPr>
        <w:lang w:eastAsia="lt-LT"/>
      </w:rPr>
    </w:pPr>
  </w:p>
</w:hdr>
</file>

<file path=word/header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96</w:t>
    </w:r>
    <w:r>
      <w:rPr>
        <w:lang w:val="en-GB"/>
      </w:rPr>
      <w:fldChar w:fldCharType="end"/>
    </w:r>
  </w:p>
  <w:p>
    <w:pPr>
      <w:tabs>
        <w:tab w:val="center" w:pos="4153"/>
        <w:tab w:val="right" w:pos="8306"/>
      </w:tabs>
      <w:rPr>
        <w:lang w:val="en-GB"/>
      </w:rPr>
    </w:pPr>
  </w:p>
</w:hdr>
</file>

<file path=word/header2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2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2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2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2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2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27</w:t>
    </w:r>
  </w:p>
  <w:p>
    <w:pPr>
      <w:tabs>
        <w:tab w:val="center" w:pos="4153"/>
        <w:tab w:val="right" w:pos="8306"/>
      </w:tabs>
      <w:rPr>
        <w:lang w:eastAsia="lt-LT"/>
      </w:rPr>
    </w:pPr>
  </w:p>
</w:hdr>
</file>

<file path=word/header2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60</w:t>
    </w:r>
    <w:r>
      <w:fldChar w:fldCharType="end"/>
    </w:r>
  </w:p>
  <w:p>
    <w:pPr>
      <w:tabs>
        <w:tab w:val="center" w:pos="4153"/>
        <w:tab w:val="right" w:pos="8306"/>
      </w:tabs>
      <w:rPr>
        <w:lang w:eastAsia="lt-LT"/>
      </w:rPr>
    </w:pPr>
  </w:p>
</w:hdr>
</file>

<file path=word/header2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2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10</w:t>
    </w:r>
    <w:r>
      <w:fldChar w:fldCharType="end"/>
    </w:r>
  </w:p>
  <w:p>
    <w:pPr>
      <w:tabs>
        <w:tab w:val="center" w:pos="4153"/>
        <w:tab w:val="right" w:pos="8306"/>
      </w:tabs>
      <w:rPr>
        <w:lang w:eastAsia="lt-LT"/>
      </w:rPr>
    </w:pPr>
  </w:p>
</w:hdr>
</file>

<file path=word/header3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208</w:t>
    </w:r>
    <w:r>
      <w:rPr>
        <w:lang w:val="en-GB"/>
      </w:rPr>
      <w:fldChar w:fldCharType="end"/>
    </w:r>
  </w:p>
  <w:p>
    <w:pPr>
      <w:tabs>
        <w:tab w:val="center" w:pos="4153"/>
        <w:tab w:val="right" w:pos="8306"/>
      </w:tabs>
      <w:rPr>
        <w:lang w:val="en-GB"/>
      </w:rPr>
    </w:pPr>
  </w:p>
</w:hdr>
</file>

<file path=word/header3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4</w:t>
    </w:r>
    <w:r>
      <w:fldChar w:fldCharType="end"/>
    </w:r>
  </w:p>
  <w:p>
    <w:pPr>
      <w:tabs>
        <w:tab w:val="center" w:pos="4153"/>
        <w:tab w:val="right" w:pos="8306"/>
      </w:tabs>
      <w:rPr>
        <w:lang w:eastAsia="lt-LT"/>
      </w:rPr>
    </w:pPr>
  </w:p>
</w:hdr>
</file>

<file path=word/header3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lang w:eastAsia="lt-LT"/>
      </w:rPr>
    </w:pPr>
  </w:p>
</w:hdr>
</file>

<file path=word/header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3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3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3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3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8</w:t>
    </w:r>
    <w:r>
      <w:rPr>
        <w:szCs w:val="24"/>
      </w:rPr>
      <w:fldChar w:fldCharType="end"/>
    </w:r>
  </w:p>
  <w:p>
    <w:pPr>
      <w:tabs>
        <w:tab w:val="center" w:pos="4153"/>
        <w:tab w:val="right" w:pos="8306"/>
      </w:tabs>
      <w:rPr>
        <w:szCs w:val="24"/>
      </w:rPr>
    </w:pPr>
  </w:p>
</w:hdr>
</file>

<file path=word/header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3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3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3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168</w:t>
    </w:r>
    <w:r>
      <w:rPr>
        <w:lang w:val="en-GB"/>
      </w:rPr>
      <w:fldChar w:fldCharType="end"/>
    </w:r>
  </w:p>
  <w:p>
    <w:pPr>
      <w:tabs>
        <w:tab w:val="center" w:pos="4153"/>
        <w:tab w:val="right" w:pos="8306"/>
      </w:tabs>
      <w:rPr>
        <w:lang w:val="en-GB"/>
      </w:rPr>
    </w:pPr>
  </w:p>
</w:hdr>
</file>

<file path=word/header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152</w:t>
    </w:r>
    <w:r>
      <w:rPr>
        <w:lang w:val="en-GB"/>
      </w:rPr>
      <w:fldChar w:fldCharType="end"/>
    </w:r>
  </w:p>
  <w:p>
    <w:pPr>
      <w:tabs>
        <w:tab w:val="center" w:pos="4153"/>
        <w:tab w:val="right" w:pos="8306"/>
      </w:tabs>
      <w:rPr>
        <w:lang w:val="en-GB"/>
      </w:rPr>
    </w:pPr>
  </w:p>
</w:hdr>
</file>

<file path=word/header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190</w:t>
    </w:r>
    <w:r>
      <w:rPr>
        <w:lang w:val="en-GB"/>
      </w:rPr>
      <w:fldChar w:fldCharType="end"/>
    </w:r>
  </w:p>
  <w:p>
    <w:pPr>
      <w:tabs>
        <w:tab w:val="center" w:pos="4153"/>
        <w:tab w:val="right" w:pos="8306"/>
      </w:tabs>
      <w:rPr>
        <w:lang w:val="en-GB"/>
      </w:rPr>
    </w:pPr>
  </w:p>
</w:hdr>
</file>

<file path=word/header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108</w:t>
    </w:r>
    <w:r>
      <w:rPr>
        <w:lang w:val="en-GB"/>
      </w:rPr>
      <w:fldChar w:fldCharType="end"/>
    </w:r>
  </w:p>
  <w:p>
    <w:pPr>
      <w:tabs>
        <w:tab w:val="center" w:pos="4153"/>
        <w:tab w:val="right" w:pos="8306"/>
      </w:tabs>
      <w:rPr>
        <w:lang w:val="en-GB"/>
      </w:rPr>
    </w:pPr>
  </w:p>
</w:hdr>
</file>

<file path=word/header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 xml:space="preserve">PAGE </w:instrText>
    </w:r>
    <w:r>
      <w:instrText xml:space="preserve">  \* MERGEFORMAT</w:instrText>
    </w:r>
    <w:r>
      <w:fldChar w:fldCharType="separate"/>
    </w:r>
    <w:r>
      <w:t>2</w:t>
    </w:r>
    <w:r>
      <w:fldChar w:fldCharType="end"/>
    </w:r>
  </w:p>
  <w:p>
    <w:pPr>
      <w:tabs>
        <w:tab w:val="center" w:pos="4153"/>
        <w:tab w:val="right" w:pos="8306"/>
      </w:tabs>
      <w:rPr>
        <w:lang w:val="en-GB"/>
      </w:rPr>
    </w:pPr>
  </w:p>
</w:hdr>
</file>

<file path=word/header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zoom w:percent="100"/>
  <w:hideSpellingErrors/>
  <w:hideGrammaticalErrors/>
  <w:proofState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298"/>
  <w:hyphenationZone w:val="396"/>
  <w:doNotHyphenateCaps/>
  <w:drawingGridHorizontalSpacing w:val="57"/>
  <w:characterSpacingControl w:val="doNotCompress"/>
  <w:hdrShapeDefaults>
    <o:shapedefaults v:ext="edit" spidmax="921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EF2"/>
  </w:rsids>
  <m:mathPr>
    <m:mathFont m:val="Cambria Math"/>
    <m:brkBin m:val="before"/>
    <m:brkBinSub m:val="--"/>
    <m:smallFrac m:val="0"/>
    <m:dispDef/>
    <m:lMargin m:val="0"/>
    <m:rMargin m:val="0"/>
    <m:defJc m:val="centerGroup"/>
    <m:wrapIndent m:val="1440"/>
    <m:intLim m:val="subSup"/>
    <m:naryLim m:val="undOvr"/>
  </m:mathPr>
  <w:attachedSchema w:val="urn:tic.lt:LLAdmDocST"/>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92161"/>
    <o:shapelayout v:ext="edit">
      <o:idmap v:ext="edit" data="1"/>
    </o:shapelayout>
  </w:shapeDefaults>
  <w:decimalSymbol w:val=","/>
  <w:listSeparator w:val=";"/>
  <w14:docId w14:val="48627F9E"/>
  <w15:docId w15:val="{0B579368-2A05-4025-BA5F-0BB56C0B295C}"/>
</w:settings>
</file>

<file path=word/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1">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stylesWithEffect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lsdException w:name="Normal" w:qFormat="1"/>
    <w:lsdException w:name="header" w:uiPriority="99"/>
    <w:lsdException w:name="No List" w:uiPriority="99"/>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webSettings>
</file>

<file path=word/_rels/document.xml.rels><?xml version="1.0" encoding="UTF-8"?>

<Relationships xmlns="http://schemas.openxmlformats.org/package/2006/relationships">
  <Relationship Id="rId1" Type="http://schemas.openxmlformats.org/officeDocument/2006/relationships/endnotes" Target="endnotes.xml"/>
  <Relationship Id="rId10" Type="http://schemas.openxmlformats.org/officeDocument/2006/relationships/theme" Target="theme/theme1.xml"/>
  <Relationship Id="rId100" Type="http://schemas.openxmlformats.org/officeDocument/2006/relationships/image" Target="media/image358.png"/>
  <Relationship Id="rId101" Type="http://schemas.openxmlformats.org/officeDocument/2006/relationships/image" Target="media/image359.png"/>
  <Relationship Id="rId102" Type="http://schemas.openxmlformats.org/officeDocument/2006/relationships/image" Target="media/image360.png"/>
  <Relationship Id="rId103" Type="http://schemas.openxmlformats.org/officeDocument/2006/relationships/image" Target="media/image361.png"/>
  <Relationship Id="rId104" Type="http://schemas.openxmlformats.org/officeDocument/2006/relationships/image" Target="media/image362.png"/>
  <Relationship Id="rId105" Type="http://schemas.openxmlformats.org/officeDocument/2006/relationships/image" Target="media/image363.png"/>
  <Relationship Id="rId106" Type="http://schemas.openxmlformats.org/officeDocument/2006/relationships/image" Target="media/image364.png"/>
  <Relationship Id="rId107" Type="http://schemas.openxmlformats.org/officeDocument/2006/relationships/image" Target="media/image365.png"/>
  <Relationship Id="rId108" Type="http://schemas.openxmlformats.org/officeDocument/2006/relationships/image" Target="media/image366.png"/>
  <Relationship Id="rId109" Type="http://schemas.openxmlformats.org/officeDocument/2006/relationships/image" Target="media/image367.png"/>
  <Relationship Id="rId11" Type="http://schemas.openxmlformats.org/officeDocument/2006/relationships/webSettings" Target="webSettings.xml"/>
  <Relationship Id="rId110" Type="http://schemas.openxmlformats.org/officeDocument/2006/relationships/image" Target="media/image368.png"/>
  <Relationship Id="rId111" Type="http://schemas.openxmlformats.org/officeDocument/2006/relationships/image" Target="media/image369.png"/>
  <Relationship Id="rId112" Type="http://schemas.openxmlformats.org/officeDocument/2006/relationships/image" Target="media/image370.png"/>
  <Relationship Id="rId113" Type="http://schemas.openxmlformats.org/officeDocument/2006/relationships/image" Target="media/image371.png"/>
  <Relationship Id="rId114" Type="http://schemas.openxmlformats.org/officeDocument/2006/relationships/image" Target="media/image372.png"/>
  <Relationship Id="rId115" Type="http://schemas.openxmlformats.org/officeDocument/2006/relationships/image" Target="media/image373.png"/>
  <Relationship Id="rId116" Type="http://schemas.openxmlformats.org/officeDocument/2006/relationships/image" Target="media/image374.png"/>
  <Relationship Id="rId117" Type="http://schemas.openxmlformats.org/officeDocument/2006/relationships/image" Target="media/image375.png"/>
  <Relationship Id="rId118" Type="http://schemas.openxmlformats.org/officeDocument/2006/relationships/image" Target="media/image376.png"/>
  <Relationship Id="rId119" Type="http://schemas.openxmlformats.org/officeDocument/2006/relationships/image" Target="media/image377.png"/>
  <Relationship Id="rId12" Type="http://schemas.openxmlformats.org/officeDocument/2006/relationships/image" Target="media/image3.wmf"/>
  <Relationship Id="rId120" Type="http://schemas.openxmlformats.org/officeDocument/2006/relationships/image" Target="media/image378.png"/>
  <Relationship Id="rId121" Type="http://schemas.openxmlformats.org/officeDocument/2006/relationships/image" Target="media/image379.png"/>
  <Relationship Id="rId122" Type="http://schemas.openxmlformats.org/officeDocument/2006/relationships/image" Target="media/image380.png"/>
  <Relationship Id="rId123" Type="http://schemas.openxmlformats.org/officeDocument/2006/relationships/image" Target="media/image381.png"/>
  <Relationship Id="rId124" Type="http://schemas.openxmlformats.org/officeDocument/2006/relationships/image" Target="media/image382.png"/>
  <Relationship Id="rId125" Type="http://schemas.openxmlformats.org/officeDocument/2006/relationships/image" Target="media/image383.png"/>
  <Relationship Id="rId126" Type="http://schemas.openxmlformats.org/officeDocument/2006/relationships/image" Target="media/image384.png"/>
  <Relationship Id="rId127" Type="http://schemas.openxmlformats.org/officeDocument/2006/relationships/customXml" Target="../customXml/item1.xml"/>
  <Relationship Id="rId13" Type="http://schemas.openxmlformats.org/officeDocument/2006/relationships/hyperlink" TargetMode="External" Target="https://www.e-tar.lt/portal/lt/legalAct/TAR.C337D779A343"/>
  <Relationship Id="rId14" Type="http://schemas.openxmlformats.org/officeDocument/2006/relationships/hyperlink" TargetMode="External" Target="https://www.e-tar.lt/portal/lt/legalAct/TAR.A92EEEEF018C"/>
  <Relationship Id="rId15" Type="http://schemas.openxmlformats.org/officeDocument/2006/relationships/hyperlink" TargetMode="External" Target="https://www.e-tar.lt/portal/lt/legalAct/TAR.0BBFE299C915"/>
  <Relationship Id="rId16" Type="http://schemas.openxmlformats.org/officeDocument/2006/relationships/hyperlink" TargetMode="External" Target="https://www.e-tar.lt/portal/lt/legalAct/TAR.C925EFE595C1"/>
  <Relationship Id="rId17" Type="http://schemas.openxmlformats.org/officeDocument/2006/relationships/hyperlink" TargetMode="External" Target="https://www.e-tar.lt/portal/lt/legalAct/TAR.E572CC3872E1"/>
  <Relationship Id="rId18" Type="http://schemas.openxmlformats.org/officeDocument/2006/relationships/hyperlink" TargetMode="External" Target="https://www.e-tar.lt/portal/lt/legalAct/TAR.AB76E5928C64"/>
  <Relationship Id="rId19" Type="http://schemas.openxmlformats.org/officeDocument/2006/relationships/header" Target="header93.xml"/>
  <Relationship Id="rId2" Type="http://schemas.openxmlformats.org/officeDocument/2006/relationships/fontTable" Target="fontTable.xml"/>
  <Relationship Id="rId20" Type="http://schemas.openxmlformats.org/officeDocument/2006/relationships/header" Target="header94.xml"/>
  <Relationship Id="rId21" Type="http://schemas.openxmlformats.org/officeDocument/2006/relationships/footer" Target="footer88.xml"/>
  <Relationship Id="rId22" Type="http://schemas.openxmlformats.org/officeDocument/2006/relationships/footer" Target="footer89.xml"/>
  <Relationship Id="rId23" Type="http://schemas.openxmlformats.org/officeDocument/2006/relationships/header" Target="header95.xml"/>
  <Relationship Id="rId24" Type="http://schemas.openxmlformats.org/officeDocument/2006/relationships/footer" Target="footer90.xml"/>
  <Relationship Id="rId25" Type="http://schemas.openxmlformats.org/officeDocument/2006/relationships/hyperlink" TargetMode="External" Target="https://www.e-tar.lt/portal/lt/legalAct/TAR.5098571C779B"/>
  <Relationship Id="rId26" Type="http://schemas.openxmlformats.org/officeDocument/2006/relationships/hyperlink" TargetMode="External" Target="https://www.e-tar.lt/portal/lt/legalAct/TAR.21897F4DD271"/>
  <Relationship Id="rId27" Type="http://schemas.openxmlformats.org/officeDocument/2006/relationships/hyperlink" TargetMode="External" Target="https://www.e-tar.lt/portal/lt/legalAct/TAR.22504E4941B4"/>
  <Relationship Id="rId28" Type="http://schemas.openxmlformats.org/officeDocument/2006/relationships/hyperlink" TargetMode="External" Target="http://www3.lrs.lt/cgi-bin/preps2?a=92894&amp;b="/>
  <Relationship Id="rId29" Type="http://schemas.openxmlformats.org/officeDocument/2006/relationships/hyperlink" TargetMode="External" Target="http://www3.lrs.lt/cgi-bin/preps2?a=76692&amp;b="/>
  <Relationship Id="rId3" Type="http://schemas.openxmlformats.org/officeDocument/2006/relationships/footnotes" Target="footnotes.xml"/>
  <Relationship Id="rId30" Type="http://schemas.openxmlformats.org/officeDocument/2006/relationships/hyperlink" TargetMode="External" Target="http://www3.lrs.lt/cgi-bin/preps2?a=76692&amp;b="/>
  <Relationship Id="rId31" Type="http://schemas.openxmlformats.org/officeDocument/2006/relationships/header" Target="header132.xml"/>
  <Relationship Id="rId32" Type="http://schemas.openxmlformats.org/officeDocument/2006/relationships/header" Target="header133.xml"/>
  <Relationship Id="rId33" Type="http://schemas.openxmlformats.org/officeDocument/2006/relationships/footer" Target="footer127.xml"/>
  <Relationship Id="rId34" Type="http://schemas.openxmlformats.org/officeDocument/2006/relationships/footer" Target="footer128.xml"/>
  <Relationship Id="rId35" Type="http://schemas.openxmlformats.org/officeDocument/2006/relationships/header" Target="header134.xml"/>
  <Relationship Id="rId36" Type="http://schemas.openxmlformats.org/officeDocument/2006/relationships/footer" Target="footer129.xml"/>
  <Relationship Id="rId37" Type="http://schemas.openxmlformats.org/officeDocument/2006/relationships/hyperlink" TargetMode="External" Target="https://www.e-tar.lt/portal/lt/legalAct/TAR.FC348F73C47A"/>
  <Relationship Id="rId38" Type="http://schemas.openxmlformats.org/officeDocument/2006/relationships/hyperlink" TargetMode="External" Target="https://www.e-tar.lt/portal/lt/legalAct/TAR.FC348F73C47A"/>
  <Relationship Id="rId39" Type="http://schemas.openxmlformats.org/officeDocument/2006/relationships/header" Target="header234.xml"/>
  <Relationship Id="rId4" Type="http://schemas.openxmlformats.org/officeDocument/2006/relationships/hyperlink" TargetMode="External" Target="https://www.e-tar.lt/portal/lt/legalAct/TAR.668CEF058FF8"/>
  <Relationship Id="rId40" Type="http://schemas.openxmlformats.org/officeDocument/2006/relationships/header" Target="header235.xml"/>
  <Relationship Id="rId41" Type="http://schemas.openxmlformats.org/officeDocument/2006/relationships/footer" Target="footer229.xml"/>
  <Relationship Id="rId42" Type="http://schemas.openxmlformats.org/officeDocument/2006/relationships/footer" Target="footer230.xml"/>
  <Relationship Id="rId43" Type="http://schemas.openxmlformats.org/officeDocument/2006/relationships/header" Target="header236.xml"/>
  <Relationship Id="rId44" Type="http://schemas.openxmlformats.org/officeDocument/2006/relationships/footer" Target="footer231.xml"/>
  <Relationship Id="rId45" Type="http://schemas.openxmlformats.org/officeDocument/2006/relationships/hyperlink" TargetMode="External" Target="https://www.e-tar.lt/portal/lt/legalAct/TAR.3394CBFC359C"/>
  <Relationship Id="rId46" Type="http://schemas.openxmlformats.org/officeDocument/2006/relationships/hyperlink" TargetMode="External" Target="http://www3.lrs.lt/cgi-bin/preps2?a=51605&amp;b="/>
  <Relationship Id="rId47" Type="http://schemas.openxmlformats.org/officeDocument/2006/relationships/hyperlink" TargetMode="External" Target="https://www.e-tar.lt/portal/lt/legalAct/TAR.B7D7BAACDE6B"/>
  <Relationship Id="rId48" Type="http://schemas.openxmlformats.org/officeDocument/2006/relationships/hyperlink" TargetMode="External" Target="http://www3.lrs.lt/cgi-bin/preps2?a=69596&amp;b="/>
  <Relationship Id="rId49" Type="http://schemas.openxmlformats.org/officeDocument/2006/relationships/header" Target="header243.xml"/>
  <Relationship Id="rId5" Type="http://schemas.openxmlformats.org/officeDocument/2006/relationships/hyperlink" TargetMode="External" Target="https://www.e-tar.lt/portal/lt/legalAct/TAR.6A8A7A3BBCDC"/>
  <Relationship Id="rId50" Type="http://schemas.openxmlformats.org/officeDocument/2006/relationships/header" Target="header244.xml"/>
  <Relationship Id="rId51" Type="http://schemas.openxmlformats.org/officeDocument/2006/relationships/footer" Target="footer238.xml"/>
  <Relationship Id="rId52" Type="http://schemas.openxmlformats.org/officeDocument/2006/relationships/footer" Target="footer239.xml"/>
  <Relationship Id="rId53" Type="http://schemas.openxmlformats.org/officeDocument/2006/relationships/header" Target="header245.xml"/>
  <Relationship Id="rId54" Type="http://schemas.openxmlformats.org/officeDocument/2006/relationships/footer" Target="footer240.xml"/>
  <Relationship Id="rId55" Type="http://schemas.openxmlformats.org/officeDocument/2006/relationships/hyperlink" TargetMode="External" Target="https://www.e-tar.lt/portal/lt/legalAct/TAR.5DC1759E42CB"/>
  <Relationship Id="rId56" Type="http://schemas.openxmlformats.org/officeDocument/2006/relationships/hyperlink" TargetMode="External" Target="https://www.e-tar.lt/portal/lt/legalAct/TAR.8D97CD7E1857"/>
  <Relationship Id="rId57" Type="http://schemas.openxmlformats.org/officeDocument/2006/relationships/hyperlink" TargetMode="External" Target="https://www.e-tar.lt/portal/lt/legalAct/TAR.67B5099C5848"/>
  <Relationship Id="rId58" Type="http://schemas.openxmlformats.org/officeDocument/2006/relationships/hyperlink" TargetMode="External" Target="https://www.e-tar.lt/portal/lt/legalAct/TAR.78FAC7B20AD8"/>
  <Relationship Id="rId59" Type="http://schemas.openxmlformats.org/officeDocument/2006/relationships/hyperlink" TargetMode="External" Target="https://www.e-tar.lt/portal/lt/legalAct/TAR.C7A984833333"/>
  <Relationship Id="rId6" Type="http://schemas.openxmlformats.org/officeDocument/2006/relationships/hyperlink" TargetMode="External" Target="https://www.e-tar.lt/portal/lt/legalAct/TAR.7083DB116A2E"/>
  <Relationship Id="rId60" Type="http://schemas.openxmlformats.org/officeDocument/2006/relationships/hyperlink" TargetMode="External" Target="https://www.e-tar.lt/portal/lt/legalAct/TAR.33907EA7C2DC"/>
  <Relationship Id="rId61" Type="http://schemas.openxmlformats.org/officeDocument/2006/relationships/hyperlink" TargetMode="External" Target="https://www.e-tar.lt/portal/lt/legalAct/TAR.DC61D74561C5"/>
  <Relationship Id="rId62" Type="http://schemas.openxmlformats.org/officeDocument/2006/relationships/hyperlink" TargetMode="External" Target="https://www.e-tar.lt/portal/lt/legalAct/TAR.723F49D02CD8"/>
  <Relationship Id="rId63" Type="http://schemas.openxmlformats.org/officeDocument/2006/relationships/hyperlink" TargetMode="External" Target="https://www.e-tar.lt/portal/lt/legalAct/TAR.F1D86F455636"/>
  <Relationship Id="rId64" Type="http://schemas.openxmlformats.org/officeDocument/2006/relationships/hyperlink" TargetMode="External" Target="https://www.e-tar.lt/portal/lt/legalAct/TAR.5E3842DF67F8"/>
  <Relationship Id="rId65" Type="http://schemas.openxmlformats.org/officeDocument/2006/relationships/hyperlink" TargetMode="External" Target="https://www.e-tar.lt/portal/lt/legalAct/TAR.DC61D74561C5"/>
  <Relationship Id="rId66" Type="http://schemas.openxmlformats.org/officeDocument/2006/relationships/hyperlink" TargetMode="External" Target="https://www.e-tar.lt/portal/lt/legalAct/TAR.C6E4170DB704"/>
  <Relationship Id="rId67" Type="http://schemas.openxmlformats.org/officeDocument/2006/relationships/hyperlink" TargetMode="External" Target="https://www.e-tar.lt/portal/lt/legalAct/TAR.668CEF058FF8"/>
  <Relationship Id="rId68" Type="http://schemas.openxmlformats.org/officeDocument/2006/relationships/header" Target="header274.xml"/>
  <Relationship Id="rId69" Type="http://schemas.openxmlformats.org/officeDocument/2006/relationships/footer" Target="footer267.xml"/>
  <Relationship Id="rId7" Type="http://schemas.openxmlformats.org/officeDocument/2006/relationships/hyperlink" TargetMode="External" Target="https://www.e-tar.lt/portal/lt/legalAct/TAR.DC61D74561C5"/>
  <Relationship Id="rId70" Type="http://schemas.openxmlformats.org/officeDocument/2006/relationships/hyperlink" TargetMode="External" Target="https://www.e-tar.lt/portal/lt/legalAct/TAR.F1D86F455636"/>
  <Relationship Id="rId71" Type="http://schemas.openxmlformats.org/officeDocument/2006/relationships/hyperlink" TargetMode="External" Target="https://www.e-tar.lt/portal/lt/legalAct/TAR.751B6F8BF451"/>
  <Relationship Id="rId72" Type="http://schemas.openxmlformats.org/officeDocument/2006/relationships/hyperlink" TargetMode="External" Target="https://www.e-tar.lt/portal/lt/legalAct/TAR.313208361D5D"/>
  <Relationship Id="rId73" Type="http://schemas.openxmlformats.org/officeDocument/2006/relationships/hyperlink" TargetMode="External" Target="https://www.e-tar.lt/portal/lt/legalAct/TAR.64EB889A3B24"/>
  <Relationship Id="rId74" Type="http://schemas.openxmlformats.org/officeDocument/2006/relationships/hyperlink" TargetMode="External" Target="https://www.e-tar.lt/portal/lt/legalAct/TAR.5ED52629C3C4"/>
  <Relationship Id="rId75" Type="http://schemas.openxmlformats.org/officeDocument/2006/relationships/hyperlink" TargetMode="External" Target="https://www.e-tar.lt/portal/lt/legalAct/TAR.0630DF325F2F"/>
  <Relationship Id="rId76" Type="http://schemas.openxmlformats.org/officeDocument/2006/relationships/hyperlink" TargetMode="External" Target="https://www.e-tar.lt/portal/lt/legalAct/TAR.04551A50A76D"/>
  <Relationship Id="rId77" Type="http://schemas.openxmlformats.org/officeDocument/2006/relationships/hyperlink" TargetMode="External" Target="https://www.e-tar.lt/portal/lt/legalAct/TAR.C6E4170DB704"/>
  <Relationship Id="rId78" Type="http://schemas.openxmlformats.org/officeDocument/2006/relationships/hyperlink" TargetMode="External" Target="https://www.e-tar.lt/portal/lt/legalAct/TAR.DC61D74561C5"/>
  <Relationship Id="rId79" Type="http://schemas.openxmlformats.org/officeDocument/2006/relationships/hyperlink" TargetMode="External" Target="https://www.e-tar.lt/portal/lt/legalAct/TAR.DC61D74561C5"/>
  <Relationship Id="rId8" Type="http://schemas.openxmlformats.org/officeDocument/2006/relationships/settings" Target="settings.xml"/>
  <Relationship Id="rId80" Type="http://schemas.openxmlformats.org/officeDocument/2006/relationships/hyperlink" TargetMode="External" Target="https://www.e-tar.lt/portal/lt/legalAct/TAR.9A2A80746DED"/>
  <Relationship Id="rId81" Type="http://schemas.openxmlformats.org/officeDocument/2006/relationships/hyperlink" TargetMode="External" Target="https://www.e-tar.lt/portal/lt/legalAct/TAR.F7E759DF5DFE"/>
  <Relationship Id="rId82" Type="http://schemas.openxmlformats.org/officeDocument/2006/relationships/hyperlink" TargetMode="External" Target="https://www.e-tar.lt/portal/lt/legalAct/TAR.DC61D74561C5"/>
  <Relationship Id="rId83" Type="http://schemas.openxmlformats.org/officeDocument/2006/relationships/hyperlink" TargetMode="External" Target="https://www.e-tar.lt/portal/lt/legalAct/TAR.9A2A80746DED"/>
  <Relationship Id="rId84" Type="http://schemas.openxmlformats.org/officeDocument/2006/relationships/hyperlink" TargetMode="External" Target="https://www.e-tar.lt/portal/lt/legalAct/TAR.F7E759DF5DFE"/>
  <Relationship Id="rId85" Type="http://schemas.openxmlformats.org/officeDocument/2006/relationships/hyperlink" TargetMode="External" Target="https://www.e-tar.lt/portal/lt/legalAct/TAR.C6E4170DB704"/>
  <Relationship Id="rId86" Type="http://schemas.openxmlformats.org/officeDocument/2006/relationships/hyperlink" TargetMode="External" Target="https://www.e-tar.lt/portal/lt/legalAct/TAR.6CFC2AC8617C"/>
  <Relationship Id="rId87" Type="http://schemas.openxmlformats.org/officeDocument/2006/relationships/hyperlink" TargetMode="External" Target="https://www.e-tar.lt/portal/lt/legalAct/TAR.9BB254501DB8"/>
  <Relationship Id="rId88" Type="http://schemas.openxmlformats.org/officeDocument/2006/relationships/header" Target="header288.xml"/>
  <Relationship Id="rId89" Type="http://schemas.openxmlformats.org/officeDocument/2006/relationships/header" Target="header289.xml"/>
  <Relationship Id="rId9" Type="http://schemas.openxmlformats.org/officeDocument/2006/relationships/styles" Target="styles.xml"/>
  <Relationship Id="rId90" Type="http://schemas.openxmlformats.org/officeDocument/2006/relationships/header" Target="header330.xml"/>
  <Relationship Id="rId91" Type="http://schemas.openxmlformats.org/officeDocument/2006/relationships/header" Target="header331.xml"/>
  <Relationship Id="rId92" Type="http://schemas.openxmlformats.org/officeDocument/2006/relationships/header" Target="header367.xml"/>
  <Relationship Id="rId93" Type="http://schemas.openxmlformats.org/officeDocument/2006/relationships/header" Target="header368.xml"/>
  <Relationship Id="rId94" Type="http://schemas.openxmlformats.org/officeDocument/2006/relationships/header" Target="header369.xml"/>
  <Relationship Id="rId95" Type="http://schemas.openxmlformats.org/officeDocument/2006/relationships/image" Target="media/image353.png"/>
  <Relationship Id="rId96" Type="http://schemas.openxmlformats.org/officeDocument/2006/relationships/image" Target="media/image354.png"/>
  <Relationship Id="rId97" Type="http://schemas.openxmlformats.org/officeDocument/2006/relationships/image" Target="media/image355.png"/>
  <Relationship Id="rId98" Type="http://schemas.openxmlformats.org/officeDocument/2006/relationships/image" Target="media/image356.png"/>
  <Relationship Id="rId99" Type="http://schemas.openxmlformats.org/officeDocument/2006/relationships/image" Target="media/image357.png"/>
</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Parts xmlns="http://lrs.lt/TAIS/DocParts">
  <Part Type="pagrindine" DocPartId="715e20404d1d48728c0738d89f628973" PartId="83de2da9d8c643df8cdd8e947e5bb736">
    <Part Type="preambule" DocPartId="9241104d8af84afc9c8aa584998d0d20" PartId="f5ddadfe99834666b97375087dc3bdf9"/>
    <Part Type="punktas" Nr="1" Abbr="1 p." DocPartId="28370a0289cb4c97a883bb79929b7501" PartId="1530be58f24e43d8a6d75290b82e37df">
      <Part Type="punktas" Nr="1.1" Abbr="1.1 p." DocPartId="c88dd74cf26e4b49887ccca2ea5f90f7" PartId="17c524fca50d49f181fef67eb482d83e"/>
      <Part Type="punktas" Nr="1.2" Abbr="1.2 p." DocPartId="35c7e02c5d3542d58a7444274a4a5a94" PartId="106ef918db734350a3380edd26d37b58"/>
      <Part Type="punktas" Nr="1.3" Abbr="1.3 p." DocPartId="42b53bc821b3421586a3466e11be440e" PartId="858ccc378d1b4def9d5409f053bb13fe"/>
      <Part Type="punktas" Nr="1.4" Abbr="1.4 p." DocPartId="154e16229eff40f5ae400909d2f7cea5" PartId="780c9e0493b44986922e8dd2013d598c"/>
      <Part Type="punktas" Nr="1.5" Abbr="1.5 p." DocPartId="bbcbd4eab00c42419ee69a03bcf83927" PartId="d1456022716b4f28809a825cddc745ca"/>
      <Part Type="punktas" Nr="1.6" Abbr="1.6 p." DocPartId="7ff814f3697747b09faa62555b894ad0" PartId="312617211fe048639b4dcdc44fe6f3cc"/>
      <Part Type="punktas" Nr="1.7" Abbr="1.7 p." DocPartId="0cdfde067d514ede9811ce9bf546e1b8" PartId="d74a264081fe45bfae0f930a375f505a"/>
      <Part Type="punktas" Nr="1.8" Abbr="1.8 p." DocPartId="31b977f86155491fa27d63cc42003767" PartId="0aacbd902b8b4fa1ac6b21cc9adfe4ab"/>
      <Part Type="punktas" Nr="1.9" Abbr="1.9 p." DocPartId="d9116b47b10f405bb866630b0dd654ff" PartId="aebc7d4347c14a0b8b1010d60b3b523e"/>
      <Part Type="punktas" Nr="1.10" Abbr="1.10 p." DocPartId="d4abe3646232402c880230094ee7e543" PartId="306b40940c344cb2af846af3419640ab"/>
      <Part Type="punktas" Nr="1.11" Abbr="1.11 p." DocPartId="0209d718f51246ddbc5565c159d4906e" PartId="c66e60e394684e7591f1478415e27b1b"/>
      <Part Type="punktas" Nr="1.12" Abbr="1.12 p." DocPartId="774ca44754b84bb89a8530404d9479f3" PartId="4043fd5da3184d69b5e2538c87d5800c"/>
      <Part Type="punktas" Nr="1.13" Abbr="1.13 p." DocPartId="4c78104d70244d2badcb5d01b7e9f022" PartId="730ce55f0bc04f6dbf8fc38d74c8ff50"/>
      <Part Type="punktas" Nr="1.14" Abbr="1.14 p." DocPartId="a04c7c8810f84b94bd15f67c221ec158" PartId="32427971ce1445a9b8bca7dcc65c1f8b"/>
      <Part Type="punktas" Nr="1.15" Abbr="1.15 p." DocPartId="fb0502c6a26f4b588ac0871fe29ce39e" PartId="106860d84ddd458ba855cf35a66128ab"/>
      <Part Type="punktas" Nr="1.16" Abbr="1.16 p." DocPartId="406e004c002143a2b4fbffe4e06bd120" PartId="bbf3e6bbc6ec42dbb00074080dd2082a"/>
      <Part Type="punktas" Nr="1.17" Abbr="1.17 p." DocPartId="ea257061e8eb45de84bf09145f549703" PartId="5d1d60a5b7a041d4b22777e500e3c49b"/>
      <Part Type="punktas" Nr="1.18" Abbr="1.18 p." DocPartId="b9228af3d6ca41daa00a4ac5a27da6b5" PartId="68723a4904474b729d4a20aeafe20cf8"/>
    </Part>
    <Part Type="punktas" Nr="2" Abbr="2 p." DocPartId="ebb6a2b307954eb09fb04601756676cf" PartId="8e8d287a01464ceb8396cbd92f3b6410">
      <Part Type="punktas" Nr="2.1" Abbr="2.1 p." DocPartId="3963c8d478a1442e9e5fc6701534bc08" PartId="ccf28d5ff538449b80667513f8037149"/>
      <Part Type="punktas" Nr="2.2" Abbr="2.2 p." DocPartId="12b9e3347f4e4d07bf219249cfeb0fd9" PartId="2e6f7b9fc7c447dd8897db737d79f372"/>
    </Part>
    <Part Type="punktas" Nr="3" Abbr="3 p." DocPartId="952a4dd1fe35470885e1e5b962e6c42e" PartId="5eba5cb9df4c445f9636e5ac2f0c53ff">
      <Part Type="punktas" Nr="3.1" Abbr="3.1 p." DocPartId="9cb2dd3616a54665b8c9a15482fa83ee" PartId="cab2641df5aa435f9531b8469f01e2a7"/>
      <Part Type="punktas" Nr="3.2" Abbr="3.2 p." DocPartId="276820cbc53b4324ba09533e69f2318a" PartId="efd89e1b526c439291da0633d149ccf7"/>
      <Part Type="punktas" Nr="3.3" Abbr="3.3 p." DocPartId="c4b4309c5c4c4fe6a7b2c342fbc49d92" PartId="ecf4b51920d049b8a9b182c85362311a"/>
      <Part Type="punktas" Nr="3.4" Abbr="3.4 p." DocPartId="fbf40d2974944be182634cca768d3bc8" PartId="38f3df114b9346ccba005ba5d67dd756"/>
      <Part Type="punktas" Nr="3.5" Abbr="3.5 p." DocPartId="0b6a564d38c14fe19bac3ce70609ffcd" PartId="d7966e5ef5584c129d9ca2154eb25307"/>
      <Part Type="punktas" Nr="3.6" Abbr="3.6 p." DocPartId="1bbf7d600cfa4831b4726a029016865b" PartId="74a05be7bcb043e79d3f9f5d68184cd5"/>
      <Part Type="punktas" Nr="3.7" Abbr="3.7 p." DocPartId="be93755587af4307ae979b94d01d43d7" PartId="952dcf6b29c84b1fabc67e5428740fa2"/>
      <Part Type="punktas" Nr="3.8" Abbr="3.8 p." DocPartId="b08d04bef75c47919c1cf6565c2f5332" PartId="b7ecf5c4981f4e4d90746a358ecdf685"/>
      <Part Type="punktas" Nr="3.9" Abbr="3.9 p." DocPartId="3251573119fc4bbc8c549ec65c85bb98" PartId="6e52abfa904b42a79dde061962514ac7"/>
      <Part Type="punktas" Nr="3.10" Abbr="3.10 p." DocPartId="37ed091fb4c5419f88c9d698196852bf" PartId="4236926cdf20470bac16c8c7b84aae08"/>
    </Part>
    <Part Type="punktas" Nr="4" Abbr="4 p." DocPartId="d2a13b06f196406088cc34712a695aff" PartId="8c79cbd4d6cc4ea99bb9f2812157b427"/>
    <Part Type="signatura" DocPartId="412205c2a3d14732b0d9b9b3ccd2719b" PartId="119eefcaf33143279c922cdc85f223e0"/>
  </Part>
  <Part Type="priedas" Nr="1" Abbr="1 pr." Title="PROFILAKTINIŲ SVEIKATOS TIKRINIMŲ RŪŠYS IR APMOKĖJIMO TVARKA" DocPartId="8069b94076a64cf2a2ad3c9fd5f1323a" PartId="a7de17c02269426790fbbeed49fff014">
    <Part Type="skyrius" Nr="1" Title="PROFILAKTINIŲ SVEIKATOS TIKRINIMŲ RŪŠYS" DocPartId="c06724759f6a444e8c2912681870cf51" PartId="58256caa98574452ae9eada2489d6dca">
      <Part Type="punktas" Nr="1" Abbr="1 pr. 1 p." DocPartId="27d2b889c1054e5da840f254cc106f06" PartId="f77d9f8e4c844d3aa3796dddc2ed25e8">
        <Part Type="punktas" Nr="1.1" Abbr="1 pr. 1.1 p." DocPartId="a639b297fed341b2b8f59b6506df3be8" PartId="f76e00e4df9b4a45a6bc48ee574d7c43"/>
        <Part Type="punktas" Nr="1.2" Abbr="1 pr. 1.2 p." DocPartId="194374ee035449c19f4b2770f864507f" PartId="682b3a33a62a41e7970732757e845b61"/>
        <Part Type="punktas" Nr="1.3" Abbr="1 pr. 1.3 p." DocPartId="6dc7daec4e67498cbd5faacddb37985a" PartId="574158a02cd54146b636cfb95c2aa311"/>
        <Part Type="punktas" Nr="1.4" Abbr="1 pr. 1.4 p." DocPartId="5624111ee41e4ccf938cc2d6838e493a" PartId="fbbd8393067d4e65b04e948c816bd9b7"/>
        <Part Type="punktas" Nr="1.5" Abbr="1 pr. 1.5 p." DocPartId="1888b667bb024d8f963071d23b4d9ddc" PartId="c87117f876384bf4b52f51ae1ef48fb4"/>
        <Part Type="punktas" Nr="1.6" Abbr="1 pr. 1.6 p." DocPartId="d278ff27922f4a24a09a1096edb231d3" PartId="800e4bfb391247409d6528006a7d7007"/>
        <Part Type="punktas" Nr="1.7" Abbr="1 pr. 1.7 p." DocPartId="b94251ebc1e145c1acf7f293da29850b" PartId="63aa5a0e6f9748efb0dfca04184b46dc"/>
        <Part Type="punktas" Nr="1.8" Abbr="1 pr. 1.8 p." DocPartId="412442fe5be54d2fae5b7fa56b6cd1aa" PartId="99763f4e1b2c494e96ae42a3f382b710"/>
        <Part Type="punktas" Nr="1.9" Abbr="1 pr. 1.9 p." DocPartId="214ff466f12a40ee823e88c6af5caaa9" PartId="79776b24751a44c794c70a91470eb9e1"/>
        <Part Type="punktas" Nr="1.10" Abbr="1 pr. 1.10 p." DocPartId="d17d2d64f72441e6806e3835181ca111" PartId="a9f7bbbbc45644d8acc2bfe01b26a242"/>
        <Part Type="punktas" Nr="1.11" Abbr="1 pr. 1.11 p." DocPartId="327c193c36134c018c0054294e33dd3a" PartId="74cd2b489515417982a9fe95637b5e2f"/>
        <Part Type="punktas" Nr="1.12" Abbr="1 pr. 1.12 p." DocPartId="29d45f6470e24193bb149f854c458d6a" PartId="bc3135c6bb29414a92a86ef0e9c34887">
          <Part Type="punktas" Nr="1.12.1" Abbr="1 pr. 1.12.1 p." DocPartId="5f8d1a5ee8fe4282ab59b49a42175e46" PartId="d5b249b3963547638b6ff9a232b60fc4"/>
          <Part Type="punktas" Nr="1.12.2" Abbr="1 pr. 1.12.2 p." DocPartId="c4cce4765fb84864b4e2ad4b337290a1" PartId="d40c4ee6e05b4ddc8663e8c836ad13a5"/>
          <Part Type="punktas" Nr="1.12.3" Abbr="1 pr. 1.12.3 p." DocPartId="4cea7b4bde35400a90a0ae0c36a6ea49" PartId="90d70fb014ff49d5ac2e778dbe167b58"/>
          <Part Type="punktas" Nr="1.12.4" Abbr="1 pr. 1.12.4 p." DocPartId="36b9398ab9404f23907a4b03181f7b29" PartId="0d1e4cc016b74c12beeced825a545ce0"/>
          <Part Type="punktas" Nr="1.12.5" Abbr="1 pr. 1.12.5 p." DocPartId="a29632967a48451abff85f87025e3448" PartId="f000a85fcb5c4df4a56060c6dae985a0"/>
          <Part Type="punktas" Nr="1.12.6" Abbr="1 pr. 1.12.6 p." DocPartId="d02829f336e44ab9bc90f54ac76bb290" PartId="796c7d8b235349e9a896c5ae2341d151"/>
        </Part>
        <Part Type="punktas" Nr="1.13" Abbr="1 pr. 1.13 p." DocPartId="f12572c44cc44bfd80c85897d879c00a" PartId="21aaa503a97e40b1bf86f9971f370a9c">
          <Part Type="punktas" Nr="1.13.1" Abbr="1 pr. 1.13.1 p." DocPartId="9386c09299404ee785fd50c51f4d61d7" PartId="fcac63615b3346b898c32020472318bc"/>
          <Part Type="punktas" Nr="1.13.2" Abbr="1 pr. 1.13.2 p." DocPartId="6896b45ded7341279549e8cf949a8f49" PartId="8eb6fa25fc39415896db9c48e1f9d629"/>
          <Part Type="punktas" Nr="1.13.3" Abbr="1 pr. 1.13.3 p." DocPartId="edd66172f0584f1a99e8baf491389c9b" PartId="41bf8167eb4f490094a1a5ec5a884d51"/>
        </Part>
        <Part Type="punktas" Nr="1.14" Abbr="1 pr. 1.14 p." DocPartId="785aff93690e445b95838e97cddbdc07" PartId="07e8ee926c814645863b769717a19734"/>
      </Part>
    </Part>
    <Part Type="skyrius" Nr="2" Title="PROFILAKTINIŲ SVEIKATOS TIKRINIMŲ APMOKĖJIMO TVARKA" DocPartId="88d6b5101a294038810baec28ff26ba2" PartId="a5c38340b80e4e2dab7fc6276dab8f95">
      <Part Type="punktas" Nr="2" Abbr="1 pr. 2 p." DocPartId="2512782c88b741c6977840b5dc0bf662" PartId="a905037600ef4d558c80a2dcca2b3814"/>
      <Part Type="punktas" Nr="3" Abbr="1 pr. 3 p." DocPartId="d545cd56a22b4856bc9a01e2c31e14b3" PartId="d2065fb0008c4d8b9ec327d548a265ec"/>
      <Part Type="punktas" Nr="4" Abbr="1 pr. 4 p." DocPartId="64f501520d1642329f131292b370e4dd" PartId="2b731c66709e4c328681cbff896cfffa"/>
      <Part Type="punktas" Nr="5" Abbr="1 pr. 5 p." DocPartId="3fbb9059b825452f9731f81233e83398" PartId="43ea2376ca7e4ff380f65cf5472c2d17">
        <Part Type="punktas" Nr="5.1" Abbr="1 pr. 5.1 p." DocPartId="2dfb95df07fa4236a0d7e9dfbcaeb17d" PartId="920f51a0aa434881be848a632dd5ff1f"/>
        <Part Type="punktas" Nr="5.2" Abbr="1 pr. 5.2 p." DocPartId="70570ac180b54eaca5b0696b2dcefd57" PartId="5517faf5e2f542ea9dbac563d67ae0d2"/>
        <Part Type="punktas" Nr="5.3" Abbr="1 pr. 5.3 p." DocPartId="3051079954284fa5a96af68222df2073" PartId="ca7a93b731ba4db6b5a98275787d8727"/>
      </Part>
      <Part Type="punktas" Nr="6" Abbr="1 pr. 6 p." DocPartId="0da83dc748334304a482fd2c33a521aa" PartId="0cd2f975c3264c48a6431b523231041b"/>
      <Part Type="punktas" Nr="7" Abbr="1 pr. 7 p." DocPartId="1988d2f7d9dc4fc798abaaf77d55418e" PartId="53b9ec944d254592a5c32db30318cbb0"/>
      <Part Type="punktas" Nr="8" Abbr="1 pr. 8 p." DocPartId="686b8c59f7b4432193fb998d6c70f522" PartId="cc5e6cc8391b443ca427ec562decb388"/>
      <Part Type="punktas" Nr="9" Abbr="1 pr. 9 p." DocPartId="99f1fd98abbf4ba38febb0c2b933c8bb" PartId="d2a8947929b54755b3620c68251855b8"/>
      <Part Type="punktas" Nr="10" Abbr="1 pr. 10 p." DocPartId="e2e23058302d4208b4b8180123c76fac" PartId="83850d30df4c4b10a06565142949c3b8"/>
    </Part>
    <Part Type="skyrius" Nr="3" Title="MEDICININĖS DOKUMENTACIJOS PILDYMAS ATLIKUS PROFILAKTINIUS SVEIKATOS TIKRINIMUS" DocPartId="94f1e88c9e9c4c27a4d045107f7a82fd" PartId="762932fea13d47da8ebe953f76e1a78b">
      <Part Type="punktas" Nr="11" Abbr="1 pr. 11 p." DocPartId="48d63787c1e743faa0605a35f4835c20" PartId="d48b677f49cd4d4690e084ab3a5536f0"/>
      <Part Type="punktas" Nr="12" Abbr="1 pr. 12 p." DocPartId="1207951e32f547c9892b10a38de58e7f" PartId="78b99775aec247998092b3d1be2912ea"/>
    </Part>
  </Part>
  <Part Type="priedas" Nr="2" Abbr="2 pr." Title="NĖŠČIŲJŲ IR MOTINŲ, IKI VAIKUI SUKAKS VIENERI METAI, SVEIKATOS TIKRINIMO TVARKA" DocPartId="e3978c9510f64444857488a978efaff8" PartId="8ae6e116f4634be680858dabb08f7081"/>
  <Part Type="priedas" Nr="3" Abbr="3 pr." Title="„VAIKŲ IR PILNAMEČIŲ MOKINIŲ, UGDOMŲ PAGAL BENDROJO UGDYMO PROGRAMAS, SVEIKATOS TIKRINIMO TVARKOS APRAŠAS“." DocPartId="957f1ca1d35843c095d59efb3391897b" PartId="0e51bcef02ce4385a7634e3de21fc569">
    <Part Type="skyrius" Nr="1" Title="BENDROSIOS NUOSTATOS" DocPartId="b1bd943a9cb3438cbcffec59d8a908c3" PartId="fb9892e1576644058c6853638be99e39">
      <Part Type="punktas" Nr="1" Abbr="3 pr. 1 p." DocPartId="f47ec5286eab443f84402d759a9f973b" PartId="e590613e73de43299d891ecef0c98105"/>
      <Part Type="punktas" Nr="2" Abbr="3 pr. 2 p." DocPartId="33a7bd1e956141f993af25ce7f0b40e4" PartId="bcc4d858d3d54ca784b9c03b4d23281a">
        <Part Type="papunktis" Nr="2.1" Abbr="3 pr. 2.1 pp." DocPartId="eab2994014de49c3bb19c397fcac4bed" PartId="96ab6c074341447e9232b3dd63b28cb6"/>
        <Part Type="papunktis" Nr="2.2" Abbr="3 pr. 2.2 pp." DocPartId="0beb4dc9bdbb4fae97a4653dec10e237" PartId="62d838a4d7fd4db58bec03c53a8fa33a"/>
        <Part Type="papunktis" Nr="2.3" Abbr="3 pr. 2.3 pp." DocPartId="0b679d1a03f846eb9a57edf1ae4c6d59" PartId="8aa77f118ab249ad85e9bf4b723c954f"/>
        <Part Type="papunktis" Nr="2.4" Abbr="3 pr. 2.4 pp." DocPartId="31d58b3741d64e2a8279e476c8d4c461" PartId="cd388879d08c48f3bb3c5a4bb5475a57"/>
        <Part Type="papunktis" Nr="2.5" Abbr="3 pr. 2.5 pp." DocPartId="e4fa48eca3ce4eafba2b86d8d9c1c333" PartId="8bf0c62b7fdb4da88d61293a845bd271"/>
      </Part>
      <Part Type="punktas" Nr="3" Abbr="3 pr. 3 p." DocPartId="7965bf687e2b4325b5b9e90a52d86eee" PartId="df2ce585f04e4a6f8a69076c298ca8ae"/>
      <Part Type="punktas" Nr="4" Abbr="3 pr. 4 p." DocPartId="031fdee77b464e4480325b643f0ebb6f" PartId="7767116a6d7b474bb402dd02a0a65f23"/>
      <Part Type="punktas" Nr="5" Abbr="3 pr. 5 p." DocPartId="f3fa9def604b4067bc8299f983298f97" PartId="3d3645cb4b694f6d91dc1f0ead9a6363"/>
      <Part Type="punktas" Nr="6" Abbr="3 pr. 6 p." DocPartId="a29a76e1d0b749a6b0405e1e09c8d3a3" PartId="5538dd5c1be44eb393b0a441d008c534"/>
      <Part Type="punktas" Nr="7" Abbr="3 pr. 7 p." DocPartId="f870ea9c504548d18718fc91a1123db2" PartId="5c4cbf7f3d07488aa9be70f64d1e484f"/>
    </Part>
    <Part Type="skyrius" Nr="2" Title="„II SKYRIUS PROFILAKTINIO VAIKŲ IR PILNAMEČIŲ MOKINIŲ SVEIKATOS TIKRINIMO REIKALAVIMAI IR TVARKA“." DocPartId="39ef3160c86f43a9b5140602e0089922" PartId="97c9cc681b0b45a7acdd644c2ea8af2b">
      <Part Type="punktas" Nr="8" Abbr="3 pr. 8 p." DocPartId="748a56fcbb6d45359c1e487dd69d3244" PartId="80c2a14edf654891af57d9a15daf0c88"/>
      <Part Type="punktas" Nr="9" Abbr="3 pr. 9 p." DocPartId="de132bb86ceb494dba6ab660b48e0097" PartId="61e76c17f0fa4160a857bb8698e7eada"/>
      <Part Type="punktas" Nr="10" Abbr="3 pr. 10 p." DocPartId="e2252becd2cc4e18b369085c7dc7c93a" PartId="82ef7a84079c42aba69df3fff8caa0ff"/>
      <Part Type="punktas" Nr="11" Abbr="3 pr. 11 p." DocPartId="66ce31341f334ad289ec35a45b82a7ce" PartId="78afa658c5ae46fcb2aff0d334850b90"/>
      <Part Type="punktas" Nr="12" Abbr="3 pr. 12 p." DocPartId="bbc759109d7449e18efb7fbf89762723" PartId="ac4b335ebf334e7f830d129ce14a4153"/>
      <Part Type="punktas" Nr="13" Abbr="3 pr. 13 p." DocPartId="0ed9939918314609bb405e4c20dfb5b4" PartId="81a3b019ba60423d9c4df432dbebe34b">
        <Part Type="papunktis" Nr="13.1" Abbr="13.1 pp." DocPartId="9815c1f976a04baa85f0dfecf180a762" PartId="19a76c172fa24a5ca7fa7adf8f4781b3"/>
        <Part Type="papunktis" Nr="13.2" Abbr="13.2 pp." DocPartId="d287b8d551ed469690ee34be0d5aee69" PartId="7d21c345854143d1a9f6a8c2364ed73f"/>
      </Part>
    </Part>
    <Part Type="skyrius" Nr="3" Title="VAIKŲ PSICHOMOTORINĖS RAIDOS TIKRINIMO REIKALAVIMAI IR TVARKA" DocPartId="8350a41edf1c4aa9a0820ea9454a63fa" PartId="e2e676d223e4422baa4bb3f46ee397b7">
      <Part Type="punktas" Nr="14" Abbr="3 pr. 14 p." DocPartId="f0ab174e5c2146469a22d36bbfab35e6" PartId="fb8acae386dc4c108fa353ac4282edf5"/>
      <Part Type="punktas" Nr="15" Abbr="3 pr. 15 p." DocPartId="d1c731b4522c4286a9e13804e7add0e9" PartId="fbb4c090c4074381bb572415f57b9603"/>
      <Part Type="punktas" Nr="16" Abbr="3 pr. 16 p." DocPartId="863d65b4f795447893fcdc050b4f8cf4" PartId="acf7f5be067049e3938e6b56b4b51fc3"/>
      <Part Type="punktas" Nr="17" Abbr="3 pr. 17 p." DocPartId="4de223b0d02c4d7ea8def666464caf92" PartId="aee314df27454a0895ea5c441fdd42b0"/>
      <Part Type="punktas" Nr="18" Abbr="3 pr. 18 p." DocPartId="9739d32696424b0fa6ee9fef6583fae5" PartId="e83a7a7011d14455aeb332e8c655a75e"/>
      <Part Type="punktas" Nr="19" Abbr="3 pr. 19 p." DocPartId="eae32f224aef4bc58150c3e70092886e" PartId="24227c835eb64439ba73fa26c66dce87"/>
      <Part Type="punktas" Nr="20" Abbr="3 pr. 20 p." DocPartId="a858b695ea6547a3b6711c506d5eb486" PartId="d00eb34842824508a3c8349003bf643e">
        <Part Type="papunktis" Nr="20.1" Abbr="3 pr. 20.1 pp." DocPartId="97e3d70248ae4a8bae7e40f4f29b3a4a" PartId="0bbe62841cb24986afabed62b7aa31bf"/>
        <Part Type="papunktis" Nr="20.2" Abbr="3 pr. 20.2 pp." DocPartId="7a3ebe6ad29a4f81ad4eadd8a6f17ab2" PartId="3f4b7a3eb7e340929876954df8c659bd"/>
      </Part>
      <Part Type="punktas" Nr="21" Abbr="3 pr. 21 p." DocPartId="4dce5e598edf4a51994d2ca0713e6e49" PartId="5c2bbb922ba54f07a3dc02dc969d4c13"/>
      <Part Type="punktas" Nr="22" Abbr="3 pr. 22 p." DocPartId="1da19125c8cf4e95b731910e43e1467e" PartId="d645e1d7c8cf4fe5a5c46a5c5b285e36"/>
      <Part Type="punktas" Nr="23" Abbr="3 pr. 23 p." DocPartId="bef2a55ec34d4c219587afd67cda0b81" PartId="1f08ee79734e4b21818ca4687a3905a8"/>
      <Part Type="punktas" Nr="24" Abbr="3 pr. 24 p." DocPartId="30e4d72f510546c291964b6a930eab57" PartId="339d2d45277e47c8a59d398b8053dd3b"/>
      <Part Type="punktas" Nr="25" Abbr="3 pr. 25 p." DocPartId="103f745e2b82413f8ea8dde4f63d0dfd" PartId="b40990ce1a5c44549ca9f908d1b10599"/>
    </Part>
    <Part Type="skyrius" Nr="4" Title="BAIGIAMOSIOS NUOSTATOS" DocPartId="4726858323f544a9b7cbafeb403eac5d" PartId="4eaab3b2a8fe47f183fc0aa0f01c44e3">
      <Part Type="punktas" Nr="26" Abbr="3 pr. 26 p." DocPartId="0c7e552eeff0417b9446b8bb6243e358" PartId="a049b2d0aaf94017b371316a52daa436"/>
      <Part Type="punktas" Nr="26-1" Abbr="26-1 p." DocPartId="4fbec3e7c0a4427885c0f6fc44619dd7" PartId="3a83b56652c443d19faa6fc3a71ad132"/>
      <Part Type="punktas" Nr="27" Abbr="3 pr. 27 p." DocPartId="194eeefd93fb41cfae08eacb28b1763b" PartId="8d2b7b70ce7c406ea672890a3bf6084a"/>
      <Part Type="punktas" Nr="28" Abbr="3 pr. 28 p." DocPartId="63d2abdaaaf2445aa96a8c379b2c2efe" PartId="7e98687be84a48ca85ac6bacae23fceb"/>
      <Part Type="punktas" Nr="29" Abbr="3 pr. 29 p." DocPartId="37097c65c0b940e39b6a8fb07d4cdca6" PartId="8555f97a3262479ba5fb4e463a613e5d"/>
      <Part Type="punktas" Nr="29-1" Abbr="29-1 p." DocPartId="03c91cb296fc48319543d83ce24eaa13" PartId="0351775175ec4b8b867f6171dceea24d">
        <Part Type="papunktis" Nr="29-1.1" Abbr="29-1.1 pp." DocPartId="3681ec2d956a4b1d989e7b29280b8dcb" PartId="0ba28f4b4291473a96ab136c685fb4ae"/>
        <Part Type="papunktis" Nr="29-1.2" Abbr="29-1.2 pp." DocPartId="dcd6e34307e64f568d512cedf4420ba3" PartId="e1965469061a46bfa9f804aac3de40fe"/>
      </Part>
      <Part Type="punktas" Nr="30" Abbr="3 pr. 30 p." DocPartId="0804394be4c641a3947b3e529b317296" PartId="fbfc8fe1fcff4eda8a8b2a87b2d3d1e5"/>
    </Part>
  </Part>
  <Part Type="priedas" Nr="1" Abbr="1 pr." Title="PROFILAKTINIO VAIKŲ SVEIKATOS TIKRINIMO REIKALAVIMAI" DocPartId="ac2b2da24049474eae9a2f50226f9ad7" PartId="1e6f2f143efc40b993e6e173b5c83d4d"/>
  <Part Type="priedas" Nr="2" Abbr="2 pr." Title="VAIKO PSICHOMOTORINĖS RAIDOS TIKRINIMO LAPAS (KŪDIKIS)" DocPartId="c8665e5b69ff4dceac89b89c0be3ac6c" PartId="81d66e55cada440c9eedd9c542a40891"/>
  <Part Type="priedas" Nr="4" Abbr="4 pr." Title="ŽEMĖS ŪKIO STOJANČIŲJŲ Į PROFESINIO MOKYMO MOKYKLAS IR ĮDARBINAMŲ NEPILNAMEČIŲ SVEIKATOS TIKRINIMO TVARKA" DocPartId="3a105ca9c70b4444b9ae7e1b1766f932" PartId="d6b63fe04f61463b9aa1016c669c7a2e">
    <Part Type="skyrius" Nr="1" Title="BENDROSIOS NUOSTATOS" DocPartId="ce24f18b70804f06a052d6f1a4348185" PartId="f669a6248c6b49bbb23cae769f1c0d52">
      <Part Type="punktas" Nr="1" Abbr="4 pr. 1 p." DocPartId="14f4f03b89334d3eba2e2d6257a4c2da" PartId="7c2ca106749740aaa7575453bf3ef7f3"/>
      <Part Type="punktas" Nr="2" Abbr="4 pr. 2 p." DocPartId="a31e98d1405a4071a7e3813b9fa700e1" PartId="051cc59db9584371a81d92d5bec8a0f1"/>
      <Part Type="punktas" Nr="3" Abbr="4 pr. 3 p." DocPartId="d2761435e9eb4113820d7a0335f27d85" PartId="bbac0dc37e864a278e6be80190739854"/>
      <Part Type="punktas" Nr="4" Abbr="4 pr. 4 p." DocPartId="e4a42e548a2741ec833d0a193d46729d" PartId="c27abe0491474230b8ea515134151bb4"/>
      <Part Type="punktas" Nr="5" Abbr="4 pr. 5 p." DocPartId="07db69c7263541f38992bc8b9737912e" PartId="a7d576eb905349c58711c8fe0bef8e79"/>
    </Part>
    <Part Type="skyrius" Nr="2" Title="LIGOS, KURIOMIS SERGANT DRAUDŽIAMA STOTI Į PROFESINIO MOKYMO MOKYKLAS" DocPartId="9ce0c8b906eb4ec1a04ff6f5003c44e1" PartId="17d9d113e7e04c6ebcb3b637fc8f5990">
      <Part Type="punktas" Nr="6" Abbr="4 pr. 6 p." DocPartId="05f222992637439fbe885c78b92cec2d" PartId="aab8a4e4a63b47ea8884821e41f32a7f"/>
      <Part Type="punktas" Nr="7" Abbr="4 pr. 7 p." DocPartId="ab0bdef25453452e9371941f8463f446" PartId="57131c12ebe44d109dc0ceb4fb1f3f66"/>
    </Part>
    <Part Type="skyrius" Nr="3" Title="PAPILDOMI LIGŲ IR BŪKLIŲ PRIEŠPARODYMAI STOJANT Į PROFESINIO MOKYMO MOKYKLAS" DocPartId="d3bc68c8ae9a4f2597708901ff46b688" PartId="23e104471d594d8bb5d70883230efa8c"/>
  </Part>
  <Part Type="priedas" Nr="5" Abbr="5 pr." Title="SPORTUOJANČIŲ ASMENŲ SVEIKATOS TIKRINIMO TVARKA" DocPartId="3b93a4a7c03a4764a64ea604bb862448" PartId="59b26887d2204dea976498ac7b5e5ead">
    <Part Type="skyrius" Nr="1" Title="BENROSIOS NUOSTATOS" DocPartId="922fa4e384a243f19143c5303bff3bb6" PartId="334ec0ffc57247ab9dfa1d4d42ed1311">
      <Part Type="punktas" Nr="1.1" Abbr="5 pr. 1.1 p." DocPartId="5ee4bfe2d3e447d399d8861aa7f69236" PartId="6a9c3005e75c4ccc81f8f5eacfca76cb"/>
      <Part Type="punktas" Nr="1.2" Abbr="5 pr. 1.2 p." DocPartId="57ea7d1d982842c5b8872dd84a581a2f" PartId="cb391d7ee2d84a5190a9ba857d3620f0">
        <Part Type="punktas" Nr="1.2.1" Abbr="5 pr. 1.2.1 p." DocPartId="81743687013d4192972187f58349f3f6" PartId="c027bd23fe8b4a2d803c53924c38c16b"/>
        <Part Type="punktas" Nr="1.2.2" Abbr="5 pr. 1.2.2 p." DocPartId="ee43de2422d8439a82c7f5be69de6fd2" PartId="8cd7689ca6c54aec813cb970fd88d804"/>
        <Part Type="punktas" Nr="1.2.3" Abbr="5 pr. 1.2.3 p." DocPartId="2fe39e0e87e5423f8d968872313ab62b" PartId="5ee490924fb34673b0f4bda2bfc66940"/>
        <Part Type="punktas" Nr="1.2.4" Abbr="5 pr. 1.2.4 p." DocPartId="40a5a52c66f9470b901867ff6775c9ce" PartId="801cade7899849fa9fa2a34696325879"/>
      </Part>
      <Part Type="punktas" Nr="1.3" Abbr="5 pr. 1.3 p." DocPartId="3b7d82e4a27a4985b7c38a8d9704c0dc" PartId="5295d6c8c88c45b6bf644d70122a1856">
        <Part Type="punktas" Nr="1.3.1" Abbr="5 pr. 1.3.1 p." DocPartId="1ba82e553da04e41b304fa31e540311c" PartId="01a5f330ce4849c680df9b673a2c898e"/>
        <Part Type="punktas" Nr="1.3.2" Abbr="5 pr. 1.3.2 p." DocPartId="e67823c9aba741148f71c762eceda838" PartId="82cf3d0588014e788542ec17288b1e4d"/>
        <Part Type="punktas" Nr="1.3.3" Abbr="5 pr. 1.3.3 p." DocPartId="29acca84b3c54a4eaf3e40177c605983" PartId="80e829756878485cb6bea1ac13538c98"/>
        <Part Type="punktas" Nr="1.3.4" Abbr="5 pr. 1.3.4 p." DocPartId="b546d9f8f982408bb962d6a35dfae27c" PartId="956e7a0a09e94fcda970c7954ab8fcb1"/>
        <Part Type="punktas" Nr="1.3.5" Abbr="5 pr. 1.3.5 p." DocPartId="e0b4a9ff26fd4aefbf7bd09e388d529d" PartId="11bed6c7bdac4230a847f60ebbd576a5"/>
      </Part>
      <Part Type="punktas" Nr="1.4" Abbr="5 pr. 1.4 p." DocPartId="f38a1213f93f4c41819a7ed1c5073750" PartId="d5d464c9996a463080aefee8bd2ff0f0">
        <Part Type="punktas" Nr="1.4.1" Abbr="5 pr. 1.4.1 p." DocPartId="125358f22b6e48639ec904616fa92290" PartId="85b65c2e24394014a943166da63498d0"/>
        <Part Type="punktas" Nr="1.4.2" Abbr="5 pr. 1.4.2 p." DocPartId="741603413a4a4dd794e7733eeaad8b09" PartId="a4c36ebe457d4193a36874ea109a7eea"/>
        <Part Type="punktas" Nr="1.4.3" Abbr="5 pr. 1.4.3 p." DocPartId="55656592a9f54dc797328f9de3e1d773" PartId="1420c54d1f0a41c8a51cb68f58834585"/>
      </Part>
      <Part Type="punktas" Nr="1.5" Abbr="5 pr. 1.5 p." DocPartId="ac2562cfd7f04c2b86d4204434732dae" PartId="a57e46f2427f4fcdb9d3176308bbb82f"/>
      <Part Type="punktas" Nr="1.6" Abbr="5 pr. 1.6 p." DocPartId="16dacb9ffc524bfa88a9ee9679fc9352" PartId="ad146f783f8345b485e7c1d444653554"/>
      <Part Type="punktas" Nr="1.7" Abbr="5 pr. 1.7 p." DocPartId="406e9e6d2d1b48b1a3a53f99291416cd" PartId="41f80241da66462982c0f03493f67182"/>
      <Part Type="punktas" Nr="1.8" Abbr="5 pr. 1.8 p." DocPartId="ec495fde90e94ac9b23ab89c654c73e3" PartId="57c6a1c4b5b840bcaf27cc6a60096781"/>
    </Part>
    <Part Type="skyrius" Nr="2" Title="LIGŲ IR PATOLOGINIŲ BŪSENŲ SĄRAŠAS, KURIOMS ESANT RIBOJAMAS FIZINIS KRŪVIS ARBA NEREKOMENDUOJAMA SPORTUOTI" DocPartId="576c1246993b4c45a0f0b5593eb6f280" PartId="445c60dff25a43aa86b618e36ec8bf04"/>
    <Part Type="skyrius" Nr="3" Title="SPORTUOJANČIŲ ASMENŲ SVEIKATOS IŠTYRIMO PERIODIŠKUMAS IR PASLAUGŲ MASTAS" DocPartId="b083a302e1234217b7b051cf71935efc" PartId="c1a1094e2b3840b590b89d810116cc44"/>
    <Part Type="skyrius" Nr="4" Title="DETALUS SPORTO MEDICINOS CENTRUOSE TEIKIAMŲ ASMENS SVEIKATOS PRIEŽIŪROS PASLAUGŲ SĄRAŠAS" DocPartId="f35f48a62c4e44fcb6d2ef4eb260ebeb" PartId="db8ba70d495a479c947d7f86ea83ac4a"/>
    <Part Type="skyrius" Nr="5" Title="MEDICINOS PAGALBOS TEIKIMAS SPORTO RENGINIŲ, ĮSKAITANT MOKOMĄSIAS TRENIRUOČIŲ STOVYKLAS, METU" DocPartId="916fcbcfc5ab487dbe92b2977866492e" PartId="78a2bf2665504a518a455938e84666a1">
      <Part Type="punktas" Nr="5.1" Abbr="5 pr. 5.1 p." DocPartId="afcecfc4727c4a55a878a1d3b8e088d9" PartId="bf0d5e6c4f6a4363af456d4f81d86b4d"/>
      <Part Type="punktas" Nr="5.2" Abbr="5 pr. 5.2 p." DocPartId="ca996ee060b14908b2b0d481a27eb63a" PartId="5038a3c6d1324dc7af592ffe02ad3a2a"/>
      <Part Type="punktas" Nr="5.3" Abbr="5 pr. 5.3 p." DocPartId="b650785e1a034e9eb5167a1a5cc6d89a" PartId="82778d9321414b7b8c139401a29ac851"/>
      <Part Type="punktas" Nr="5.4" Abbr="5 pr. 5.4 p." DocPartId="ed5f9f6aa4c8427b912b1b5af36379e3" PartId="97ed670279e74658b3e33b43196d66eb">
        <Part Type="punktas" Nr="5.4.1" Abbr="5 pr. 5.4.1 p." DocPartId="389e8ab7f7d04abfb964e7021d8dbd64" PartId="6db25add32c34f10b31122ccaada9c2b"/>
        <Part Type="punktas" Nr="5.4.2" Abbr="5 pr. 5.4.2 p." DocPartId="6b6b0c7d87134a5898517d6aece8384c" PartId="ba237b23359e405daacaff5284969a84"/>
        <Part Type="punktas" Nr="5.4.3" Abbr="5 pr. 5.4.3 p." DocPartId="9587f9f39715463f84ddded1aa8dbe25" PartId="4dd4f03fa2ae41b0bd787d4a39cb2bb8"/>
        <Part Type="punktas" Nr="5.4.4" Abbr="5 pr. 5.4.4 p." DocPartId="f7abc9e4fa07420ab1fba607577c63d1" PartId="d34997ee9ba84163a66c291a83859638"/>
        <Part Type="punktas" Nr="5.4.5" Abbr="5 pr. 5.4.5 p." DocPartId="6b54d374b3474d43b4c5037df576f3cb" PartId="2d9c57ea409d437da2cf3cbba20f94ac"/>
        <Part Type="punktas" Nr="5.4.6" Abbr="5 pr. 5.4.6 p." DocPartId="f9d0a9a8a1064e038497f3e66154306f" PartId="6f7e9fec47894b8ab9de696b5775c474"/>
      </Part>
      <Part Type="punktas" Nr="5.5" Abbr="5 pr. 5.5 p." DocPartId="1421cbc96b5f4f4da790a00cf65542fa" PartId="a26e03a627c64256a577a53e23f21174">
        <Part Type="punktas" Nr="5.5.1" Abbr="5 pr. 5.5.1 p." DocPartId="861fc95fda5949afb32d847007a7baea" PartId="c8ceef2e9d824545987237f6fb9c383c"/>
        <Part Type="punktas" Nr="5.5.2" Abbr="5 pr. 5.5.2 p." DocPartId="a97ded22246f401ba04d6006a0fbff1f" PartId="52c3120509e442f592886b224b1ba340"/>
        <Part Type="punktas" Nr="5.5.3" Abbr="5 pr. 5.5.3 p." DocPartId="6d6b2ef851384ba5bb6e2a7752e5cc2f" PartId="9884f1278be24316b77bbd965e2a5f6e"/>
        <Part Type="punktas" Nr="5.5.4" Abbr="5 pr. 5.5.4 p." DocPartId="385739239e644237917d6fa92ea83c11" PartId="9d052d96171a4523b90cc461ef3a4dec"/>
        <Part Type="punktas" Nr="5.5.5" Abbr="5 pr. 5.5.5 p." DocPartId="4e916dc17cf94ba7b053349094a99844" PartId="8a1300d68761443f80d06a4c1fb3e792"/>
      </Part>
      <Part Type="punktas" Nr="5.6" Abbr="5 pr. 5.6 p." DocPartId="ada97b570948426eb3d23ad143f278d9" PartId="b5063ee6b72b4417bd24978488055897"/>
      <Part Type="punktas" Nr="5.7" Abbr="5 pr. 5.7 p." DocPartId="e513bf2f819949e589166d1c2d2302fd" PartId="3c05797def444c6b9ff5a10dd0e19950"/>
      <Part Type="punktas" Nr="5.8" Abbr="5 pr. 5.8 p." DocPartId="c3176378c35f4bdf94a0c8d37e1ba8ed" PartId="395f82fcf2e549cfb0604d0044543a7f"/>
      <Part Type="punktas" Nr="5.9" Abbr="5 pr. 5.9 p." DocPartId="4d6b2569eb0347e08bfae29624134292" PartId="d649c601636c451bad0f44e208fc1ec7">
        <Part Type="punktas" Nr="5.9.1" Abbr="5 pr. 5.9.1 p." DocPartId="b38b43fb256f433785a19df9eb0dab6c" PartId="33fcec917a034b4a8adf80c0aba9328e"/>
        <Part Type="punktas" Nr="5.9.2" Abbr="5 pr. 5.9.2 p." DocPartId="bd2c127348664db5a6834c22b8b70262" PartId="916854d8e0fb421d997646c3e063e560"/>
        <Part Type="punktas" Nr="5.9.3" Abbr="5 pr. 5.9.3 p." DocPartId="d567f7361bd349728e28032a86e873a0" PartId="49d26e4cf43a4c7492580fa09e97ba8a"/>
        <Part Type="punktas" Nr="5.9.4" Abbr="5 pr. 5.9.4 p." DocPartId="ebd1a7eedbfa4c9bb195f436d5d006fc" PartId="663374bfc32a49f6883e1cb55afbecc7"/>
      </Part>
      <Part Type="punktas" Nr="5.10" Abbr="5 pr. 5.10 p." DocPartId="7d9ef6783f1c46acaf14b9bf7b00c53d" PartId="e3ffaf5ce6fa4074b7128b25da425da1"/>
      <Part Type="punktas" Nr="5.11" Abbr="5 pr. 5.11 p." DocPartId="3bbaf542b25f44cba09a04b2724a0117" PartId="de10a88f08674aff90545f28d0ef20fc"/>
      <Part Type="punktas" Nr="5.12" Abbr="5 pr. 5.12 p." DocPartId="2025aa6491de452697ed9b4e3a9e42e5" PartId="641de453e23e47a78b33cf8d3e5ae9df"/>
    </Part>
    <Part Type="pabaiga" DocPartId="ec17d146415745b0a6ef10b347eab4dd" PartId="ca9e1f2e6aef4f108650d0708e1a4791"/>
  </Part>
  <Part Type="priedas" Abbr="pr." Title="NEINFEKCINIŲ LIGŲ PROFILAKTIKOS IR KONTROLĖS TVARKA" DocPartId="a9ee91f55eda4207951c1586c9c07d67" PartId="e8a2e8c2ee184b4ca735be8a810442a7">
    <Part Type="punktas" Nr="1" Abbr="pr. 1 p." DocPartId="53974db39f004f82a5d7f88d0238f7e7" PartId="f4fd4f1b74e5432ea05fd0b05d5a3334"/>
    <Part Type="punktas" Nr="2" Abbr="pr. 2 p." DocPartId="86bcc02477284e87a25bf4e81ac9e496" PartId="c3dd475fe76c46b99769af8cd74957a1"/>
    <Part Type="punktas" Nr="3" Abbr="pr. 3 p." DocPartId="d4e97572f0094ac7a4a3d411618f6987" PartId="351e11271719482896ddc0794d9f87ea"/>
    <Part Type="punktas" Nr="4" Abbr="pr. 4 p." DocPartId="123bae6b4a2c4424838aeaaae33b1dd0" PartId="c8a10659270a444b95f50a9838e92a5b"/>
    <Part Type="punktas" Nr="5" Abbr="pr. 5 p." DocPartId="88e01d6cbc244ff4b108810a0d5f5ff7" PartId="1a3bb14f36c047f4a86f5eabda2870bf"/>
  </Part>
  <Part Type="priedas" Nr="7" Abbr="7 pr." Title="VAIRUOTOJŲ SVEIKATOS TIKRINIMO REIKALAVIMŲ IR TVARKOS APRAŠAS" DocPartId="2b2a2484d1814949a3b63be4a4fcb94a" PartId="4478c5b5bd2e41a5b907ff5600aa242d">
    <Part Type="skyrius" Nr="1" Title="BENDROSIOS NUOSTATOS" DocPartId="e2149f99f8fd40a6bb09634823f0b917" PartId="88359cb0a5bb43a18b4597425a46f9c3">
      <Part Type="punktas" Nr="1" Abbr="7 pr. 1 p." DocPartId="13e0778fd97b4ede8264883ec24194c3" PartId="72cfb17836a048808178a0b7b325bd54"/>
      <Part Type="punktas" Nr="2" Abbr="7 pr. 2 p." DocPartId="d28c597485284c7ca4b195c1055308ef" PartId="016bca409eb34383a43341de503f0cfe">
        <Part Type="punktas" Nr="2.1" Abbr="7 pr. 2.1 p." DocPartId="665a36997f7f426d9f5d6936a8b3ace7" PartId="2f9572f96cab4c2c811910b3419e54c5"/>
        <Part Type="punktas" Nr="2.2" Abbr="7 pr. 2.2 p." DocPartId="8b8e8da218ee4a5e8a8a55908b143a81" PartId="35d9226dd33c41bea3ad9ad6965c0739">
          <Part Type="punktas" Nr="2.2.1" Abbr="7 pr. 2.2.1 p." DocPartId="f41151e1b326402b9c8790e7b0f711a1" PartId="db0606159d2b43e186f6fc7f18c5aa54"/>
          <Part Type="punktas" Nr="2.2.2" Abbr="7 pr. 2.2.2 p." DocPartId="aeda26465fca4a7a95a205c3dd44407a" PartId="c87cc59b158843fb91aac81b118b160a"/>
        </Part>
      </Part>
      <Part Type="punktas" Nr="3" Abbr="7 pr. 3 p." DocPartId="bdeff937906441fb9dc2c55e32322682" PartId="e6544a50f68e4892be957615aa6a6aa5"/>
      <Part Type="punktas" Nr="4" Abbr="7 pr. 4 p." DocPartId="011306d39fe045539ae04138be79a95c" PartId="a6fb048b03e14a64ab0323fde91ed2cd"/>
      <Part Type="punktas" Nr="5" Abbr="7 pr. 5 p." DocPartId="fed6036ed4104a6086a63aeec7caf4af" PartId="3da51edbbb5747ab99447069970b2d51"/>
    </Part>
    <Part Type="skyrius" Nr="2" Title="SVEIKATOS TIKRINIMO REIKALAVIMAI IR TVARKA" DocPartId="559203bdf7fe4389a923e0ec28753f03" PartId="c2d8a0d16550498da09ed6a216621212">
      <Part Type="punktas" Nr="6" Abbr="7 pr. 6 p." DocPartId="fa5b16fe79fc409b9323bafcebc72a6a" PartId="41bd4442dc2042d0924be8867d07726f"/>
      <Part Type="punktas" Nr="7" Abbr="7 pr. 7 p." DocPartId="964934648895415d850771ff6af3136f" PartId="f38e7c27065a4c7384024f370ebc8183"/>
      <Part Type="punktas" Nr="8" Abbr="7 pr. 8 p." DocPartId="bd83f88283c844d98c259040d9ee95c0" PartId="57dfaae7e9784acf91b510d6f97e41bf"/>
      <Part Type="punktas" Nr="9" Abbr="7 pr. 9 p." DocPartId="11633c6a184041a5ade01e1379ed2bfb" PartId="6ec65ebd19bd4e34ac7bb2e0042864b0"/>
      <Part Type="punktas" Nr="10" Abbr="7 pr. 10 p." DocPartId="e1339ea1b678480aaaada0b4dd0c98c4" PartId="8d4b76a4cf6b48af9d16eb68d2508932">
        <Part Type="punktas" Nr="10.1" Abbr="7 pr. 10.1 p." DocPartId="d03dc4f7e80f44c5925eecb04012dd3c" PartId="4498a09d396a4bbdb277dddbc201fdf6"/>
        <Part Type="punktas" Nr="10.2" Abbr="7 pr. 10.2 p." DocPartId="57b3ec0040d644c9a9a5fe3ef44c5f32" PartId="5bd25a06bc694c2d902c2753342070b7"/>
        <Part Type="punktas" Nr="10.3" Abbr="10.3 p." DocPartId="22517bb235864e75a887f7858da503da" PartId="1a04e91de0784c36a5a6516fe48a0639"/>
      </Part>
      <Part Type="punktas" Nr="10-1" Abbr="10-1 p." DocPartId="df65b6607aa6420ba460bfa26248343b" PartId="e34205f654ab48348d7793eedf67c273"/>
      <Part Type="punktas" Nr="11" Abbr="7 pr. 11 p." DocPartId="abd619140fae4bca917ea5feb8304267" PartId="388d3c90356a4152a5eca1cccf2c6546"/>
      <Part Type="punktas" Nr="12" Abbr="7 pr. 12 p." DocPartId="3176913347f641f0909870d415a81c0b" PartId="2405ca7a333647d299e25600c54e501a">
        <Part Type="punktas" Nr="12.1" Abbr="7 pr. 12.1 p." DocPartId="b2acbef069644a44ba1a0e4c32e8e056" PartId="1ba517bf78054483870e349dbb126eea"/>
        <Part Type="punktas" Nr="12.2" Abbr="7 pr. 12.2 p." DocPartId="e39660b317604ea9bd2a5993be424bfc" PartId="210c10e780aa4da1b659db7c42ab2573"/>
        <Part Type="punktas" Nr="12.3" Abbr="7 pr. 12.3 p." DocPartId="521ef86de247419b93dc7d512e534bcc" PartId="562699af85e14f77a0f95f960d914b32"/>
      </Part>
      <Part Type="punktas" Nr="13" Abbr="7 pr. 13 p." DocPartId="8c993bee945f42d6b6d3e5efa34befff" PartId="931cae19013d43a1867c589a3f30983e"/>
      <Part Type="punktas" Nr="14" Abbr="7 pr. 14 p." DocPartId="4336a1e98602496d88477bfea7d74c4c" PartId="7de7cb5508eb4487b95e24594c81804a"/>
      <Part Type="punktas" Nr="15" Abbr="7 pr. 15 p." DocPartId="1905e601881c4bcf9b6c20c18707be11" PartId="6843f5f8edff4ab88098bdab43be4992"/>
      <Part Type="punktas" Nr="16" Abbr="7 pr. 16 p." DocPartId="0eda108eebdb408a838c92edfdc7fd1a" PartId="ae8e397c11da4debaa4394c81e5ab18a"/>
      <Part Type="punktas" Nr="17" Abbr="7 pr. 17 p." DocPartId="6161ed7a18d64a46a631cf9cba28a27b" PartId="8317bcfafaf44d5e81e9d994ae51a8a9"/>
      <Part Type="punktas" Nr="18" Abbr="7 pr. 18 p." DocPartId="3231dce1bd50489c97ecdac380ba1ae9" PartId="729bcbe776ae4f58bbef1b219878c0d4"/>
      <Part Type="punktas" Nr="19" Abbr="7 pr. 19 p." DocPartId="9ca913e854f64095b73a2c6b9397a787" PartId="291e3e1437064e65bc5a9f72e49b9b1a"/>
      <Part Type="punktas" Nr="20" Abbr="7 pr. 20 p." DocPartId="1afe0a07390648249e62eef37201a0f7" PartId="20ff8c034f334f6cbcc1e1ec243992b1"/>
      <Part Type="punktas" Nr="21" Abbr="7 pr. 21 p." DocPartId="68673ab899994f508afa421cd3cdf263" PartId="1350d91d0243477fa5d67b631d2e08f3"/>
      <Part Type="punktas" Nr="22" Abbr="7 pr. 22 p." DocPartId="8d1bbccb8342488b99f68ca7da085700" PartId="b581a4aaa9bb4db2a27c331c8202e819"/>
      <Part Type="punktas" Nr="23" Abbr="7 pr. 23 p." DocPartId="c6204502bf414366b2a671873faa1469" PartId="6f0c3be17c09474ab4c47b98ddf462ec"/>
      <Part Type="punktas" Nr="24" Abbr="7 pr. 24 p." DocPartId="f7eeef3f2a904c4bbd42c42ce45025ac" PartId="18496efe88f44834a6fe78ae8f699003"/>
      <Part Type="punktas" Nr="25" Abbr="7 pr. 25 p." DocPartId="b377d607c7624730805faa2b72c952b7" PartId="52635baee99c47b3b1477af2fa249763"/>
      <Part Type="punktas" Nr="26" Abbr="7 pr. 26 p." DocPartId="5dad2c12448d4f3591cf0a64c557c1e6" PartId="a8bb4113f2ab41e49594e8a530777148"/>
      <Part Type="punktas" Nr="27" Abbr="7 pr. 27 p." DocPartId="9661926e10b74ee3919882263ee79135" PartId="6e80d9179f874a6090207c5ee5bdf808"/>
    </Part>
    <Part Type="skyrius" Nr="3" Title="BAIGIAMOSIOS NUOSTATOS" DocPartId="09b46acd68e64cbe8ef362dc0471cbf3" PartId="209eb8696082471f9039cd2ef495f97e">
      <Part Type="punktas" Nr="28" Abbr="7 pr. 28 p." DocPartId="979ddaaa15fc41dfa63eaced1e29b344" PartId="cc769c43cc01423094aae7a4583f4f19"/>
      <Part Type="punktas" Nr="29" Abbr="7 pr. 29 p." DocPartId="2c828df8cd7e4fd98a85f1ccd5212c26" PartId="98968d0765a54fe59117478563d2cbf0"/>
      <Part Type="punktas" Nr="30" Abbr="7 pr. 30 p." DocPartId="fb36645017834656ab8cf6fad2c0c403" PartId="d19d6ab5e37f4ea9bbf69d13e27ac2da"/>
    </Part>
  </Part>
  <Part Type="lentele" DocPartId="142b301bb7e84762a1200f94fc7218dd" PartId="da39e86e0365404c80191091e05e5124"/>
  <Part Type="lentele" Nr="2" Title="TRANSPORTO PRIEMONIŲ KATEGORIJOS, MINIMALUS VAIRUOTOJŲ AMŽIUS" DocPartId="36fd42b018aa4aae9c5fe82f72c4dc0e" PartId="ddcc24f42f904bf2be6b0a71cb6b7ac0"/>
  <Part Type="lentele" Nr="3" Title="MINIMALIOS FIZINIO IR PSICHIKOS TINKAMUMO NORMOS, TAIKOMOS ASMENIMS, VAIRUOJANTIEMS VARIKLIO VAROMĄ TRANSPORTO PRIEMONĘ" DocPartId="4f0a5ac065614e669245fb31f1e590cc" PartId="e86ef2d821dc4b6fb53b68171fd86b65">
    <Part Type="pastraipa" DocPartId="dfd74853af514ef6bc9d933dc32d88b1" PartId="874c01c931ed4bfa90191f10468b06b7"/>
    <Part Type="punktas" Nr="1" Abbr="1 p." DocPartId="fd8710def0294848a191c9366d08bb31" PartId="f60fd4a010b04d948a3953d359043d8d"/>
    <Part Type="punktas" Nr="2" Abbr="2 p." DocPartId="6075ba24353d478fb4ce2c0f325fba20" PartId="7482125af98845bd973f92efd0decbbb"/>
    <Part Type="punktas" Nr="3" Abbr="3 p." DocPartId="67ed024b6cff44e4840411bbb1439407" PartId="e209fa6e25c54340a99c1b0765f3b7e5"/>
  </Part>
  <Part Type="lentele" Nr="4" Title="VAIRUOTOJO GARBĖS DEKLARACIJA (SVEIKATOS PATIKRINIMO KLAUSIMYNAS)" DocPartId="d677b145cbcd45dbab1a2c70cc43540c" PartId="53a20ffc4e7c45359dbc9cc855e70581">
    <Part Type="pastraipa" DocPartId="b320d20800b845c1b2abef7288de5499" PartId="51369210f9af477681cc066f76328b85"/>
    <Part Type="pastraipa" DocPartId="15f7fd15f34b408bafb576bf4ff2bacd" PartId="af818a00d0df4e698754cd2fe96b1764"/>
    <Part Type="pastraipa" DocPartId="8b4466334c4e4cb0a53e8e344810f700" PartId="35488bc148c942c6a8626b0be5add652"/>
    <Part Type="pastraipa" DocPartId="f012f000471242b1bb9bd440bff58c2d" PartId="19d556ee372e4a5a89c6928b2a1364a8"/>
    <Part Type="lentele" DocPartId="9f4e918b6dc14dd784668fbdab237ed9" PartId="65fdfe09273c4e8b9e23097ad860a8d8"/>
    <Part Type="pastraipa" DocPartId="5037ce3612f74820916d9abd8570231e" PartId="61aa1e37ce2c47429d4bf57df7472b4e"/>
    <Part Type="pastraipa" DocPartId="98e5988de7e84d059d4343d107f71280" PartId="9776c0303d3b47179565bf5dde4bbedc"/>
    <Part Type="pastraipa" DocPartId="5b62abbbe2da4cbab6eb4802e35d4b94" PartId="2cf9a4c47a7b440990c24ec6951f82fd"/>
  </Part>
  <Part Type="lentele" Nr="5" Title="VAIRUOTOJUI TAIKOMŲ APRIBOJIMŲ KODAI" DocPartId="5c01a10416c64c96ae9969ff1fbc7648" PartId="f99f630dd4494ea8a0278039b27fdecd"/>
  <Part Type="priedas" DocPartId="9e4d5731f64e4611b658ef00b9e5bb43" PartId="cacbc32b0b034471ad3812d97292a3b6"/>
  <Part Type="priedas" Nr="8" Abbr="8 pr." DocPartId="5138adef28ff4ffe832acd60005e49ed" PartId="55fd7fe9e33046209ea3009aeaa8b7b7"/>
  <Part Type="priedas" Nr="9" Abbr="9 pr." Title="VYKSTANČIŲJŲ Į UŽSIENĮ SVEIKATOS TIKRINIMO TVARKA" DocPartId="ee022644b8764ad698f8cfccbe895be7" PartId="d06b380f6ba04718b98617c9e8e69967">
    <Part Type="skyrius" Nr="1" Title="BENDROSIOS NUOSTATOS" DocPartId="c00d680f2950467ebcc6626f943674f9" PartId="1e0067e1fbe24e8491d576eadb5d0fdc">
      <Part Type="punktas" Nr="1" Abbr="9 pr. 1 p." DocPartId="807eb490d8d145e588871cb33b1857ab" PartId="3105c62ba46e48ca882a40ab919bac7d"/>
      <Part Type="punktas" Nr="2" Abbr="9 pr. 2 p." DocPartId="a7dda6330da6455a966f1465d886994c" PartId="fb032c2e61b643a7804a07274024791f"/>
      <Part Type="punktas" Nr="3" Abbr="9 pr. 3 p." DocPartId="45610d2952d24db29703e69a5cd0f8de" PartId="cfc180eacc254d9ea5c8a44e4ea12c7f"/>
      <Part Type="punktas" Nr="4" Abbr="9 pr. 4 p." DocPartId="5c50933d4ee54b389227f64c8b95d18a" PartId="f9550c9b81cb47c39ce672c935b38276"/>
      <Part Type="punktas" Nr="5" Abbr="9 pr. 5 p." DocPartId="d80e2902a525427d92a1349838f4046d" PartId="b28b5c9227244489b3b669692b42b830"/>
      <Part Type="punktas" Nr="6" Abbr="9 pr. 6 p." DocPartId="c087bccb493845cc976caec4741ab6be" PartId="8bc8f654a006472e864f9ce463518658"/>
      <Part Type="punktas" Nr="7" Abbr="9 pr. 7 p." DocPartId="250b1f1b226b4879b4b1a73e797321c7" PartId="6a340326c0b241bc84916f08cea6858a"/>
      <Part Type="punktas" Nr="8" Abbr="9 pr. 8 p." DocPartId="212e93201e5f4183bd7d67119c37e86f" PartId="290f910a086c4955b523b414c882cfe6"/>
      <Part Type="punktas" Nr="9" Abbr="9 pr. 9 p." DocPartId="e801f90e7d0e4b8ea2f739844c589e33" PartId="6e01b5da4ae84645be8638db0c1d920b"/>
      <Part Type="punktas" Nr="10" Abbr="9 pr. 10 p." DocPartId="9367de9055f04c63af09186b580362b8" PartId="844e64cd658c4f3f8da904f9c59a1d2c"/>
      <Part Type="punktas" Nr="11" Abbr="9 pr. 11 p." DocPartId="c0e50da3cc874ccf91970e79c775d458" PartId="824637e270684d09a8c9af6401811b02"/>
      <Part Type="punktas" Nr="12" Abbr="9 pr. 12 p." DocPartId="8c4f514dcd964b338f59e7c10007ca38" PartId="603e139e68b94d8a80fbceb990348967"/>
      <Part Type="punktas" Nr="13" Abbr="9 pr. 13 p." DocPartId="aa82cec1ee994d2a8d3791afc677e73a" PartId="47b67b54582b40878252629db9230767"/>
      <Part Type="punktas" Nr="14" Abbr="9 pr. 14 p." DocPartId="fcbb1f2752e44c65bdac4e60b66aa9d3" PartId="b63e22f1f03a493f9216a58fe10faa4b"/>
      <Part Type="punktas" Nr="15" Abbr="9 pr. 15 p." DocPartId="7941ba660f7c45e899f4669307da3a3f" PartId="c40fae31faf4447989763ec25dad274b"/>
      <Part Type="punktas" Nr="16" Abbr="9 pr. 16 p." DocPartId="d33185bd1ad14c5292bf409aade8e871" PartId="3619143c651944cc95abf309b6174c4e"/>
      <Part Type="punktas" Nr="17" Abbr="9 pr. 17 p." DocPartId="53ad95df9664419da50665e6dcf26137" PartId="787a781a95274489953e83c97959b70d"/>
      <Part Type="punktas" Nr="18" Abbr="9 pr. 18 p." DocPartId="a37a95707e7f451c8c3b79939eb5cda1" PartId="86719377bbe842c280b5d4fe50dcac9d"/>
    </Part>
    <Part Type="skyrius" Nr="2" Title="SVEIKATOS TIKRINIMAS VYKSTANT Į UŽSIENĮ" DocPartId="0f34097da13e491b921cde8785fcf282" PartId="6720eac7dd8449b998fe7b36e2aaae53"/>
  </Part>
  <Part Type="priedas" Nr="10" Abbr="10 pr." Title="LICENCIJUOJAMŲ CIVILINĖS AVIACIJOS SPECIALISTŲ SVEIKATOS BŪKLĖS TIKRINIMO TVARKOS APRAŠAS" DocPartId="ec10566976f143c78fbbdd0ec2f6382a" PartId="82810ee2ef564b7490b94db71340776a">
    <Part Type="punktas" Nr="1" Abbr="10 pr. 1 p." DocPartId="56187d67572a428aa6d4beaae160cd84" PartId="227f06e3adef4b738850f2cd86922c73"/>
    <Part Type="punktas" Nr="2" Abbr="10 pr. 2 p." DocPartId="44ce967aa8a743b0a407f721eea7f847" PartId="6089dc0c6f214efabb500ce1c34465a7"/>
    <Part Type="punktas" Nr="3" Abbr="10 pr. 3 p." DocPartId="0ad82a671eca40d8a6ac9a33575781b1" PartId="f0be24370f7e464588fd33216931977f"/>
    <Part Type="punktas" Nr="4" Abbr="10 pr. 4 p." DocPartId="bcc982fe994f4be5b24eef7c8fad4d53" PartId="dee0611f23534addb7287255f30008d2"/>
    <Part Type="pabaiga" DocPartId="3144c228594f4a55b771d5f4861b7d1c" PartId="e43473c7b5e94a02a3c6c8b1a01d9187"/>
  </Part>
  <Part Type="priedas" Nr="11" Abbr="11 pr." Title="JŪRININKŲ IR VIDAUS VANDENŲ TRANSPORTO SPECIALISTŲ BEI MOTORINIŲ PRAMOGINIŲ LAIVŲ IR KITŲ MOTORINIŲ PLAUKIOJIMO PRIEMONIŲ LAIVAVEDŽIŲ SVEIKATOS TIKRINIMO TVARKOS APRAŠAS" DocPartId="e12e9c1b56374166b0d11fa541410a3d" PartId="8d7263feddb942499b31d04640026346">
    <Part Type="skyrius" Nr="1" Title="BENDROSIOS NUOSTATOS" DocPartId="7256befb92804e04aae028112cf23c0a" PartId="32ccb9ddeb984219866be6e01bb775c9">
      <Part Type="punktas" Nr="1" Abbr="11 pr. 1 p." DocPartId="727feef86bc74612b6a74501cd2c95b6" PartId="ba16f3e960ea4d37bf1a7b1dca6f2706"/>
      <Part Type="punktas" Nr="2" Abbr="11 pr. 2 p." DocPartId="bba8317d26b949aba1932e36383ca44d" PartId="d69d8b7f0e2142d58322719293013b09"/>
      <Part Type="punktas" Nr="3" Abbr="11 pr. 3 p." DocPartId="a9ef9a217ba34726a88622fa829a8103" PartId="1f802939952749c3bc1103154a44051c"/>
      <Part Type="punktas" Nr="4" Abbr="11 pr. 4 p." DocPartId="30ea7d39b6ab4f3f96fd2610bdf20a96" PartId="23bfcc2cf4b04ad1ae921748c138157c"/>
      <Part Type="punktas" Nr="5" Abbr="11 pr. 5 p." DocPartId="0ed78b871ba64d3888587bc9b36bf9f2" PartId="39b390a6ea1646e7beb4d715472d9983"/>
      <Part Type="punktas" Nr="6" Abbr="11 pr. 6 p." DocPartId="db22e6f3a2a146579e46e6d8ac3f095d" PartId="6eb442ae5d8340f398b3ff32bbefc6c5">
        <Part Type="papunktis" Nr="6.1" Abbr="11 pr. 6.1 pp." DocPartId="b43e2fb5ead14a2ba3469d5489b9e827" PartId="4d8aeef1fd13476fa19a116863d4db2c"/>
        <Part Type="papunktis" Nr="6.2" Abbr="11 pr. 6.2 pp." DocPartId="32c51bab8c284b2fbe7039a5b97d88ee" PartId="16871eef5095407f91cc3f88e4248a9c"/>
        <Part Type="papunktis" Nr="6.3" Abbr="11 pr. 6.3 pp." DocPartId="339ae66d7f424d86b1c890ab5ec3ba30" PartId="75a22cd5d0354d8192af865fad289721"/>
        <Part Type="papunktis" Nr="6.4" Abbr="11 pr. 6.4 pp." DocPartId="8069e174709f46ac9cf23d977ac8aad5" PartId="b8f59eae25804e5bb09f445503be3151"/>
      </Part>
    </Part>
    <Part Type="skyrius" Nr="2" Title="SVEIKATOS TIKRINIMO REIKALAVIMAI IR TVARKA" DocPartId="e8d509785afb4042b4da31d9dd2747a9" PartId="a42700b424784c29a5c42d99b641e3ed">
      <Part Type="punktas" Nr="7" Abbr="11 pr. 7 p." DocPartId="ae667787937e4d6dbfb43c9ca055185a" PartId="323439abc2094e6f92afb22f5a72fb07"/>
      <Part Type="punktas" Nr="8" Abbr="11 pr. 8 p." DocPartId="f2e0842af27c46d0aad32f41c48738f2" PartId="e4ce3d842bd8444fbda0d0a560761142"/>
      <Part Type="punktas" Nr="9" Abbr="11 pr. 9 p." DocPartId="9378a5974860421bbf3d5cd2b3911eed" PartId="c6a797db6e354c69bfec3e0333a3413b"/>
      <Part Type="punktas" Nr="10" Abbr="11 pr. 10 p." DocPartId="ebe129fc664e4b4787313fdc1a8779ec" PartId="5997fe6c03344b7fab10d6bce125ebb0"/>
      <Part Type="punktas" Nr="11" Abbr="11 pr. 11 p." DocPartId="3d0c19cbf96a420fb39fe246b2c15601" PartId="ece33cd7cb6a4881a315031e2c44b39b"/>
      <Part Type="punktas" Nr="11-1" Abbr="11-1 p." DocPartId="d3815629b6cd4e459815fe1148f1661f" PartId="0b8179516254450db17acd32605c9498"/>
      <Part Type="punktas" Nr="12" Abbr="11 pr. 12 p." DocPartId="4ce46395d860484db27bf6b5c5fbc66d" PartId="1bee4c3f52314253b25caecd3375f1fe">
        <Part Type="papunktis" Nr="12.1" Abbr="11 pr. 12.1 pp." DocPartId="f3d1cc86f9e1456f8e75f8bf973c6d7e" PartId="79b5c9b9b76346ad86f883f004924037"/>
        <Part Type="papunktis" Nr="12.2" Abbr="11 pr. 12.2 pp." DocPartId="8a796a4cafcd4086bcec62ab578ca3f4" PartId="b8eb1e5c3ab94a2b8a3d56d6da95c7e3"/>
        <Part Type="papunktis" Nr="12.3" Abbr="11 pr. 12.3 pp." DocPartId="a2f7e65105ad490b9e302c8c50fe5302" PartId="81252915cf6c416aad9ebdb8b8ce5f2c"/>
        <Part Type="papunktis" Nr="12.4" Abbr="11 pr. 12.4 pp." DocPartId="8593904fb3304ba5bf95023f10a36838" PartId="16bf25cbef4341a1aac6ee432ff58af5"/>
        <Part Type="papunktis" Nr="12.5" Abbr="11 pr. 12.5 pp." DocPartId="989ac1b27f1f4ddca7a4011acd1fc5b2" PartId="9bff474624024fa284e47b9e02277aee"/>
        <Part Type="papunktis" Nr="12.6" Abbr="11 pr. 12.6 pp." DocPartId="4b5ee59fdf2c4f23900f188d21fdd4d6" PartId="31a6ee8c4ae9413a835bd5ff8325be45"/>
        <Part Type="papunktis" Nr="12.7" Abbr="11 pr. 12.7 pp." DocPartId="5a3a21e2f6a740f18d35171f90d34315" PartId="b5a800c2c8144953b9d4e0ec59e42de5"/>
        <Part Type="papunktis" Nr="12.8" Abbr="11 pr. 12.8 pp." DocPartId="f58c0b32e8cc4e87911f921cc400fba5" PartId="5e38ef56177c47df83c409f85ac862ca"/>
        <Part Type="papunktis" Nr="12.9" Abbr="11 pr. 12.9 pp." DocPartId="e2286e1db82e4b3986033ee9b447e0eb" PartId="cc366baf458c4640b5e22941440d5274"/>
        <Part Type="papunktis" Nr="12.10" Abbr="11 pr. 12.10 pp." DocPartId="77cd95297ed2444cbf4bb00a55d6ebf4" PartId="f1df0ff4e1d14a988e62c466a4dc766e"/>
        <Part Type="papunktis" Nr="12.11" Abbr="11 pr. 12.11 pp." DocPartId="fc5cc31255184ac08bf1a847a364062c" PartId="7d2c1f23dc1c47a6a3c268d6f3458b0c"/>
        <Part Type="papunktis" Nr="12.12" Abbr="11 pr. 12.12 pp." DocPartId="2aa550baddbe4dffb5d116f75eb42add" PartId="b1ada84469ef4fdfb8ec0d3a98157e33"/>
        <Part Type="papunktis" Nr="12.13" Abbr="11 pr. 12.13 pp." DocPartId="bbbcb0cac49d4c2a9e13e1cd4acea2e8" PartId="79cd18d2a7d14226965451c7754ffa65"/>
        <Part Type="papunktis" Nr="12.14" Abbr="11 pr. 12.14 pp." DocPartId="bbc3024183aa497fb7dd0b47338d80c5" PartId="74400bf8bfa6482d8a9ba82009b11dfc"/>
        <Part Type="papunktis" Nr="12.15" Abbr="11 pr. 12.15 pp." DocPartId="ed4fb010ffa54d42980616d3d2ef84c2" PartId="f8a31a904f194a17b5c917ef56830ed6"/>
        <Part Type="papunktis" Nr="12.16" Abbr="11 pr. 12.16 pp." DocPartId="b6f8b06ad42a4ecd868c59f991982e27" PartId="1ead58615f744f0eb641ad3f63a790fc"/>
      </Part>
      <Part Type="punktas" Nr="13" Abbr="11 pr. 13 p." DocPartId="b9f5544a4d6f419e9851df13cad80abe" PartId="4e6f5044613d4cda8b71eab1d9180e66"/>
      <Part Type="punktas" Nr="14" Abbr="11 pr. 14 p." DocPartId="070aa394446e4185879f7bf5238e2669" PartId="44ad0c4d0c29454fa76de9c5376a9f17"/>
      <Part Type="punktas" Nr="15" Abbr="11 pr. 15 p." DocPartId="d1c38423a9114da1835eee56997f3566" PartId="0c54a5979c20439b8e92ca4f35ad1f2a"/>
      <Part Type="punktas" Nr="16" Abbr="11 pr. 16 p." DocPartId="fd85df9569c6436b901542d1f0e78cae" PartId="9837561fdedc4663b9b91219b363fc95"/>
      <Part Type="punktas" Nr="17" Abbr="11 pr. 17 p." DocPartId="24a920dc583047a59fcab736530d9e91" PartId="3f763ab8e46f482f86af33906e5a487c"/>
      <Part Type="punktas" Nr="18" Abbr="11 pr. 18 p." DocPartId="8fb5bcaeec2e4df2900b58d47f4d6ae1" PartId="3ecbc56127ff41c2b0575d71f7c4e170"/>
      <Part Type="punktas" Nr="19" Abbr="11 pr. 19 p." DocPartId="6bcbbf61c32b4de69e77ae8a45ffb7c9" PartId="7493f58d73a345fc8d91e79de34b6d40"/>
      <Part Type="punktas" Nr="20" Abbr="11 pr. 20 p." DocPartId="7ad0ab362bcf4498af239e719e9045d6" PartId="aab3a3a23dbf427a93a64e1cb01d3b86"/>
      <Part Type="punktas" Nr="21" Abbr="11 pr. 21 p." DocPartId="ae7ed2173fee4cc1bee0f7c579a10efb" PartId="30adbb396b5d4a25b392821bad73fe90"/>
      <Part Type="punktas" Nr="22" Abbr="11 pr. 22 p." DocPartId="e5ad5f91ef644d559706ad96a3e09c65" PartId="4d1d00e44d2043c1a9f65ce73b4c2b64"/>
    </Part>
    <Part Type="skyrius" Nr="3" Title="JŪRININKŲ IR VIDAUS VANDENŲ TRANSPORTO SPECIALISTŲ BEI MOTORINIŲ PRAMOGINIŲ LAIVŲ IR KITŲ MOTORINIŲ PLAUKIOJIMO PRIEMONIŲ LAIVAVEDŽIŲ SVEIKATOS TIKRINIMŲ PERIODIŠKUMAS" DocPartId="e2ac35e466304cf7a971b71b2c7d579b" PartId="d99e4a60a2894dc9ab0c2cedbc77672c">
      <Part Type="punktas" Nr="23" Abbr="11 pr. 23 p." DocPartId="989237b54f1c4a3bb2720a364c85e852" PartId="62c46a946159434683041306ed1c5aa3">
        <Part Type="papunktis" Nr="23.1" Abbr="11 pr. 23.1 pp." DocPartId="d112ab1dd0154e60b64723e005e0100a" PartId="e9baee25ee2f4f628c37885f07ad429d"/>
        <Part Type="papunktis" Nr="23.2" Abbr="11 pr. 23.2 pp." DocPartId="5cc4afb8185e4d57814d83f86ce77999" PartId="f96f4e6622564d5ea8eae7ca6266bf71"/>
        <Part Type="papunktis" Nr="23.3" Abbr="11 pr. 23.3 pp." DocPartId="801100c697824e85b874afe90a890d07" PartId="d858041a18c74c019a482fc81f4ba896"/>
        <Part Type="papunktis" Nr="23.4" Abbr="11 pr. 23.4 pp." DocPartId="eed0c96961ef4270be7b2bf7419fa98f" PartId="205e1cff86c44a2ebfcfe8aa44acfbb7"/>
        <Part Type="papunktis" Nr="23.5" Abbr="11 pr. 23.5 pp." DocPartId="f29a5e2e352d4a3d9629c08cc039e46a" PartId="e49019a24a6448fe855cb230b6bafe6e"/>
        <Part Type="papunktis" Nr="23.6" Abbr="11 pr. 23.6 pp." DocPartId="273879a24afc46f7af13162f8adcde19" PartId="f1f777d8a5cc4de297492d15c78e1a37"/>
      </Part>
      <Part Type="punktas" Nr="24" Abbr="11 pr. 24 p." DocPartId="da02c39daad14f5a92eed29e76839601" PartId="d98f957738484e3695db3cd48725abe4"/>
      <Part Type="punktas" Nr="25" Abbr="11 pr. 25 p." DocPartId="f7365b636ac94effbdfc4b19d635f6e4" PartId="2073163b9cc54c4faefef829f38f7fe7"/>
      <Part Type="punktas" Nr="26" Abbr="11 pr. 26 p." DocPartId="8d374677d83a4b97829d284052b0bc08" PartId="b119282eeb384e05ad9c0b0dffdabcbe"/>
    </Part>
    <Part Type="skyrius" Nr="4" Title="SVEIKATOS PAŽYMĖJIMŲ IŠDAVIMO TVARKA" DocPartId="43c2a62ac703483ebab37a46472a079d" PartId="158e39d4febf4b3da5b1c5ab40ae0b0f">
      <Part Type="punktas" Nr="27" Abbr="11 pr. 27 p." DocPartId="e8fd86f1ec154e8590ab981e3623c54e" PartId="aa92bfa48e4a4148a885f2362ec2061e">
        <Part Type="papunktis" Nr="27.1" Abbr="11 pr. 27.1 pp." DocPartId="dad35e1279704bea871f4747f27fc37f" PartId="a29365d9188142c996720c4d2bf33669"/>
        <Part Type="papunktis" Nr="27.2" Abbr="11 pr. 27.2 pp." DocPartId="83183bb911544c458b6980bfd14b7958" PartId="079a030b70394a2e94848e1fed0a07c8"/>
      </Part>
      <Part Type="punktas" Nr="28" Abbr="11 pr. 28 p." DocPartId="5b20a86678164e659eb77ce714b0364e" PartId="8a79358e791542adb73d0912b50ee3a5"/>
      <Part Type="punktas" Nr="29" Abbr="11 pr. 29 p." DocPartId="3375c35f3ef74582a4d6d44086728a32" PartId="4bd1c57578874f28836b10f2d34ff6ef"/>
      <Part Type="punktas" Nr="30" Abbr="11 pr. 30 p." DocPartId="610b875ceb7b478a8eb90d7261b86b15" PartId="5e0d7fd257ec4134883dbbc2f186babf"/>
      <Part Type="punktas" Nr="31" Abbr="11 pr. 31 p." DocPartId="f3a1377263dc49aa83431a98ecfa45fe" PartId="22d3fd5784d046668eaaeb9196f8f9b2"/>
      <Part Type="punktas" Nr="32" Abbr="11 pr. 32 p." DocPartId="6083096c331a427497398b470b99a70b" PartId="e695d4d5b641437cbf8d7fe87a607037">
        <Part Type="papunktis" Nr="32.1" Abbr="11 pr. 32.1 pp." DocPartId="ac697d704a334b798033d495389a95c8" PartId="00e43b9c755d4cccb46d618e5e70865c"/>
        <Part Type="papunktis" Nr="32.2" Abbr="11 pr. 32.2 pp." DocPartId="07f80d9ed28043babe9423ad57948841" PartId="49cafaefdebe40ca82f906c2a6fea444"/>
        <Part Type="papunktis" Nr="32.3" Abbr="11 pr. 32.3 pp." DocPartId="49a874fe3671443aa36f1d19dbe7e9c7" PartId="4d6a9134ca1e4b0791d365ea56997d82"/>
        <Part Type="papunktis" Nr="32.4" Abbr="11 pr. 32.4 pp." DocPartId="6d0fe48205d44a8894dd02b3e0ab0198" PartId="06f29c2ce4c44b42ae55fbdde5e256e0"/>
        <Part Type="papunktis" Nr="32.5" Abbr="11 pr. 32.5 pp." DocPartId="dd1621c31b9143e3afec848412c3225b" PartId="4374fdb3cf2948c6a7f5e601e5380ac7"/>
        <Part Type="papunktis" Nr="32.6" Abbr="11 pr. 32.6 pp." DocPartId="ba64302347674f91841944f4758c2647" PartId="168241fa41314e8ca3b86ef82dab9fb4"/>
      </Part>
      <Part Type="punktas" Nr="33" Abbr="11 pr. 33 p." DocPartId="0c1189f1120d418ea9b4735e0617a208" PartId="272124d43b674bbba0d1b0ce466e7d9c"/>
      <Part Type="punktas" Nr="34" Abbr="11 pr. 34 p." DocPartId="0ed6d715ef534eb5ac0cc32ee2b70f6a" PartId="de20ce18618a4bbfa9442f133d3c87c5"/>
      <Part Type="punktas" Nr="35" Abbr="11 pr. 35 p." DocPartId="1f19152ffdc1464eb689da0303fbc3fe" PartId="5a5f6077afe440e29f0343a5aa3f5852"/>
      <Part Type="punktas" Nr="36" Abbr="11 pr. 36 p." DocPartId="6c08261f26b04b93be626aae01b248af" PartId="c0a9d9d7742a4b439e5c3700e181c32b"/>
      <Part Type="punktas" Nr="37" Abbr="11 pr. 37 p." DocPartId="50ff86a146f8406a8f2d20a050a73724" PartId="377d764ef6e54556962b6d1a025fe512"/>
      <Part Type="punktas" Nr="38" Abbr="11 pr. 38 p." DocPartId="8257fbbb1db047578d73c30e2bc98f98" PartId="eea916fcb2d64774891608e4df56703a"/>
      <Part Type="punktas" Nr="39" Abbr="11 pr. 39 p." DocPartId="01dcd34058e3462ca71d06744969b652" PartId="a274cb37eb5c4a75a57bdc266a02a56f"/>
    </Part>
    <Part Type="skyrius" Nr="5" Title="BAIGIAMOSIOS NUOSTATOS" DocPartId="761b2bfcea024bcfa252b3f413171e44" PartId="03fb52190de14fd6b508d83d35f16cf6">
      <Part Type="punktas" Nr="40" Abbr="11 pr. 40 p." DocPartId="1adb27e940e64fd8b0fa56d0d9a263b8" PartId="7fb996fb2def4826af923b43cb3c19ec"/>
      <Part Type="punktas" Nr="41" Abbr="11 pr. 41 p." DocPartId="d527e1da187246aabb889f2ee28abb35" PartId="a8e4e13935ae4671aeafa5caade6edf2"/>
    </Part>
  </Part>
  <Part Type="priedas" Nr="1" Abbr="1 pr." Title="MINIMALŪS SVEIKATOS BŪKLĖS REIKALAVIMAI, TAIKOMI JŪRININKAMS IR VIDAUS VANDENŲ TRANSPORTO SPECIALISTAMS BEI MOTORINIŲ PRAMOGINIŲ LAIVŲ IR KITŲ MOTORINIŲ PLAUKIOJIMO PRIEMONIŲ LAIVAVEDŽIAMS" DocPartId="c2d6770778bc4f97a294f61c949bf185" PartId="153193a98aaa4c779df4f8a3b50156e9"/>
  <Part Type="priedas" Nr="2" Abbr="2 pr." Title="JŪRININKO AR VIDAUS VANDENŲ TRANSPORTO SPECIALISTO BEI MOTORINIŲ PRAMOGINIŲ LAIVŲ IR KITŲ MOTORINIŲ PLAUKIOJIMO PRIEMONIŲ LAIVAVEDŽIO GARBĖS DEKLARACIJA (SVEIKATOS TIKRINIMO KLAUSIMYNAS) / SEAFARERS OR NAVIGATOR‘S OF MOTOR PLEASURE AND OTHER CRAFT DECLARATION OF HONOUR" DocPartId="da5e9fc17387436e890c9e79fe23b0c2" PartId="0e96d09636ed4414894ff0276fa8787e"/>
  <Part Type="priedas" Nr="12" Abbr="12 pr." Title="TRAUKINIO MAŠINISTŲ IR DARBUOTOJŲ, KURIŲ DARBAS SUSIJĘS SU GELEŽINKELIŲ TRANSPORTO EISMU, SVEIKATOS TIKRINIMO REIKALAVIMŲ IR TVARKOS APRAŠAS" DocPartId="b7ae2708b0a744d29d99c6209b546c6d" PartId="41dd3c662add4d05b32fb58f18b212a5">
    <Part Type="skyrius" Nr="1" Title="BENDROSIOS NUOSTATOS" DocPartId="185d6a3340ba481c8e0e6c213d04b0ca" PartId="80162f3d6f894acfb7ed1b281ecb3262">
      <Part Type="punktas" Nr="1" Abbr="12 pr. 1 p." DocPartId="9a54f8450c564f47b682cacdd672549b" PartId="9d09c04e0c0546f4aa4083695f84ba07"/>
      <Part Type="punktas" Nr="2" Abbr="12 pr. 2 p." DocPartId="074e478ef7d5415db5d62826a68618ad" PartId="882d77f3947148ab9c1c8d12c6d9ccd5"/>
      <Part Type="punktas" Nr="3" Abbr="12 pr. 3 p." DocPartId="3e7e7e9c43344a3fb71d5961b027d4b1" PartId="4e0ee0caf1624661a57bbfb298d317f0"/>
      <Part Type="punktas" Nr="4" Abbr="12 pr. 4 p." DocPartId="8277dacc381a447d82cd6f2736b5ea6f" PartId="6ebf5a4381974b40a8967c423cba6546"/>
      <Part Type="punktas" Nr="5" Abbr="12 pr. 5 p." DocPartId="914b80241d494039a2b47b03fa6b94ab" PartId="d8d30a2c54eb4f97baa27ec4a6b82a29"/>
    </Part>
    <Part Type="skyrius" Nr="2" Title="SVEIKATOS TIKRINIMO REIKALAVIMAI IR TVARKA" DocPartId="aa77d9c499d94a338fe46e27598f4d82" PartId="9311b40aa30a4be8870d964833af11cc">
      <Part Type="punktas" Nr="6" Abbr="12 pr. 6 p." DocPartId="249b78e779cd4d82ab82633b5a3cb581" PartId="b862c736406240df87097b4541833827"/>
      <Part Type="punktas" Nr="7" Abbr="12 pr. 7 p." DocPartId="6982e335fa1f41308a50ff8c60e959cb" PartId="6fe80541378947959b5a40909075cfc9"/>
      <Part Type="punktas" Nr="8" Abbr="12 pr. 8 p." DocPartId="027bc741ace84abf9378a11dce8477f6" PartId="ed4eaf76a5ed4c1fac1599cd9067b98b"/>
      <Part Type="punktas" Nr="9" Abbr="12 pr. 9 p." DocPartId="dd1fe8de69654b71a80008b35ce2b225" PartId="479405bdcd64405b8c79fddb343a9afe"/>
      <Part Type="punktas" Nr="10" Abbr="12 pr. 10 p." DocPartId="0d68a78e56bd49c58baa09bcbed098c5" PartId="cd61e0f4020f4143a2fe290f2c25b628"/>
      <Part Type="punktas" Nr="11" Abbr="12 pr. 11 p." DocPartId="6c5a81112b5d4eeaa7b78049e79d662e" PartId="24dd494d3a9f45b39bd61ffd10f64b26"/>
      <Part Type="punktas" Nr="12" Abbr="12 pr. 12 p." DocPartId="e433dbba3c2e48aaa2ef66df04086482" PartId="216f66932dc14405b1caa43e800a0ece"/>
      <Part Type="punktas" Nr="13" Abbr="12 pr. 13 p." DocPartId="7405fa1280974dda838b2b15c5e9b765" PartId="d701f018e2334b418069ef7970457eee"/>
      <Part Type="punktas" Nr="14" Abbr="12 pr. 14 p." DocPartId="a8ad6ebb4554431d90c2c39d75b33de9" PartId="b8991db60a974bba968ded1b2dd83d7c"/>
      <Part Type="punktas" Nr="15" Abbr="12 pr. 15 p." DocPartId="bc2daef0fd964b59b4942d4e5297aa02" PartId="91997fd7869845b7af56c44cb723a8e6"/>
      <Part Type="punktas" Nr="16" Abbr="12 pr. 16 p." DocPartId="149ab001eabf4150bde4691e867390a0" PartId="58486c9b643c422d9ea30ea62dcf3c91"/>
      <Part Type="punktas" Nr="17" Abbr="12 pr. 17 p." DocPartId="15793d954b43468490d0114515fbb97f" PartId="e8c0d806decd4ae0aae186c864f39857"/>
      <Part Type="punktas" Nr="18" Abbr="12 pr. 18 p." DocPartId="89c488fe79e945b1ba2f86f283e81b09" PartId="333dd71829a74cc9bf104ef91abc9601"/>
      <Part Type="punktas" Nr="19" Abbr="12 pr. 19 p." DocPartId="c279c75d75484ea9a2d678b79993308b" PartId="ea382981d5a1452cbec8861177ce8e33"/>
      <Part Type="punktas" Nr="20" Abbr="12 pr. 20 p." DocPartId="c8c9a5b54265448bbf479b290d1e19c9" PartId="0ca76f258cc2414d98043f217b983ebe"/>
      <Part Type="punktas" Nr="21" Abbr="12 pr. 21 p." DocPartId="e6497256fcbf4f05a59beda4f3856f5e" PartId="3698598839524cba8d0cd6ec96f7a3b9"/>
      <Part Type="punktas" Nr="22" Abbr="12 pr. 22 p." DocPartId="6261a3ed95c640a281306a9860e3ec86" PartId="e23ef23b2a8142fc97aaec67a3a8c270">
        <Part Type="punktas" Nr="22.1" Abbr="12 pr. 22.1 p." DocPartId="25b913d5517749cabb60a97155d19cb3" PartId="ed604db2893c42f2b7ccfdddaff9bba6"/>
        <Part Type="punktas" Nr="22.2" Abbr="12 pr. 22.2 p." DocPartId="95e893f8efd64e5eadb66be82194cf2d" PartId="2874aeccbcec48358540e0563462743b"/>
        <Part Type="punktas" Nr="22.3" Abbr="12 pr. 22.3 p." DocPartId="fd1a0b69c10a48deafc5f11f5c310790" PartId="965b4fb6cb0f45ca90af8ea27cb272e1"/>
        <Part Type="punktas" Nr="22.4" Abbr="12 pr. 22.4 p." DocPartId="8143ddbdcd1d4101b0a13c21af1b50d0" PartId="7c751f81ce814c4ab95819b809277c5a"/>
      </Part>
      <Part Type="punktas" Nr="23" Abbr="12 pr. 23 p." DocPartId="2ade3abc544e4de58a8b49dedeb6b35b" PartId="ad93ca7834cb4a7b9e21fbddc5e61129"/>
      <Part Type="punktas" Nr="24" Abbr="12 pr. 24 p." DocPartId="e71a1ac78638424094051e43f3cbd63f" PartId="1cc6bf0f0eb148558840587a08c18168"/>
      <Part Type="punktas" Nr="25" Abbr="12 pr. 25 p." DocPartId="ab5014b9fbd84dc2836290e3a78d476b" PartId="374ba918a46940259d585f6699efa03e"/>
      <Part Type="punktas" Nr="26" Abbr="12 pr. 26 p." DocPartId="52f7a24bfc1a413eac465ccdf654dac0" PartId="99fbde238244454d929496f7472cf9c8"/>
      <Part Type="punktas" Nr="27" Abbr="12 pr. 27 p." DocPartId="61380c6d59154f7a8ab948858ff4a0b9" PartId="08a0246fb64c42f99ad3a3d1ccaccd49"/>
      <Part Type="punktas" Nr="28" Abbr="12 pr. 28 p." DocPartId="1ff954cf88fe4161a79e96f5024ddff5" PartId="881a31b2a8694ea4a0f66015022ff74f"/>
      <Part Type="punktas" Nr="29" Abbr="12 pr. 29 p." DocPartId="3d7c23e7ecd94a29a853a18d1adb1347" PartId="889dc8ce45164abe9d06e0fe09be0bec"/>
    </Part>
    <Part Type="skyrius" Nr="3" Title="BENDRIEJI REIKALAVIMAI TRAUKINIO MAŠINISTO IR DARBUOTOJO, KURIO DARBAS SUSIJĘS SU GELEŽINKELIŲ TRANSPORTO EISMU, SVEIKATOS BŪKLEI" DocPartId="c1c376efe86c4da798f172bae7169940" PartId="d8e4dc2f2ea94f50948a2e36d6f7d472">
      <Part Type="punktas" Nr="30" Abbr="12 pr. 30 p." DocPartId="c78fdb8b134a47f3a3373b7140bbb7c3" PartId="deb3568d05694f689b4ba35b29af6d86">
        <Part Type="punktas" Nr="30.1" Abbr="12 pr. 30.1 p." DocPartId="5231f46d65e54ef39138b149cefa64eb" PartId="ac1e679baa4346feb570a62367fde790"/>
        <Part Type="punktas" Nr="30.2" Abbr="12 pr. 30.2 p." DocPartId="1eb94885688e44db92f284b4fb445690" PartId="a60a1532a27442a2bd9e95930f78743b"/>
        <Part Type="punktas" Nr="30.3" Abbr="12 pr. 30.3 p." DocPartId="2402ee4896f54c4392c3085d0f06a930" PartId="7e2a352ebf9542ed8394a223f98459ef"/>
        <Part Type="punktas" Nr="30.4" Abbr="12 pr. 30.4 p." DocPartId="da91c9bc353d4017ab75793568c41f7d" PartId="f11faeda6d56452d9cdab6b0092c3735"/>
        <Part Type="punktas" Nr="30.5" Abbr="12 pr. 30.5 p." DocPartId="b78dc55a7cae46ccaf7676422d2787b8" PartId="0803d6523d234fc09a622b188dfd1edc"/>
      </Part>
      <Part Type="punktas" Nr="31" Abbr="12 pr. 31 p." DocPartId="a45900e752594350b9f30da306f73034" PartId="d40690d33cb841ff884bcee6dade77b7">
        <Part Type="punktas" Nr="31.1" Abbr="12 pr. 31.1 p." DocPartId="650b73246b4144d8a4294499bf2ea02e" PartId="357b7930674f4f7893623c138e6ec54d">
          <Part Type="punktas" Nr="31.1.1" Abbr="12 pr. 31.1.1 p." DocPartId="f43e67aa7a5f4969b1e15c7601513d93" PartId="0e618dc997b44afd8e82439637cd40ad"/>
          <Part Type="punktas" Nr="31.1.2" Abbr="12 pr. 31.1.2 p." DocPartId="774261c51c9643aab29faf8470e1a46b" PartId="eb236b0f996e4b45b97a31027fe6aaa7"/>
        </Part>
        <Part Type="punktas" Nr="31.2" Abbr="12 pr. 31.2 p." DocPartId="965e3941649c4e87844f62bd03942dbb" PartId="f86f380e05d54648aa1c470ba61c48f6"/>
        <Part Type="punktas" Nr="31.3" Abbr="12 pr. 31.3 p." DocPartId="60827e46a5204116b82a63cd714eed99" PartId="eaea04af30334b0ebeb5ef35014d265a"/>
        <Part Type="punktas" Nr="31.4" Abbr="12 pr. 31.4 p." DocPartId="3c9665d28b0b4d2db46cf77a0988ec6c" PartId="8cd9c1e9a37c43ddb4501f045a6c41aa">
          <Part Type="punktas" Nr="31.4.1" Abbr="12 pr. 31.4.1 p." DocPartId="2d3ebcf60b094c468bb64fabad795ea7" PartId="c6d299dd074c439fb1aa72b5b503beb8"/>
          <Part Type="punktas" Nr="31.4.2" Abbr="12 pr. 31.4.2 p." DocPartId="febfe0709d754359999899f220325d0d" PartId="f6270ea384ca444089c09c4ea83fb529"/>
        </Part>
        <Part Type="punktas" Nr="31.5" Abbr="12 pr. 31.5 p." DocPartId="0db321aea0aa4cf8b582774791b6562b" PartId="5c4d67f9fdfc41c2b6a1b243e16f7594"/>
        <Part Type="punktas" Nr="31.6" Abbr="12 pr. 31.6 p." DocPartId="9513cee916ba4a21beb296f8bcf44e31" PartId="a314cb66be90478c84f6f78e0ebb508f"/>
        <Part Type="punktas" Nr="31.7" Abbr="12 pr. 31.7 p." DocPartId="0cdfc09ffad74a518da9cfb1a5c29c8d" PartId="f53d35ed0ce54853aa7cb44aa24eb6f1">
          <Part Type="punktas" Nr="31.7.1" Abbr="12 pr. 31.7.1 p." DocPartId="81c93b86f12649a9ad728bb28bc584cc" PartId="60c85ee2c99f4ebaa76b0f4be320519d"/>
          <Part Type="punktas" Nr="31.7.2" Abbr="12 pr. 31.7.2 p." DocPartId="bcce3220bfad49c0a4fa9a9507d89d4a" PartId="36ccfc937ddb47d086c5522c0eac80ba"/>
        </Part>
        <Part Type="punktas" Nr="31.8" Abbr="12 pr. 31.8 p." DocPartId="29ececced94d4c72a080713fa8d96ec9" PartId="40e1c97babf04834ae2e8e40328cd7a2">
          <Part Type="punktas" Nr="31.8.1" Abbr="12 pr. 31.8.1 p." DocPartId="8e9dfbef74364d54a1f3f358d994ceed" PartId="131635e3fd234d8db3782d30797dd6a5"/>
          <Part Type="punktas" Nr="31.8.2" Abbr="12 pr. 31.8.2 p." DocPartId="a2fac022d5424f14ae381da1d87bc00d" PartId="ecd9150bfa0d499fbb22775165ae92ec"/>
        </Part>
        <Part Type="punktas" Nr="31.9" Abbr="12 pr. 31.9 p." DocPartId="e5d9cf30696845018a143e32b95a90af" PartId="a27c991a01d74ec3ba735e060e9d514e"/>
        <Part Type="punktas" Nr="31.10" Abbr="12 pr. 31.10 p." DocPartId="9249e1e035db4642a5c24267c0c432c2" PartId="bb184129a37b42a49103c08550031ee9"/>
        <Part Type="punktas" Nr="31.11" Abbr="12 pr. 31.11 p." DocPartId="d558505ec23448b4901f8875916acc69" PartId="a3d178394bfd4b1d851d2fffd63dd3ce"/>
        <Part Type="punktas" Nr="31.12" Abbr="12 pr. 31.12 p." DocPartId="e2c3be672ca64d0780602d0851fa3a87" PartId="4abfc5d5e3f14673903350832f223db0">
          <Part Type="punktas" Nr="31.12.1" Abbr="12 pr. 31.12.1 p." DocPartId="12fed7808c5e46739e4d2361cfb7f037" PartId="7c0fca14c62b4098a99a021d8c013e15"/>
          <Part Type="punktas" Nr="31.12.2" Abbr="12 pr. 31.12.2 p." DocPartId="83a51d14f0124d1c80ed433138c23334" PartId="11fa024a8458467bb72bfff8b327e362"/>
        </Part>
        <Part Type="punktas" Nr="31.13" Abbr="12 pr. 31.13 p." DocPartId="a5de582dc8804d6f87583f5eaae9169d" PartId="5dc1a86ff37d485e99b6f1fa0797f131"/>
        <Part Type="punktas" Nr="31.14" Abbr="12 pr. 31.14 p." DocPartId="c209ec559c5e492681497a3e5a59afb3" PartId="8a4dafa6e86b4668bccf41f69573ccf0"/>
      </Part>
      <Part Type="punktas" Nr="32" Abbr="12 pr. 32 p." DocPartId="4de3c98ab2a14e19bc9a658b65c459d4" PartId="d222a52fb50c46b19fa9d78774cd7c1b">
        <Part Type="punktas" Nr="32.1" Abbr="12 pr. 32.1 p." DocPartId="c1dfac7cfd7240bda94b859c53fc8b73" PartId="ca5e7516b8be4cae8b1ba808dcfd5720">
          <Part Type="punktas" Nr="32.1.1" Abbr="12 pr. 32.1.1 p." DocPartId="a1f6c1e58ab1402a8f1c1e7faba45438" PartId="3f74a4f491ba4650962aa3b4b76b9dc8"/>
          <Part Type="punktas" Nr="32.1.2" Abbr="12 pr. 32.1.2 p." DocPartId="fdfbc7c995ed4c28a5f144ea3352e365" PartId="b539cfa995c44f0aa48afe47b603acc5"/>
        </Part>
        <Part Type="punktas" Nr="32.2" Abbr="12 pr. 32.2 p." DocPartId="15f2878d41c14933ba18898ceede9cb5" PartId="c79f8fd167ae44c9927b33b1aec0a9fa"/>
        <Part Type="punktas" Nr="32.3" Abbr="12 pr. 32.3 p." DocPartId="c0fdbe425292459e9cba636626672b6c" PartId="73d74b00dd5b4b4ca7f3206aa76228bd"/>
        <Part Type="punktas" Nr="32.4" Abbr="12 pr. 32.4 p." DocPartId="394a4b67594f4fecb6e9e93c729007b6" PartId="9ac8b773f7364e46a2d4df480fdfefbd"/>
      </Part>
      <Part Type="punktas" Nr="33" Abbr="12 pr. 33 p." DocPartId="f49d8e68cc6b433197c65fd2fb8f1e6d" PartId="b5c7b0b578f244729491570d75954096">
        <Part Type="punktas" Nr="33.1" Abbr="12 pr. 33.1 p." DocPartId="e99982ca0c954b65812a531fc3b09cfd" PartId="b7784fc94c324826912410ddb16af185"/>
        <Part Type="punktas" Nr="33.2" Abbr="12 pr. 33.2 p." DocPartId="392d0a74cbaa43aa99a7e7ba7351882c" PartId="35b635caf1e14099a169f61fa70fc3d1"/>
        <Part Type="punktas" Nr="33.3" Abbr="12 pr. 33.3 p." DocPartId="022acfb825c34aedb671d7167e7a7a5c" PartId="d0b23ec0059246d6a8f3b36482d98923"/>
        <Part Type="punktas" Nr="33.4" Abbr="12 pr. 33.4 p." DocPartId="e5c568b343f04080950f817b2c9588dc" PartId="d0537561503e45199ca6a947f6212dcc"/>
        <Part Type="punktas" Nr="33.5" Abbr="12 pr. 33.5 p." DocPartId="3dae0699f9cd4c26b3066a69e3594fed" PartId="00875e3b736b410d99e748e330cfdcc3"/>
      </Part>
      <Part Type="punktas" Nr="34" Abbr="12 pr. 34 p." DocPartId="60e14bea2c6647e4aab977a89ed8ead1" PartId="01cad51e0d654791ac894fc177dd5afb"/>
    </Part>
    <Part Type="skyrius" Nr="4" Title="PRIEŠ PRIIMANT Į MOKYMO ĮSTAIGĄ ARBA Į DARBĄ ATLIKTINI BŪTINIAUSI SVEIKATOS PATIKRINIMAI" DocPartId="b77cbaa7cff04e29bdcae82688567722" PartId="f511e02c493a45778464059dffb75368">
      <Part Type="punktas" Nr="35" Abbr="12 pr. 35 p." DocPartId="80929f469c064e5a8686591d99a16edf" PartId="438625043f7343f5847f4518d8ba8911"/>
      <Part Type="punktas" Nr="36" Abbr="12 pr. 36 p." DocPartId="51014aaac58745f0aeacf085f509d5ee" PartId="ea457b53610545f681211cd2e82d83bb">
        <Part Type="punktas" Nr="36.1" Abbr="12 pr. 36.1 p." DocPartId="2806ed129f204cc4951d75d134bdd398" PartId="436fdc6c691740a2a38a80178c2e6663">
          <Part Type="punktas" Nr="36.1.1" Abbr="12 pr. 36.1.1 p." DocPartId="628d9a89628c478493a46a4bc02d1b16" PartId="c7088d2f711d4f35ac0fd8b63c2d3a53"/>
          <Part Type="punktas" Nr="36.1.2" Abbr="12 pr. 36.1.2 p." DocPartId="ea82e96fb8b2498990dc593fd45a495e" PartId="8ead3b1e458146ea92b8f6f5c91c165c"/>
          <Part Type="punktas" Nr="36.1.3" Abbr="12 pr. 36.1.3 p." DocPartId="639d6768ba30452e97e73159be5b5e3d" PartId="fef262ddfa454834bb6190db158c8018"/>
          <Part Type="punktas" Nr="36.1.4" Abbr="12 pr. 36.1.4 p." DocPartId="d27cb75ccab44c108593305a8f8faa19" PartId="f34be6369ed541a59d3ce0e4ca17d893"/>
          <Part Type="punktas" Nr="36.1.5" Abbr="12 pr. 36.1.5 p." DocPartId="f201f5779b324ae998dd0384425a32dd" PartId="84038b237eea43568ab8e46a6b6487b1"/>
          <Part Type="punktas" Nr="36.1.6" Abbr="12 pr. 36.1.6 p." DocPartId="21f082a0dccf4fd2b3c23b2004bc0b09" PartId="bb3a2da4dbd0470496c427a5c6e1b5bb">
            <Part Type="punktas" Nr="36.1.6.1" Abbr="12 pr. 36.1.6.1 p." DocPartId="e821b36ec974434da26a0ddb0486cc08" PartId="8d8dc9a994cb4f7ab0e8d808693ba5c5"/>
            <Part Type="punktas" Nr="36.1.6.2" Abbr="12 pr. 36.1.6.2 p." DocPartId="b0c843c50e8e441e9c76b6ea832841ab" PartId="cedb97dab54343dc91f521ca2e6eacad"/>
          </Part>
          <Part Type="punktas" Nr="36.1.7" Abbr="12 pr. 36.1.7 p." DocPartId="1a243bf8d2aa4b49aea1bf5eaedc414b" PartId="58d4c28e82d4424aa84f0f36803c651f"/>
        </Part>
        <Part Type="punktas" Nr="36.2" Abbr="12 pr. 36.2 p." DocPartId="30120d90216f4e5bb880311a7a3a4861" PartId="adc493ee7602418e82ddcc6016f48352">
          <Part Type="punktas" Nr="36.2.1" Abbr="12 pr. 36.2.1 p." DocPartId="6cd069b5c039409c8ca93a862d498e27" PartId="6e694e08feda4b09ba5139da6d00d77c"/>
          <Part Type="punktas" Nr="36.2.2" Abbr="12 pr. 36.2.2 p." DocPartId="419c5fca39704350a75c3c97e99834c6" PartId="9421d8b70184460b97755e5491f2e161"/>
        </Part>
        <Part Type="punktas" Nr="36.3" Abbr="12 pr. 36.3 p." DocPartId="c0add262af6c4475958ed92fd5f99e52" PartId="fbbad57886a84900b5cf926507e125b4">
          <Part Type="punktas" Nr="36.3.1" Abbr="12 pr. 36.3.1 p." DocPartId="931614f79aad4b6bbfc6979ba24571a3" PartId="95751bf7ba1f4743b2fe8ca1e55c1678"/>
          <Part Type="punktas" Nr="36.3.2" Abbr="12 pr. 36.3.2 p." DocPartId="e9a1ff7d620244199a6b2b0a654918de" PartId="46c770e9bd3848d699cdd4267a5e09d4"/>
          <Part Type="punktas" Nr="36.3.3" Abbr="12 pr. 36.3.3 p." DocPartId="366af7b2732445b99ab502d0969081ce" PartId="16b43914f0bb446686ee709b3f6bae73"/>
        </Part>
      </Part>
      <Part Type="punktas" Nr="37" Abbr="12 pr. 37 p." DocPartId="bcc61d54a9724bd890512dcadf2ace27" PartId="f9b98a1c7def47a58e623070b1425812"/>
      <Part Type="punktas" Nr="38" Abbr="12 pr. 38 p." DocPartId="95c3614207524cb692880fb2ee38d134" PartId="8e1129612d0b47828778366a0211f71c"/>
      <Part Type="punktas" Nr="39" Abbr="12 pr. 39 p." DocPartId="16930a756b074b8a932d4da619061de1" PartId="113c3da11b6a4c34a848c7172d22a8bf"/>
      <Part Type="punktas" Nr="40" Abbr="12 pr. 40 p." DocPartId="f4b87a3562df42ca9881eac26acb8a63" PartId="1a4e5914601a44b49188a73d61033b85"/>
      <Part Type="punktas" Nr="41" Abbr="12 pr. 41 p." DocPartId="57c6db5c7e024fff99cf7c1debc382f5" PartId="9641c5fe0f7440ee93fe4b97a62267a0"/>
      <Part Type="punktas" Nr="42" Abbr="12 pr. 42 p." DocPartId="d99eab5360f3445aafaa670f4192dc9f" PartId="8ca96ecdfea14f2ab37d8381cc058b75">
        <Part Type="punktas" Nr="42.1" Abbr="12 pr. 42.1 p." DocPartId="1bd7b94aa6d14a79939ff0efba7463e6" PartId="f2c1a7ef7d4140d1b4a45f1e84356cfc">
          <Part Type="punktas" Nr="42.1.1" Abbr="12 pr. 42.1.1 p." DocPartId="de6fe502a6d744a280b8376cc2a020e0" PartId="9290d05568464b5d9202c5d1297fb6d0"/>
          <Part Type="punktas" Nr="42.1.2" Abbr="12 pr. 42.1.2 p." DocPartId="7b25e1fb7c7d45068ed67c41e1f877ed" PartId="26281daba2404e5da189ac72a3df3245"/>
          <Part Type="punktas" Nr="42.1.3" Abbr="12 pr. 42.1.3 p." DocPartId="f41cdc6a101e4fce990fcda469ea353f" PartId="2706735f1be74d7cb639582aea157c1d"/>
          <Part Type="punktas" Nr="42.1.4" Abbr="12 pr. 42.1.4 p." DocPartId="070864cd514a4813877bc62ab6e8e40f" PartId="e263a1cc2d034797be899618205a0f5d"/>
          <Part Type="punktas" Nr="42.1.5" Abbr="12 pr. 42.1.5 p." DocPartId="08590e5b8a80401ba3345a7057148a60" PartId="3c7ae568824248749f06f7b92655fc20"/>
        </Part>
        <Part Type="punktas" Nr="42.2" Abbr="12 pr. 42.2 p." DocPartId="2446634884284f978999f375c54afcb1" PartId="f929626ae7434ec0a9f0c0630d2edea0"/>
        <Part Type="punktas" Nr="42.3" Abbr="12 pr. 42.3 p." DocPartId="52fb54ff9eb345948df579ce4a5ce438" PartId="7b23a5a8d1ba41af8ef4cd96d897c6e9"/>
        <Part Type="punktas" Nr="42.4" Abbr="12 pr. 42.4 p." DocPartId="fa959a7b6e774dc198c54cb546683acc" PartId="31f0aad933644107ae99e67532fa48bb"/>
      </Part>
      <Part Type="punktas" Nr="43" Abbr="12 pr. 43 p." DocPartId="c04e5b1f6d6e4e3e9ddaa791d7d96ae7" PartId="2dd6e86783d1472883c02f2e5aea0742">
        <Part Type="punktas" Nr="43.1" Abbr="12 pr. 43.1 p." DocPartId="44e3fe81598840dcb3cf82a311a797ed" PartId="da1f038d473c4c028b327a0dbc6acaa1"/>
        <Part Type="punktas" Nr="43.2" Abbr="12 pr. 43.2 p." DocPartId="d45c2d6782e44fcfb07e1a0a651afa15" PartId="c8527ddeebf54589af07f308c9f89e15"/>
      </Part>
      <Part Type="punktas" Nr="44" Abbr="12 pr. 44 p." DocPartId="f4a9116f26a544b5a99099e57ddb92cc" PartId="6ee185065db34791981a24f6744f2763"/>
    </Part>
    <Part Type="skyrius" Nr="5" Title="PERIODINIAI DARBUOTOJŲ SVEIKATOS PATIKRINIMAI IR BŪTINIAUSI PERIODINIO SVEIKATOS PATIKRINIMO REIKALAVIMAI" DocPartId="dac9a6d0255d4b00b8c974d97aa72236" PartId="fd42abe091ab4a17a3eb3f9d60a0bab2">
      <Part Type="punktas" Nr="45" Abbr="12 pr. 45 p." DocPartId="0bb49be9e57645ae808be2b82e15fcdb" PartId="9d79114995a444a6bda6848576ab67b4">
        <Part Type="punktas" Nr="45.1" Abbr="12 pr. 45.1 p." DocPartId="df0a3d5b320d43178f1c44a0e501e17a" PartId="688f59a5e7cc43049855cef0dc48d8f1"/>
        <Part Type="punktas" Nr="45.2" Abbr="12 pr. 45.2 p." DocPartId="0a828c2d5aa8417585c7ffaf10d753ad" PartId="bddf3439affd4ffd85cc3880355e0fe7"/>
        <Part Type="punktas" Nr="45.3" Abbr="12 pr. 45.3 p." DocPartId="a59db0b663f34a6d81e7836c6410cb3a" PartId="f806c7ce52984da4904b4e1be9a25f49"/>
        <Part Type="punktas" Nr="45.4" Abbr="12 pr. 45.4 p." DocPartId="e8c6c0c3068f46f38f0d12aab754a5e7" PartId="b8648f6c80c1491eab90583876816aae"/>
        <Part Type="punktas" Nr="45.5" Abbr="12 pr. 45.5 p." DocPartId="a547bc533f5e424a8578152d8fc1261a" PartId="97101217ec6743d09cd0995ed6b14eec">
          <Part Type="punktas" Nr="45.5.1" Abbr="12 pr. 45.5.1 p." DocPartId="dba3a232be1244ad80922041b9c718bc" PartId="e3ff855a90ba4037af19e845dff49254"/>
          <Part Type="punktas" Nr="45.5.2" Abbr="12 pr. 45.5.2 p." DocPartId="e50506e4e1b0460e94121308da9841e8" PartId="e59f1c0db1ff495d9a3195f62f516f71"/>
          <Part Type="punktas" Nr="45.5.3" Abbr="12 pr. 45.5.3 p." DocPartId="6dba558b46174b0596646e7365187e53" PartId="b71a96452e9a40dcafb8df0c6993081e"/>
          <Part Type="punktas" Nr="45.5.4" Abbr="12 pr. 45.5.4 p." DocPartId="00d51699ec734c429b454c70399d5898" PartId="9e6202146e9e488d8ced80cbfe7ac17c"/>
        </Part>
      </Part>
      <Part Type="punktas" Nr="46" Abbr="12 pr. 46 p." DocPartId="0e169fe23bc64dc393b283acf61583a2" PartId="68fb33d330014086819d7c1344dd8c82">
        <Part Type="punktas" Nr="46.1" Abbr="12 pr. 46.1 p." DocPartId="688c2347a4cb4ff88e5f39dc81cdea58" PartId="1610657fc7e740a381ca5d77b56da028"/>
        <Part Type="punktas" Nr="46.2" Abbr="12 pr. 46.2 p." DocPartId="7d3a5cfcee2543b5848cd85153754977" PartId="9be872f0af4e4c76b9c245f4f801d26f"/>
        <Part Type="punktas" Nr="46.3" Abbr="12 pr. 46.3 p." DocPartId="175a87ff5813402fa358368d84dfc82f" PartId="1fd979c1dd6440948ad27a8e94439c04"/>
        <Part Type="punktas" Nr="46.4" Abbr="12 pr. 46.4 p." DocPartId="b913f9ce6b21498fa297c5476f6a4fcf" PartId="106530b9e9114c57b8aa7e363f7b9834"/>
        <Part Type="punktas" Nr="46.5" Abbr="12 pr. 46.5 p." DocPartId="0c12333d89b04b1fa100b18f99cf8672" PartId="4093d6be72f14eee87cb6f78735f7748"/>
        <Part Type="punktas" Nr="46.6" Abbr="12 pr. 46.6 p." DocPartId="bd4d99302ede42e9af2ad27412faf686" PartId="9e0a9325f4f6487bbab96559a5391e64"/>
      </Part>
    </Part>
    <Part Type="skyrius" Nr="6" Title="BAIGIAMOSIOS NUOSTATOS" DocPartId="d3e13037e90043d486bfbbe80b41d79f" PartId="bfcf35bfff24491fafe2cc312faaee63">
      <Part Type="punktas" Nr="47" Abbr="12 pr. 47 p." DocPartId="4f56054bfbc741f4b9e764b3891f43f2" PartId="b53ae6a954cb4681be092e1c6d58f0b8"/>
      <Part Type="punktas" Nr="48" Abbr="12 pr. 48 p." DocPartId="341ee6a6a35046dabc07e6cdb704a183" PartId="328a178ddb3b47ce80e7bd2c6acb069e"/>
      <Part Type="punktas" Nr="49" Abbr="12 pr. 49 p." DocPartId="5291bbd9e2aa4c9e8c164ee3d4ffda26" PartId="eeb72d2fe9c5460891606b30922ff505"/>
      <Part Type="punktas" Nr="50" Abbr="12 pr. 50 p." DocPartId="db1d60783f694b138ef17df184a1c822" PartId="c9ed5804398d44b980c718b03b5443f0"/>
      <Part Type="lentele" DocPartId="873f717ae1b94e9a9dd143ae2ce12f9b" PartId="f7ff817d826645c9bdc9b5f076af4ee7">
        <Part Type="punktas" Nr="1" Abbr="12 pr. 1 p." DocPartId="9fb821a892004a9c8af9bc54705ff522" PartId="a2a1703406d040a4b7e2d5bfac8f4367"/>
        <Part Type="punktas" Nr="2" Abbr="12 pr. 2 p." DocPartId="cf2bbf1abf0f471f9d27a5487c4f0ccd" PartId="8d7388ed9db7464b946fc272fb1206c0"/>
        <Part Type="punktas" Nr="3" Abbr="12 pr. 3 p." DocPartId="c943929192dd431ca0a55c0b06e10990" PartId="eb5ed564154947a88e0b3c522ca4c4db"/>
      </Part>
      <Part Type="lentele" DocPartId="bbe97a2e11c443f69b32f8b8dd8bb54a" PartId="0c21bcd121574730b780c7f2dc48b52c"/>
    </Part>
  </Part>
  <Part Type="priedas" Nr="13" Abbr="13 pr." Title="ASMENŲ, DIRBANČIŲ DARBO APLINKOJE, KURIOJE GALIMA PROFESINĖ RIZIKA (KENKSMINGŲ VEIKSNIŲ POVEIKIS IR (AR) PAVOJINGAS DARBAS), PRIVALOMO SVEIKATOS TIKRINIMO TVARKOS APRAŠAS" DocPartId="a665bb884ec043e7936f77c673fc2492" PartId="06c1523e69444b45b81932ebe2d02b41">
    <Part Type="skyrius" Nr="1" Title="BENDROSIOS NUOSTATOS" DocPartId="ae9014495e994994a06703c2fab0796d" PartId="5f06be7b7457448182516d0cc4b48329">
      <Part Type="punktas" Nr="1" Abbr="13 pr. 1 p." DocPartId="b719bc1c94f448a6808d0a18da709156" PartId="41be27b444ff4b2fb994620af8dd4310"/>
      <Part Type="punktas" Nr="2" Abbr="13 pr. 2 p." DocPartId="42b069b0d296470fa1809f297d661238" PartId="cdff958ff76f44e9a2f2b5d9532b319d"/>
      <Part Type="punktas" Nr="3" Abbr="13 pr. 3 p." DocPartId="40a1ed09eca046bba1c0f685505a2e47" PartId="349fd1768c8242ebaf240b0f5d93352d"/>
      <Part Type="punktas" Nr="4" Abbr="13 pr. 4 p." DocPartId="81492ac278ab438eaabbc3fcbf432f90" PartId="9f93e41afcdf463796433c74dd2a44da"/>
      <Part Type="punktas" Nr="5" Abbr="13 pr. 5 p." DocPartId="75f621dec49d4982ad435bba864496d7" PartId="28dfbc2a02c04180ab5b358d2f327581">
        <Part Type="punktas" Nr="5.1" Abbr="13 pr. 5.1 p." DocPartId="f5d19306e4bc4efaa1b4a0569c8c2eeb" PartId="9c024c3a8ce94270b36acac793660938"/>
        <Part Type="punktas" Nr="5.2" Abbr="13 pr. 5.2 p." DocPartId="1f28c6d2834d4b3dae703930fc9476af" PartId="2891d33f5d3949dbb20a75777abe1726"/>
        <Part Type="punktas" Nr="5.3" Abbr="13 pr. 5.3 p." DocPartId="8539d7523bb74367b93d55ac23772fe6" PartId="07eb0034cc7e44df90b634cbf4099105"/>
        <Part Type="punktas" Nr="5.4" Abbr="13 pr. 5.4 p." DocPartId="e2764847f6a947c0b3a270d66e83bc62" PartId="444282bd612d41c0acc3cc9d61d1269e"/>
      </Part>
      <Part Type="punktas" Nr="6" Abbr="13 pr. 6 p." DocPartId="d06d82edad094090a22ad95b694b7f13" PartId="a749b58c9b384a1189eae48242a4777d"/>
    </Part>
    <Part Type="skyrius" Nr="2" Title="PRIVALOMO SVEIKATOS TIKRINIMO TVARKA" DocPartId="6c285bd91ded46df8f09bde7e4995783" PartId="9ebb2ce01cc84154a4908eb5fd2cca07">
      <Part Type="punktas" Nr="7" Abbr="13 pr. 7 p." DocPartId="30680798527648cfa6c2736827734f05" PartId="8f6aa7b62f9e4783b75434b089b70cb9">
        <Part Type="punktas" Nr="7.1" Abbr="13 pr. 7.1 p." DocPartId="9913f58f45124fea8bb0bb9916b4f248" PartId="85c087a482b04a348ab0092b594ce724"/>
        <Part Type="punktas" Nr="7.2" Abbr="13 pr. 7.2 p." DocPartId="0cf292a12d6a4ba8adbe3393a40ea9aa" PartId="61682c05cf454b8a870f1756fb58ea64"/>
        <Part Type="punktas" Nr="7.3" Abbr="13 pr. 7.3 p." DocPartId="b0ab1b8ab8844126b4e08274153934f5" PartId="a26b63efab0e4781abed941e26b39f1b"/>
        <Part Type="punktas" Nr="7.4" Abbr="13 pr. 7.4 p." DocPartId="0049d2997ca94b89b7c3d2cc3dafeab5" PartId="8aecf1a8f76d45698c53f4d4ff73e0b8"/>
        <Part Type="punktas" Nr="7.5" Abbr="13 pr. 7.5 p." DocPartId="d3a9f71fe5964dbaad7df6dbb3e8e065" PartId="993fea31494f4f9d8624d2442b99dbe5"/>
      </Part>
      <Part Type="punktas" Nr="8" Abbr="13 pr. 8 p." DocPartId="57a71d9430934e508d250d8005253f99" PartId="fc6c45806ee040729bf833f15545695c"/>
      <Part Type="punktas" Nr="9" Abbr="13 pr. 9 p." DocPartId="acaf84c5085b4b4b8717bc713bedf7ab" PartId="2ff4ab6837be459aabb1d06417a4934c">
        <Part Type="punktas" Nr="9.1" Abbr="13 pr. 9.1 p." DocPartId="a86efe8c450c488dacf42335aaab5825" PartId="ea9b77c0747041d481b019b8da03e7df"/>
        <Part Type="punktas" Nr="9.2" Abbr="13 pr. 9.2 p." DocPartId="73c46465f1524d088a7d06b8c3496464" PartId="51c57afa63bb4416b1c5a3a616c07a9e"/>
        <Part Type="punktas" Nr="9.3" Abbr="13 pr. 9.3 p." DocPartId="c6f0ec3b47d74723b34182dedd9f1131" PartId="44f25c286c1c474fa3a0f525e14fc941"/>
        <Part Type="punktas" Nr="9.4" Abbr="13 pr. 9.4 p." DocPartId="2307bd7931c54a449494c5c130ac4abf" PartId="8c8fcee348574820be1040944d63d890"/>
        <Part Type="papunktis" Nr="9.5" Abbr="9.5 pp." DocPartId="eb8fcbc1df6d47f585396b858e119f3f" PartId="ecd90fb37b19407e839b28c2474140b8"/>
      </Part>
      <Part Type="punktas" Nr="10" Abbr="13 pr. 10 p." DocPartId="183319e4171c4e55af316db0e8a6b844" PartId="1e543171860a43548bb3234e831e7be1">
        <Part Type="punktas" Nr="10.1" Abbr="13 pr. 10.1 p." DocPartId="559eabb679944498a63f58c369856341" PartId="81dd46e298504a81a1a0dab5eee966cc"/>
        <Part Type="punktas" Nr="10.2" Abbr="13 pr. 10.2 p." DocPartId="e8b509baa1c64a5cbf3c41a2385ee4f9" PartId="29f040cf1c644f8fb60fc70a75718a3b"/>
        <Part Type="punktas" Nr="10.3" Abbr="13 pr. 10.3 p." DocPartId="c00f46a13681427286bcedda2211daf3" PartId="22774cdfd4af40a9b6eadb1ddc0597ed"/>
        <Part Type="punktas" Nr="10.4" Abbr="13 pr. 10.4 p." DocPartId="1612858aa219479c96793522dc4c8af2" PartId="6f6426ca9d53490dba3127077b716561"/>
      </Part>
      <Part Type="punktas" Nr="11" Abbr="13 pr. 11 p." DocPartId="594cd81cd0bc482487f228adddb36a8b" PartId="3ff01f25ef364bc8a59d0e34e45004b9"/>
      <Part Type="punktas" Nr="12" Abbr="13 pr. 12 p." DocPartId="8db55781ba5a4c9ea91ec273849b4609" PartId="9034792f355144e18f7ec16d0af11713"/>
      <Part Type="punktas" Nr="13" Abbr="13 pr. 13 p." DocPartId="5c80f85334ef4775bf6cbaa125a1caed" PartId="f7d9d10e0ed54428982d701534bc7025"/>
      <Part Type="punktas" Nr="14" Abbr="13 pr. 14 p." DocPartId="47b5921b74384ec0b688e8ee2fb5640b" PartId="57d9d70244934bd282542798d790af49"/>
      <Part Type="punktas" Nr="15" Abbr="13 pr. 15 p." DocPartId="bd7b185fef614998b870a125626769e3" PartId="d06974d490d44256973f10c2e9473188"/>
      <Part Type="punktas" Nr="16" Abbr="13 pr. 16 p." DocPartId="b7ed9d86cc984c8f9ae485f9f6698bc5" PartId="ac200da4c4664ff0986fc65cd4d63792"/>
      <Part Type="punktas" Nr="17" Abbr="13 pr. 17 p." DocPartId="84c36619c9b54f1b8cc786692f207e4a" PartId="215ed7b52a1044edae884ba078e5063f">
        <Part Type="punktas" Nr="17.1" Abbr="13 pr. 17.1 p." DocPartId="1b01d388e0c14abca4f38c4ea058896c" PartId="9bfaf8fceec64882ba793ce1c455e0da"/>
        <Part Type="punktas" Nr="17.2" Abbr="13 pr. 17.2 p." DocPartId="90d8fb43de6b436da6892af7873e25b7" PartId="4fb737dfe0a34e1db3ba3f6c9ffef544"/>
        <Part Type="punktas" Nr="17.3" Abbr="13 pr. 17.3 p." DocPartId="c2845a653cf9452c9b34600bc80fb6fe" PartId="22ed9193e9b04a2584cb896fabcb2248"/>
        <Part Type="punktas" Nr="17.4" Abbr="13 pr. 17.4 p." DocPartId="8164bd4efa5b4af5a6e64d8748e6a370" PartId="91f52745d0b24fe6bca5366c9f17366d"/>
        <Part Type="punktas" Nr="17.5" Abbr="13 pr. 17.5 p." DocPartId="8058af85913b4044a1b059f7e7382d11" PartId="72184eebbac24ed9bd3179ff90cd5be6"/>
        <Part Type="punktas" Nr="17.6" Abbr="13 pr. 17.6 p." DocPartId="8fdb2d90d23d493084cf85fd488c7474" PartId="c0a9f321358940f58657503fbdcb3353"/>
      </Part>
      <Part Type="punktas" Nr="18" Abbr="13 pr. 18 p." DocPartId="6cc3df896cea4e0cad64a56a60a8d45f" PartId="6f3bf7521a794d05b56dea416a12e9a8"/>
      <Part Type="punktas" Nr="19" Abbr="13 pr. 19 p." DocPartId="6b938baf89104e6ca87b31c8a52c6519" PartId="a3d877e0cd114ec892d3b01867b1eae1">
        <Part Type="papunktis" Nr="19.1" Abbr="19.1 pp." DocPartId="9edb485ad67c42398f80f78422ba7f67" PartId="cb8ee80f82084bbdb61b058855fd2eb7"/>
        <Part Type="papunktis" Nr="19.2" Abbr="19.2 pp." DocPartId="d9d6907d6ab44feba4e3c6224f380d13" PartId="9bcbc80f0fb3408590d5644c6802337a"/>
        <Part Type="papunktis" Nr="19.3" Abbr="19.3 pp." DocPartId="ea82319a690b40ac824144f9602bd27b" PartId="edf1b7aac38647e38f2f74d57fc0cfde"/>
      </Part>
      <Part Type="punktas" Nr="19-1" Abbr="13 pr. 19-1 p." DocPartId="53fe2a66ed2546f7878ae649522397c8" PartId="fa03475a15524312a30b2ded0d959143"/>
    </Part>
    <Part Type="skyrius" Nr="3" Title="LIGŲ IR SVEIKATOS PROBLEMŲ, DĖL KURIŲ DRAUDŽIAMA DIRBTI DARBO APLINKOJE PROFESINĖS RIZIKOS (KENKSMINGŲ VEIKSNIŲ POVEIKIS IR (AR) PAVOJINGAS DARBAS) SĄLYGOMIS, SĄRAŠAS (BENDROSIOS KONTRAINDIKACIJOS)" DocPartId="22e85093c37141aca93dde7655fd56bc" PartId="8a420506ee0a4fb88ef17ae34c237da7">
      <Part Type="punktas" Nr="20" Abbr="13 pr. 20 p." DocPartId="a62f7bf3d51148f4a018efe25bb55b29" PartId="a32bbbff8bc540388f7566efa337bbda">
        <Part Type="punktas" Nr="20.1" Abbr="13 pr. 20.1 p." DocPartId="341ae1b0216a4553a55f0850611d5e79" PartId="f3ff7fc5cb6148c1b8d9b674b972d7e4"/>
        <Part Type="punktas" Nr="20.2" Abbr="13 pr. 20.2 p." DocPartId="285c3c7ae1d64bd1903e974e19e95b96" PartId="0760fe57aca0494bb634378c2bbb791d"/>
        <Part Type="punktas" Nr="20.3" Abbr="13 pr. 20.3 p." DocPartId="36258db585ec4fa486dc7ed71d8aa615" PartId="6cd69d21c5d24a6096b7b5f2a2e485d9"/>
        <Part Type="punktas" Nr="20.4" Abbr="13 pr. 20.4 p." DocPartId="0c71c3b6e061419182c472ec9110504e" PartId="264cdf4e07434a5595db188583ec76f1"/>
      </Part>
      <Part Type="punktas" Nr="21" Abbr="13 pr. 21 p." DocPartId="f94b787c18bf4579a9553294d7309fbf" PartId="b0b1c7185578481384e00309f53d421a">
        <Part Type="punktas" Nr="21.1" Abbr="13 pr. 21.1 p." DocPartId="ce2ac75aea0547ccbb4d061b9ff61628" PartId="db62ee7a076749e9af6cbafa7e4cfaaa"/>
        <Part Type="punktas" Nr="21.2" Abbr="13 pr. 21.2 p." DocPartId="f70af44825c44123a10730f695fc8b91" PartId="125b5bc5b4c44b32a2a1451cbc526b70"/>
        <Part Type="punktas" Nr="21.3" Abbr="13 pr. 21.3 p." DocPartId="c71de8a5d1704685b9006b5ad53bfe78" PartId="14b34ab46f954395b7d961b481094d7b"/>
        <Part Type="punktas" Nr="21.4" Abbr="13 pr. 21.4 p." DocPartId="2a09036f493542a4baf03b02548d3d68" PartId="2c81ac40b1c44e86aa26ae147f7cc17a">
          <Part Type="punktas" Nr="21.4.1" Abbr="13 pr. 21.4.1 p." DocPartId="d64ef0dbbcbf49bc94109baf93add6f7" PartId="93c5d6bfcb0742ed822492029b065179"/>
          <Part Type="punktas" Nr="21.4.2" Abbr="13 pr. 21.4.2 p." DocPartId="feca1d51fbc941ed96faeb227756fe6d" PartId="0fe85792ae6e4bfdbe3805b5d204553a"/>
          <Part Type="punktas" Nr="21.4.3" Abbr="13 pr. 21.4.3 p." DocPartId="a4f7cf9f3b4449038a826fe34099ccc6" PartId="2a50b04df63f4a5babea9a29bd99e5b5"/>
        </Part>
        <Part Type="punktas" Nr="21.5" Abbr="13 pr. 21.5 p." DocPartId="5a97c8bddf8240d8bdc6b43c5a1894ab" PartId="b4e6ce34c8bb4751a0a428b32d999392"/>
        <Part Type="punktas" Nr="21.6" Abbr="13 pr. 21.6 p." DocPartId="243eb3aaf3e54e31a3654060aaa5f1f8" PartId="8975c739c00049deafc0283be38ec3e8"/>
      </Part>
    </Part>
    <Part Type="skyrius" Nr="4" Title="BAIGIAMOSIOS NUOSTATOS" DocPartId="6364f87fe51247ed8865205f69c610ad" PartId="b5c728a06ab44851b2568b63233e8a70">
      <Part Type="punktas" Nr="22" Abbr="13 pr. 22 p." DocPartId="e2f60361aeeb4a7b80f5ee7e49e12f36" PartId="3fbf9480e64d4e1dafa7ce9a7b7f2eef"/>
      <Part Type="punktas" Nr="23" Abbr="13 pr. 23 p." DocPartId="b2c502bd55224b3d96f55faa8ee2216e" PartId="c8e8cb92b08a4264a5e588d5afe4bfbb"/>
      <Part Type="punktas" Nr="24" Abbr="13 pr. 24 p." DocPartId="dd6f8d7ffce2442d8342cfb8ba54ca70" PartId="29610328ceef454b8ee05c4fff66e229"/>
      <Part Type="punktas" Nr="25" Abbr="13 pr. 25 p." DocPartId="1689c2f61b544607a89105d72235b50a" PartId="a66b32c4e1d748f08bcbb8a667bd83e8"/>
      <Part Type="punktas" Nr="26" Abbr="13 pr. 26 p." DocPartId="ac3f5f8b2857431199dc023b8be5730d" PartId="5806785b971544a681df754010e3098d"/>
      <Part Type="punktas" Nr="27" Abbr="13 pr. 27 p." DocPartId="fa1ffa994ce6473484ea153aa520ddab" PartId="2c3677f1232d494983ffdf60d08d784b"/>
      <Part Type="punktas" Nr="28" Abbr="13 pr. 28 p." DocPartId="c2b35c69aa7845bc93c960d3e4f37d63" PartId="b5607618db764cd3ba5f653deebf282c"/>
      <Part Type="punktas" Nr="29" Abbr="13 pr. 29 p." DocPartId="e606bd45af99426d968b5610f7221d66" PartId="54cf3303a93442c69da2581b7bf3ad43"/>
      <Part Type="punktas" Nr="30" Abbr="13 pr. 30 p." DocPartId="c5855d15a06a4797be5a3556869e5e5d" PartId="c488fd38aad84e1286dd0ad73a145175"/>
      <Part Type="punktas" Nr="31" Abbr="13 pr. 31 p." DocPartId="435357ad3d3e41c9b547c52a1e8d027d" PartId="01bfcdd64dd74bc9b0c2893e6dc6c605"/>
      <Part Type="punktas" Nr="32" Abbr="13 pr. 32 p." DocPartId="b4b27b9e5b42472fb882909879a2613d" PartId="7861c5eb2fbb4d258dc58640112de86e"/>
      <Part Type="punktas" Nr="33" Abbr="13 pr. 33 p." DocPartId="bbcf1a613189404db8921b2fb50c3c18" PartId="f68e0d66bc1d4b57a460d6ec957df00c"/>
      <Part Type="lentele" Nr="1" DocPartId="68c03ab3af1e4a819e23fd442b431297" PartId="3499587077194d49878499fb7fc83cd6"/>
      <Part Type="lentele" Nr="2" DocPartId="5ed6fab794e84cbba18b948369d94066" PartId="c12415770c504feaa9af4b3be98e5e12"/>
      <Part Type="lentele" Nr="3" Title="PAVYZDINIS PROTOKOLAS" DocPartId="8829b828000a4c39a39d6d9d3eb62fc1" PartId="d191563c536c4380a058e5d3a644277e">
        <Part Type="skirsnis" Title="PROTOKOLAS" DocPartId="cd919f96e70a43b680d87b696e68371b" PartId="89c0df95c14c4cd1819ea8a6dc04edb7">
          <Part Type="punktas" Nr="200" Abbr="13 pr. 200 p." DocPartId="a58f46b8285d49089b9c9ceb75f9fa58" PartId="be0958740bd147479ef6b8addb801973"/>
        </Part>
        <Part Type="skirsnis" Title="Dėl asmenų, dirbančių galimos profesinės rizikos sąlygomis, sveikatos tikrinimo" DocPartId="b8e2230101224245b8b7bdb4c9f94ff5" PartId="4d3e7ca4abf24c3393f54bac95296bc3">
          <Part Type="punktas" Nr="1" Abbr="13 pr. 1 p." DocPartId="72109f715e1f4eb1b439856d6362811a" PartId="b73a34da9ca44c2881405de7ac62184c"/>
          <Part Type="punktas" Nr="2" Abbr="13 pr. 2 p." DocPartId="fb9bd4ac02c84f739b2b0ec1cf4e5f6a" PartId="ad7c93319de54f1da04fb75c50f4fb3c"/>
          <Part Type="punktas" Nr="3" Abbr="13 pr. 3 p." DocPartId="00459188ecbc4f0c8a7837113df3ff5b" PartId="adb6e8e62ec844cfb39e03130ff62487"/>
          <Part Type="punktas" Nr="4" Abbr="13 pr. 4 p." DocPartId="a44792d363c04b3ca9b79197b3a30810" PartId="31470062180c4d71b3f5d7f7b735a64d">
            <Part Type="punktas" Nr="4.1" Abbr="13 pr. 4.1 p." DocPartId="de45b15be89548b9af55bf18ca5cced9" PartId="f59816ec77884423b6c9571ff20a5ac3"/>
            <Part Type="punktas" Nr="4.2" Abbr="13 pr. 4.2 p." DocPartId="6475f83a2a9d426baccc05c44a5312f9" PartId="deb46bf600d24d2090065763213bfbf6"/>
            <Part Type="punktas" Nr="4.3" Abbr="13 pr. 4.3 p." DocPartId="511869ecda8945aea0e4d6db0b1fe422" PartId="2984e5fe057947eab12160cf989c762e"/>
          </Part>
        </Part>
        <Part Type="pabaiga" DocPartId="96162ab611124aa4a4177e6e63a32b42" PartId="f9964173ee2a4b89a1a3afa977e4b92e"/>
      </Part>
    </Part>
  </Part>
  <Part Type="priedas" Nr="14" Abbr="14 pr." Title="ASMENŲ, KURIEMS LEIDŽIAMA DIRBTI TIK IŠ ANKSTO PASITIKRINUS IR VĖLIAU PERIODIŠKAI BESITIKRINANTIEMS SVEIKATĄ DĖL UŽKREČIAMŲJŲ LIGŲ, SVEIKATOS TIKRINIMO TVARKA" DocPartId="5a7c5d4dcb0f44ff9583e250e0ac90c6" PartId="2fdcd7c0cfd84c7b9b74f1415695a5bb"/>
  <Part Type="priedas" Nr="15" Abbr="15 pr." Title="„GYDYTOJŲ, NORINČIŲ GAUTI MEDICINOS PRAKTIKOS LICENCIJĄ, SVEIKATOS TIKRINIMO TVARKA“" DocPartId="da428097ad304c3b917c63a7b9cd59fe" PartId="ad4efd8c177b4a289b600a2975af93d6"/>
  <Part Type="priedas" Nr="16" Abbr="16 pr." Title="ASMENŲ, NORINČIŲ BŪTI ADVOKATAIS, SVEIKATOS TIKRINIMO TVARKA" DocPartId="972d96aff5b140328c87cbb94e6d9132" PartId="7ad791ab7dd94f85be58aa9d4360274a"/>
  <Part Type="priedas" Nr="17" Abbr="17 pr." Title="ASMENŲ, NORINČIŲ SUSITUOKTI, SVEIKATOS TIKRINIMO TVARKA" DocPartId="20707f64cac9423399bf3dc8f67ac8cb" PartId="8b0d19f6b5e94bb7ae372cc42e2efe46">
    <Part Type="punktas" Nr="1" Abbr="17 pr. 1 p." DocPartId="35eb2e2f8d78493282df2316deebcd41" PartId="8968eaa6cd5045f09329620d6ea9d1ff"/>
    <Part Type="punktas" Nr="2" Abbr="17 pr. 2 p." DocPartId="a81366ed222e4457bf0b6e311ec7e943" PartId="4196ae8d5fba4079b5f1fc78144a4f50"/>
  </Part>
  <Part Type="priedas" Nr="18" Abbr="18 pr." Title="„PROFILAKTINIŲ SVEIKATOS TIKRINIMŲ KAINOS IR GYDYTOJŲ SPECIALISTŲ, TEIKIANČIŲ PROFILAKTINIŲ SVEIKATOS TIKRINIMŲ PASLAUGAS, APMOKAMAS IŠ PRIVALOMOJO SVEIKATOS DRAUDIMO FONDO BIUDŽETO, PASLAUGŲ KAINOS“" DocPartId="c84ba4b4f0764c449991f18e6019364e" PartId="5e54d77e33034274b5a0d0ae5cf9bfe2">
    <Part Type="skyrius" Nr="1" Title="PROFILAKTINIŲ SVEIKATOS TIKRINIMŲ, UŽ KURIUOS MOKA PATS DARBUOTOJAS, DARBDAVYS AR KITI ASMENYS, KAINOS" DocPartId="161c22c08ecf44daa32ed2550d7153df" PartId="da7537f004654b40b74594c1c11422d0"/>
    <Part Type="skyrius" Nr="2" Title="GYDYTOJŲ SPECIALISTŲ, TEIKIANČIŲ PROFILAKTINIŲ SVEIKATOS TIKRINIMŲ PASLAUGAS, APMOKAMAS IŠ PRIVALOMOJO SVEIKATOS DRAUDIMO FONDO BIUDŽETO, PASLAUGŲ KAINOS" DocPartId="4c6f3dbd67e2452eb79027c8b6d83049" PartId="4fe74421a0e5406a99443c2f7d4f5184"/>
  </Part>
</Parts>
</file>

<file path=customXml/itemProps1.xml><?xml version="1.0" encoding="utf-8"?>
<ds:datastoreItem xmlns:ds="http://schemas.openxmlformats.org/officeDocument/2006/customXml" ds:itemID="{7A7B8FEF-46F2-404D-8E2A-2B6910602F35}">
  <ds:schemaRefs>
    <ds:schemaRef ds:uri="http://lrs.lt/TAIS/DocParts"/>
  </ds:schemaRefs>
</ds:datastoreItem>
</file>

<file path=docProps/app.xml><?xml version="1.0" encoding="utf-8"?>
<Properties xmlns="http://schemas.openxmlformats.org/officeDocument/2006/extended-properties">
  <Template>Normal.dotm</Template>
  <TotalTime>223</TotalTime>
  <Pages>237</Pages>
  <Words>308552</Words>
  <Characters>175875</Characters>
  <Application>Microsoft Office Word</Application>
  <DocSecurity>0</DocSecurity>
  <Lines>1465</Lines>
  <Paragraphs>966</Paragraphs>
  <ScaleCrop>false</ScaleCrop>
  <HeadingPairs>
    <vt:vector xmlns:vt="http://schemas.openxmlformats.org/officeDocument/2006/docPropsVTypes" size="2" baseType="variant">
      <vt:variant>
        <vt:lpstr>Pavadinimas</vt:lpstr>
      </vt:variant>
      <vt:variant>
        <vt:i4>1</vt:i4>
      </vt:variant>
    </vt:vector>
  </HeadingPairs>
  <TitlesOfParts>
    <vt:vector xmlns:vt="http://schemas.openxmlformats.org/officeDocument/2006/docPropsVTypes" size="1" baseType="lpstr">
      <vt:lpstr/>
    </vt:vector>
  </TitlesOfParts>
  <Company/>
  <LinksUpToDate>false</LinksUpToDate>
  <CharactersWithSpaces>483461</CharactersWithSpaces>
  <SharedDoc>false</SharedDoc>
  <HyperlinkBase/>
  <HyperlinksChanged>false</HyperlinksChanged>
  <AppVersion>16.0000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2016-04-05T13:39:00Z</dcterms:created>
  <dc:creator>PETRAUSKAITĖ Girmantė</dc:creator>
  <lastModifiedBy>TAMALIŪNIENĖ Vilija</lastModifiedBy>
  <dcterms:modified xsi:type="dcterms:W3CDTF">2023-06-09T12:23:00Z</dcterms:modified>
  <revision>128</revision>
</coreProperties>
</file>