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2024-10-15 iki 2026-02-10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72b441d9e93540769b3e3910e7ddedd3"/>
                <w:lock w:val="sdtLocked"/>
                <w:richText/>
              </w:sdtPr>
              <w:sdtContent>
                <w:p>
                  <w:pPr>
                    <w:ind w:firstLine="709"/>
                    <w:jc w:val="both"/>
                  </w:pPr>
                  <w:sdt>
                    <w:sdtPr>
                      <w:alias w:val="Numeris"/>
                      <w:tag w:val="nr_72b441d9e93540769b3e3910e7ddedd3"/>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08da52363d954ffab7a36b64022f328c"/>
                <w:lock w:val="sdtLocked"/>
                <w:richText/>
              </w:sdtPr>
              <w:sdtContent>
                <w:p>
                  <w:pPr>
                    <w:widowControl w:val="0"/>
                    <w:ind w:firstLine="720"/>
                    <w:jc w:val="both"/>
                    <w:rPr>
                      <w:color w:val="000000"/>
                    </w:rPr>
                  </w:pPr>
                  <w:sdt>
                    <w:sdtPr>
                      <w:alias w:val="Numeris"/>
                      <w:tag w:val="nr_08da52363d954ffab7a36b64022f328c"/>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2" w:tgtFrame="_blank" w:history="1">
                    <w:r>
                      <w:rPr>
                        <w:color w:val="0000FF" w:themeColor="hyperlink"/>
                        <w:u w:val="single"/>
                      </w:rPr>
                      <w:t>99-1992</w:t>
                    </w:r>
                  </w:hyperlink>
                  <w:r>
                    <w:rPr>
                      <w:color w:val="000000"/>
                    </w:rPr>
                    <w:t>);</w:t>
                  </w:r>
                </w:p>
              </w:sdtContent>
            </w:sdt>
            <w:sdt>
              <w:sdtPr>
                <w:alias w:val="3.3 p."/>
                <w:tag w:val="part_19e4ec4ec81c4821ab0ef5af4024e408"/>
                <w:lock w:val="sdtLocked"/>
                <w:richText/>
              </w:sdtPr>
              <w:sdtContent>
                <w:p>
                  <w:pPr>
                    <w:widowControl w:val="0"/>
                    <w:ind w:firstLine="720"/>
                    <w:jc w:val="both"/>
                    <w:rPr>
                      <w:color w:val="000000"/>
                    </w:rPr>
                  </w:pPr>
                  <w:sdt>
                    <w:sdtPr>
                      <w:alias w:val="Numeris"/>
                      <w:tag w:val="nr_19e4ec4ec81c4821ab0ef5af4024e40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fa037338bcd34773947d5b25c05c3035"/>
                <w:lock w:val="sdtLocked"/>
                <w:richText/>
              </w:sdtPr>
              <w:sdtContent>
                <w:p>
                  <w:pPr>
                    <w:widowControl w:val="0"/>
                    <w:ind w:firstLine="720"/>
                    <w:jc w:val="both"/>
                    <w:rPr>
                      <w:color w:val="000000"/>
                    </w:rPr>
                  </w:pPr>
                  <w:sdt>
                    <w:sdtPr>
                      <w:alias w:val="Numeris"/>
                      <w:tag w:val="nr_fa037338bcd34773947d5b25c05c3035"/>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4" w:tgtFrame="_blank" w:history="1">
                    <w:r>
                      <w:rPr>
                        <w:color w:val="0000FF" w:themeColor="hyperlink"/>
                        <w:u w:val="single"/>
                      </w:rPr>
                      <w:t>57-1368</w:t>
                    </w:r>
                  </w:hyperlink>
                  <w:r>
                    <w:rPr>
                      <w:color w:val="000000"/>
                    </w:rPr>
                    <w:t>);</w:t>
                  </w:r>
                </w:p>
              </w:sdtContent>
            </w:sdt>
            <w:sdt>
              <w:sdtPr>
                <w:alias w:val="3.6 p."/>
                <w:tag w:val="part_9888991eb24e45d684529e1ef8b9836d"/>
                <w:lock w:val="sdtLocked"/>
                <w:richText/>
              </w:sdtPr>
              <w:sdtContent>
                <w:p>
                  <w:pPr>
                    <w:widowControl w:val="0"/>
                    <w:ind w:firstLine="720"/>
                    <w:jc w:val="both"/>
                    <w:rPr>
                      <w:color w:val="000000"/>
                    </w:rPr>
                  </w:pPr>
                  <w:sdt>
                    <w:sdtPr>
                      <w:alias w:val="Numeris"/>
                      <w:tag w:val="nr_9888991eb24e45d684529e1ef8b9836d"/>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5" w:tgtFrame="_blank" w:history="1">
                    <w:r>
                      <w:rPr>
                        <w:color w:val="0000FF" w:themeColor="hyperlink"/>
                        <w:u w:val="single"/>
                      </w:rPr>
                      <w:t>109-2493</w:t>
                    </w:r>
                  </w:hyperlink>
                  <w:r>
                    <w:rPr>
                      <w:color w:val="000000"/>
                    </w:rPr>
                    <w:t>);</w:t>
                  </w:r>
                </w:p>
              </w:sdtContent>
            </w:sdt>
            <w:sdt>
              <w:sdtPr>
                <w:alias w:val="3.7 p."/>
                <w:tag w:val="part_4530bff5e35641528a39d447bfab03ed"/>
                <w:lock w:val="sdtLocked"/>
                <w:richText/>
              </w:sdtPr>
              <w:sdtContent>
                <w:p>
                  <w:pPr>
                    <w:widowControl w:val="0"/>
                    <w:ind w:firstLine="720"/>
                    <w:jc w:val="both"/>
                    <w:rPr>
                      <w:color w:val="000000"/>
                    </w:rPr>
                  </w:pPr>
                  <w:sdt>
                    <w:sdtPr>
                      <w:alias w:val="Numeris"/>
                      <w:tag w:val="nr_4530bff5e35641528a39d447bfab03ed"/>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1d51b9fac74b45d2866c17b1b95aadfe"/>
                <w:lock w:val="sdtLocked"/>
                <w:richText/>
              </w:sdtPr>
              <w:sdtContent>
                <w:p>
                  <w:pPr>
                    <w:widowControl w:val="0"/>
                    <w:ind w:firstLine="720"/>
                    <w:jc w:val="both"/>
                    <w:rPr>
                      <w:color w:val="000000"/>
                    </w:rPr>
                  </w:pPr>
                  <w:sdt>
                    <w:sdtPr>
                      <w:alias w:val="Numeris"/>
                      <w:tag w:val="nr_1d51b9fac74b45d2866c17b1b95aadfe"/>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3c9850e5f534484c8de336fc1a1f85a9"/>
        <w:lock w:val="sdtLocked"/>
        <w:richText/>
      </w:sdtPr>
      <w:sdtContent>
        <w:p>
          <w:pPr>
            <w:tabs>
              <w:tab w:val="left" w:pos="1304"/>
              <w:tab w:val="left" w:pos="1457"/>
              <w:tab w:val="left" w:pos="1604"/>
              <w:tab w:val="left" w:pos="1757"/>
            </w:tabs>
            <w:ind w:left="5102"/>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3c9850e5f534484c8de336fc1a1f85a9"/>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c9850e5f534484c8de336fc1a1f85a9"/>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
                      <w:sdtPr>
                        <w:alias w:val="1.13.4 pp."/>
                        <w:tag w:val="part_61f4a437cc6d4651887e180ab4136172"/>
                        <w:lock w:val="sdtLocked"/>
                        <w:richText/>
                      </w:sdtPr>
                      <w:sdtContent>
                        <w:p>
                          <w:pPr>
                            <w:tabs>
                              <w:tab w:val="left" w:pos="142"/>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1f4a437cc6d4651887e180ab4136172"/>
                              <w:lock w:val="sdtLocked"/>
                              <w:richText/>
                            </w:sdtPr>
                            <w:sdtContent>
                              <w:r>
                                <w:rPr>
                                  <w:szCs w:val="24"/>
                                </w:rPr>
                                <w:t>1.13.4</w:t>
                              </w:r>
                            </w:sdtContent>
                          </w:sdt>
                          <w:r>
                            <w:rPr>
                              <w:szCs w:val="24"/>
                            </w:rPr>
                            <w:t>. Ambulatorinių slaugos ir akušerijos ankstyvosios intervencijos paslaugų šeimoms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4a2ccc73d334771a68f6e7ac9afd583"/>
                <w:lock w:val="sdtLocked"/>
                <w:richText/>
              </w:sdtPr>
              <w:sdtContent>
                <w:p>
                  <w:pPr>
                    <w:tabs>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44"/>
                    <w:jc w:val="both"/>
                    <w:rPr>
                      <w:color w:val="000000"/>
                    </w:rPr>
                  </w:pPr>
                  <w:sdt>
                    <w:sdtPr>
                      <w:alias w:val="Numeris"/>
                      <w:tag w:val="nr_a4a2ccc73d334771a68f6e7ac9afd583"/>
                      <w:lock w:val="sdtLocked"/>
                      <w:richText/>
                    </w:sdtPr>
                    <w:sdtContent>
                      <w:r>
                        <w:rPr>
                          <w:szCs w:val="24"/>
                        </w:rPr>
                        <w:t>2</w:t>
                      </w:r>
                    </w:sdtContent>
                  </w:sdt>
                  <w:r>
                    <w:rPr>
                      <w:b/>
                      <w:bCs/>
                      <w:szCs w:val="24"/>
                    </w:rPr>
                    <w:t xml:space="preserve">. </w:t>
                  </w:r>
                  <w:r>
                    <w:rPr>
                      <w:color w:val="000000"/>
                    </w:rPr>
                    <w:t xml:space="preserve">Pirminės ir antrinės sveikatos priežiūros paslaugos, teikiamos atliekant profilaktinius sveikatos tikrinimus, nurodytus 1.1–1.3, 1.5–1.7 ir 1.13-1-1.13.3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Pirminės asmens sveikatos priežiūros paslaugos, teikiamos atliekant profilaktinius sveikatos tikrinimus, nurodytus  1.13.4 papunktyje, </w:t>
                  </w:r>
                  <w:r>
                    <w:t xml:space="preserve">apdraustiesiems apmokamos iš Privalomojo sveikatos draudimo fondo biudžeto lėšų </w:t>
                  </w:r>
                  <w:r>
                    <w:rPr>
                      <w:color w:val="000000"/>
                    </w:rPr>
                    <w:t xml:space="preserve">Pirminės ambulatorinės asmens sveikatos priežiūros paslaugų teikimo organizavimo ir šių paslaugų išlaidų apmokėjimo tvarkos aprašo, patvirtinto </w:t>
                  </w:r>
                  <w:r>
                    <w:t xml:space="preserve">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r>
                    <w:rPr>
                      <w:color w:val="101010"/>
                      <w:shd w:val="clear" w:color="auto" w:fill="FFFFFF"/>
                    </w:rPr>
                    <w:t>Lietuvos sporto centro Sporto medicinos departamente </w:t>
                  </w:r>
                  <w:r>
                    <w:rPr>
                      <w:color w:val="000000"/>
                    </w:rPr>
                    <w:t>profilaktiniai sveikatos tikrinimai atliekami vadovaujantis Sportuojančių asmenų sveikatos tikrinimo tvarką (5 priedas). Šių tikrinimų išlaidos apmokamos lėšomis, skirtomis </w:t>
                  </w:r>
                  <w:r>
                    <w:rPr>
                      <w:color w:val="101010"/>
                      <w:shd w:val="clear" w:color="auto" w:fill="FFFFFF"/>
                    </w:rPr>
                    <w:t>Lietuvos sporto centro Sporto medicinos departamentui </w:t>
                  </w:r>
                  <w:r>
                    <w:rPr>
                      <w:color w:val="000000"/>
                    </w:rPr>
                    <w:t>išlaikyti.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4"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5"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6"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7"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8"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040cfa09ec74c89951ceeebba2595fe"/>
        <w:lock w:val="sdtLocked"/>
        <w:richText/>
      </w:sdtPr>
      <w:sdtContent>
        <w:p>
          <w:pPr>
            <w:tabs>
              <w:tab w:val="left" w:pos="6521"/>
            </w:tabs>
            <w:ind w:left="3888" w:firstLine="2633"/>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a040cfa09ec74c89951ceeebba2595fe"/>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a040cfa09ec74c89951ceeebba2595fe"/>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27eccb910eff4be889ea0897587a0989"/>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27eccb910eff4be889ea0897587a0989"/>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caps/>
                    <w:color w:val="000000"/>
                    <w:szCs w:val="24"/>
                    <w:lang w:val="en-GB"/>
                  </w:rPr>
                </w:pPr>
                <w:r>
                  <w:rPr>
                    <w:caps/>
                    <w:color w:val="000000"/>
                    <w:szCs w:val="24"/>
                  </w:rPr>
                  <w:t>Nauja-gimis</w:t>
                </w:r>
              </w:p>
              <w:p>
                <w:pPr>
                  <w:widowControl w:val="0"/>
                  <w:jc w:val="center"/>
                  <w:outlineLvl w:val="2"/>
                  <w:rPr>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i/>
                    <w:color w:val="000000"/>
                    <w:szCs w:val="24"/>
                  </w:rPr>
                  <w:t xml:space="preserve"> </w:t>
                </w:r>
                <w:r>
                  <w:rPr>
                    <w:color w:val="000000"/>
                    <w:szCs w:val="24"/>
                  </w:rPr>
                  <w:t>per 3 darbo dienas nuo išvykimo iš akušerijos stacionaro</w:t>
                </w:r>
              </w:p>
              <w:p>
                <w:pPr>
                  <w:rPr>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arba išplėstinės praktikos slaugytojas (toliau kartu – slaugytojas) arba akušeris</w:t>
                </w:r>
              </w:p>
              <w:p>
                <w:pPr>
                  <w:widowControl w:val="0"/>
                  <w:rPr>
                    <w:color w:val="000000"/>
                    <w:szCs w:val="24"/>
                  </w:rPr>
                </w:pPr>
              </w:p>
            </w:tc>
            <w:tc>
              <w:tcPr>
                <w:tcW w:w="4536" w:type="dxa"/>
                <w:tcBorders>
                  <w:bottom w:val="single" w:sz="4" w:space="0" w:color="auto"/>
                </w:tcBorders>
              </w:tcPr>
              <w:p>
                <w:pPr>
                  <w:rPr>
                    <w:i/>
                    <w:color w:val="000000"/>
                    <w:szCs w:val="24"/>
                  </w:rPr>
                </w:pPr>
                <w:r>
                  <w:rPr>
                    <w:color w:val="000000"/>
                    <w:szCs w:val="24"/>
                  </w:rPr>
                  <w:t xml:space="preserve">1.1. Aplankyti ir apžiūrėti  naujagimį namuose. </w:t>
                </w:r>
              </w:p>
              <w:p>
                <w:pPr>
                  <w:rPr>
                    <w:i/>
                    <w:color w:val="000000"/>
                    <w:szCs w:val="24"/>
                  </w:rPr>
                </w:pPr>
                <w:r>
                  <w:rPr>
                    <w:color w:val="000000"/>
                    <w:szCs w:val="24"/>
                  </w:rPr>
                  <w:t xml:space="preserve">1.2. Įvertinti šeimos socialinį, psichologinį pasirengimą. </w:t>
                </w:r>
              </w:p>
              <w:p>
                <w:pPr>
                  <w:rPr>
                    <w:i/>
                    <w:color w:val="000000"/>
                    <w:szCs w:val="24"/>
                  </w:rPr>
                </w:pPr>
                <w:r>
                  <w:rPr>
                    <w:color w:val="000000"/>
                    <w:szCs w:val="24"/>
                  </w:rPr>
                  <w:t xml:space="preserve">1.3. Patarti tėvams naujagimio priežiūros, higienos (ypač odos, bambos), žindymo, motinos mitybos klausimais. </w:t>
                </w:r>
              </w:p>
              <w:p>
                <w:pPr>
                  <w:rPr>
                    <w:i/>
                    <w:color w:val="000000"/>
                    <w:szCs w:val="24"/>
                  </w:rPr>
                </w:pPr>
                <w:r>
                  <w:rPr>
                    <w:color w:val="000000"/>
                    <w:szCs w:val="24"/>
                  </w:rPr>
                  <w:t xml:space="preserve">1.4. Informuoti tėvus apie prisiregistravimo prie pirminės asmens sveikatos priežiūros įstaigos (toliau – PASPĮ) tvarką. </w:t>
                </w:r>
              </w:p>
              <w:p>
                <w:pPr>
                  <w:rPr>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formos </w:t>
                </w:r>
              </w:p>
              <w:p>
                <w:pPr>
                  <w:rPr>
                    <w:i/>
                    <w:color w:val="000000"/>
                    <w:szCs w:val="24"/>
                  </w:rPr>
                </w:pPr>
                <w:r>
                  <w:rPr>
                    <w:color w:val="000000"/>
                    <w:szCs w:val="24"/>
                  </w:rPr>
                  <w:t>Nr. 113/a dalyje „Žinios apie naujagimį.“ Jei tyrimas ir tikrinimas neatlikti, siųsti pas atitinkamus specialistus ištirti ir patikrinti, o jei nepaimtas kraujas dėl ĮMAL, paimti.</w:t>
                </w: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p>
                <w:pPr>
                  <w:jc w:val="both"/>
                  <w:rPr>
                    <w:color w:val="000000"/>
                    <w:szCs w:val="24"/>
                  </w:rPr>
                </w:pPr>
                <w:r>
                  <w:rPr>
                    <w:color w:val="000000"/>
                    <w:szCs w:val="24"/>
                  </w:rPr>
                  <w:t>1.7.</w:t>
                </w:r>
                <w:r>
                  <w:rPr>
                    <w:szCs w:val="24"/>
                  </w:rPr>
                  <w:t xml:space="preserve"> Paaiškinama apie depresijos po gimdymo atpažinimą ir pagalbos galimybes bei įteikiamas </w:t>
                </w:r>
                <w:r>
                  <w:rPr>
                    <w:color w:val="000000"/>
                    <w:szCs w:val="24"/>
                  </w:rPr>
                  <w:t>lankstinukas apie depresijos po gimdymo atpažinimą ir pagalbos galimybes (toliau – lankstinukas).</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i/>
                    <w:color w:val="000000"/>
                    <w:szCs w:val="24"/>
                  </w:rPr>
                </w:pPr>
                <w:r>
                  <w:rPr>
                    <w:color w:val="000000"/>
                    <w:szCs w:val="24"/>
                  </w:rPr>
                  <w:t xml:space="preserve">1.8. Naujagimiui apsilankius PASPĮ,  įvertinti jo sveikatos būklę. </w:t>
                </w:r>
              </w:p>
              <w:p>
                <w:pPr>
                  <w:rPr>
                    <w:color w:val="000000"/>
                    <w:szCs w:val="24"/>
                  </w:rPr>
                </w:pPr>
                <w:r>
                  <w:rPr>
                    <w:color w:val="000000"/>
                    <w:szCs w:val="24"/>
                  </w:rPr>
                  <w:t xml:space="preserve">1.9. Skatinti motiną žindyti naujagimį, </w:t>
                </w:r>
                <w:r>
                  <w:rPr>
                    <w:szCs w:val="24"/>
                    <w:bdr w:val="none" w:sz="0" w:space="0" w:color="auto" w:frame="1"/>
                  </w:rPr>
                  <w:t>dar kartą paaiškinti žindymo ypatumus</w:t>
                </w:r>
                <w:r>
                  <w:rPr>
                    <w:color w:val="000000"/>
                    <w:szCs w:val="24"/>
                  </w:rPr>
                  <w:t>.</w:t>
                </w:r>
              </w:p>
              <w:p>
                <w:pPr>
                  <w:rPr>
                    <w:color w:val="000000"/>
                    <w:szCs w:val="24"/>
                  </w:rPr>
                </w:pPr>
                <w:r>
                  <w:rPr>
                    <w:color w:val="000000"/>
                    <w:szCs w:val="24"/>
                  </w:rPr>
                  <w:t xml:space="preserve">1.10.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1.11. Įvertinti naujagimio priežiūros kokybę.</w:t>
                </w:r>
              </w:p>
              <w:p>
                <w:pPr>
                  <w:widowControl w:val="0"/>
                  <w:rPr>
                    <w:color w:val="000000"/>
                    <w:szCs w:val="24"/>
                  </w:rPr>
                </w:pPr>
                <w:r>
                  <w:rPr>
                    <w:color w:val="000000"/>
                    <w:szCs w:val="24"/>
                  </w:rPr>
                  <w:t xml:space="preserve">1.12. Paaiškinti žindymo, dienos, mitybos režimo reikšmę, migdymo padėtį, šeimos sanitarinį higieninį pasirengimą. </w:t>
                </w:r>
              </w:p>
              <w:p>
                <w:pPr>
                  <w:rPr>
                    <w:color w:val="000000"/>
                    <w:szCs w:val="24"/>
                  </w:rPr>
                </w:pPr>
                <w:r>
                  <w:rPr>
                    <w:color w:val="000000"/>
                    <w:szCs w:val="24"/>
                  </w:rPr>
                  <w:t>1.13.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žindymą.</w:t>
                </w:r>
              </w:p>
              <w:p>
                <w:pPr>
                  <w:rPr>
                    <w:color w:val="000000"/>
                    <w:szCs w:val="24"/>
                  </w:rPr>
                </w:pPr>
                <w:r>
                  <w:rPr>
                    <w:color w:val="000000"/>
                    <w:szCs w:val="24"/>
                  </w:rPr>
                  <w:t>2.8. Informuoti tėvus apie dantų ėduonies profilaktiką ir pamokyti burnos higienos pagrindų – išdygus pirmajam dančiui mokyti jį valyti.</w:t>
                </w:r>
              </w:p>
              <w:p>
                <w:pPr>
                  <w:jc w:val="both"/>
                  <w:rPr>
                    <w:szCs w:val="24"/>
                  </w:rPr>
                </w:pPr>
                <w:r>
                  <w:rPr>
                    <w:szCs w:val="24"/>
                  </w:rPr>
                  <w:t xml:space="preserve">2.9. 1, 2, 4 ir 6 mėnesio apsilankymo  metu pasiteirauti kūdikio motinos ar kito kūdikį lydinčio asmens (toliau – lydintis asmuo) apie kūdikio motinos emocinę sveikatą užduodant šiuos klausimus:</w:t>
                </w:r>
              </w:p>
              <w:p>
                <w:pPr>
                  <w:jc w:val="both"/>
                  <w:rPr>
                    <w:szCs w:val="24"/>
                  </w:rPr>
                </w:pPr>
                <w:r>
                  <w:rPr>
                    <w:szCs w:val="24"/>
                  </w:rPr>
                  <w:t xml:space="preserve">2.9.1. Ar per pastarąjį mėnesį Jus (kūdikio motiną) dažnai vargino prislėgta, depresiška, nevilties nuotaika?  </w:t>
                </w:r>
              </w:p>
              <w:p>
                <w:pPr>
                  <w:jc w:val="both"/>
                  <w:rPr>
                    <w:szCs w:val="24"/>
                  </w:rPr>
                </w:pPr>
                <w:r>
                  <w:rPr>
                    <w:szCs w:val="24"/>
                  </w:rPr>
                  <w:t xml:space="preserve">2.9.2. Ar per pastarąjį mėnesį Jus (kūdikio motiną) dažnai vargino menkas susidomėjimas ir mėgavimasis ką nors veikiant? </w:t>
                </w:r>
              </w:p>
              <w:p>
                <w:pPr>
                  <w:jc w:val="both"/>
                  <w:rPr>
                    <w:szCs w:val="24"/>
                  </w:rPr>
                </w:pPr>
                <w:r>
                  <w:rPr>
                    <w:szCs w:val="24"/>
                  </w:rPr>
                  <w:t>Jei kūdikio motina teigiamai atsako bent į vieną iš šių klausimų, jai pateikiamas užpildyti Edinburgo pogimdyminės depresijos klausimynas (toliau – klausimynas) arba jis užpildomas kartu su kūdikio motina. Jei lydintis asmuo teigiamai atsako bent į vieną iš šių klausimų, jam (jai) pateikiamas klausimynas, kurį paprašoma perduoti užpildyti kūdikio motinai bei paaiškinama, kokią balų sumą surinkus kūdikio motinai reikėtų skubiai kreiptis pagalbos į psichikos sveikatos specialistus.</w:t>
                </w:r>
              </w:p>
              <w:p>
                <w:pPr>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 reikalinga pagalba bei, jei    anksčiau nebuvo įteiktas lankstinukas, įteikiamas lankstinukas.</w:t>
                </w:r>
              </w:p>
              <w:p>
                <w:pPr>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w:t>
                </w:r>
              </w:p>
              <w:p>
                <w:pPr>
                  <w:jc w:val="both"/>
                  <w:rPr>
                    <w:color w:val="000000"/>
                    <w:szCs w:val="24"/>
                  </w:rPr>
                </w:pPr>
                <w:r>
                  <w:rPr>
                    <w:color w:val="000000"/>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jc w:val="both"/>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jc w:val="both"/>
                  <w:rPr>
                    <w:color w:val="000000"/>
                    <w:szCs w:val="24"/>
                  </w:rPr>
                </w:pPr>
                <w:r>
                  <w:rPr>
                    <w:color w:val="000000"/>
                    <w:szCs w:val="24"/>
                  </w:rPr>
                  <w:t xml:space="preserve">2.15. Paaiškinti apie kūdikio aplinkos saugumą. </w:t>
                </w:r>
              </w:p>
              <w:p>
                <w:pPr>
                  <w:jc w:val="both"/>
                  <w:rPr>
                    <w:color w:val="000000"/>
                    <w:szCs w:val="24"/>
                  </w:rPr>
                </w:pPr>
                <w:r>
                  <w:rPr>
                    <w:color w:val="000000"/>
                    <w:szCs w:val="24"/>
                  </w:rPr>
                  <w:t xml:space="preserve">2.16. Padėti formuoti racionalios kūdikio ir šeimos mitybos įgūdžius. </w:t>
                </w:r>
                <w:r>
                  <w:rPr>
                    <w:szCs w:val="24"/>
                  </w:rPr>
                  <w:t>Paaiškinti apie kūdikių maitinimą, papildomo maitinimo įvedimo terminus ir maisto produktus.</w:t>
                </w:r>
              </w:p>
              <w:p>
                <w:pPr>
                  <w:jc w:val="both"/>
                  <w:rPr>
                    <w:color w:val="000000"/>
                    <w:szCs w:val="24"/>
                  </w:rPr>
                </w:pPr>
                <w:r>
                  <w:rPr>
                    <w:color w:val="000000"/>
                    <w:szCs w:val="24"/>
                  </w:rPr>
                  <w:t>2.17. Informuoti tėvus:</w:t>
                </w:r>
              </w:p>
              <w:p>
                <w:pPr>
                  <w:jc w:val="both"/>
                  <w:rPr>
                    <w:color w:val="000000"/>
                    <w:szCs w:val="24"/>
                  </w:rPr>
                </w:pPr>
                <w:r>
                  <w:rPr>
                    <w:color w:val="000000"/>
                    <w:szCs w:val="24"/>
                  </w:rPr>
                  <w:t>2.17.1. apie ligų ir traumų, nudegimų, prievartos profilaktiką, imunoprofilaktiką;</w:t>
                </w:r>
              </w:p>
              <w:p>
                <w:pPr>
                  <w:jc w:val="both"/>
                  <w:rPr>
                    <w:color w:val="000000"/>
                    <w:szCs w:val="24"/>
                  </w:rPr>
                </w:pPr>
                <w:r>
                  <w:rPr>
                    <w:color w:val="000000"/>
                    <w:szCs w:val="24"/>
                  </w:rPr>
                  <w:t>2.17.2. apie dantų ėduonies profilaktiką ir pamokyti burnos higienos pagrindų – išdygus pirmajam dančiui mokyti jį valyti.</w:t>
                </w:r>
              </w:p>
              <w:p>
                <w:pPr>
                  <w:jc w:val="both"/>
                  <w:rPr>
                    <w:color w:val="000000"/>
                    <w:szCs w:val="24"/>
                  </w:rPr>
                </w:pPr>
                <w:r>
                  <w:rPr>
                    <w:color w:val="000000"/>
                    <w:szCs w:val="24"/>
                  </w:rPr>
                  <w:t>2.18. Kiekvieno apsilankymo metu pasiteirauti kūdikio motinos ar lydinčio asmens apie kūdikio motinos emocinę sveikatą užduodant šiuos klausimus:</w:t>
                </w:r>
              </w:p>
              <w:p>
                <w:pPr>
                  <w:jc w:val="both"/>
                  <w:rPr>
                    <w:color w:val="000000"/>
                    <w:szCs w:val="24"/>
                  </w:rPr>
                </w:pPr>
                <w:r>
                  <w:rPr>
                    <w:color w:val="000000"/>
                    <w:szCs w:val="24"/>
                  </w:rPr>
                  <w:t xml:space="preserve">2.18.1. Ar per pastarąjį mėnesį Jus </w:t>
                </w:r>
                <w:r>
                  <w:rPr>
                    <w:szCs w:val="24"/>
                  </w:rPr>
                  <w:t xml:space="preserve">(kūdikio motiną) </w:t>
                </w:r>
                <w:r>
                  <w:rPr>
                    <w:color w:val="000000"/>
                    <w:szCs w:val="24"/>
                  </w:rPr>
                  <w:t xml:space="preserve">dažnai vargino prislėgta, depresiška, nevilties nuotaika? </w:t>
                </w:r>
              </w:p>
              <w:p>
                <w:pPr>
                  <w:keepNext/>
                  <w:keepLines/>
                  <w:jc w:val="both"/>
                  <w:rPr>
                    <w:szCs w:val="24"/>
                  </w:rPr>
                </w:pPr>
                <w:r>
                  <w:rPr>
                    <w:szCs w:val="24"/>
                  </w:rPr>
                  <w:t xml:space="preserve">2.18.2. Ar per pastarąjį mėnesį Jus (kūdikio motiną) dažnai vargino menkas susidomėjimas ir mėgavimasis ką nors veikiant? </w:t>
                </w:r>
              </w:p>
              <w:p>
                <w:pPr>
                  <w:keepNext/>
                  <w:keepLines/>
                  <w:jc w:val="both"/>
                  <w:rPr>
                    <w:szCs w:val="24"/>
                  </w:rPr>
                </w:pPr>
                <w:r>
                  <w:rPr>
                    <w:szCs w:val="24"/>
                  </w:rPr>
                  <w:t>Jei kūdikio motina teigiamai atsako bent į vieną iš šių klausimų, jai pateikiamas užpildyti klausimynas arba jis užpildomas kartu su kūdikio motina. Jei lydintis asmuo teigiamai atsako bent į vieną iš šių klausimų, jam / jai pateikiamas klausimynas, kurį paprašoma perduoti užpildyti kūdikio motinai bei paaiškinama, kokią balų sumą surinkus kūdikio motinai reikėtų skubiai kreiptis pagalbos į psichikos sveikatos specialistus.</w:t>
                </w:r>
              </w:p>
              <w:p>
                <w:pPr>
                  <w:keepNext/>
                  <w:keepLines/>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w:t>
                </w:r>
              </w:p>
              <w:p>
                <w:pPr>
                  <w:keepNext/>
                  <w:keepLines/>
                  <w:jc w:val="both"/>
                  <w:rPr>
                    <w:szCs w:val="24"/>
                  </w:rPr>
                </w:pPr>
                <w:r>
                  <w:rPr>
                    <w:szCs w:val="24"/>
                  </w:rPr>
                  <w:t xml:space="preserve">reikalinga pagalba bei, jei    anksčiau nebuvo įteiktas lankstinukas, įteikiamas lankstinukas.</w:t>
                </w:r>
              </w:p>
              <w:p>
                <w:pPr>
                  <w:keepNext/>
                  <w:keepLines/>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 </w:t>
                </w:r>
              </w:p>
              <w:p>
                <w:pPr>
                  <w:keepNext/>
                  <w:keepLines/>
                  <w:jc w:val="both"/>
                  <w:rPr>
                    <w:szCs w:val="24"/>
                  </w:rPr>
                </w:pPr>
                <w:r>
                  <w:rPr>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ed8c092cc11eea5a28c81c82193a8">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2023-12-04,
paskelbta TAR 2023-12-04, i. k. 2023-23483            </w:t>
          </w:r>
        </w:p>
        <w:p/>
      </w:sdtContent>
    </w:sdt>
    <w:sdt>
      <w:sdtPr>
        <w:alias w:val="2 pr."/>
        <w:tag w:val="part_e5847b622753471f994024c27831818b"/>
        <w:lock w:val="sdtLocked"/>
        <w:richText/>
      </w:sdtPr>
      <w:sdtContent>
        <w:p>
          <w:pPr>
            <w:ind w:left="11907"/>
            <w:sectPr>
              <w:headerReference w:type="even" r:id="rId84"/>
              <w:headerReference w:type="default" r:id="rId85"/>
              <w:headerReference w:type="first" r:id="rId86"/>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e5847b622753471f994024c27831818b"/>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e5847b622753471f994024c27831818b"/>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814e101390974299ae56e37741caef75"/>
        <w:lock w:val="sdtLocked"/>
        <w:richText/>
      </w:sdtPr>
      <w:sdtContent>
        <w:p>
          <w:pPr>
            <w:keepLines/>
            <w:widowControl w:val="0"/>
            <w:suppressAutoHyphens/>
            <w:ind w:left="5102"/>
            <w:sectPr>
              <w:headerReference w:type="even" r:id="rId35"/>
              <w:headerReference w:type="default" r:id="rId36"/>
              <w:footerReference w:type="even" r:id="rId37"/>
              <w:footerReference w:type="default" r:id="rId38"/>
              <w:headerReference w:type="first" r:id="rId39"/>
              <w:footerReference w:type="first" r:id="rId4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814e101390974299ae56e37741caef75"/>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14e101390974299ae56e37741caef75"/>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698a931cc1f24638bc9fb6a5f3e0c0b2"/>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698a931cc1f24638bc9fb6a5f3e0c0b2"/>
                      <w:lock w:val="sdtLocked"/>
                      <w:richText/>
                    </w:sdtPr>
                    <w:sdtContent>
                      <w:r>
                        <w:rPr>
                          <w:color w:val="000000"/>
                          <w:szCs w:val="24"/>
                        </w:rPr>
                        <w:t>3</w:t>
                      </w:r>
                    </w:sdtContent>
                  </w:sdt>
                  <w:r>
                    <w:rPr>
                      <w:color w:val="000000"/>
                      <w:szCs w:val="24"/>
                    </w:rP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c1f506df291e4803a77c3cf708cbd68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1f506df291e4803a77c3cf708cbd681"/>
                      <w:lock w:val="sdtLocked"/>
                      <w:richText/>
                    </w:sdtPr>
                    <w:sdtContent>
                      <w:r>
                        <w:rPr>
                          <w:color w:val="000000"/>
                          <w:szCs w:val="24"/>
                        </w:rPr>
                        <w:t>6</w:t>
                      </w:r>
                    </w:sdtContent>
                  </w:sdt>
                  <w:r>
                    <w:rPr>
                      <w:color w:val="000000"/>
                      <w:szCs w:val="24"/>
                    </w:rPr>
                    <w:t>. Visi kandidatai bei 1 ir 2 grupės ir joms prilyginti vairuotojai privalo tikrintis sveikatą prieš įgydami šią teisę bei vėliau periodiškai šiame Apraše nustatyta tvarka. Aprašo nuostatos taip pat taikomos užsienio valstybėje vairuotojo pažymėjimą įgijusiems vairuotojams, norintiems įsidarbinti ar dirbti pagal darbo sutartį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e7f3af6fa3f24c4188c547309a2a9784"/>
                <w:lock w:val="sdtLocked"/>
                <w:richText/>
              </w:sdtPr>
              <w:sdtContent>
                <w:p>
                  <w:pPr>
                    <w:ind w:firstLine="567"/>
                    <w:jc w:val="both"/>
                  </w:pPr>
                  <w:sdt>
                    <w:sdtPr>
                      <w:alias w:val="Numeris"/>
                      <w:tag w:val="nr_e7f3af6fa3f24c4188c547309a2a9784"/>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8bb7fb173d214265ac24b4815644c948"/>
                    <w:lock w:val="sdtLocked"/>
                    <w:richText/>
                  </w:sdtPr>
                  <w:sdtContent>
                    <w:p>
                      <w:pPr>
                        <w:tabs>
                          <w:tab w:val="left" w:pos="0"/>
                          <w:tab w:val="left" w:pos="142"/>
                          <w:tab w:val="left" w:pos="900"/>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bb7fb173d214265ac24b4815644c948"/>
                          <w:lock w:val="sdtLocked"/>
                          <w:richText/>
                        </w:sdtPr>
                        <w:sdtContent>
                          <w:r>
                            <w:rPr>
                              <w:color w:val="000000"/>
                              <w:szCs w:val="24"/>
                            </w:rPr>
                            <w:t>10.1</w:t>
                          </w:r>
                        </w:sdtContent>
                      </w:sdt>
                      <w:r>
                        <w:rPr>
                          <w:color w:val="000000"/>
                          <w:szCs w:val="24"/>
                        </w:rPr>
                        <w:t xml:space="preserve">. Šeimos gydytojas arba vidaus / vaikų ligų gydytojas, tikrinimo metu nustatęs, kad tikrinamas pacientas dėl medicininių priežasčių negali vairuoti visų kategorijų transporto priemonių, tikrinimo netęsia ir tikrinimo duomenis ir išvadas įrašo į elektroninį dokumentą E025 „Ambulatorinio apsilankymo aprašymas“ (toliau – forma Nr. E025), nurodytą </w:t>
                      </w:r>
                      <w:r>
                        <w:rPr>
                          <w:szCs w:val="24"/>
                        </w:rPr>
                        <w:t>Elektroninės sveikatos paslaugų ir bendradarbiavimo infrastruktūros informacinės sistemos naudojimo tvarkos aprašo, patvirtinto Lietuvos Respublikos sveikatos apsaugos ministro 2015</w:t>
                      </w:r>
                      <w:r>
                        <w:rPr>
                          <w:color w:val="000000"/>
                          <w:szCs w:val="24"/>
                        </w:rPr>
                        <w:t> </w:t>
                      </w:r>
                      <w:r>
                        <w:rPr>
                          <w:szCs w:val="24"/>
                        </w:rPr>
                        <w:t>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fb4360f8aae7459e92473f9f11fe7b5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b4360f8aae7459e92473f9f11fe7b5d"/>
                          <w:lock w:val="sdtLocked"/>
                          <w:richText/>
                        </w:sdtPr>
                        <w:sdtContent>
                          <w:r>
                            <w:rPr>
                              <w:color w:val="000000"/>
                              <w:szCs w:val="24"/>
                            </w:rPr>
                            <w:t>12.3</w:t>
                          </w:r>
                        </w:sdtContent>
                      </w:sdt>
                      <w:r>
                        <w:rPr>
                          <w:color w:val="000000"/>
                          <w:szCs w:val="24"/>
                        </w:rPr>
                        <w:t>. pateikia Asmens medicininę knygelę (sveikatos pasą) (toliau – forma Nr. 048/a) ar</w:t>
                      </w:r>
                      <w:r>
                        <w:rPr>
                          <w:strike/>
                          <w:color w:val="000000"/>
                          <w:szCs w:val="24"/>
                        </w:rPr>
                        <w:t xml:space="preserve"> </w:t>
                      </w:r>
                      <w:r>
                        <w:rPr>
                          <w:color w:val="000000"/>
                          <w:szCs w:val="24"/>
                        </w:rPr>
                        <w:t xml:space="preserve">Privalomo sveikatos patikrinimo medicininę pažymą (toliau – forma Nr. 047/a),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w:t>
                      </w:r>
                      <w:r>
                        <w:rPr>
                          <w:szCs w:val="24"/>
                        </w:rPr>
                        <w:t xml:space="preserve">arba informuoja SPĮ, kad darbdaviui atstovaujantis ar jo įgaliotas asmuo ESPBI IS užpildė </w:t>
                      </w:r>
                      <w:r>
                        <w:rPr>
                          <w:color w:val="000000"/>
                          <w:szCs w:val="24"/>
                        </w:rPr>
                        <w:t>elektroninės statistinės apskaitos formą „Asmens medicininė knygelė (sveikatos pasas)“ (toliau – forma Nr. E048) ar elektroninės statistinės apskaitos formą „Privalomo sveikatos patikrinimo medicininė pažyma“ (toliau – forma Nr. E047)</w:t>
                      </w:r>
                      <w:r>
                        <w:rPr>
                          <w:szCs w:val="24"/>
                        </w:rPr>
                        <w:t xml:space="preserve">, nurodytas Elektroninės sveikatos paslaugų ir bendradarbiavimo infrastruktūros informacinės sistemos naudojimo tvarkos aprašo priede, </w:t>
                      </w:r>
                      <w:r>
                        <w:rPr>
                          <w:color w:val="000000"/>
                          <w:szCs w:val="24"/>
                        </w:rPr>
                        <w:t>– jeigu kartu yra atliekamas ir įsidarbinančių ar dirbančių pagal darbo sutartis 2 grupės kategorijų transporto priemonių, traktorių ir savaeigių mašinų vairuotojų ar B kategorijos transporto priemonių vairuotojų, naudojančių vairuotojo pažymėjimą profesiniams tikslams, sveikatos patikrinimas, vadovaujantis Asmenų, dirbančių darbo aplinkoje, kurioje galima profesinė rizika (kenksmingų veiksnių poveikis ir (ar) pavojingas darbas), privalomo sveikatos tikrinimo tvarkos aprašu, o tikrinant vairuotojų, kurių darbas susijęs su keleivių vežimu (autobusų, mikroautobusų ir kt.), sveikatą, vadovaujamasi ir Darbuotojų, kuriems leidžiama dirbti tik iš anksto pasitikrinusiems ir vėliau periodiškai besitikrinantiems, ar neserga užkrečiamosiomis ligomis,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9e263e3289a54ac79cac1dc1a4bbd70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e263e3289a54ac79cac1dc1a4bbd708"/>
                      <w:lock w:val="sdtLocked"/>
                      <w:richText/>
                    </w:sdtPr>
                    <w:sdtContent>
                      <w:r>
                        <w:rPr>
                          <w:color w:val="000000"/>
                          <w:szCs w:val="24"/>
                        </w:rPr>
                        <w:t>15</w:t>
                      </w:r>
                    </w:sdtContent>
                  </w:sdt>
                  <w:r>
                    <w:rPr>
                      <w:color w:val="000000"/>
                      <w:szCs w:val="24"/>
                    </w:rPr>
                    <w:t>. Traktorių ir savaeigių mašinų vairuotojų sveikatos tikrinimo tvarka nurodyta Aprašo 1 lentelės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03ae22862c834a69aeaa7b497a34a47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03ae22862c834a69aeaa7b497a34a473"/>
                      <w:lock w:val="sdtLocked"/>
                      <w:richText/>
                    </w:sdtPr>
                    <w:sdtContent>
                      <w:r>
                        <w:rPr>
                          <w:color w:val="000000"/>
                          <w:szCs w:val="24"/>
                          <w:lang w:eastAsia="lt-LT"/>
                        </w:rPr>
                        <w:t>18</w:t>
                      </w:r>
                    </w:sdtContent>
                  </w:sdt>
                  <w:r>
                    <w:rPr>
                      <w:color w:val="000000"/>
                      <w:szCs w:val="24"/>
                      <w:lang w:eastAsia="lt-LT"/>
                    </w:rPr>
                    <w:t xml:space="preserve">. Tikrinimo duomenis ir išvadas apie tai, kokias transporto priemones ir kokiomis sąlygomis asmuo gali vairuoti, šeimos ar vidaus / vaikų ligų ir kiti tikrinantys gydytojai, nurodydami vairuotojui taikomų apribojimų kodą (5 lentelė) (toliau – apribojimai), įrašo į </w:t>
                  </w:r>
                  <w:r>
                    <w:rPr>
                      <w:color w:val="000000"/>
                      <w:szCs w:val="24"/>
                    </w:rPr>
                    <w:t>formą Nr. E025</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9 p."/>
                <w:tag w:val="part_1049cf0e12b7412f93ffa4f390c93f7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049cf0e12b7412f93ffa4f390c93f7a"/>
                      <w:lock w:val="sdtLocked"/>
                      <w:richText/>
                    </w:sdtPr>
                    <w:sdtContent>
                      <w:r>
                        <w:rPr>
                          <w:color w:val="000000"/>
                          <w:szCs w:val="24"/>
                          <w:lang w:eastAsia="lt-LT"/>
                        </w:rPr>
                        <w:t>19</w:t>
                      </w:r>
                    </w:sdtContent>
                  </w:sdt>
                  <w:r>
                    <w:rPr>
                      <w:color w:val="000000"/>
                      <w:szCs w:val="24"/>
                      <w:lang w:eastAsia="lt-LT"/>
                    </w:rPr>
                    <w:t xml:space="preserve">. Galutinę išvadą į </w:t>
                  </w:r>
                  <w:r>
                    <w:rPr>
                      <w:color w:val="000000"/>
                      <w:szCs w:val="24"/>
                    </w:rPr>
                    <w:t>formą Nr. E025</w:t>
                  </w:r>
                  <w:r>
                    <w:rPr>
                      <w:color w:val="000000"/>
                      <w:szCs w:val="24"/>
                      <w:lang w:eastAsia="lt-LT"/>
                    </w:rPr>
                    <w:t xml:space="preserve"> įrašo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feb43a3182da4a2e9e63525ad9c599d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eb43a3182da4a2e9e63525ad9c599d5"/>
                      <w:lock w:val="sdtLocked"/>
                      <w:richText/>
                    </w:sdtPr>
                    <w:sdtContent>
                      <w:r>
                        <w:rPr>
                          <w:color w:val="000000"/>
                          <w:szCs w:val="24"/>
                        </w:rPr>
                        <w:t>21</w:t>
                      </w:r>
                    </w:sdtContent>
                  </w:sdt>
                  <w:r>
                    <w:rPr>
                      <w:color w:val="000000"/>
                      <w:szCs w:val="24"/>
                    </w:rPr>
                    <w:t xml:space="preserve">. Vairuotojams, dirbantiems galimos profesinės rizikos sąlygomis (kenksmingų veiksnių poveikis ir pavojingas darbas), išvada įrašoma ir į formą Nr. 048/a, įsidarbinant – ir į formą Nr. 047/a. </w:t>
                  </w:r>
                  <w:r>
                    <w:rPr>
                      <w:szCs w:val="24"/>
                    </w:rPr>
                    <w:t>Jeigu SPĮ, atliekančioje</w:t>
                  </w:r>
                  <w:r>
                    <w:rPr>
                      <w:b/>
                      <w:bCs/>
                      <w:szCs w:val="24"/>
                    </w:rPr>
                    <w:t xml:space="preserve"> </w:t>
                  </w:r>
                  <w:r>
                    <w:rPr>
                      <w:color w:val="000000"/>
                      <w:szCs w:val="24"/>
                    </w:rPr>
                    <w:t>vairuotojo, dirbančio galimos profesinės rizikos sąlygomis, sveikatos patikrinimą,</w:t>
                  </w:r>
                  <w:r>
                    <w:rPr>
                      <w:b/>
                      <w:bCs/>
                      <w:szCs w:val="24"/>
                    </w:rPr>
                    <w:t xml:space="preserve"> </w:t>
                  </w:r>
                  <w:r>
                    <w:rPr>
                      <w:szCs w:val="24"/>
                    </w:rPr>
                    <w:t xml:space="preserve">gauta darbdaviui atstovaujančio ar jo įgalioto asmens elektroniniu būdu užpildytos formos Nr. E047 ar formos Nr. E048 darbdavio dalis, atlikus sveikatos tikrinimą, ESPBI IS yra užpildoma atitinkamos formos SPĮ dalis. </w:t>
                  </w:r>
                  <w:r>
                    <w:rPr>
                      <w:color w:val="000000"/>
                      <w:szCs w:val="24"/>
                    </w:rPr>
                    <w:t>Esant ESPBI IS arba 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140dfa9c97ed49d3aed617aefeb54b8f"/>
        <w:lock w:val="sdtLocked"/>
        <w:richText/>
      </w:sdtPr>
      <w:sdtContent>
        <w:p>
          <w:pPr>
            <w:tabs>
              <w:tab w:val="left" w:pos="7088"/>
            </w:tabs>
            <w:spacing w:line="276" w:lineRule="auto"/>
            <w:jc w:val="both"/>
            <w:rPr>
              <w:szCs w:val="24"/>
            </w:rPr>
          </w:pPr>
        </w:p>
        <w:p>
          <w:pPr>
            <w:tabs>
              <w:tab w:val="left" w:pos="7088"/>
            </w:tabs>
            <w:spacing w:line="276" w:lineRule="auto"/>
            <w:jc w:val="both"/>
            <w:rPr>
              <w:szCs w:val="24"/>
            </w:rPr>
            <w:sectPr>
              <w:headerReference w:type="even" r:id="rId57"/>
              <w:headerReference w:type="default" r:id="rId58"/>
              <w:footerReference w:type="even" r:id="rId59"/>
              <w:footerReference w:type="default" r:id="rId60"/>
              <w:headerReference w:type="first" r:id="rId61"/>
              <w:footerReference w:type="first" r:id="rId62"/>
              <w:pgSz w:w="11906" w:h="16838" w:code="9"/>
              <w:pgMar w:top="992" w:right="566" w:bottom="851" w:left="1701" w:header="510" w:footer="227" w:gutter="0"/>
              <w:pgNumType w:start="1"/>
              <w:cols w:space="1296"/>
              <w:titlePg/>
              <w:docGrid w:linePitch="360"/>
            </w:sectPr>
          </w:pPr>
        </w:p>
        <w:p>
          <w:pPr>
            <w:tabs>
              <w:tab w:val="left" w:pos="7088"/>
            </w:tabs>
            <w:ind w:left="6120" w:firstLine="2244"/>
            <w:jc w:val="both"/>
            <w:rPr>
              <w:szCs w:val="24"/>
            </w:rPr>
          </w:pPr>
          <w:r>
            <w:rPr>
              <w:szCs w:val="24"/>
            </w:rPr>
            <w:t>1 lentelė</w:t>
          </w:r>
        </w:p>
        <w:p>
          <w:pPr>
            <w:tabs>
              <w:tab w:val="left" w:pos="7088"/>
            </w:tabs>
            <w:ind w:left="6120"/>
            <w:jc w:val="both"/>
            <w:rPr>
              <w:szCs w:val="24"/>
            </w:rPr>
          </w:pP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b/>
              <w:bCs/>
              <w:color w:val="000000"/>
              <w:szCs w:val="24"/>
            </w:rPr>
          </w:pPr>
          <w:r>
            <w:rPr>
              <w:b/>
              <w:bCs/>
              <w:color w:val="000000"/>
              <w:szCs w:val="24"/>
            </w:rPr>
            <w:t>TRANSPORTO PRIEMONIŲ VAIRUOTOJŲ SVEIKATOS TIKRINIMO MASTAS IR PERIODIŠKUMAS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85"/>
            <w:gridCol w:w="1517"/>
            <w:gridCol w:w="1700"/>
            <w:gridCol w:w="2183"/>
            <w:gridCol w:w="2349"/>
          </w:tblGrid>
          <w:tr>
            <w:trPr>
              <w:trHeight w:val="321"/>
            </w:trPr>
            <w:tc>
              <w:tcPr>
                <w:tcW w:w="978" w:type="pct"/>
                <w:vMerge w:val="restart"/>
                <w:tcBorders>
                  <w:top w:val="single" w:sz="4" w:space="0" w:color="auto"/>
                  <w:left w:val="single" w:sz="4" w:space="0" w:color="auto"/>
                  <w:right w:val="single" w:sz="4" w:space="0" w:color="auto"/>
                </w:tcBorders>
              </w:tcPr>
              <w:p>
                <w:pPr>
                  <w:jc w:val="center"/>
                  <w:rPr>
                    <w:color w:val="000000"/>
                    <w:szCs w:val="24"/>
                  </w:rPr>
                </w:pPr>
                <w:r>
                  <w:rPr>
                    <w:color w:val="000000"/>
                    <w:szCs w:val="24"/>
                  </w:rPr>
                  <w:t>Tikrinamieji: kandidatai ir vairuotojai</w:t>
                </w:r>
              </w:p>
            </w:tc>
            <w:tc>
              <w:tcPr>
                <w:tcW w:w="787" w:type="pct"/>
                <w:vMerge w:val="restart"/>
                <w:tcBorders>
                  <w:top w:val="single" w:sz="4" w:space="0" w:color="auto"/>
                  <w:left w:val="single" w:sz="4" w:space="0" w:color="auto"/>
                  <w:right w:val="single" w:sz="4" w:space="0" w:color="auto"/>
                </w:tcBorders>
              </w:tcPr>
              <w:p>
                <w:pPr>
                  <w:rPr>
                    <w:szCs w:val="24"/>
                  </w:rPr>
                </w:pPr>
                <w:r>
                  <w:rPr>
                    <w:szCs w:val="24"/>
                  </w:rPr>
                  <w:t>Tikrinimų periodiškumas</w:t>
                </w:r>
              </w:p>
            </w:tc>
            <w:tc>
              <w:tcPr>
                <w:tcW w:w="2015" w:type="pct"/>
                <w:gridSpan w:val="2"/>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Sveikatos tikrintojai</w:t>
                </w:r>
              </w:p>
            </w:tc>
            <w:tc>
              <w:tcPr>
                <w:tcW w:w="1219" w:type="pct"/>
                <w:vMerge w:val="restar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Tyrimai</w:t>
                </w:r>
              </w:p>
            </w:tc>
          </w:tr>
          <w:tr>
            <w:trPr>
              <w:trHeight w:val="321"/>
            </w:trPr>
            <w:tc>
              <w:tcPr>
                <w:tcW w:w="978" w:type="pct"/>
                <w:vMerge/>
                <w:tcBorders>
                  <w:left w:val="single" w:sz="4" w:space="0" w:color="auto"/>
                  <w:bottom w:val="single" w:sz="4" w:space="0" w:color="auto"/>
                  <w:right w:val="single" w:sz="4" w:space="0" w:color="auto"/>
                </w:tcBorders>
              </w:tcPr>
              <w:p>
                <w:pPr>
                  <w:rPr>
                    <w:color w:val="000000"/>
                    <w:szCs w:val="24"/>
                  </w:rPr>
                </w:pPr>
              </w:p>
            </w:tc>
            <w:tc>
              <w:tcPr>
                <w:tcW w:w="787" w:type="pct"/>
                <w:vMerge/>
                <w:tcBorders>
                  <w:left w:val="single" w:sz="4" w:space="0" w:color="auto"/>
                  <w:bottom w:val="single" w:sz="4" w:space="0" w:color="auto"/>
                  <w:right w:val="single" w:sz="4" w:space="0" w:color="auto"/>
                </w:tcBorders>
              </w:tcPr>
              <w:p>
                <w:pPr>
                  <w:rPr>
                    <w:strike/>
                    <w:szCs w:val="24"/>
                  </w:rPr>
                </w:pPr>
              </w:p>
            </w:tc>
            <w:tc>
              <w:tcPr>
                <w:tcW w:w="882" w:type="pct"/>
                <w:tcBorders>
                  <w:top w:val="single" w:sz="4" w:space="0" w:color="auto"/>
                  <w:left w:val="single" w:sz="4" w:space="0" w:color="auto"/>
                  <w:right w:val="single" w:sz="4" w:space="0" w:color="auto"/>
                </w:tcBorders>
              </w:tcPr>
              <w:p>
                <w:pPr>
                  <w:jc w:val="center"/>
                  <w:rPr>
                    <w:color w:val="000000"/>
                    <w:szCs w:val="24"/>
                  </w:rPr>
                </w:pPr>
                <w:r>
                  <w:rPr>
                    <w:color w:val="000000"/>
                    <w:szCs w:val="24"/>
                  </w:rPr>
                  <w:t>Pirminis lygis</w:t>
                </w:r>
              </w:p>
            </w:tc>
            <w:tc>
              <w:tcPr>
                <w:tcW w:w="1133" w:type="pc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Kiti</w:t>
                </w: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1 grupės:</w:t>
                </w: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color w:val="000000"/>
                    <w:szCs w:val="24"/>
                  </w:rPr>
                </w:pPr>
                <w:r>
                  <w:rPr>
                    <w:color w:val="000000"/>
                    <w:szCs w:val="24"/>
                  </w:rPr>
                  <w:t>Šeimos gydytojas, psichiatras (pagal pasirinktą SPĮ) ar vidaus ligų gydytojas arba vaikų ligų gydytojas</w:t>
                </w: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Oftalmologas, otorinolaringologas, neurologas, kai sveikatą tikrina vidaus ligų gydytojas ar vaikų ligų gydytojas, arba kuris nors iš jų šeimos gydytojo sprendimu. </w:t>
                </w: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 xml:space="preserve"> arba neurologas</w:t>
                </w:r>
                <w:r>
                  <w:rPr>
                    <w:szCs w:val="24"/>
                    <w:vertAlign w:val="superscript"/>
                  </w:rPr>
                  <w:t>1</w:t>
                </w:r>
                <w:r>
                  <w:rPr>
                    <w:color w:val="000000"/>
                    <w:szCs w:val="24"/>
                    <w:lang w:eastAsia="lt-LT"/>
                  </w:rPr>
                  <w:t xml:space="preserve"> tikrina, jei siunčia šeimos gydytojas, esant įtarimui dėl OMA. </w:t>
                </w: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Regėjimo aštrumo, regėjimo lauko tyrimai, akispūdžio matavimas (asmenims nuo </w:t>
                </w:r>
                <w:smartTag w:uri="urn:schemas-microsoft-com:office:smarttags" w:element="metricconverter">
                  <w:smartTagPr>
                    <w:attr w:name="ProductID" w:val="40 m"/>
                  </w:smartTagPr>
                  <w:r>
                    <w:rPr>
                      <w:color w:val="000000"/>
                      <w:szCs w:val="24"/>
                      <w:lang w:eastAsia="lt-LT"/>
                    </w:rPr>
                    <w:t>40 m</w:t>
                  </w:r>
                </w:smartTag>
                <w:r>
                  <w:rPr>
                    <w:color w:val="000000"/>
                    <w:szCs w:val="24"/>
                    <w:lang w:eastAsia="lt-LT"/>
                  </w:rPr>
                  <w:t>.). Jei regėjimas neatitinka regėjimo lauko arba regėjimo aštrumo standarto – regėjimo prieblandoje, jautrumo ryškiai šviesai, kontrastinio jautrumo tyrimas.</w:t>
                </w:r>
              </w:p>
              <w:p>
                <w:pPr>
                  <w:rPr>
                    <w:color w:val="000000"/>
                    <w:szCs w:val="24"/>
                    <w:lang w:eastAsia="lt-LT"/>
                  </w:rPr>
                </w:pPr>
                <w:r>
                  <w:rPr>
                    <w:color w:val="000000"/>
                    <w:szCs w:val="24"/>
                    <w:lang w:eastAsia="lt-LT"/>
                  </w:rPr>
                  <w:t>Klausos – šnabždesiu abipus, vestibulinės funkcijos tyrimai.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 neurologui skyrus).</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1.1. asmenys iki  65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10 metų</w:t>
                </w:r>
                <w:r>
                  <w:rPr>
                    <w:szCs w:val="24"/>
                    <w:vertAlign w:val="superscript"/>
                  </w:rPr>
                  <w:t>2</w:t>
                </w:r>
                <w:r>
                  <w:rPr>
                    <w:szCs w:val="24"/>
                  </w:rPr>
                  <w:t>,</w:t>
                </w:r>
                <w:r>
                  <w:rPr>
                    <w:b/>
                    <w:bCs/>
                    <w:szCs w:val="24"/>
                  </w:rPr>
                  <w:t xml:space="preserve"> </w:t>
                </w:r>
                <w:r>
                  <w:rPr>
                    <w:szCs w:val="24"/>
                  </w:rPr>
                  <w:t xml:space="preserve">pažyma išduodama ne ilgesniam laikotarpiui  nei asmeniui sukanka 70 metų</w:t>
                </w:r>
                <w:r>
                  <w:rPr>
                    <w:b/>
                    <w:bCs/>
                    <w:szCs w:val="24"/>
                  </w:rPr>
                  <w:t xml:space="preserve"> </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1.2. asmenys nuo 65 iki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5 metus</w:t>
                </w:r>
                <w:r>
                  <w:rPr>
                    <w:szCs w:val="24"/>
                    <w:vertAlign w:val="superscript"/>
                  </w:rPr>
                  <w:t>2</w:t>
                </w:r>
                <w:r>
                  <w:rPr>
                    <w:b/>
                    <w:bCs/>
                    <w:szCs w:val="24"/>
                  </w:rPr>
                  <w:t xml:space="preserve">, </w:t>
                </w:r>
                <w:r>
                  <w:rPr>
                    <w:szCs w:val="24"/>
                  </w:rPr>
                  <w:t xml:space="preserve">pažyma išduodama ne ilgesniam laikotarpiui  nei asmeniui sukanka 82 metai</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3. asmenys nuo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2 metus</w:t>
                </w:r>
                <w:r>
                  <w:rPr>
                    <w:szCs w:val="24"/>
                    <w:vertAlign w:val="superscript"/>
                  </w:rPr>
                  <w:t>2</w:t>
                </w:r>
              </w:p>
            </w:tc>
            <w:tc>
              <w:tcPr>
                <w:tcW w:w="882" w:type="pct"/>
                <w:vMerge/>
                <w:tcBorders>
                  <w:left w:val="single" w:sz="4" w:space="0" w:color="auto"/>
                  <w:bottom w:val="single" w:sz="4" w:space="0" w:color="auto"/>
                  <w:right w:val="single" w:sz="4" w:space="0" w:color="auto"/>
                </w:tcBorders>
              </w:tcPr>
              <w:p>
                <w:pPr>
                  <w:rPr>
                    <w:color w:val="000000"/>
                    <w:szCs w:val="24"/>
                  </w:rPr>
                </w:pPr>
              </w:p>
            </w:tc>
            <w:tc>
              <w:tcPr>
                <w:tcW w:w="1133" w:type="pct"/>
                <w:vMerge/>
                <w:tcBorders>
                  <w:left w:val="single" w:sz="4" w:space="0" w:color="auto"/>
                  <w:bottom w:val="single" w:sz="4" w:space="0" w:color="auto"/>
                  <w:right w:val="single" w:sz="4" w:space="0" w:color="auto"/>
                </w:tcBorders>
              </w:tcPr>
              <w:p>
                <w:pPr>
                  <w:rPr>
                    <w:color w:val="000000"/>
                    <w:szCs w:val="24"/>
                    <w:lang w:eastAsia="lt-LT"/>
                  </w:rPr>
                </w:pPr>
              </w:p>
            </w:tc>
            <w:tc>
              <w:tcPr>
                <w:tcW w:w="1219" w:type="pct"/>
                <w:vMerge/>
                <w:tcBorders>
                  <w:left w:val="single" w:sz="4" w:space="0" w:color="auto"/>
                  <w:bottom w:val="single" w:sz="4" w:space="0" w:color="auto"/>
                  <w:right w:val="single" w:sz="4" w:space="0" w:color="auto"/>
                </w:tcBorders>
              </w:tcPr>
              <w:p>
                <w:pPr>
                  <w:rPr>
                    <w:color w:val="000000"/>
                    <w:szCs w:val="24"/>
                    <w:lang w:eastAsia="lt-LT"/>
                  </w:rPr>
                </w:pPr>
              </w:p>
            </w:tc>
          </w:tr>
          <w:tr>
            <w:trPr>
              <w:trHeight w:val="564"/>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2. 2 grupės; </w:t>
                </w:r>
              </w:p>
              <w:p>
                <w:pPr>
                  <w:rPr>
                    <w:color w:val="000000"/>
                    <w:szCs w:val="24"/>
                  </w:rPr>
                </w:pPr>
                <w:r>
                  <w:rPr>
                    <w:color w:val="000000"/>
                    <w:szCs w:val="24"/>
                  </w:rPr>
                  <w:t>B kategorijos transporto priemonių vairuotojai, naudojantys vairuotojo pažymėjimą profesiniams tikslams (lengvieji taksi automobiliai, greitosios pagalbos automobiliai ir pan.)</w:t>
                </w:r>
                <w:r>
                  <w:rPr>
                    <w:szCs w:val="24"/>
                    <w:vertAlign w:val="superscript"/>
                  </w:rPr>
                  <w:t>3</w:t>
                </w:r>
                <w:r>
                  <w:rPr>
                    <w:color w:val="000000"/>
                    <w:szCs w:val="24"/>
                  </w:rPr>
                  <w:t xml:space="preserve">; </w:t>
                </w:r>
              </w:p>
              <w:p>
                <w:pPr>
                  <w:rPr>
                    <w:color w:val="000000"/>
                    <w:szCs w:val="24"/>
                  </w:rPr>
                </w:pPr>
                <w:r>
                  <w:rPr>
                    <w:color w:val="000000"/>
                    <w:szCs w:val="24"/>
                  </w:rPr>
                  <w:t>t</w:t>
                </w:r>
                <w:r>
                  <w:rPr>
                    <w:color w:val="000000"/>
                    <w:szCs w:val="24"/>
                    <w:lang w:eastAsia="lt-LT"/>
                  </w:rPr>
                  <w:t>raktorių ir savaeigių mašinų vairuotojai</w:t>
                </w:r>
                <w:r>
                  <w:rPr>
                    <w:color w:val="000000"/>
                    <w:szCs w:val="24"/>
                  </w:rPr>
                  <w:t xml:space="preserve"> </w:t>
                </w:r>
              </w:p>
              <w:p>
                <w:pPr>
                  <w:rPr>
                    <w:strike/>
                    <w:szCs w:val="24"/>
                  </w:rPr>
                </w:pP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strike/>
                    <w:szCs w:val="24"/>
                  </w:rPr>
                </w:pPr>
                <w:r>
                  <w:rPr>
                    <w:color w:val="000000"/>
                    <w:szCs w:val="24"/>
                  </w:rPr>
                  <w:t>Šeimos gydytojas, psichiatras (pagal pasirinktą SPĮ) ar vidaus ligų gydytojas, psichiatras (pagal pasirinktą SPĮ)</w:t>
                </w:r>
              </w:p>
              <w:p>
                <w:pPr>
                  <w:rPr>
                    <w:strike/>
                    <w:szCs w:val="24"/>
                  </w:rPr>
                </w:pP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Oftalmologas (privaloma), otorinolaringologas, neurologas,</w:t>
                </w:r>
              </w:p>
              <w:p>
                <w:pPr>
                  <w:rPr>
                    <w:color w:val="000000"/>
                    <w:szCs w:val="24"/>
                    <w:lang w:eastAsia="lt-LT"/>
                  </w:rPr>
                </w:pPr>
                <w:r>
                  <w:rPr>
                    <w:color w:val="000000"/>
                    <w:szCs w:val="24"/>
                  </w:rPr>
                  <w:t>kai sveikatą tikrina vidaus ligų gydytojas, arba kuris nors iš jų šeimos gydytojo sprendimu</w:t>
                </w:r>
              </w:p>
              <w:p>
                <w:pPr>
                  <w:rPr>
                    <w:color w:val="000000"/>
                    <w:szCs w:val="24"/>
                    <w:lang w:eastAsia="lt-LT"/>
                  </w:rPr>
                </w:pP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arba neurologas</w:t>
                </w:r>
                <w:r>
                  <w:rPr>
                    <w:szCs w:val="24"/>
                    <w:vertAlign w:val="superscript"/>
                  </w:rPr>
                  <w:t>1</w:t>
                </w:r>
                <w:r>
                  <w:rPr>
                    <w:color w:val="000000"/>
                    <w:szCs w:val="24"/>
                    <w:lang w:eastAsia="lt-LT"/>
                  </w:rPr>
                  <w:t xml:space="preserve"> tikrina, jei siunčia šeimos gydytojas, esant įtarimui dėl OMA.</w:t>
                </w:r>
              </w:p>
              <w:p>
                <w:pPr>
                  <w:rPr>
                    <w:strike/>
                    <w:szCs w:val="24"/>
                  </w:rPr>
                </w:pP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Regėjimo aštrumo, regėjimo lauko tyrimai, akispūdžio matavimas (asmenims nuo 40 m.), regėjimo prieblandoje, jautrumo ryškiai šviesai, kontrastinio jautrumo, spalvinio jutimo (spręsti individualiai).</w:t>
                </w:r>
              </w:p>
              <w:p>
                <w:pPr>
                  <w:rPr>
                    <w:color w:val="000000"/>
                    <w:szCs w:val="24"/>
                    <w:lang w:eastAsia="lt-LT"/>
                  </w:rPr>
                </w:pPr>
                <w:r>
                  <w:rPr>
                    <w:color w:val="000000"/>
                    <w:szCs w:val="24"/>
                    <w:lang w:eastAsia="lt-LT"/>
                  </w:rPr>
                  <w:t>Klausos – šnabždesiu abipus, audiograma</w:t>
                </w:r>
                <w:r>
                  <w:rPr>
                    <w:b/>
                    <w:bCs/>
                    <w:color w:val="000000"/>
                    <w:szCs w:val="24"/>
                    <w:lang w:eastAsia="lt-LT"/>
                  </w:rPr>
                  <w:t xml:space="preserve"> </w:t>
                </w:r>
                <w:r>
                  <w:rPr>
                    <w:color w:val="000000"/>
                    <w:szCs w:val="24"/>
                    <w:lang w:eastAsia="lt-LT"/>
                  </w:rPr>
                  <w:t>–</w:t>
                </w:r>
                <w:r>
                  <w:rPr>
                    <w:b/>
                    <w:bCs/>
                    <w:color w:val="000000"/>
                    <w:szCs w:val="24"/>
                    <w:lang w:eastAsia="lt-LT"/>
                  </w:rPr>
                  <w:t xml:space="preserve"> </w:t>
                </w:r>
                <w:r>
                  <w:rPr>
                    <w:color w:val="000000"/>
                    <w:szCs w:val="24"/>
                    <w:lang w:eastAsia="lt-LT"/>
                  </w:rPr>
                  <w:t>esant indikacijų, vestibulinės funkcijos tyrimai.</w:t>
                </w:r>
              </w:p>
              <w:p>
                <w:pPr>
                  <w:rPr>
                    <w:color w:val="000000"/>
                    <w:szCs w:val="24"/>
                    <w:lang w:eastAsia="lt-LT"/>
                  </w:rPr>
                </w:pPr>
                <w:r>
                  <w:rPr>
                    <w:color w:val="000000"/>
                    <w:szCs w:val="24"/>
                    <w:lang w:eastAsia="lt-LT"/>
                  </w:rPr>
                  <w:t>Krūtinės ląstos rentgenograma – jei nėra atlikta per dvejus metus,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arba neurologui skyrus). </w:t>
                </w:r>
              </w:p>
              <w:p>
                <w:pPr>
                  <w:rPr>
                    <w:strike/>
                    <w:szCs w:val="24"/>
                  </w:rPr>
                </w:pPr>
                <w:r>
                  <w:rPr>
                    <w:color w:val="000000"/>
                    <w:szCs w:val="24"/>
                    <w:lang w:eastAsia="lt-LT"/>
                  </w:rPr>
                  <w:t>Tais atvejais, kai kartu atliekamas sveikatos patikrinimas</w:t>
                </w:r>
                <w:r>
                  <w:rPr>
                    <w:b/>
                    <w:bCs/>
                    <w:color w:val="000000"/>
                    <w:szCs w:val="24"/>
                    <w:lang w:eastAsia="lt-LT"/>
                  </w:rPr>
                  <w:t xml:space="preserve"> </w:t>
                </w:r>
                <w:r>
                  <w:rPr>
                    <w:color w:val="000000"/>
                    <w:szCs w:val="24"/>
                    <w:lang w:eastAsia="lt-LT"/>
                  </w:rPr>
                  <w:t>vadovaujantis Asmenų, dirbančių aplinkoje, kurioje galima profesinė rizika (kenksmingų veiksnių poveikis ir (ar) pavojingas darbas), privalomo sveikatos tikrinimo tvarkos aprašu (13 priedas), patvirtintu Lietuvos Respublikos sveikatos apsaugos ministro 2000 m. gegužės 31 d. įsakymu Nr. 301 „Dėl profilaktinių sveikatos tikrinimų sveikatos priežiūros įstaigose patvirtinimo“</w:t>
                </w:r>
                <w:r>
                  <w:rPr>
                    <w:b/>
                    <w:bCs/>
                    <w:color w:val="000000"/>
                    <w:szCs w:val="24"/>
                    <w:lang w:eastAsia="lt-LT"/>
                  </w:rPr>
                  <w:t xml:space="preserve">, </w:t>
                </w:r>
                <w:r>
                  <w:rPr>
                    <w:color w:val="000000"/>
                    <w:szCs w:val="24"/>
                    <w:lang w:eastAsia="lt-LT"/>
                  </w:rPr>
                  <w:t>atliekami papildomi tyrimai ir konsultacijos pagal kenksmingus rizikos veiksnius vairuotojo darbo vietoje.</w:t>
                </w:r>
                <w:r>
                  <w:rPr>
                    <w:b/>
                    <w:bCs/>
                    <w:color w:val="000000"/>
                    <w:szCs w:val="24"/>
                    <w:lang w:eastAsia="lt-LT"/>
                  </w:rPr>
                  <w:t xml:space="preserve"> </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2.1. asmenys iki 55 metų amžiaus</w:t>
                </w:r>
              </w:p>
            </w:tc>
            <w:tc>
              <w:tcPr>
                <w:tcW w:w="787"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kartą per 5 metus</w:t>
                </w:r>
                <w:r>
                  <w:rPr>
                    <w:szCs w:val="24"/>
                    <w:vertAlign w:val="superscript"/>
                  </w:rPr>
                  <w:t>2</w:t>
                </w:r>
                <w:r>
                  <w:rPr>
                    <w:szCs w:val="24"/>
                  </w:rPr>
                  <w:t>,</w:t>
                </w:r>
              </w:p>
              <w:p>
                <w:pPr>
                  <w:rPr>
                    <w:szCs w:val="24"/>
                  </w:rPr>
                </w:pPr>
                <w:r>
                  <w:rPr>
                    <w:szCs w:val="24"/>
                  </w:rPr>
                  <w:t>pažyma išduodama ne ilgesniam laikotarpiui nei asmeniui sukanka 57 metai</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2.2. asmenys nuo 55 metų amžiaus</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1 kartą per 2 metus</w:t>
                </w:r>
                <w:r>
                  <w:rPr>
                    <w:szCs w:val="24"/>
                    <w:vertAlign w:val="superscript"/>
                  </w:rPr>
                  <w:t>2</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00"/>
            </w:trPr>
            <w:tc>
              <w:tcPr>
                <w:tcW w:w="978" w:type="pct"/>
                <w:tcBorders>
                  <w:top w:val="single" w:sz="4" w:space="0" w:color="auto"/>
                  <w:left w:val="single" w:sz="4" w:space="0" w:color="auto"/>
                  <w:right w:val="single" w:sz="4" w:space="0" w:color="auto"/>
                </w:tcBorders>
              </w:tcPr>
              <w:p>
                <w:pPr>
                  <w:rPr>
                    <w:szCs w:val="24"/>
                  </w:rPr>
                </w:pPr>
              </w:p>
            </w:tc>
            <w:tc>
              <w:tcPr>
                <w:tcW w:w="787" w:type="pct"/>
                <w:tcBorders>
                  <w:top w:val="single" w:sz="4" w:space="0" w:color="auto"/>
                  <w:left w:val="single" w:sz="4" w:space="0" w:color="auto"/>
                  <w:right w:val="single" w:sz="4" w:space="0" w:color="auto"/>
                </w:tcBorders>
              </w:tcPr>
              <w:p>
                <w:pPr>
                  <w:rPr>
                    <w:szCs w:val="24"/>
                  </w:rPr>
                </w:pP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bl>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p>
          <w:pPr>
            <w:tabs>
              <w:tab w:val="left" w:pos="7088"/>
            </w:tabs>
            <w:jc w:val="both"/>
            <w:rPr>
              <w:b/>
              <w:bCs/>
              <w:szCs w:val="24"/>
            </w:rPr>
          </w:pPr>
          <w:r>
            <w:rPr>
              <w:b/>
              <w:bCs/>
              <w:szCs w:val="24"/>
            </w:rPr>
            <w:t>Pastabos:</w:t>
          </w:r>
        </w:p>
        <w:p>
          <w:pPr>
            <w:jc w:val="both"/>
            <w:rPr>
              <w:color w:val="000000"/>
              <w:szCs w:val="24"/>
              <w:lang w:eastAsia="lt-LT"/>
            </w:rPr>
          </w:pPr>
          <w:r>
            <w:rPr>
              <w:szCs w:val="24"/>
              <w:vertAlign w:val="superscript"/>
            </w:rPr>
            <w:t>1</w:t>
          </w:r>
          <w:r>
            <w:rPr>
              <w:color w:val="000000"/>
              <w:szCs w:val="24"/>
              <w:lang w:eastAsia="lt-LT"/>
            </w:rPr>
            <w:t xml:space="preserve"> Įstaigose, kurios turi galimybę ir licenciją atlikti reikiamus tyrimus OMA diagnozei patvirtinti arba paneigti ir geba vertinti gydymo efektyvumą.</w:t>
          </w:r>
        </w:p>
        <w:p>
          <w:pPr>
            <w:spacing w:line="276" w:lineRule="atLeast"/>
            <w:jc w:val="both"/>
            <w:rPr>
              <w:color w:val="000000"/>
              <w:szCs w:val="24"/>
              <w:lang w:eastAsia="lt-LT"/>
            </w:rPr>
          </w:pPr>
          <w:r>
            <w:rPr>
              <w:szCs w:val="24"/>
              <w:vertAlign w:val="superscript"/>
            </w:rPr>
            <w:t>2</w:t>
          </w:r>
          <w:r>
            <w:rPr>
              <w:color w:val="000000"/>
              <w:szCs w:val="24"/>
              <w:lang w:eastAsia="lt-LT"/>
            </w:rPr>
            <w:t xml:space="preserve">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r>
            <w:rPr>
              <w:szCs w:val="24"/>
              <w:vertAlign w:val="superscript"/>
            </w:rPr>
            <w:t xml:space="preserve">3 </w:t>
          </w:r>
          <w:r>
            <w:rPr>
              <w:szCs w:val="24"/>
            </w:rPr>
            <w:t>Nuostata taikoma asmenims</w:t>
          </w:r>
          <w:r>
            <w:rPr>
              <w:color w:val="000000"/>
              <w:szCs w:val="24"/>
            </w:rPr>
            <w:t>, dirbantiems vairuotojais. Patikrinus B kategorijos transporto priemonių vairuotojų, naudojančių vairuotojo pažymėjimą profesiniams tikslams, sveikatą, pažymos galiojimo terminas vairuoti B kategorijos transporto priemones nurodomas vadovaujantis Aprašo 1 lentelės 1 punkto nuostatomis, pastabose papildomai įrašant datą, iki kada leidžiama vairuoti B kategorijos transporto priemones profesiniais tikslais.</w:t>
          </w:r>
        </w:p>
        <w:p>
          <w:pPr>
            <w:rPr>
              <w:sz w:val="18"/>
              <w:szCs w:val="18"/>
            </w:rPr>
          </w:pPr>
        </w:p>
        <w:sdt>
          <w:sdtPr>
            <w:alias w:val="pabaiga"/>
            <w:tag w:val="part_e50d55efd3ae4d65bec65090cb1bedd2"/>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e2fc0837e11eea5a28c81c82193a8">
            <w:r w:rsidRPr="00532B9F">
              <w:rPr>
                <w:rFonts w:ascii="Times New Roman" w:eastAsia="MS Mincho" w:hAnsi="Times New Roman"/>
                <w:sz w:val="20"/>
                <w:i/>
                <w:iCs/>
                <w:color w:val="0000FF" w:themeColor="hyperlink"/>
                <w:u w:val="single"/>
              </w:rPr>
              <w:t>V-1178</w:t>
            </w:r>
          </w:fldSimple>
          <w:r>
            <w:rPr>
              <w:rFonts w:ascii="Times New Roman" w:eastAsia="MS Mincho" w:hAnsi="Times New Roman"/>
              <w:sz w:val="20"/>
              <w:i/>
              <w:iCs/>
            </w:rPr>
            <w:t>,
2023-11-15,
paskelbta TAR 2023-11-15, i. k. 2023-21992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7a74db2534bc45fba20256b828e51842"/>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7a74db2534bc45fba20256b828e51842"/>
              <w:lock w:val="sdtLocked"/>
              <w:richText/>
            </w:sdtPr>
            <w:sdtContent>
              <w:r>
                <w:t>3</w:t>
              </w:r>
            </w:sdtContent>
          </w:sdt>
          <w:r>
            <w:t xml:space="preserve"> lentelė</w:t>
          </w:r>
        </w:p>
        <w:p>
          <w:pPr>
            <w:jc w:val="both"/>
            <w:rPr>
              <w:bCs/>
            </w:rPr>
          </w:pPr>
        </w:p>
        <w:p>
          <w:pPr>
            <w:jc w:val="center"/>
            <w:rPr>
              <w:b/>
              <w:bCs/>
            </w:rPr>
          </w:pPr>
          <w:sdt>
            <w:sdtPr>
              <w:alias w:val="Pavadinimas"/>
              <w:tag w:val="title_7a74db2534bc45fba20256b828e51842"/>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REGĖJIMAS</w:t>
                </w:r>
              </w:p>
              <w:p>
                <w:pPr>
                  <w:rPr>
                    <w:color w:val="000000"/>
                    <w:szCs w:val="24"/>
                  </w:rPr>
                </w:pPr>
                <w:r>
                  <w:rPr>
                    <w:color w:val="000000"/>
                    <w:szCs w:val="24"/>
                  </w:rPr>
                  <w:t xml:space="preserve">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kitus regėjimo funkcijos sutrikimus, kurie gali trukdyti saugiai vairuoti. Nustačius regėjimo prieblandoje sutrikimų, sprendžiama dėl </w:t>
                </w:r>
                <w:r>
                  <w:rPr>
                    <w:szCs w:val="24"/>
                    <w:lang w:eastAsia="lt-LT"/>
                  </w:rPr>
                  <w:t xml:space="preserve">transporto priemonės naudojimo ribojimo kodo </w:t>
                </w:r>
                <w:r>
                  <w:rPr>
                    <w:color w:val="000000"/>
                    <w:szCs w:val="24"/>
                  </w:rPr>
                  <w:t xml:space="preserve">61 (tik kelionės dienos metu) taikymo. </w:t>
                </w:r>
              </w:p>
              <w:p>
                <w:pPr>
                  <w:rPr>
                    <w:color w:val="000000"/>
                    <w:szCs w:val="24"/>
                  </w:rPr>
                </w:pPr>
                <w:r>
                  <w:rPr>
                    <w:color w:val="000000"/>
                    <w:szCs w:val="24"/>
                  </w:rPr>
                  <w:t>1 grupės vairuotojams, kurių regėjimas neatitinka regėjimo lauko arba regėjimo aštrumo standarto, pažymėjimai gali būti išduodami išskirtiniais atvejais; tokiais atvejais gydytojas oftalmologas turi</w:t>
                </w:r>
                <w:r>
                  <w:rPr>
                    <w:b/>
                    <w:bCs/>
                    <w:color w:val="000000"/>
                    <w:szCs w:val="24"/>
                  </w:rPr>
                  <w:t xml:space="preserve"> </w:t>
                </w:r>
                <w:r>
                  <w:rPr>
                    <w:color w:val="000000"/>
                    <w:szCs w:val="24"/>
                  </w:rPr>
                  <w:t>ištirti vairuotojo regėjimą ir nustatyti, ar jis neturi jokių kitų regėjimo funkcijos sutrikimų, įskaitant jautrumo ryškiai šviesai, kontrastinio jautrumo ir regėjimo prieblandoje sutrikimus. Šiame priede intraokuliniai lęšiai nelaikomi korekciniais lęšiais.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grupė:</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binokulinis regėjimas, jeigu reikia, su korekciniais lęšiais, žiūrint abiem akimis, turi būti ne mažesnis kaip 0,5.</w:t>
                </w:r>
              </w:p>
              <w:p>
                <w:pPr>
                  <w:rPr>
                    <w:color w:val="000000"/>
                    <w:szCs w:val="24"/>
                  </w:rPr>
                </w:pPr>
                <w:r>
                  <w:rPr>
                    <w:color w:val="000000"/>
                    <w:szCs w:val="24"/>
                  </w:rPr>
                  <w:t>Be to, regėjimo horizontalus laukas turi būti ne mažesnis kaip 120 laipsnių, regėjimo lauko plotis – ne mažesnis kaip 50 laipsnių į kairę ir į dešinę ir 20 laipsnių į viršų ir žemyn. Centriniame 20 laipsnių regėjimo spindulyje neturėtų būti jokių regėjimo defektų.</w:t>
                </w:r>
              </w:p>
              <w:p>
                <w:pPr>
                  <w:rPr>
                    <w:color w:val="000000"/>
                    <w:szCs w:val="24"/>
                  </w:rPr>
                </w:pPr>
                <w:r>
                  <w:rPr>
                    <w:color w:val="000000"/>
                    <w:szCs w:val="24"/>
                  </w:rPr>
                  <w:t>Jei kandidatui nustatoma ar konstatuojama progresuojanti akių liga, vairuotojo sveikatos patikrinimo medicininės pažymos galiojimo laikas gali būti trumpinamas ir pažyma atnaujinama po gydytojo oftalmologo patikros.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1.2.</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visai nematančio viena akimi arba matančio tik viena akimi (diplopijos atveju), regėjimo aštrumas turi būti, jeigu reikia, su korekciniais lęšiais, ne mažesnis kaip 0,5. Gydytojas oftalmologas turi patvirtinti, kad tokia kandidato vairuotojo pažymėjimui gauti monokuliarinio regėjimo būklė tęsiasi pakankamai ilgai, kad prie jos būtų galima prisitaikyti, ir kad regėjimo ta akimi laukas atitinka 1.1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1.3.</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Jeigu diplopija atsirado arba vienos akies regėjimas buvo prarastas neseniai, turėtų būti taikomas atitinkamas adaptacinis laikotarpis (pavyzdžiui, šešių mėnesių), per kurį vairuoti draudžiama. Pasibaigus šiam laikotarpiui, vairuoti leidžiama tik gavus gydytojo oftalmologo sutikimą.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2 grupė:</w:t>
                </w:r>
              </w:p>
            </w:tc>
            <w:tc>
              <w:tcPr>
                <w:tcW w:w="2370" w:type="dxa"/>
                <w:tcBorders>
                  <w:top w:val="single" w:sz="2" w:space="0" w:color="auto"/>
                  <w:left w:val="single" w:sz="2" w:space="0" w:color="auto"/>
                  <w:bottom w:val="single" w:sz="2" w:space="0" w:color="auto"/>
                  <w:right w:val="single" w:sz="2" w:space="0" w:color="auto"/>
                </w:tcBorders>
                <w:vAlign w:val="center"/>
              </w:tcPr>
              <w:p>
                <w:pP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1.4.</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sveikesnės akies regėjimo aštrumas, jeigu reikia, su korekciniais lęšiais, turi būti ne mažesnis kaip 0,8, o silpnesnės akies – ne mažesnis kaip 0,1. Jei korekciniai lęšiai naudojami tam, kad mažiausias regėjimo aštrumas būtų 0,8 ir 0,1, toks regėjimo aštrumas privalo būti pasiektas nešiojant akinius, kurių stiprumas neturi būti didesnis kaip plius ar minus aštuonios dioptrijos, arba nešiojant kontaktinius lęšius. Korekcija turi būti gerai toleruojama.</w:t>
                </w:r>
              </w:p>
              <w:p>
                <w:pPr>
                  <w:rPr>
                    <w:color w:val="000000"/>
                    <w:szCs w:val="24"/>
                  </w:rPr>
                </w:pPr>
                <w:r>
                  <w:rPr>
                    <w:color w:val="000000"/>
                    <w:szCs w:val="24"/>
                  </w:rPr>
                  <w:t>Be to, regėjimo abiem akimis horizontalus laukas turi būti ne mažesnis kaip 160 laipsnių, regėjimo lauko plotis turi būti ne mažesnis kaip 70 laipsnių į kairę ir į dešinę ir 30 laipsnių į viršų ir žemyn. Centriniame 30 laipsnių regėjimo spindulyje neturi būti jokių regėjimo defektų.</w:t>
                </w:r>
              </w:p>
              <w:p>
                <w:pPr>
                  <w:rPr>
                    <w:color w:val="000000"/>
                    <w:szCs w:val="24"/>
                  </w:rPr>
                </w:pPr>
                <w:r>
                  <w:rPr>
                    <w:color w:val="000000"/>
                    <w:szCs w:val="24"/>
                  </w:rPr>
                  <w:t>Vairuotojo pažymėjimai neišduodami kandidatams vairuotojo pažymėjimui gauti ir neatnaujinami vairuotojams, kurių regėjimo kontrastinis jautrumas yra sumažėjęs arba nustatyta diplopija.</w:t>
                </w:r>
              </w:p>
              <w:p>
                <w:pPr>
                  <w:rPr>
                    <w:color w:val="000000"/>
                    <w:szCs w:val="24"/>
                  </w:rPr>
                </w:pPr>
                <w:r>
                  <w:rPr>
                    <w:color w:val="000000"/>
                    <w:szCs w:val="24"/>
                  </w:rPr>
                  <w:t>Smarkiai pablogėjus vienos akies regėjimui, turi būti taikomas atitinkamas adaptacinis laikotarpis (pavyzdžiui, šešių mėnesių), per kurį vairuoti draudžiama. Pasibaigus šiam laikotarpiui, vairuoti leidžiama tik gavus palankią gydytojo oftalmologo išvadą.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ir 2 grupės: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1.5.</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Diplopija ir žvairumas: H49–H50; H53.0–H53.2.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1.6.</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Regėjimo susilpnėjimas dėl nuolatinio šviesos laužiamųjų skaidrių terpių drumstumo arba akių dugno pakitimų, refrakcijos anomalijų ir kitų organinio pobūdžio priežasčių: H 25–H 28, H30–H36. Sprendžiama individualiai, kai regėjimas (su korekcija) 1 grupės kategorijų vairuotojams atitinka 1.1 papunktyje nustatytus reikalavimus, o  2 grupės kategorijų vairuotojams – 1.4 papunktyje nustatytus reikalavimus. H25–H28, H33 atveju,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1.7.</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Būklė po ragenos refrakcinių operacijų (keratotomijos, keratomilezės, keratokoaguliacijos, refrakcinės keratoplastikos).</w:t>
                </w:r>
              </w:p>
              <w:p>
                <w:pPr>
                  <w:rPr>
                    <w:color w:val="000000"/>
                    <w:szCs w:val="24"/>
                  </w:rPr>
                </w:pPr>
                <w:r>
                  <w:rPr>
                    <w:color w:val="000000"/>
                    <w:szCs w:val="24"/>
                  </w:rPr>
                  <w:t>Leidžiama vairuoti, jeigu po chirurginio gydymo rezultatai geri, kai regėjimas (su korekcija) 1</w:t>
                </w:r>
                <w:r>
                  <w:rPr>
                    <w:b/>
                    <w:bCs/>
                    <w:color w:val="000000"/>
                    <w:szCs w:val="24"/>
                  </w:rPr>
                  <w:t xml:space="preserve"> </w:t>
                </w:r>
                <w:r>
                  <w:rPr>
                    <w:color w:val="000000"/>
                    <w:szCs w:val="24"/>
                  </w:rPr>
                  <w:t>grupės kategorijų vairuotojams atitinka 1.1 papunktyje nustatytus reikalavimus, o  2 grupės kategorijų vairuotojams – 1.4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1.8.</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Tinklainės ir regimojo nervo ligos (pigmentinis retinitas, regimųjų nervų atrofija, kitos progresuojančios tinklainės ir gyslainės ligos ir kt.): H30–H36, H47. (H30–H36 atvejais leidžiama vairuoti 1 grupės kategorijų transporto priemones, kai regėjimas ne silpnesnis kaip 0,5 viena geriau matančia akimi).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 – H30.1–H36 H47</w:t>
                </w:r>
              </w:p>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w:t>
                </w:r>
              </w:p>
            </w:tc>
          </w:tr>
          <w:tr>
            <w:trPr>
              <w:trHeight w:val="23"/>
            </w:trPr>
            <w:tc>
              <w:tcPr>
                <w:tcW w:w="891" w:type="dxa"/>
                <w:tcBorders>
                  <w:top w:val="single" w:sz="2" w:space="0" w:color="auto"/>
                  <w:left w:val="single" w:sz="2" w:space="0" w:color="auto"/>
                  <w:bottom w:val="single" w:sz="4" w:space="0" w:color="auto"/>
                  <w:right w:val="single" w:sz="2" w:space="0" w:color="auto"/>
                </w:tcBorders>
              </w:tcPr>
              <w:p>
                <w:pPr>
                  <w:rPr>
                    <w:szCs w:val="24"/>
                  </w:rPr>
                </w:pPr>
                <w:r>
                  <w:rPr>
                    <w:szCs w:val="24"/>
                  </w:rPr>
                  <w:t>1.9.</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Glaukoma: H40.1–H40.9, H42.</w:t>
                </w:r>
              </w:p>
              <w:p>
                <w:pPr>
                  <w:rPr>
                    <w:color w:val="000000"/>
                    <w:szCs w:val="24"/>
                  </w:rPr>
                </w:pPr>
                <w:r>
                  <w:rPr>
                    <w:color w:val="000000"/>
                    <w:szCs w:val="24"/>
                  </w:rPr>
                  <w:t>Esant pradinei nekomplikuotai glaukomos stadijai, kai akies dugnas normalus, regėjimas (su korekcija) 1 grupės kategorijų vairuotojams atitinka 1.1 papunktyje nustatytus reikalavimus, o  2 grupės kategorijų vairuotojams – 1.4 papunktyje nustatytus reikalavimus, gydytojas oftalmologas sprendžia individualiai dėl galimybės vairuoti bei tikrinimo periodiškumo.</w:t>
                </w:r>
              </w:p>
            </w:tc>
            <w:tc>
              <w:tcPr>
                <w:tcW w:w="2370" w:type="dxa"/>
                <w:tcBorders>
                  <w:top w:val="single" w:sz="2" w:space="0" w:color="auto"/>
                  <w:left w:val="single" w:sz="2" w:space="0" w:color="auto"/>
                  <w:bottom w:val="single" w:sz="2" w:space="0" w:color="auto"/>
                  <w:right w:val="single" w:sz="4" w:space="0" w:color="auto"/>
                </w:tcBorders>
                <w:vAlign w:val="center"/>
              </w:tcPr>
              <w:p>
                <w:pPr>
                  <w:jc w:val="center"/>
                  <w:rPr>
                    <w:szCs w:val="24"/>
                  </w:rPr>
                </w:pPr>
                <w:r>
                  <w:rPr>
                    <w:szCs w:val="24"/>
                  </w:rPr>
                  <w:t>Spręsti individualiai</w:t>
                </w:r>
              </w:p>
            </w:tc>
            <w:tc>
              <w:tcPr>
                <w:tcW w:w="2370" w:type="dxa"/>
                <w:tcBorders>
                  <w:top w:val="single" w:sz="2" w:space="0" w:color="auto"/>
                  <w:left w:val="single" w:sz="4" w:space="0" w:color="auto"/>
                  <w:bottom w:val="single" w:sz="2" w:space="0" w:color="auto"/>
                  <w:right w:val="single" w:sz="4" w:space="0" w:color="auto"/>
                </w:tcBorders>
                <w:vAlign w:val="center"/>
              </w:tcPr>
              <w:p>
                <w:pPr>
                  <w:jc w:val="center"/>
                  <w:rPr>
                    <w:szCs w:val="24"/>
                  </w:rPr>
                </w:pPr>
                <w:r>
                  <w:rPr>
                    <w:szCs w:val="24"/>
                  </w:rPr>
                  <w:t>Spręsti individualiai</w:t>
                </w:r>
              </w:p>
            </w:tc>
          </w:tr>
          <w:tr>
            <w:trPr>
              <w:trHeight w:val="1915"/>
            </w:trPr>
            <w:tc>
              <w:tcPr>
                <w:tcW w:w="891" w:type="dxa"/>
                <w:vMerge w:val="restart"/>
                <w:tcBorders>
                  <w:top w:val="single" w:sz="4" w:space="0" w:color="auto"/>
                  <w:left w:val="single" w:sz="4" w:space="0" w:color="auto"/>
                  <w:right w:val="single" w:sz="4" w:space="0" w:color="auto"/>
                </w:tcBorders>
              </w:tcPr>
              <w:p>
                <w:pPr>
                  <w:rPr>
                    <w:szCs w:val="24"/>
                  </w:rPr>
                </w:pPr>
                <w:r>
                  <w:rPr>
                    <w:szCs w:val="24"/>
                  </w:rPr>
                  <w:t>2.</w:t>
                </w:r>
              </w:p>
            </w:tc>
            <w:tc>
              <w:tcPr>
                <w:tcW w:w="9109" w:type="dxa"/>
                <w:vMerge w:val="restart"/>
                <w:tcBorders>
                  <w:left w:val="single" w:sz="4" w:space="0" w:color="auto"/>
                  <w:right w:val="single" w:sz="4" w:space="0" w:color="auto"/>
                </w:tcBorders>
              </w:tcPr>
              <w:p>
                <w:pPr>
                  <w:rPr>
                    <w:color w:val="000000"/>
                    <w:szCs w:val="24"/>
                  </w:rPr>
                </w:pPr>
                <w:r>
                  <w:rPr>
                    <w:color w:val="000000"/>
                    <w:szCs w:val="24"/>
                  </w:rPr>
                  <w:t>KLAUSA</w:t>
                </w:r>
              </w:p>
              <w:p>
                <w:pPr>
                  <w:rPr>
                    <w:color w:val="000000"/>
                    <w:szCs w:val="24"/>
                  </w:rPr>
                </w:pPr>
                <w:r>
                  <w:rPr>
                    <w:color w:val="000000"/>
                    <w:szCs w:val="24"/>
                  </w:rPr>
                  <w:t>1 grupė:</w:t>
                </w:r>
              </w:p>
              <w:p>
                <w:pPr>
                  <w:rPr>
                    <w:color w:val="000000"/>
                    <w:szCs w:val="24"/>
                  </w:rPr>
                </w:pPr>
                <w:r>
                  <w:rPr>
                    <w:color w:val="000000"/>
                    <w:szCs w:val="24"/>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color w:val="000000"/>
                    <w:szCs w:val="24"/>
                  </w:rPr>
                </w:pPr>
                <w:r>
                  <w:rPr>
                    <w:color w:val="000000"/>
                    <w:szCs w:val="24"/>
                  </w:rPr>
                  <w:t>2 grupė:</w:t>
                </w:r>
              </w:p>
              <w:p>
                <w:pPr>
                  <w:rPr>
                    <w:color w:val="000000"/>
                    <w:szCs w:val="24"/>
                  </w:rPr>
                </w:pPr>
                <w:r>
                  <w:rPr>
                    <w:color w:val="000000"/>
                    <w:szCs w:val="24"/>
                  </w:rPr>
                  <w:t>Vairuotojo pažymėjimai gali būti išduoti klausos sutrikimų turintiems kandidatams į vairuotojus ar atnaujinti vairuotojams, atsižvelgiant į gydytojo otorinolaringologo išvadas.</w:t>
                </w:r>
              </w:p>
              <w:p>
                <w:pPr>
                  <w:rPr>
                    <w:color w:val="000000"/>
                    <w:szCs w:val="24"/>
                  </w:rPr>
                </w:pPr>
                <w:r>
                  <w:rPr>
                    <w:color w:val="000000"/>
                    <w:szCs w:val="24"/>
                  </w:rPr>
                  <w:t>Jeigu geriau girdinčios ausies klausos sutrikimo laipsnis, esant 500 ir 1000 Hz dažniui, viršija 40 dB, būtina naudoti klausos ir susikalbėjimo pagalbinę priemonę (taikomas apribojimas 02).</w:t>
                </w:r>
              </w:p>
              <w:p>
                <w:pPr>
                  <w:rPr>
                    <w:b/>
                    <w:bCs/>
                    <w:szCs w:val="24"/>
                  </w:rPr>
                </w:pPr>
                <w:r>
                  <w:rPr>
                    <w:color w:val="000000"/>
                    <w:szCs w:val="24"/>
                  </w:rPr>
                  <w:t>Pakartotinis sveikatos tikrinimas skiriamas po 1 metų.</w:t>
                </w:r>
              </w:p>
            </w:tc>
            <w:tc>
              <w:tcPr>
                <w:tcW w:w="2370" w:type="dxa"/>
                <w:tcBorders>
                  <w:left w:val="single" w:sz="4" w:space="0" w:color="auto"/>
                  <w:bottom w:val="single" w:sz="4" w:space="0" w:color="auto"/>
                  <w:right w:val="single" w:sz="4" w:space="0" w:color="auto"/>
                </w:tcBorders>
                <w:vAlign w:val="center"/>
              </w:tcPr>
              <w:p>
                <w:pPr>
                  <w:jc w:val="center"/>
                  <w:rPr>
                    <w:szCs w:val="24"/>
                  </w:rPr>
                </w:pPr>
              </w:p>
            </w:tc>
            <w:tc>
              <w:tcPr>
                <w:tcW w:w="2370" w:type="dxa"/>
                <w:tcBorders>
                  <w:left w:val="single" w:sz="4" w:space="0" w:color="auto"/>
                  <w:bottom w:val="single" w:sz="4" w:space="0" w:color="auto"/>
                  <w:right w:val="single" w:sz="4" w:space="0" w:color="auto"/>
                </w:tcBorders>
                <w:vAlign w:val="center"/>
              </w:tcPr>
              <w:p>
                <w:pPr>
                  <w:jc w:val="center"/>
                  <w:rPr>
                    <w:szCs w:val="24"/>
                  </w:rPr>
                </w:pPr>
              </w:p>
            </w:tc>
          </w:tr>
          <w:tr>
            <w:trPr>
              <w:trHeight w:val="1659"/>
            </w:trPr>
            <w:tc>
              <w:tcPr>
                <w:tcW w:w="891" w:type="dxa"/>
                <w:vMerge/>
                <w:tcBorders>
                  <w:left w:val="single" w:sz="4" w:space="0" w:color="auto"/>
                  <w:bottom w:val="single" w:sz="4" w:space="0" w:color="auto"/>
                  <w:right w:val="single" w:sz="4" w:space="0" w:color="auto"/>
                </w:tcBorders>
              </w:tcPr>
              <w:p>
                <w:pPr>
                  <w:rPr>
                    <w:szCs w:val="24"/>
                  </w:rPr>
                </w:pPr>
              </w:p>
            </w:tc>
            <w:tc>
              <w:tcPr>
                <w:tcW w:w="9109" w:type="dxa"/>
                <w:vMerge/>
                <w:tcBorders>
                  <w:left w:val="single" w:sz="4" w:space="0" w:color="auto"/>
                  <w:bottom w:val="single" w:sz="4" w:space="0" w:color="auto"/>
                  <w:right w:val="single" w:sz="4" w:space="0" w:color="auto"/>
                </w:tcBorders>
              </w:tcPr>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2.1.</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Visiškas kurtumas, kurčnebylumas: H91.3, H91.9</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r>
          <w:tr>
            <w:trPr>
              <w:trHeight w:val="285"/>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2.2.</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 xml:space="preserve">Lėtinis vienos arba abiejų ausų uždegimas, komplikuotas cholestestomos, granuliacijų,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r>
          <w:tr>
            <w:trPr>
              <w:trHeight w:val="1108"/>
            </w:trPr>
            <w:tc>
              <w:tcPr>
                <w:tcW w:w="891" w:type="dxa"/>
                <w:tcBorders>
                  <w:top w:val="single" w:sz="4" w:space="0" w:color="auto"/>
                  <w:left w:val="single" w:sz="4" w:space="0" w:color="auto"/>
                  <w:bottom w:val="single" w:sz="4" w:space="0" w:color="auto"/>
                  <w:right w:val="single" w:sz="4" w:space="0" w:color="auto"/>
                </w:tcBorders>
              </w:tcPr>
              <w:p>
                <w:pPr>
                  <w:rPr>
                    <w:szCs w:val="24"/>
                  </w:rPr>
                </w:pPr>
              </w:p>
            </w:tc>
            <w:tc>
              <w:tcPr>
                <w:tcW w:w="9109" w:type="dxa"/>
                <w:tcBorders>
                  <w:top w:val="single" w:sz="4" w:space="0" w:color="auto"/>
                  <w:left w:val="single" w:sz="4" w:space="0" w:color="auto"/>
                  <w:right w:val="single" w:sz="4" w:space="0" w:color="auto"/>
                </w:tcBorders>
              </w:tcPr>
              <w:p>
                <w:pPr>
                  <w:rPr>
                    <w:color w:val="000000"/>
                    <w:szCs w:val="24"/>
                  </w:rPr>
                </w:pPr>
                <w:r>
                  <w:rPr>
                    <w:color w:val="000000"/>
                    <w:szCs w:val="24"/>
                  </w:rPr>
                  <w:t>polipų, labirinto fistulės, taip pat nesant efekto po operacijos: H66.1, H66.2, H66.3, H66.4</w:t>
                </w:r>
              </w:p>
              <w:p>
                <w:pPr>
                  <w:rPr>
                    <w:color w:val="000000"/>
                    <w:szCs w:val="24"/>
                  </w:rPr>
                </w:pPr>
                <w:r>
                  <w:rPr>
                    <w:color w:val="000000"/>
                    <w:szCs w:val="24"/>
                  </w:rPr>
                  <w:t>PASTABA.</w:t>
                </w:r>
              </w:p>
              <w:p>
                <w:pPr>
                  <w:rPr>
                    <w:color w:val="000000"/>
                    <w:szCs w:val="24"/>
                  </w:rPr>
                </w:pPr>
                <w:r>
                  <w:rPr>
                    <w:color w:val="000000"/>
                    <w:szCs w:val="24"/>
                  </w:rPr>
                  <w:t>Po chirurginio gydymo, kai rezultatai geri, nėra svaigimo ir kontraindikacijų, sprendžiama individualiai.</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3.</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ASMENYS, TURINTYS JUDĖJIMO SUTRIKIMŲ</w:t>
                </w:r>
              </w:p>
              <w:p>
                <w:pPr>
                  <w:jc w:val="both"/>
                  <w:rPr>
                    <w:color w:val="000000"/>
                    <w:szCs w:val="24"/>
                    <w:lang w:eastAsia="lt-LT"/>
                  </w:rPr>
                </w:pPr>
                <w:r>
                  <w:rPr>
                    <w:color w:val="000000"/>
                    <w:szCs w:val="24"/>
                    <w:lang w:eastAsia="lt-LT"/>
                  </w:rPr>
                  <w:t>Vairuotojo pažymėjimai neišduodami kandidatams į vairuotojus ir neatnaujinami vairuotojams, kuriems nustatyti judėjimo sistemos sutrikimai, keliantys pavojų saugiam variklio varomos priemonės vairavimui.</w:t>
                </w:r>
              </w:p>
              <w:p>
                <w:pPr>
                  <w:jc w:val="both"/>
                  <w:rPr>
                    <w:color w:val="000000"/>
                    <w:szCs w:val="24"/>
                    <w:lang w:eastAsia="lt-LT"/>
                  </w:rPr>
                </w:pPr>
                <w:r>
                  <w:rPr>
                    <w:color w:val="000000"/>
                    <w:szCs w:val="24"/>
                    <w:lang w:eastAsia="lt-LT"/>
                  </w:rPr>
                  <w:t>1 grupė:</w:t>
                </w:r>
              </w:p>
              <w:p>
                <w:pPr>
                  <w:jc w:val="both"/>
                  <w:rPr>
                    <w:color w:val="000000"/>
                    <w:szCs w:val="24"/>
                    <w:lang w:eastAsia="lt-LT"/>
                  </w:rPr>
                </w:pPr>
                <w:r>
                  <w:rPr>
                    <w:color w:val="000000"/>
                    <w:szCs w:val="24"/>
                    <w:lang w:eastAsia="lt-LT"/>
                  </w:rPr>
                  <w:t>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w:t>
                </w:r>
              </w:p>
              <w:p>
                <w:pPr>
                  <w:jc w:val="both"/>
                  <w:rPr>
                    <w:color w:val="000000"/>
                    <w:szCs w:val="24"/>
                    <w:lang w:eastAsia="lt-LT"/>
                  </w:rPr>
                </w:pPr>
                <w:r>
                  <w:rPr>
                    <w:color w:val="000000"/>
                    <w:szCs w:val="24"/>
                    <w:lang w:eastAsia="lt-LT"/>
                  </w:rPr>
                  <w:t>Ši išvada turi būti pagrįsta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color w:val="000000"/>
                    <w:szCs w:val="24"/>
                    <w:lang w:eastAsia="lt-LT"/>
                  </w:rPr>
                </w:pPr>
                <w:r>
                  <w:rPr>
                    <w:color w:val="000000"/>
                    <w:szCs w:val="24"/>
                    <w:lang w:eastAsia="lt-LT"/>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color w:val="000000"/>
                    <w:szCs w:val="24"/>
                    <w:lang w:eastAsia="lt-LT"/>
                  </w:rPr>
                </w:pPr>
                <w:r>
                  <w:rPr>
                    <w:color w:val="000000"/>
                    <w:szCs w:val="24"/>
                    <w:lang w:eastAsia="lt-LT"/>
                  </w:rPr>
                  <w:t>Jeigu asmuo, turintis judėjimo sutrikimų, gali vairuoti tik transporto priemonę su automatine pavarų dėže, išvadoje įrašomas transporto priemonės pritaikymo kodas 10.02 (automatinis pavaros perdavimo skaičiaus parinkimas).</w:t>
                </w:r>
              </w:p>
              <w:p>
                <w:pPr>
                  <w:jc w:val="both"/>
                  <w:rPr>
                    <w:color w:val="000000"/>
                    <w:szCs w:val="24"/>
                    <w:lang w:eastAsia="lt-LT"/>
                  </w:rPr>
                </w:pPr>
                <w:r>
                  <w:rPr>
                    <w:color w:val="000000"/>
                    <w:szCs w:val="24"/>
                    <w:lang w:eastAsia="lt-LT"/>
                  </w:rPr>
                  <w:t>Jeigu asmuo, turintis judėjimo sutrikimų, gali vairuoti tik transporto priemonę su rankinio valdymo sistema, priklausomai nuo to, ar asmuo planuoja vairuoti automobilį su automatine ar mechanine pavarų dėže, išvadoje įrašomi 3 transporto priemonės pritaikymo kodai:</w:t>
                </w:r>
              </w:p>
              <w:p>
                <w:pPr>
                  <w:jc w:val="both"/>
                  <w:rPr>
                    <w:color w:val="000000"/>
                    <w:szCs w:val="24"/>
                    <w:lang w:eastAsia="lt-LT"/>
                  </w:rPr>
                </w:pPr>
                <w:r>
                  <w:rPr>
                    <w:color w:val="000000"/>
                    <w:szCs w:val="24"/>
                    <w:lang w:eastAsia="lt-LT"/>
                  </w:rPr>
                  <w:t>a) 20.06 (ranka valdomas stabdys), 25.04 (ranka valdomas akseleratorius) ir 10.02 (automatinis pavaros perdavimo skaičiaus parinkimas) – transporto priemonei su automatine pavarų dėže;</w:t>
                </w:r>
              </w:p>
              <w:p>
                <w:pPr>
                  <w:jc w:val="both"/>
                  <w:rPr>
                    <w:color w:val="000000"/>
                    <w:szCs w:val="24"/>
                    <w:lang w:eastAsia="lt-LT"/>
                  </w:rPr>
                </w:pPr>
                <w:r>
                  <w:rPr>
                    <w:color w:val="000000"/>
                    <w:szCs w:val="24"/>
                    <w:lang w:eastAsia="lt-LT"/>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color w:val="000000"/>
                    <w:szCs w:val="24"/>
                    <w:lang w:eastAsia="lt-LT"/>
                  </w:rPr>
                </w:pPr>
                <w:r>
                  <w:rPr>
                    <w:color w:val="000000"/>
                    <w:szCs w:val="24"/>
                    <w:lang w:eastAsia="lt-LT"/>
                  </w:rPr>
                  <w:t>2 grupė:</w:t>
                </w:r>
              </w:p>
              <w:p>
                <w:pPr>
                  <w:jc w:val="both"/>
                  <w:rPr>
                    <w:color w:val="000000"/>
                    <w:szCs w:val="24"/>
                    <w:lang w:eastAsia="lt-LT"/>
                  </w:rPr>
                </w:pPr>
                <w:r>
                  <w:rPr>
                    <w:color w:val="000000"/>
                    <w:szCs w:val="24"/>
                    <w:lang w:eastAsia="lt-LT"/>
                  </w:rPr>
                  <w:t>2. Gydytojų komisija įvertina papildomą riziką ir pavojus, kurie kyla vairuojant prie šios grupės priskiriamas transporto priemones.</w:t>
                </w:r>
              </w:p>
              <w:p>
                <w:pPr>
                  <w:jc w:val="both"/>
                  <w:rPr>
                    <w:szCs w:val="24"/>
                  </w:rPr>
                </w:pPr>
                <w:r>
                  <w:rPr>
                    <w:color w:val="000000"/>
                    <w:szCs w:val="24"/>
                    <w:lang w:eastAsia="lt-LT"/>
                  </w:rPr>
                  <w:t>Jeigu gydytojų komisija nusprendžia, kad išvadai dėl tikrinamo asmens sveikatos būklės tinkamumo vairuoti 1 ar 2 grupės transporto priemones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6" w:space="0" w:color="auto"/>
                  <w:bottom w:val="single" w:sz="4" w:space="0" w:color="auto"/>
                  <w:right w:val="single" w:sz="6" w:space="0" w:color="auto"/>
                </w:tcBorders>
              </w:tcPr>
              <w:p>
                <w:pPr>
                  <w:rPr>
                    <w:szCs w:val="24"/>
                  </w:rPr>
                </w:pPr>
                <w:r>
                  <w:rPr>
                    <w:szCs w:val="24"/>
                  </w:rPr>
                  <w:t>3.1.</w:t>
                </w:r>
              </w:p>
            </w:tc>
            <w:tc>
              <w:tcPr>
                <w:tcW w:w="9109" w:type="dxa"/>
                <w:tcBorders>
                  <w:top w:val="single" w:sz="4" w:space="0" w:color="auto"/>
                  <w:left w:val="single" w:sz="6" w:space="0" w:color="auto"/>
                  <w:bottom w:val="single" w:sz="4" w:space="0" w:color="auto"/>
                  <w:right w:val="single" w:sz="6" w:space="0" w:color="auto"/>
                </w:tcBorders>
              </w:tcPr>
              <w:p>
                <w:pPr>
                  <w:jc w:val="both"/>
                  <w:rPr>
                    <w:b/>
                    <w:bCs/>
                    <w:szCs w:val="24"/>
                    <w:lang w:eastAsia="lt-LT"/>
                  </w:rPr>
                </w:pPr>
                <w:r>
                  <w:rPr>
                    <w:szCs w:val="24"/>
                    <w:lang w:eastAsia="lt-LT"/>
                  </w:rPr>
                  <w:t>Rankos, kojos, plaštakos, pėdos ar abiejų plaštakų, pėdų trūkumas, žymios deformacijos, dėl kurių yra sutrikusi lokomotorinė funkcija: Z89.1, Z 89.2, Z 89.3, Z 89.4, Z 89.5, Z 89.6, Z 89.7, Z 89.8, Z 89.9</w:t>
                </w:r>
                <w:r>
                  <w:rPr>
                    <w:b/>
                    <w:bCs/>
                    <w:szCs w:val="24"/>
                    <w:lang w:eastAsia="lt-LT"/>
                  </w:rPr>
                  <w:t>.</w:t>
                </w:r>
              </w:p>
              <w:p>
                <w:pPr>
                  <w:jc w:val="both"/>
                  <w:rPr>
                    <w:szCs w:val="24"/>
                    <w:lang w:eastAsia="lt-LT"/>
                  </w:rPr>
                </w:pPr>
                <w:r>
                  <w:rPr>
                    <w:szCs w:val="24"/>
                    <w:lang w:eastAsia="lt-LT"/>
                  </w:rPr>
                  <w:t>PASTABA.</w:t>
                </w:r>
              </w:p>
              <w:p>
                <w:pPr>
                  <w:jc w:val="both"/>
                  <w:rPr>
                    <w:szCs w:val="24"/>
                    <w:lang w:eastAsia="lt-LT"/>
                  </w:rPr>
                </w:pPr>
                <w:r>
                  <w:rPr>
                    <w:szCs w:val="24"/>
                    <w:lang w:eastAsia="lt-LT"/>
                  </w:rPr>
                  <w:t>Visų transporto priemonių kategorijų vairuotojams turi būti nurodyta, koks transporto priemonės pritaikymas reikalingas ir ar vairuotojui reikalinga ortopedijos techninė priemonė, kuria naudojantis vairavimas nekeltų pavojaus.</w:t>
                </w:r>
              </w:p>
              <w:p>
                <w:pPr>
                  <w:rPr>
                    <w:szCs w:val="24"/>
                  </w:rPr>
                </w:pPr>
              </w:p>
            </w:tc>
            <w:tc>
              <w:tcPr>
                <w:tcW w:w="2370" w:type="dxa"/>
                <w:tcBorders>
                  <w:top w:val="single" w:sz="4" w:space="0" w:color="auto"/>
                  <w:left w:val="single" w:sz="6"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trike/>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3.2.</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Abiejų rankų trūkumas arba abiejų rankų plaštakų, pirštų kontraktūros, ankilozės, nejudrumas, trukdantys sugriebti ir išlaikyti daiktą, abiejų pečių, alkūnių, riešų sąnarių ankilozės, kontraktūros (net ir fiziologiškai patogios padėties): Z89.3, M24.5, M24.6</w:t>
                </w:r>
                <w:r>
                  <w:rPr>
                    <w:b/>
                    <w:bCs/>
                    <w:color w:val="000000"/>
                    <w:szCs w:val="24"/>
                    <w:lang w:eastAsia="lt-LT"/>
                  </w:rPr>
                  <w:t>.</w:t>
                </w:r>
              </w:p>
              <w:p>
                <w:pPr>
                  <w:jc w:val="both"/>
                  <w:rPr>
                    <w:szCs w:val="24"/>
                    <w:lang w:eastAsia="lt-LT"/>
                  </w:rPr>
                </w:pPr>
                <w:r>
                  <w:rPr>
                    <w:szCs w:val="24"/>
                    <w:lang w:eastAsia="lt-LT"/>
                  </w:rPr>
                  <w:t>PASTABA.</w:t>
                </w:r>
              </w:p>
              <w:p>
                <w:pPr>
                  <w:jc w:val="both"/>
                  <w:rPr>
                    <w:color w:val="000000"/>
                    <w:szCs w:val="24"/>
                    <w:lang w:eastAsia="lt-LT"/>
                  </w:rPr>
                </w:pPr>
                <w:r>
                  <w:rPr>
                    <w:color w:val="000000"/>
                    <w:szCs w:val="24"/>
                    <w:lang w:eastAsia="lt-LT"/>
                  </w:rPr>
                  <w:t>Visų transporto priemonių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8076a29a3b646228878ce38e471d811"/>
            <w:lock w:val="sdtLocked"/>
            <w:richText/>
          </w:sdtPr>
          <w:sdtContent>
            <w:p>
              <w:pPr>
                <w:jc w:val="both"/>
                <w:rPr>
                  <w:sz w:val="22"/>
                </w:rPr>
              </w:pPr>
              <w:r>
                <w:rPr>
                  <w:sz w:val="22"/>
                </w:rPr>
                <w:t>Pastabos:</w:t>
              </w:r>
            </w:p>
          </w:sdtContent>
        </w:sdt>
        <w:sdt>
          <w:sdtPr>
            <w:alias w:val="1 p."/>
            <w:tag w:val="part_d7d4134afdee4da287f40136be0b9536"/>
            <w:lock w:val="sdtLocked"/>
            <w:richText/>
          </w:sdtPr>
          <w:sdtContent>
            <w:p>
              <w:pPr>
                <w:jc w:val="both"/>
                <w:rPr>
                  <w:sz w:val="22"/>
                </w:rPr>
              </w:pPr>
              <w:sdt>
                <w:sdtPr>
                  <w:alias w:val="Numeris"/>
                  <w:tag w:val="nr_d7d4134afdee4da287f40136be0b953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5b417e44656245c3a5d11707b15b9e2d"/>
            <w:lock w:val="sdtLocked"/>
            <w:richText/>
          </w:sdtPr>
          <w:sdtContent>
            <w:p>
              <w:pPr>
                <w:jc w:val="both"/>
                <w:rPr>
                  <w:sz w:val="22"/>
                </w:rPr>
              </w:pPr>
              <w:sdt>
                <w:sdtPr>
                  <w:alias w:val="Numeris"/>
                  <w:tag w:val="nr_5b417e44656245c3a5d11707b15b9e2d"/>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Vairuotojų sveikatos tikrinimo komisija ar</w:t>
              </w:r>
              <w:r>
                <w:rPr>
                  <w:color w:val="000000"/>
                  <w:sz w:val="22"/>
                  <w:szCs w:val="22"/>
                </w:rPr>
                <w:t xml:space="preserve"> </w:t>
              </w:r>
              <w:r>
                <w:rPr>
                  <w:color w:val="000000"/>
                  <w:szCs w:val="24"/>
                </w:rPr>
                <w:t xml:space="preserve">gydytojų konsultacinė komisija gali priimti individualų sprendimą, leidžiantį asmeniui vairuoti atitinkamos kategorijos transporto priemonę, atsižvelgdami į ligą, kompensaciją, adaptacijos kokybę,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Tais atvejais, kai dėl vairuotojo sveikatos būklės būtina taikyti papildomas priemones saugiam vairavimui užtikrinti, Vairuotojų sveikatos tikrinimo komisija ar gydytojų konsultacinė komisija priima motyvuotą sprendimą dėl transporto priemonės </w:t>
              </w:r>
              <w:r>
                <w:rPr>
                  <w:szCs w:val="24"/>
                  <w:lang w:eastAsia="lt-LT"/>
                </w:rPr>
                <w:t>naudojimo ribojimų taikymo</w:t>
              </w:r>
              <w:r>
                <w:rPr>
                  <w:color w:val="000000"/>
                  <w:szCs w:val="24"/>
                </w:rPr>
                <w:t xml:space="preserve"> ir įrašo reikiamą </w:t>
              </w:r>
              <w:r>
                <w:rPr>
                  <w:szCs w:val="24"/>
                  <w:lang w:eastAsia="lt-LT"/>
                </w:rPr>
                <w:t xml:space="preserve">transporto priemonės naudojimo ribojimo </w:t>
              </w:r>
              <w:r>
                <w:rPr>
                  <w:color w:val="000000"/>
                  <w:szCs w:val="24"/>
                </w:rPr>
                <w:t>kodą (-us), nurodytą (-us) Aprašo 5 lentelėje į F Nr. E083-1 (ar F Nr. 083-1/a)</w:t>
              </w:r>
              <w:r>
                <w:rPr>
                  <w:sz w:val="22"/>
                </w:rPr>
                <w:t>.</w:t>
              </w:r>
            </w:p>
          </w:sdtContent>
        </w:sdt>
        <w:sdt>
          <w:sdtPr>
            <w:alias w:val="3 p."/>
            <w:tag w:val="part_7534734ae4f34e038c59619cb79be10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7534734ae4f34e038c59619cb79be104"/>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bbf82c90b514e19a4cb40a853b0b455"/>
        <w:lock w:val="sdtLocked"/>
        <w:richText/>
      </w:sdtPr>
      <w:sdtContent>
        <w:p>
          <w:pPr>
            <w:tabs>
              <w:tab w:val="left" w:pos="7088"/>
            </w:tabs>
            <w:spacing w:line="276" w:lineRule="auto"/>
            <w:jc w:val="both"/>
            <w:rPr>
              <w:szCs w:val="24"/>
            </w:rPr>
            <w:sectPr>
              <w:pgSz w:w="11906" w:h="16838" w:code="9"/>
              <w:pgMar w:top="992" w:right="566" w:bottom="851" w:left="1701" w:header="510" w:footer="227" w:gutter="0"/>
              <w:pgNumType w:start="1"/>
              <w:cols w:space="1296"/>
              <w:titlePg/>
              <w:docGrid w:linePitch="360"/>
            </w:sectPr>
          </w:pPr>
        </w:p>
        <w:p>
          <w:pPr>
            <w:rPr>
              <w:sz w:val="18"/>
              <w:szCs w:val="18"/>
            </w:rPr>
          </w:pPr>
        </w:p>
        <w:p>
          <w:pPr>
            <w:tabs>
              <w:tab w:val="left" w:pos="7088"/>
            </w:tabs>
            <w:ind w:left="6120" w:firstLine="1677"/>
            <w:jc w:val="both"/>
            <w:rPr>
              <w:szCs w:val="24"/>
            </w:rPr>
          </w:pPr>
          <w:r>
            <w:rPr>
              <w:szCs w:val="24"/>
            </w:rPr>
            <w:t>5 lentelė</w:t>
          </w:r>
        </w:p>
        <w:p>
          <w:pPr>
            <w:tabs>
              <w:tab w:val="left" w:pos="7088"/>
            </w:tabs>
            <w:spacing w:line="276" w:lineRule="auto"/>
            <w:jc w:val="both"/>
            <w:rPr>
              <w:szCs w:val="24"/>
            </w:rPr>
          </w:pPr>
        </w:p>
        <w:p>
          <w:pPr>
            <w:rPr>
              <w:sz w:val="18"/>
              <w:szCs w:val="18"/>
            </w:rPr>
          </w:pPr>
        </w:p>
        <w:p>
          <w:pPr>
            <w:tabs>
              <w:tab w:val="left" w:pos="7088"/>
            </w:tabs>
            <w:spacing w:line="276" w:lineRule="auto"/>
            <w:jc w:val="center"/>
            <w:rPr>
              <w:b/>
              <w:bCs/>
              <w:color w:val="000000"/>
              <w:szCs w:val="24"/>
            </w:rPr>
          </w:pPr>
          <w:r>
            <w:rPr>
              <w:b/>
              <w:bCs/>
              <w:color w:val="000000"/>
              <w:szCs w:val="24"/>
            </w:rPr>
            <w:t>VAIRUOTOJUI TAIKOMŲ APRIBOJIMŲ KODAI</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7540"/>
          </w:tblGrid>
          <w:tr>
            <w:tc>
              <w:tcPr>
                <w:tcW w:w="1795" w:type="dxa"/>
              </w:tcPr>
              <w:p>
                <w:pPr>
                  <w:tabs>
                    <w:tab w:val="left" w:pos="7088"/>
                  </w:tabs>
                  <w:ind w:firstLine="62"/>
                  <w:jc w:val="center"/>
                  <w:rPr>
                    <w:b/>
                    <w:bCs/>
                    <w:szCs w:val="24"/>
                  </w:rPr>
                </w:pPr>
                <w:r>
                  <w:rPr>
                    <w:b/>
                    <w:bCs/>
                    <w:szCs w:val="24"/>
                    <w:lang w:eastAsia="lt-LT"/>
                  </w:rPr>
                  <w:t>Kodas</w:t>
                </w:r>
              </w:p>
            </w:tc>
            <w:tc>
              <w:tcPr>
                <w:tcW w:w="7834" w:type="dxa"/>
              </w:tcPr>
              <w:p>
                <w:pPr>
                  <w:tabs>
                    <w:tab w:val="left" w:pos="7088"/>
                  </w:tabs>
                  <w:jc w:val="center"/>
                  <w:rPr>
                    <w:b/>
                    <w:bCs/>
                    <w:szCs w:val="24"/>
                  </w:rPr>
                </w:pPr>
                <w:r>
                  <w:rPr>
                    <w:b/>
                    <w:bCs/>
                    <w:szCs w:val="24"/>
                    <w:lang w:eastAsia="lt-LT"/>
                  </w:rPr>
                  <w:t>Vairuotojui taikomas apribojimas</w:t>
                </w:r>
                <w:r>
                  <w:rPr>
                    <w:b/>
                    <w:bCs/>
                    <w:szCs w:val="24"/>
                    <w:vertAlign w:val="superscript"/>
                    <w:lang w:eastAsia="lt-LT"/>
                  </w:rPr>
                  <w:t>*</w:t>
                </w:r>
              </w:p>
            </w:tc>
          </w:tr>
          <w:tr>
            <w:tc>
              <w:tcPr>
                <w:tcW w:w="9629" w:type="dxa"/>
                <w:gridSpan w:val="2"/>
              </w:tcPr>
              <w:p>
                <w:pPr>
                  <w:jc w:val="center"/>
                  <w:rPr>
                    <w:b/>
                    <w:bCs/>
                    <w:szCs w:val="24"/>
                    <w:lang w:eastAsia="lt-LT"/>
                  </w:rPr>
                </w:pPr>
                <w:r>
                  <w:rPr>
                    <w:b/>
                    <w:bCs/>
                    <w:szCs w:val="24"/>
                    <w:lang w:eastAsia="lt-LT"/>
                  </w:rPr>
                  <w:t>Dėl medicininių priežasčių</w:t>
                </w:r>
              </w:p>
              <w:p>
                <w:pPr>
                  <w:tabs>
                    <w:tab w:val="left" w:pos="7088"/>
                  </w:tabs>
                  <w:jc w:val="center"/>
                  <w:rPr>
                    <w:b/>
                    <w:bCs/>
                    <w:szCs w:val="24"/>
                  </w:rPr>
                </w:pPr>
                <w:r>
                  <w:rPr>
                    <w:b/>
                    <w:bCs/>
                    <w:szCs w:val="24"/>
                    <w:lang w:eastAsia="lt-LT"/>
                  </w:rPr>
                  <w:t>(Išvadą pateikia sveikatos priežiūros įstaiga)</w:t>
                </w:r>
              </w:p>
            </w:tc>
          </w:tr>
          <w:tr>
            <w:tc>
              <w:tcPr>
                <w:tcW w:w="1795" w:type="dxa"/>
              </w:tcPr>
              <w:p>
                <w:pPr>
                  <w:tabs>
                    <w:tab w:val="left" w:pos="7088"/>
                  </w:tabs>
                  <w:rPr>
                    <w:szCs w:val="24"/>
                  </w:rPr>
                </w:pPr>
                <w:r>
                  <w:rPr>
                    <w:szCs w:val="24"/>
                  </w:rPr>
                  <w:t>01</w:t>
                </w:r>
              </w:p>
            </w:tc>
            <w:tc>
              <w:tcPr>
                <w:tcW w:w="7834" w:type="dxa"/>
              </w:tcPr>
              <w:p>
                <w:pPr>
                  <w:tabs>
                    <w:tab w:val="left" w:pos="7088"/>
                  </w:tabs>
                  <w:rPr>
                    <w:szCs w:val="24"/>
                  </w:rPr>
                </w:pPr>
                <w:r>
                  <w:rPr>
                    <w:szCs w:val="24"/>
                    <w:lang w:eastAsia="lt-LT"/>
                  </w:rPr>
                  <w:t>Regos korekcija ir (arba) apsauga</w:t>
                </w:r>
              </w:p>
            </w:tc>
          </w:tr>
          <w:tr>
            <w:tc>
              <w:tcPr>
                <w:tcW w:w="1795" w:type="dxa"/>
              </w:tcPr>
              <w:p>
                <w:pPr>
                  <w:tabs>
                    <w:tab w:val="left" w:pos="7088"/>
                  </w:tabs>
                  <w:rPr>
                    <w:szCs w:val="24"/>
                  </w:rPr>
                </w:pPr>
                <w:r>
                  <w:rPr>
                    <w:szCs w:val="24"/>
                  </w:rPr>
                  <w:t>01.01</w:t>
                </w:r>
              </w:p>
            </w:tc>
            <w:tc>
              <w:tcPr>
                <w:tcW w:w="7834" w:type="dxa"/>
              </w:tcPr>
              <w:p>
                <w:pPr>
                  <w:tabs>
                    <w:tab w:val="left" w:pos="7088"/>
                  </w:tabs>
                  <w:rPr>
                    <w:szCs w:val="24"/>
                  </w:rPr>
                </w:pPr>
                <w:r>
                  <w:rPr>
                    <w:szCs w:val="24"/>
                    <w:lang w:eastAsia="lt-LT"/>
                  </w:rPr>
                  <w:t>Akiniai</w:t>
                </w:r>
              </w:p>
            </w:tc>
          </w:tr>
          <w:tr>
            <w:tc>
              <w:tcPr>
                <w:tcW w:w="1795" w:type="dxa"/>
              </w:tcPr>
              <w:p>
                <w:pPr>
                  <w:tabs>
                    <w:tab w:val="left" w:pos="7088"/>
                  </w:tabs>
                  <w:rPr>
                    <w:szCs w:val="24"/>
                  </w:rPr>
                </w:pPr>
                <w:r>
                  <w:rPr>
                    <w:szCs w:val="24"/>
                  </w:rPr>
                  <w:t>01.02</w:t>
                </w:r>
              </w:p>
            </w:tc>
            <w:tc>
              <w:tcPr>
                <w:tcW w:w="7834" w:type="dxa"/>
              </w:tcPr>
              <w:p>
                <w:pPr>
                  <w:tabs>
                    <w:tab w:val="left" w:pos="7088"/>
                  </w:tabs>
                  <w:rPr>
                    <w:szCs w:val="24"/>
                  </w:rPr>
                </w:pPr>
                <w:r>
                  <w:rPr>
                    <w:szCs w:val="24"/>
                    <w:lang w:eastAsia="lt-LT"/>
                  </w:rPr>
                  <w:t>Kontaktinis (-iai) lęšis (-iai)</w:t>
                </w:r>
              </w:p>
            </w:tc>
          </w:tr>
          <w:tr>
            <w:tc>
              <w:tcPr>
                <w:tcW w:w="1795" w:type="dxa"/>
              </w:tcPr>
              <w:p>
                <w:pPr>
                  <w:tabs>
                    <w:tab w:val="left" w:pos="7088"/>
                  </w:tabs>
                  <w:rPr>
                    <w:szCs w:val="24"/>
                  </w:rPr>
                </w:pPr>
                <w:r>
                  <w:rPr>
                    <w:szCs w:val="24"/>
                  </w:rPr>
                  <w:t>01.05</w:t>
                </w:r>
              </w:p>
            </w:tc>
            <w:tc>
              <w:tcPr>
                <w:tcW w:w="7834" w:type="dxa"/>
              </w:tcPr>
              <w:p>
                <w:pPr>
                  <w:tabs>
                    <w:tab w:val="left" w:pos="7088"/>
                  </w:tabs>
                  <w:rPr>
                    <w:szCs w:val="24"/>
                  </w:rPr>
                </w:pPr>
                <w:r>
                  <w:rPr>
                    <w:szCs w:val="24"/>
                    <w:lang w:eastAsia="lt-LT"/>
                  </w:rPr>
                  <w:t>Akies raištis (papildomai nurodoma reikiama raidė – a arba b)</w:t>
                </w:r>
              </w:p>
            </w:tc>
          </w:tr>
          <w:tr>
            <w:tc>
              <w:tcPr>
                <w:tcW w:w="1795" w:type="dxa"/>
              </w:tcPr>
              <w:p>
                <w:pPr>
                  <w:tabs>
                    <w:tab w:val="left" w:pos="7088"/>
                  </w:tabs>
                  <w:rPr>
                    <w:szCs w:val="24"/>
                  </w:rPr>
                </w:pPr>
                <w:r>
                  <w:rPr>
                    <w:szCs w:val="24"/>
                  </w:rPr>
                  <w:t>01.06</w:t>
                </w:r>
              </w:p>
            </w:tc>
            <w:tc>
              <w:tcPr>
                <w:tcW w:w="7834" w:type="dxa"/>
              </w:tcPr>
              <w:p>
                <w:pPr>
                  <w:tabs>
                    <w:tab w:val="left" w:pos="7088"/>
                  </w:tabs>
                  <w:rPr>
                    <w:szCs w:val="24"/>
                  </w:rPr>
                </w:pPr>
                <w:r>
                  <w:rPr>
                    <w:szCs w:val="24"/>
                    <w:lang w:eastAsia="lt-LT"/>
                  </w:rPr>
                  <w:t>Akiniai arba kontaktiniai lęšiai</w:t>
                </w:r>
              </w:p>
            </w:tc>
          </w:tr>
          <w:tr>
            <w:tc>
              <w:tcPr>
                <w:tcW w:w="1795" w:type="dxa"/>
              </w:tcPr>
              <w:p>
                <w:pPr>
                  <w:tabs>
                    <w:tab w:val="left" w:pos="7088"/>
                  </w:tabs>
                  <w:rPr>
                    <w:szCs w:val="24"/>
                  </w:rPr>
                </w:pPr>
                <w:r>
                  <w:rPr>
                    <w:szCs w:val="24"/>
                  </w:rPr>
                  <w:t>01.07</w:t>
                </w:r>
              </w:p>
            </w:tc>
            <w:tc>
              <w:tcPr>
                <w:tcW w:w="7834" w:type="dxa"/>
              </w:tcPr>
              <w:p>
                <w:pPr>
                  <w:tabs>
                    <w:tab w:val="left" w:pos="7088"/>
                  </w:tabs>
                  <w:rPr>
                    <w:szCs w:val="24"/>
                  </w:rPr>
                </w:pPr>
                <w:r>
                  <w:rPr>
                    <w:szCs w:val="24"/>
                    <w:lang w:eastAsia="lt-LT"/>
                  </w:rPr>
                  <w:t>Speciali optinė pagalbinė priemonė</w:t>
                </w:r>
              </w:p>
            </w:tc>
          </w:tr>
          <w:tr>
            <w:tc>
              <w:tcPr>
                <w:tcW w:w="1795" w:type="dxa"/>
              </w:tcPr>
              <w:p>
                <w:pPr>
                  <w:tabs>
                    <w:tab w:val="left" w:pos="7088"/>
                  </w:tabs>
                  <w:rPr>
                    <w:szCs w:val="24"/>
                  </w:rPr>
                </w:pPr>
                <w:r>
                  <w:rPr>
                    <w:szCs w:val="24"/>
                  </w:rPr>
                  <w:t>02</w:t>
                </w:r>
              </w:p>
            </w:tc>
            <w:tc>
              <w:tcPr>
                <w:tcW w:w="7834" w:type="dxa"/>
              </w:tcPr>
              <w:p>
                <w:pPr>
                  <w:tabs>
                    <w:tab w:val="left" w:pos="7088"/>
                  </w:tabs>
                  <w:rPr>
                    <w:szCs w:val="24"/>
                  </w:rPr>
                </w:pPr>
                <w:r>
                  <w:rPr>
                    <w:szCs w:val="24"/>
                    <w:lang w:eastAsia="lt-LT"/>
                  </w:rPr>
                  <w:t>Klausos ir susikalbėjimo pagalbinė priemonė (papildomai nurodoma reikiama raidė – a arba b)</w:t>
                </w:r>
              </w:p>
            </w:tc>
          </w:tr>
          <w:tr>
            <w:tc>
              <w:tcPr>
                <w:tcW w:w="1795" w:type="dxa"/>
              </w:tcPr>
              <w:p>
                <w:pPr>
                  <w:tabs>
                    <w:tab w:val="left" w:pos="7088"/>
                  </w:tabs>
                  <w:rPr>
                    <w:szCs w:val="24"/>
                  </w:rPr>
                </w:pPr>
                <w:r>
                  <w:rPr>
                    <w:szCs w:val="24"/>
                    <w:lang w:eastAsia="lt-LT"/>
                  </w:rPr>
                  <w:t>03</w:t>
                </w:r>
              </w:p>
            </w:tc>
            <w:tc>
              <w:tcPr>
                <w:tcW w:w="7834" w:type="dxa"/>
              </w:tcPr>
              <w:p>
                <w:pPr>
                  <w:tabs>
                    <w:tab w:val="left" w:pos="7088"/>
                  </w:tabs>
                  <w:rPr>
                    <w:szCs w:val="24"/>
                  </w:rPr>
                </w:pPr>
                <w:r>
                  <w:rPr>
                    <w:szCs w:val="24"/>
                    <w:lang w:eastAsia="lt-LT"/>
                  </w:rPr>
                  <w:t>Galūnių protezai arba korekcijos įtaisai</w:t>
                </w:r>
              </w:p>
            </w:tc>
          </w:tr>
          <w:tr>
            <w:tc>
              <w:tcPr>
                <w:tcW w:w="1795" w:type="dxa"/>
              </w:tcPr>
              <w:p>
                <w:pPr>
                  <w:tabs>
                    <w:tab w:val="left" w:pos="7088"/>
                  </w:tabs>
                  <w:rPr>
                    <w:szCs w:val="24"/>
                  </w:rPr>
                </w:pPr>
                <w:r>
                  <w:rPr>
                    <w:szCs w:val="24"/>
                  </w:rPr>
                  <w:t>03.01</w:t>
                </w:r>
              </w:p>
            </w:tc>
            <w:tc>
              <w:tcPr>
                <w:tcW w:w="7834" w:type="dxa"/>
              </w:tcPr>
              <w:p>
                <w:pPr>
                  <w:tabs>
                    <w:tab w:val="left" w:pos="7088"/>
                  </w:tabs>
                  <w:rPr>
                    <w:szCs w:val="24"/>
                  </w:rPr>
                </w:pPr>
                <w:r>
                  <w:rPr>
                    <w:szCs w:val="24"/>
                    <w:lang w:eastAsia="lt-LT"/>
                  </w:rPr>
                  <w:t>Viršutinės galūnės protezas arba korekcijos įtaisas (papildomai nurodoma reikiama raidė – a, b, c, f, g)</w:t>
                </w:r>
              </w:p>
            </w:tc>
          </w:tr>
          <w:tr>
            <w:tc>
              <w:tcPr>
                <w:tcW w:w="1795" w:type="dxa"/>
              </w:tcPr>
              <w:p>
                <w:pPr>
                  <w:tabs>
                    <w:tab w:val="left" w:pos="7088"/>
                  </w:tabs>
                  <w:rPr>
                    <w:szCs w:val="24"/>
                  </w:rPr>
                </w:pPr>
                <w:r>
                  <w:rPr>
                    <w:szCs w:val="24"/>
                  </w:rPr>
                  <w:t>03.02</w:t>
                </w:r>
              </w:p>
            </w:tc>
            <w:tc>
              <w:tcPr>
                <w:tcW w:w="7834" w:type="dxa"/>
              </w:tcPr>
              <w:p>
                <w:pPr>
                  <w:tabs>
                    <w:tab w:val="left" w:pos="7088"/>
                  </w:tabs>
                  <w:rPr>
                    <w:szCs w:val="24"/>
                  </w:rPr>
                </w:pPr>
                <w:r>
                  <w:rPr>
                    <w:szCs w:val="24"/>
                    <w:lang w:eastAsia="lt-LT"/>
                  </w:rPr>
                  <w:t>Apatinės galūnės protezas arba korekcijos įtaisas (papildomai nurodoma reikiama raidė – a, b, d)</w:t>
                </w:r>
              </w:p>
            </w:tc>
          </w:tr>
          <w:tr>
            <w:tc>
              <w:tcPr>
                <w:tcW w:w="9629" w:type="dxa"/>
                <w:gridSpan w:val="2"/>
              </w:tcPr>
              <w:p>
                <w:pPr>
                  <w:tabs>
                    <w:tab w:val="left" w:pos="7088"/>
                  </w:tabs>
                  <w:jc w:val="center"/>
                  <w:rPr>
                    <w:b/>
                    <w:bCs/>
                    <w:szCs w:val="24"/>
                  </w:rPr>
                </w:pPr>
                <w:r>
                  <w:rPr>
                    <w:b/>
                    <w:bCs/>
                    <w:szCs w:val="24"/>
                    <w:lang w:eastAsia="lt-LT"/>
                  </w:rPr>
                  <w:t>Transporto priemonės pritaikymas</w:t>
                </w:r>
              </w:p>
            </w:tc>
          </w:tr>
          <w:tr>
            <w:tc>
              <w:tcPr>
                <w:tcW w:w="1795" w:type="dxa"/>
              </w:tcPr>
              <w:p>
                <w:pPr>
                  <w:tabs>
                    <w:tab w:val="left" w:pos="7088"/>
                  </w:tabs>
                  <w:rPr>
                    <w:szCs w:val="24"/>
                  </w:rPr>
                </w:pPr>
                <w:r>
                  <w:rPr>
                    <w:szCs w:val="24"/>
                    <w:lang w:eastAsia="lt-LT"/>
                  </w:rPr>
                  <w:t>Nuo 10 iki 50</w:t>
                </w:r>
              </w:p>
            </w:tc>
            <w:tc>
              <w:tcPr>
                <w:tcW w:w="7834" w:type="dxa"/>
              </w:tcPr>
              <w:p>
                <w:pPr>
                  <w:tabs>
                    <w:tab w:val="left" w:pos="7088"/>
                  </w:tabs>
                  <w:rPr>
                    <w:szCs w:val="24"/>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c>
              <w:tcPr>
                <w:tcW w:w="9629" w:type="dxa"/>
                <w:gridSpan w:val="2"/>
              </w:tcPr>
              <w:p>
                <w:pPr>
                  <w:tabs>
                    <w:tab w:val="left" w:pos="7088"/>
                  </w:tabs>
                  <w:jc w:val="center"/>
                  <w:rPr>
                    <w:b/>
                    <w:bCs/>
                    <w:szCs w:val="24"/>
                  </w:rPr>
                </w:pPr>
                <w:r>
                  <w:rPr>
                    <w:b/>
                    <w:bCs/>
                    <w:szCs w:val="24"/>
                    <w:lang w:eastAsia="lt-LT"/>
                  </w:rPr>
                  <w:t>Transporto priemonės naudojimo ribojimo kodai</w:t>
                </w:r>
              </w:p>
            </w:tc>
          </w:tr>
          <w:tr>
            <w:tc>
              <w:tcPr>
                <w:tcW w:w="1795" w:type="dxa"/>
              </w:tcPr>
              <w:p>
                <w:pPr>
                  <w:tabs>
                    <w:tab w:val="left" w:pos="7088"/>
                  </w:tabs>
                  <w:rPr>
                    <w:szCs w:val="24"/>
                  </w:rPr>
                </w:pPr>
                <w:r>
                  <w:rPr>
                    <w:szCs w:val="24"/>
                  </w:rPr>
                  <w:t>61</w:t>
                </w:r>
              </w:p>
            </w:tc>
            <w:tc>
              <w:tcPr>
                <w:tcW w:w="7834" w:type="dxa"/>
              </w:tcPr>
              <w:p>
                <w:pPr>
                  <w:tabs>
                    <w:tab w:val="left" w:pos="7088"/>
                  </w:tabs>
                  <w:rPr>
                    <w:szCs w:val="24"/>
                  </w:rPr>
                </w:pPr>
                <w:r>
                  <w:rPr>
                    <w:color w:val="000000"/>
                    <w:szCs w:val="24"/>
                  </w:rPr>
                  <w:t>Tik kelionės dienos metu (pavyzdžiui, viena valanda po saulėtekio ir viena valanda iki saulėlydžio)</w:t>
                </w:r>
              </w:p>
            </w:tc>
          </w:tr>
          <w:tr>
            <w:tc>
              <w:tcPr>
                <w:tcW w:w="1795" w:type="dxa"/>
              </w:tcPr>
              <w:p>
                <w:pPr>
                  <w:tabs>
                    <w:tab w:val="left" w:pos="7088"/>
                  </w:tabs>
                  <w:rPr>
                    <w:szCs w:val="24"/>
                  </w:rPr>
                </w:pPr>
                <w:r>
                  <w:rPr>
                    <w:szCs w:val="24"/>
                  </w:rPr>
                  <w:t>62</w:t>
                </w:r>
              </w:p>
            </w:tc>
            <w:tc>
              <w:tcPr>
                <w:tcW w:w="7834" w:type="dxa"/>
              </w:tcPr>
              <w:p>
                <w:pPr>
                  <w:tabs>
                    <w:tab w:val="left" w:pos="7088"/>
                  </w:tabs>
                  <w:rPr>
                    <w:szCs w:val="24"/>
                  </w:rPr>
                </w:pPr>
                <w:r>
                  <w:rPr>
                    <w:color w:val="000000"/>
                    <w:szCs w:val="22"/>
                  </w:rPr>
                  <w:t>Tik kelionės … km spinduliu nuo vairuotojo pažymėjimo savininko gyvenamosios vietos arba tik mieste (rajone)</w:t>
                </w:r>
              </w:p>
            </w:tc>
          </w:tr>
          <w:tr>
            <w:tc>
              <w:tcPr>
                <w:tcW w:w="1795" w:type="dxa"/>
              </w:tcPr>
              <w:p>
                <w:pPr>
                  <w:tabs>
                    <w:tab w:val="left" w:pos="7088"/>
                  </w:tabs>
                  <w:rPr>
                    <w:szCs w:val="24"/>
                  </w:rPr>
                </w:pPr>
                <w:r>
                  <w:rPr>
                    <w:szCs w:val="24"/>
                  </w:rPr>
                  <w:t>63</w:t>
                </w:r>
              </w:p>
            </w:tc>
            <w:tc>
              <w:tcPr>
                <w:tcW w:w="7834" w:type="dxa"/>
              </w:tcPr>
              <w:p>
                <w:pPr>
                  <w:tabs>
                    <w:tab w:val="left" w:pos="7088"/>
                  </w:tabs>
                  <w:rPr>
                    <w:szCs w:val="24"/>
                  </w:rPr>
                </w:pPr>
                <w:r>
                  <w:rPr>
                    <w:color w:val="000000"/>
                    <w:szCs w:val="22"/>
                  </w:rPr>
                  <w:t>Važiavimas be keleivių</w:t>
                </w:r>
              </w:p>
            </w:tc>
          </w:tr>
          <w:tr>
            <w:tc>
              <w:tcPr>
                <w:tcW w:w="1795" w:type="dxa"/>
              </w:tcPr>
              <w:p>
                <w:pPr>
                  <w:tabs>
                    <w:tab w:val="left" w:pos="7088"/>
                  </w:tabs>
                  <w:rPr>
                    <w:szCs w:val="24"/>
                  </w:rPr>
                </w:pPr>
                <w:r>
                  <w:rPr>
                    <w:szCs w:val="24"/>
                  </w:rPr>
                  <w:t>64</w:t>
                </w:r>
              </w:p>
            </w:tc>
            <w:tc>
              <w:tcPr>
                <w:tcW w:w="7834" w:type="dxa"/>
              </w:tcPr>
              <w:p>
                <w:pPr>
                  <w:tabs>
                    <w:tab w:val="left" w:pos="7088"/>
                  </w:tabs>
                  <w:rPr>
                    <w:szCs w:val="24"/>
                  </w:rPr>
                </w:pPr>
                <w:r>
                  <w:rPr>
                    <w:color w:val="000000"/>
                    <w:szCs w:val="22"/>
                  </w:rPr>
                  <w:t>Tik kelionės ne didesniu kaip … km/h greičiu</w:t>
                </w:r>
              </w:p>
            </w:tc>
          </w:tr>
          <w:tr>
            <w:tc>
              <w:tcPr>
                <w:tcW w:w="1795" w:type="dxa"/>
              </w:tcPr>
              <w:p>
                <w:pPr>
                  <w:tabs>
                    <w:tab w:val="left" w:pos="7088"/>
                  </w:tabs>
                  <w:rPr>
                    <w:szCs w:val="24"/>
                  </w:rPr>
                </w:pPr>
                <w:r>
                  <w:rPr>
                    <w:color w:val="000000"/>
                    <w:szCs w:val="22"/>
                  </w:rPr>
                  <w:t>65</w:t>
                </w:r>
              </w:p>
            </w:tc>
            <w:tc>
              <w:tcPr>
                <w:tcW w:w="7834" w:type="dxa"/>
              </w:tcPr>
              <w:p>
                <w:pPr>
                  <w:tabs>
                    <w:tab w:val="left" w:pos="7088"/>
                  </w:tabs>
                  <w:rPr>
                    <w:szCs w:val="24"/>
                  </w:rPr>
                </w:pPr>
                <w:r>
                  <w:rPr>
                    <w:color w:val="000000"/>
                    <w:szCs w:val="22"/>
                  </w:rPr>
                  <w:t>Vairuoti leidžiama tik kai kartu važiuoja bent lygiavertės kategorijos vairuotojo pažymėjimo turėtojas</w:t>
                </w:r>
              </w:p>
            </w:tc>
          </w:tr>
          <w:tr>
            <w:tc>
              <w:tcPr>
                <w:tcW w:w="1795" w:type="dxa"/>
              </w:tcPr>
              <w:p>
                <w:pPr>
                  <w:tabs>
                    <w:tab w:val="left" w:pos="7088"/>
                  </w:tabs>
                  <w:rPr>
                    <w:szCs w:val="24"/>
                  </w:rPr>
                </w:pPr>
                <w:r>
                  <w:rPr>
                    <w:szCs w:val="24"/>
                  </w:rPr>
                  <w:t>66</w:t>
                </w:r>
              </w:p>
            </w:tc>
            <w:tc>
              <w:tcPr>
                <w:tcW w:w="7834" w:type="dxa"/>
              </w:tcPr>
              <w:p>
                <w:pPr>
                  <w:tabs>
                    <w:tab w:val="left" w:pos="7088"/>
                  </w:tabs>
                  <w:rPr>
                    <w:szCs w:val="24"/>
                  </w:rPr>
                </w:pPr>
                <w:r>
                  <w:rPr>
                    <w:color w:val="000000"/>
                    <w:szCs w:val="22"/>
                  </w:rPr>
                  <w:t>Be priekabos</w:t>
                </w:r>
              </w:p>
            </w:tc>
          </w:tr>
          <w:tr>
            <w:tc>
              <w:tcPr>
                <w:tcW w:w="1795" w:type="dxa"/>
              </w:tcPr>
              <w:p>
                <w:pPr>
                  <w:tabs>
                    <w:tab w:val="left" w:pos="7088"/>
                  </w:tabs>
                  <w:rPr>
                    <w:szCs w:val="24"/>
                  </w:rPr>
                </w:pPr>
                <w:r>
                  <w:rPr>
                    <w:szCs w:val="24"/>
                  </w:rPr>
                  <w:t>67</w:t>
                </w:r>
              </w:p>
            </w:tc>
            <w:tc>
              <w:tcPr>
                <w:tcW w:w="7834" w:type="dxa"/>
              </w:tcPr>
              <w:p>
                <w:pPr>
                  <w:tabs>
                    <w:tab w:val="left" w:pos="7088"/>
                  </w:tabs>
                  <w:rPr>
                    <w:szCs w:val="24"/>
                  </w:rPr>
                </w:pPr>
                <w:r>
                  <w:rPr>
                    <w:color w:val="000000"/>
                    <w:szCs w:val="22"/>
                  </w:rPr>
                  <w:t>Draudžiama važiuoti greitkeliais (automagistralėmis)</w:t>
                </w:r>
              </w:p>
            </w:tc>
          </w:tr>
          <w:tr>
            <w:tc>
              <w:tcPr>
                <w:tcW w:w="1795" w:type="dxa"/>
              </w:tcPr>
              <w:p>
                <w:pPr>
                  <w:tabs>
                    <w:tab w:val="left" w:pos="7088"/>
                  </w:tabs>
                  <w:rPr>
                    <w:szCs w:val="24"/>
                  </w:rPr>
                </w:pPr>
                <w:r>
                  <w:rPr>
                    <w:szCs w:val="24"/>
                  </w:rPr>
                  <w:t>68</w:t>
                </w:r>
              </w:p>
            </w:tc>
            <w:tc>
              <w:tcPr>
                <w:tcW w:w="7834" w:type="dxa"/>
              </w:tcPr>
              <w:p>
                <w:pPr>
                  <w:tabs>
                    <w:tab w:val="left" w:pos="7088"/>
                  </w:tabs>
                  <w:rPr>
                    <w:szCs w:val="24"/>
                  </w:rPr>
                </w:pPr>
                <w:r>
                  <w:rPr>
                    <w:szCs w:val="24"/>
                    <w:lang w:eastAsia="lt-LT"/>
                  </w:rPr>
                  <w:t>Draudžiama vairuoti išgėrus alkoholio</w:t>
                </w:r>
              </w:p>
            </w:tc>
          </w:tr>
        </w:tbl>
        <w:p>
          <w:pPr>
            <w:tabs>
              <w:tab w:val="left" w:pos="7088"/>
            </w:tabs>
            <w:spacing w:line="276" w:lineRule="auto"/>
            <w:jc w:val="both"/>
            <w:rPr>
              <w:szCs w:val="24"/>
              <w:lang w:val="en-US"/>
            </w:rPr>
          </w:pPr>
        </w:p>
        <w:p>
          <w:pPr>
            <w:ind w:left="1134"/>
            <w:textAlignment w:val="center"/>
            <w:rPr>
              <w:color w:val="000000"/>
              <w:szCs w:val="24"/>
              <w:lang w:eastAsia="lt-LT"/>
            </w:rPr>
          </w:pPr>
          <w:r>
            <w:rPr>
              <w:color w:val="000000"/>
              <w:szCs w:val="24"/>
              <w:vertAlign w:val="superscript"/>
              <w:lang w:eastAsia="lt-LT"/>
            </w:rPr>
            <w:t>*</w:t>
          </w:r>
          <w:r>
            <w:rPr>
              <w:color w:val="000000"/>
              <w:szCs w:val="24"/>
              <w:lang w:eastAsia="lt-LT"/>
            </w:rPr>
            <w:t>Lentelėje naudojamų raidžių reikšmės:</w:t>
          </w:r>
        </w:p>
        <w:p>
          <w:pPr>
            <w:ind w:left="1134"/>
            <w:textAlignment w:val="center"/>
            <w:rPr>
              <w:color w:val="000000"/>
              <w:szCs w:val="24"/>
              <w:lang w:eastAsia="lt-LT"/>
            </w:rPr>
          </w:pPr>
          <w:r>
            <w:rPr>
              <w:color w:val="000000"/>
              <w:szCs w:val="24"/>
              <w:lang w:eastAsia="lt-LT"/>
            </w:rPr>
            <w:t>a – kairė</w:t>
          </w:r>
        </w:p>
        <w:p>
          <w:pPr>
            <w:ind w:left="1134"/>
            <w:textAlignment w:val="center"/>
            <w:rPr>
              <w:color w:val="000000"/>
              <w:szCs w:val="24"/>
              <w:lang w:eastAsia="lt-LT"/>
            </w:rPr>
          </w:pPr>
          <w:r>
            <w:rPr>
              <w:color w:val="000000"/>
              <w:szCs w:val="24"/>
              <w:lang w:eastAsia="lt-LT"/>
            </w:rPr>
            <w:t>b – dešinė</w:t>
          </w:r>
        </w:p>
        <w:p>
          <w:pPr>
            <w:ind w:left="1134"/>
            <w:textAlignment w:val="center"/>
            <w:rPr>
              <w:color w:val="000000"/>
              <w:szCs w:val="24"/>
              <w:lang w:eastAsia="lt-LT"/>
            </w:rPr>
          </w:pPr>
          <w:r>
            <w:rPr>
              <w:color w:val="000000"/>
              <w:szCs w:val="24"/>
              <w:lang w:eastAsia="lt-LT"/>
            </w:rPr>
            <w:t>c – plaštaka</w:t>
          </w:r>
        </w:p>
        <w:p>
          <w:pPr>
            <w:ind w:left="1134"/>
            <w:textAlignment w:val="center"/>
            <w:rPr>
              <w:color w:val="000000"/>
              <w:szCs w:val="24"/>
              <w:lang w:eastAsia="lt-LT"/>
            </w:rPr>
          </w:pPr>
          <w:r>
            <w:rPr>
              <w:color w:val="000000"/>
              <w:szCs w:val="24"/>
              <w:lang w:eastAsia="lt-LT"/>
            </w:rPr>
            <w:t>d – pėda</w:t>
          </w:r>
        </w:p>
        <w:p>
          <w:pPr>
            <w:ind w:left="1134"/>
            <w:textAlignment w:val="center"/>
            <w:rPr>
              <w:color w:val="000000"/>
              <w:szCs w:val="24"/>
              <w:lang w:eastAsia="lt-LT"/>
            </w:rPr>
          </w:pPr>
          <w:r>
            <w:rPr>
              <w:color w:val="000000"/>
              <w:szCs w:val="24"/>
              <w:lang w:eastAsia="lt-LT"/>
            </w:rPr>
            <w:t>f – ranka</w:t>
          </w:r>
        </w:p>
        <w:p>
          <w:pPr>
            <w:ind w:left="1134"/>
            <w:textAlignment w:val="center"/>
            <w:rPr>
              <w:szCs w:val="24"/>
            </w:rPr>
          </w:pPr>
          <w:r>
            <w:rPr>
              <w:color w:val="000000"/>
              <w:szCs w:val="24"/>
              <w:lang w:eastAsia="lt-LT"/>
            </w:rPr>
            <w:t>g – nykštys</w:t>
          </w:r>
        </w:p>
        <w:p>
          <w:pPr>
            <w:rPr>
              <w:sz w:val="18"/>
              <w:szCs w:val="18"/>
            </w:rPr>
          </w:pPr>
        </w:p>
        <w:sdt>
          <w:sdtPr>
            <w:alias w:val="pabaiga"/>
            <w:tag w:val="part_ca8ad32ecd054575bb1e7d2a1ef01c55"/>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5"/>
              <w:headerReference w:type="default" r:id="rId46"/>
              <w:footerReference w:type="even" r:id="rId47"/>
              <w:footerReference w:type="default" r:id="rId48"/>
              <w:headerReference w:type="first" r:id="rId49"/>
              <w:footerReference w:type="first" r:id="rId5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852c5890e49a4652a71c1ec7070e4f4a"/>
        <w:lock w:val="sdtLocked"/>
        <w:richText/>
      </w:sdtPr>
      <w:sdtContent>
        <w:p>
          <w:pPr>
            <w:ind w:left="720" w:hanging="11"/>
            <w:jc w:val="center"/>
            <w:rPr>
              <w:szCs w:val="24"/>
            </w:rPr>
          </w:pPr>
        </w:p>
        <w:p>
          <w:pPr>
            <w:ind w:right="27"/>
            <w:jc w:val="both"/>
            <w:rPr>
              <w:sz w:val="20"/>
              <w:szCs w:val="24"/>
            </w:rPr>
            <w:sectPr>
              <w:headerReference w:type="even" r:id="rId80"/>
              <w:headerReference w:type="default" r:id="rId8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852c5890e49a4652a71c1ec7070e4f4a"/>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6ecd0c54a1c84b008f94cc83bd1aea88"/>
        <w:lock w:val="sdtLocked"/>
        <w:richText/>
      </w:sdtPr>
      <w:sdtContent>
        <w:p>
          <w:pPr>
            <w:ind w:left="5184"/>
            <w:jc w:val="both"/>
            <w:sectPr>
              <w:headerReference w:type="even" r:id="rId82"/>
              <w:headerReference w:type="default" r:id="rId8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6ecd0c54a1c84b008f94cc83bd1aea88"/>
              <w:lock w:val="sdtLocked"/>
              <w:richText/>
            </w:sdtPr>
            <w:sdtContent>
              <w:r>
                <w:rPr>
                  <w:szCs w:val="24"/>
                </w:rPr>
                <w:t>2</w:t>
              </w:r>
            </w:sdtContent>
          </w:sdt>
          <w:r>
            <w:rPr>
              <w:szCs w:val="24"/>
            </w:rPr>
            <w:t xml:space="preserve"> priedas</w:t>
          </w:r>
        </w:p>
        <w:p>
          <w:pPr>
            <w:jc w:val="center"/>
            <w:rPr>
              <w:b/>
              <w:szCs w:val="24"/>
            </w:rPr>
          </w:pPr>
        </w:p>
        <w:sdt>
          <w:sdtPr>
            <w:alias w:val="Pavadinimas"/>
            <w:tag w:val="title_6ecd0c54a1c84b008f94cc83bd1aea88"/>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89e871cdda44f518f8c73250ea21d9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89e871cdda44f518f8c73250ea21d9a"/>
                      <w:lock w:val="sdtLocked"/>
                      <w:richText/>
                    </w:sdtPr>
                    <w:sdtContent>
                      <w:r>
                        <w:rPr>
                          <w:color w:val="000000"/>
                          <w:szCs w:val="24"/>
                        </w:rPr>
                        <w:t>15</w:t>
                      </w:r>
                    </w:sdtContent>
                  </w:sdt>
                  <w:r>
                    <w:rPr>
                      <w:color w:val="000000"/>
                      <w:szCs w:val="24"/>
                    </w:rPr>
                    <w:t>. Privalomo sveikatos tikrinimo duomenys įrašomi paciento elektroniniame dokumente E025 „Ambulatorinio apsilankymo aprašymas“ (toliau – forma Nr. E025),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išvada apie darbuotojo profesinį tinkamumą („dirbti gali“ „dirbti gali, bet ribotai“ (nurodant, kaip), „dirbti negali“) – į Privalomo sveikatos patikrinimo medicininės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į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6 p."/>
                <w:tag w:val="part_598fec1947cb4c6a839a4aeccc9d1eec"/>
                <w:lock w:val="sdtLocked"/>
                <w:richText/>
              </w:sdtPr>
              <w:sdtContent>
                <w:p>
                  <w:pPr>
                    <w:tabs>
                      <w:tab w:val="left" w:pos="0"/>
                      <w:tab w:val="left" w:pos="142"/>
                      <w:tab w:val="left" w:pos="1134"/>
                      <w:tab w:val="left" w:pos="1560"/>
                      <w:tab w:val="left" w:pos="243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598fec1947cb4c6a839a4aeccc9d1eec"/>
                      <w:lock w:val="sdtLocked"/>
                      <w:richText/>
                    </w:sdtPr>
                    <w:sdtContent>
                      <w:r>
                        <w:rPr>
                          <w:color w:val="000000"/>
                          <w:szCs w:val="24"/>
                        </w:rPr>
                        <w:t>16</w:t>
                      </w:r>
                    </w:sdtContent>
                  </w:sdt>
                  <w:r>
                    <w:rPr>
                      <w:color w:val="000000"/>
                      <w:szCs w:val="24"/>
                    </w:rPr>
                    <w:t>. Gydytojas, privalomo sveikatos tikrinimo metu nustatęs, kad tikrinamas asmuo dėl ribojimų, nurodytų Aprašo 1 lentelėje, arba kitų Apraše nustatytų reikalavimų negali dirbti traukinio mašinistu ar geležinkeliečiu, tikrinimo netęsia ir tikrinimo duomenis bei išvadas įrašo į formą Nr. E025, o išvadą darbdaviui – į formą Nr. 047/a (ar formą Nr. E047) arba į formą Nr. 048/a (ar formą Nr. E048) ir  pasirašo. Pasirašytos formos Nr. 047/a ir Nr. 048/a patvirtinamos gydytojo asmeniniu spaudu bei ASPĮ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ed1dbbdf21cc4e27816eac2120613f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d1dbbdf21cc4e27816eac2120613ff3"/>
                          <w:lock w:val="sdtLocked"/>
                          <w:richText/>
                        </w:sdtPr>
                        <w:sdtContent>
                          <w:r>
                            <w:rPr>
                              <w:color w:val="000000"/>
                              <w:szCs w:val="24"/>
                              <w:lang w:eastAsia="lt-LT"/>
                            </w:rPr>
                            <w:t>17.3</w:t>
                          </w:r>
                        </w:sdtContent>
                      </w:sdt>
                      <w:r>
                        <w:rPr>
                          <w:color w:val="000000"/>
                          <w:szCs w:val="24"/>
                          <w:lang w:eastAsia="lt-LT"/>
                        </w:rPr>
                        <w:t xml:space="preserve">. darbdaviui atstovaujančio ar jo įgalioto asmens tinkamai užpildytą formą Nr. 047/a, jei privalomai sveikata tikrinama įsidarbinančiam traukinio mašinistui ar įsidarbinančiam geležinkeliečiui, </w:t>
                      </w:r>
                      <w:r>
                        <w:rPr>
                          <w:color w:val="000000"/>
                          <w:szCs w:val="24"/>
                        </w:rPr>
                        <w:t>arba informuoja ASPĮ, kad darbdaviui atstovaujantis ar jo įgaliotas asmuo ESPBI IS formą Nr. E047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4 pp."/>
                    <w:tag w:val="part_09389b21e8814de995661fa1afe672a9"/>
                    <w:lock w:val="sdtLocked"/>
                    <w:richText/>
                  </w:sdtPr>
                  <w:sdtContent>
                    <w:p>
                      <w:pPr>
                        <w:ind w:firstLine="567"/>
                        <w:jc w:val="both"/>
                        <w:rPr>
                          <w:color w:val="000000"/>
                          <w:szCs w:val="24"/>
                          <w:lang w:eastAsia="lt-LT"/>
                        </w:rPr>
                      </w:pPr>
                      <w:sdt>
                        <w:sdtPr>
                          <w:alias w:val="Numeris"/>
                          <w:tag w:val="nr_09389b21e8814de995661fa1afe672a9"/>
                          <w:lock w:val="sdtLocked"/>
                          <w:richText/>
                        </w:sdtPr>
                        <w:sdtContent>
                          <w:r>
                            <w:rPr>
                              <w:color w:val="000000"/>
                              <w:szCs w:val="24"/>
                              <w:lang w:eastAsia="lt-LT"/>
                            </w:rPr>
                            <w:t>17.4</w:t>
                          </w:r>
                        </w:sdtContent>
                      </w:sdt>
                      <w:r>
                        <w:rPr>
                          <w:color w:val="000000"/>
                          <w:szCs w:val="24"/>
                          <w:lang w:eastAsia="lt-LT"/>
                        </w:rPr>
                        <w:t xml:space="preserve">. darbdaviui atstovaujančio ar jo įgalioto asmens tinkamai užpildytą formą Nr. 048/a, jei privalomai periodiškai sveikata tikrinama asmeniui, dirbančiam traukinio mašinistu ar geležinkeliečiu, </w:t>
                      </w:r>
                      <w:r>
                        <w:rPr>
                          <w:color w:val="000000"/>
                          <w:szCs w:val="24"/>
                        </w:rPr>
                        <w:t>arba informuoja ASPĮ, kad darbdaviui atstovaujantis ar jo įgaliotas asmuo ESPBI IS formą Nr. E048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b1fd8ec24f664da4a1f55136d17b217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1fd8ec24f664da4a1f55136d17b2171"/>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w:t>
                  </w:r>
                  <w:r>
                    <w:rPr>
                      <w:color w:val="000000"/>
                      <w:szCs w:val="24"/>
                    </w:rPr>
                    <w:t xml:space="preserve">(ar formą Nr. E047) </w:t>
                  </w:r>
                  <w:r>
                    <w:rPr>
                      <w:color w:val="000000"/>
                      <w:szCs w:val="24"/>
                      <w:lang w:eastAsia="lt-LT"/>
                    </w:rPr>
                    <w:t xml:space="preserve">arba formą Nr. 048/a </w:t>
                  </w:r>
                  <w:r>
                    <w:rPr>
                      <w:color w:val="000000"/>
                      <w:szCs w:val="24"/>
                    </w:rPr>
                    <w:t xml:space="preserve">(ar formą Nr. E048) </w:t>
                  </w:r>
                  <w:r>
                    <w:rPr>
                      <w:color w:val="000000"/>
                      <w:szCs w:val="24"/>
                      <w:lang w:eastAsia="lt-LT"/>
                    </w:rPr>
                    <w:t xml:space="preserve">ir patvirtinama gydytojo parašu. Išvada </w:t>
                  </w:r>
                  <w:r>
                    <w:rPr>
                      <w:color w:val="000000"/>
                      <w:szCs w:val="24"/>
                    </w:rPr>
                    <w:t>įrašyta formoje Nr. 047/a ar formoje Nr. 048/a taip pat turi būti patvirtinta ir gydytojo asmeniniu spaudu bei ASPĮ antspaudu.</w:t>
                  </w:r>
                  <w:r>
                    <w:rPr>
                      <w:color w:val="000000"/>
                      <w:szCs w:val="24"/>
                      <w:lang w:eastAsia="lt-LT"/>
                    </w:rPr>
                    <w:t xml:space="preserve"> Traukinio mašinisto minimalus amžius nustatytas Geležinkelių transporto eismo saugos įstatymo 32 straipsnio 1 dalyje. Forma Nr. 047/a </w:t>
                  </w:r>
                  <w:r>
                    <w:rPr>
                      <w:color w:val="000000"/>
                      <w:szCs w:val="24"/>
                    </w:rPr>
                    <w:t xml:space="preserve">(ar forma Nr. E047) </w:t>
                  </w:r>
                  <w:r>
                    <w:rPr>
                      <w:color w:val="000000"/>
                      <w:szCs w:val="24"/>
                      <w:lang w:eastAsia="lt-LT"/>
                    </w:rPr>
                    <w:t xml:space="preserve">arba  forma Nr.048/a </w:t>
                  </w:r>
                  <w:r>
                    <w:rPr>
                      <w:color w:val="000000"/>
                      <w:szCs w:val="24"/>
                    </w:rPr>
                    <w:t xml:space="preserve">(ar forma Nr. E047) </w:t>
                  </w:r>
                  <w:r>
                    <w:rPr>
                      <w:color w:val="000000"/>
                      <w:szCs w:val="24"/>
                      <w:lang w:eastAsia="lt-LT"/>
                    </w:rPr>
                    <w:t>gali būti išduodama asmenims, ne daugiau kaip vienais metais jaunesniems nei nustatytas amžius, nuo kurio leidžiama dirbti traukinio mašinistu.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0 p."/>
                <w:tag w:val="part_dc8cab33beea45b28c58822f0f26196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dc8cab33beea45b28c58822f0f26196f"/>
                      <w:lock w:val="sdtLocked"/>
                      <w:richText/>
                    </w:sdtPr>
                    <w:sdtContent>
                      <w:r>
                        <w:rPr>
                          <w:color w:val="000000"/>
                          <w:szCs w:val="24"/>
                          <w:lang w:eastAsia="lt-LT"/>
                        </w:rPr>
                        <w:t>20</w:t>
                      </w:r>
                    </w:sdtContent>
                  </w:sdt>
                  <w:r>
                    <w:rPr>
                      <w:color w:val="000000"/>
                      <w:szCs w:val="24"/>
                      <w:lang w:eastAsia="lt-LT"/>
                    </w:rPr>
                    <w:t xml:space="preserve">. Formoje Nr. 047/a </w:t>
                  </w:r>
                  <w:r>
                    <w:rPr>
                      <w:color w:val="000000"/>
                      <w:szCs w:val="24"/>
                    </w:rPr>
                    <w:t xml:space="preserve">(ar formoje Nr. E047) </w:t>
                  </w:r>
                  <w:r>
                    <w:rPr>
                      <w:color w:val="000000"/>
                      <w:szCs w:val="24"/>
                      <w:lang w:eastAsia="lt-LT"/>
                    </w:rPr>
                    <w:t xml:space="preserve">arba formoje Nr. 048/a </w:t>
                  </w:r>
                  <w:r>
                    <w:rPr>
                      <w:color w:val="000000"/>
                      <w:szCs w:val="24"/>
                    </w:rPr>
                    <w:t>(ar formoje Nr. E048)</w:t>
                  </w:r>
                  <w:r>
                    <w:rPr>
                      <w:color w:val="000000"/>
                      <w:szCs w:val="24"/>
                      <w:lang w:eastAsia="lt-LT"/>
                    </w:rPr>
                    <w:t xml:space="preserve"> įrašus turi teisę tikrinti darbdaviui atstovaujantis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bdaf7e5c072d4a8c8e70dbf5cf2b5917"/>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daf7e5c072d4a8c8e70dbf5cf2b5917"/>
                          <w:lock w:val="sdtLocked"/>
                          <w:richText/>
                        </w:sdtPr>
                        <w:sdtContent>
                          <w:r>
                            <w:rPr>
                              <w:color w:val="000000"/>
                              <w:szCs w:val="24"/>
                            </w:rPr>
                            <w:t>35.3</w:t>
                          </w:r>
                        </w:sdtContent>
                      </w:sdt>
                      <w:r>
                        <w:rPr>
                          <w:color w:val="000000"/>
                          <w:szCs w:val="24"/>
                        </w:rPr>
                        <w:t>. gydytojas sveikatos patikrinimus gali skirti dažniau, jei to reikia dėl traukinio mašinisto ar geležinkeliečio sveikatos: jis gali nuspręsti, kad traukinio mašinisto ar geležinkeliečio, turinčio galiojančią išvadą dėl tinkamumo dirbti (formoje Nr. 048/a ar formoje Nr. E048), sveikata turi būti neeilinį kartą patikrinta grįžtant į darbą po ilgo nedarbingumo periodo, jeigu jo nedarbingumas tęsiasi ilgiau kaip 30 dienų, atsižvelgiant į jo nedarbingumo priežastį, ar kitais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24db75b65785484380e55064df5f7ef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rFonts w:eastAsia="Calibri"/>
                      <w:szCs w:val="24"/>
                    </w:rPr>
                  </w:pPr>
                  <w:sdt>
                    <w:sdtPr>
                      <w:alias w:val="Numeris"/>
                      <w:tag w:val="nr_24db75b65785484380e55064df5f7efa"/>
                      <w:lock w:val="sdtLocked"/>
                      <w:richText/>
                    </w:sdtPr>
                    <w:sdtContent>
                      <w:r>
                        <w:rPr>
                          <w:color w:val="000000"/>
                          <w:szCs w:val="24"/>
                        </w:rPr>
                        <w:t>38</w:t>
                      </w:r>
                    </w:sdtContent>
                  </w:sdt>
                  <w:r>
                    <w:rPr>
                      <w:color w:val="000000"/>
                      <w:szCs w:val="24"/>
                    </w:rPr>
                    <w:t>. Jeigu ASPĮ, atliekančioje privalomą sveikatos patikrinimą,</w:t>
                  </w:r>
                  <w:r>
                    <w:rPr>
                      <w:szCs w:val="24"/>
                    </w:rPr>
                    <w:t xml:space="preserve"> gauta darbdaviui atstovaujančio ar jo įgalioto asmens elektroniniu būdu užpildytos formos Nr. E047 ar formos Nr. E048 darbdavio dalis, atlikus </w:t>
                  </w:r>
                  <w:r>
                    <w:rPr>
                      <w:color w:val="000000"/>
                      <w:szCs w:val="24"/>
                    </w:rPr>
                    <w:t xml:space="preserve">Aprašo 4 punkte nurodytų asmenų </w:t>
                  </w:r>
                  <w:r>
                    <w:rPr>
                      <w:szCs w:val="24"/>
                    </w:rPr>
                    <w:t>sveikatos 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8dc116ae5814f97b793174ace06e61e"/>
            <w:lock w:val="sdtLocked"/>
            <w:richText/>
          </w:sdtPr>
          <w:sdtContent>
            <w:p>
              <w:pPr>
                <w:jc w:val="center"/>
                <w:rPr>
                  <w:color w:val="000000"/>
                  <w:szCs w:val="24"/>
                  <w:lang w:eastAsia="lt-LT"/>
                </w:rPr>
              </w:pPr>
              <w:r>
                <w:rPr>
                  <w:color w:val="000000"/>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d9f06a71aefd43cd958038c1762c8543"/>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9"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Pr/>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rPr>
              <w:color w:val="000000"/>
              <w:szCs w:val="24"/>
            </w:rPr>
          </w:pPr>
          <w:r>
            <w:t xml:space="preserve">2. </w:t>
          </w:r>
          <w:r>
            <w:rPr>
              <w:color w:val="000000"/>
              <w:szCs w:val="24"/>
            </w:rPr>
            <w:t>Apie būtinybę dirbti su akiniais, kontaktiniais lęšiais, klausos aparatu, protezu, draudimą dirbti privaloma įrašyti į f</w:t>
          </w:r>
          <w:r>
            <w:rPr>
              <w:color w:val="000000"/>
              <w:szCs w:val="24"/>
              <w:lang w:eastAsia="lt-LT"/>
            </w:rPr>
            <w:t xml:space="preserve">ormą Nr. 047/a </w:t>
          </w:r>
          <w:r>
            <w:rPr>
              <w:color w:val="000000"/>
              <w:szCs w:val="24"/>
            </w:rPr>
            <w:t>(ar formą Nr. E047) arba į formą Nr. 048/a (ar formą Nr. E048).</w:t>
          </w:r>
        </w:p>
        <w:sdt>
          <w:sdtPr>
            <w:alias w:val="pabaiga"/>
            <w:tag w:val="part_427c9a40825445dab7b3aef59832eb0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c5c12852c3664cb19878a10e03f90cb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5c12852c3664cb19878a10e03f90cb8"/>
                      <w:lock w:val="sdtLocked"/>
                      <w:richText/>
                    </w:sdtPr>
                    <w:sdtContent>
                      <w:r>
                        <w:rPr>
                          <w:color w:val="000000"/>
                          <w:szCs w:val="24"/>
                        </w:rPr>
                        <w:t>4</w:t>
                      </w:r>
                    </w:sdtContent>
                  </w:sdt>
                  <w:r>
                    <w:rPr>
                      <w:color w:val="000000"/>
                      <w:szCs w:val="24"/>
                    </w:rPr>
                    <w:t>.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32a4cc2ce30b44ab8c51914a52c15d1f"/>
                <w:lock w:val="sdtLocked"/>
                <w:richText/>
              </w:sdtPr>
              <w:sdtContent>
                <w:p>
                  <w:pPr>
                    <w:widowControl w:val="0"/>
                    <w:suppressAutoHyphens/>
                    <w:ind w:firstLine="567"/>
                    <w:jc w:val="both"/>
                    <w:rPr>
                      <w:color w:val="000000"/>
                    </w:rPr>
                  </w:pPr>
                  <w:sdt>
                    <w:sdtPr>
                      <w:alias w:val="Numeris"/>
                      <w:tag w:val="nr_32a4cc2ce30b44ab8c51914a52c15d1f"/>
                      <w:lock w:val="sdtLocked"/>
                      <w:richText/>
                    </w:sdtPr>
                    <w:sdtContent>
                      <w:r>
                        <w:rPr>
                          <w:color w:val="000000"/>
                          <w:szCs w:val="24"/>
                        </w:rPr>
                        <w:t>7</w:t>
                      </w:r>
                    </w:sdtContent>
                  </w:sdt>
                  <w:r>
                    <w:rPr>
                      <w:color w:val="000000"/>
                      <w:szCs w:val="24"/>
                    </w:rPr>
                    <w:t>. Darbdaviui atstovaujantis ar jo įgaliotas asmuo,</w:t>
                  </w:r>
                  <w:r>
                    <w:rPr>
                      <w:i/>
                      <w:iCs/>
                      <w:color w:val="000000"/>
                      <w:szCs w:val="24"/>
                    </w:rPr>
                    <w:t> </w:t>
                  </w:r>
                  <w:r>
                    <w:rPr>
                      <w:color w:val="000000"/>
                      <w:szCs w:val="24"/>
                    </w:rPr>
                    <w:t>siųsdamas įsidarbinantį ar dirbantį asmenį tikrintis sveikatos, privalo išduoti ir pagal kompetenciją užpildyti „Privalomo sveikatos patikrinimo medicininė</w:t>
                  </w:r>
                  <w:r>
                    <w:rPr>
                      <w:strike/>
                      <w:color w:val="000000"/>
                      <w:szCs w:val="24"/>
                    </w:rPr>
                    <w:t>s</w:t>
                  </w:r>
                  <w:r>
                    <w:rPr>
                      <w:color w:val="000000"/>
                      <w:szCs w:val="24"/>
                    </w:rPr>
                    <w:t xml:space="preserve">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Elektroninės sveikatos paslaugų ir bendradarbiavimo infrastruktūros informacinėje sistemoje (toliau – ESPBI IS) užpildyti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nurodant:</w:t>
                  </w:r>
                  <w:r>
                    <w:t xml:space="preserve"> </w:t>
                  </w:r>
                </w:p>
                <w:p>
                  <w:pPr>
                    <w:widowControl w:val="0"/>
                    <w:suppressAutoHyphens/>
                    <w:ind w:firstLine="567"/>
                    <w:jc w:val="both"/>
                    <w:rPr>
                      <w:color w:val="000000"/>
                    </w:rPr>
                  </w:pPr>
                  <w:r>
                    <w:fldChar w:fldCharType="begin"/>
                  </w:r>
                  <w:r>
                    <w:instrText xml:space="preserve"> HYPERLINK "https</w:instrText>
                  </w:r>
                  <w:r>
                    <w:instrText xml:space="preserve">://www.e-tar.lt/portal/lt/legalAct/TAR.F1D86F455636" \t "_blank" </w:instrText>
                  </w:r>
                  <w:r>
                    <w:fldChar w:fldCharType="separate"/>
                  </w:r>
                  <w:r>
                    <w:rPr>
                      <w:color w:val="0000FF" w:themeColor="hyperlink"/>
                      <w:u w:val="single"/>
                    </w:rPr>
                    <w:fldChar w:fldCharType="end"/>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6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24a1969a2bfb4d88a3796141424a3826"/>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4a1969a2bfb4d88a3796141424a3826"/>
                          <w:lock w:val="sdtLocked"/>
                          <w:richText/>
                        </w:sdtPr>
                        <w:sdtContent>
                          <w:r>
                            <w:rPr>
                              <w:color w:val="000000"/>
                              <w:szCs w:val="24"/>
                              <w:lang w:eastAsia="lt-LT"/>
                            </w:rPr>
                            <w:t>9.2</w:t>
                          </w:r>
                        </w:sdtContent>
                      </w:sdt>
                      <w:r>
                        <w:rPr>
                          <w:color w:val="000000"/>
                          <w:szCs w:val="24"/>
                          <w:lang w:eastAsia="lt-LT"/>
                        </w:rPr>
                        <w:t xml:space="preserve">. darbdaviui atstovaujančio ar jo įgalioto asmens pagal Aprašo 7 punkto nurodymus užpildytą </w:t>
                      </w:r>
                      <w:r>
                        <w:rPr>
                          <w:color w:val="000000"/>
                          <w:szCs w:val="24"/>
                        </w:rPr>
                        <w:t xml:space="preserve">formą </w:t>
                      </w:r>
                      <w:r>
                        <w:rPr>
                          <w:color w:val="000000"/>
                          <w:szCs w:val="24"/>
                          <w:lang w:eastAsia="lt-LT"/>
                        </w:rPr>
                        <w:t xml:space="preserve">Nr. 047/a ar </w:t>
                      </w:r>
                      <w:r>
                        <w:rPr>
                          <w:color w:val="000000"/>
                          <w:szCs w:val="24"/>
                        </w:rPr>
                        <w:t xml:space="preserve">formą </w:t>
                      </w:r>
                      <w:r>
                        <w:rPr>
                          <w:color w:val="000000"/>
                          <w:szCs w:val="24"/>
                          <w:lang w:eastAsia="lt-LT"/>
                        </w:rPr>
                        <w:t xml:space="preserve">Nr. 048/a arba informuoja ASPĮ, </w:t>
                      </w:r>
                      <w:r>
                        <w:rPr>
                          <w:color w:val="000000"/>
                          <w:szCs w:val="24"/>
                        </w:rPr>
                        <w:t>kad darbdaviui atstovaujantis ar jo įgaliotas asmuo ESPBI IS formą Nr. E047 ar formą Nr. E048 užpildė elektroniniu būdu</w:t>
                      </w:r>
                      <w:r>
                        <w:rPr>
                          <w:color w:val="000000"/>
                          <w:szCs w:val="24"/>
                          <w:lang w:eastAsia="lt-LT"/>
                        </w:rPr>
                        <w:t>, kuriose nurodytus profesinės rizikos veiksnius šeimos medicinos paslaugas teikiantis gydytojas arba darbo medicinos gydytojas įrašo į paciento</w:t>
                      </w:r>
                      <w:r>
                        <w:rPr>
                          <w:color w:val="000000"/>
                          <w:szCs w:val="24"/>
                        </w:rPr>
                        <w:t xml:space="preserve"> elektroninį dokumentą E025 „Ambulatorinio apsilankymo aprašymas“ (toliau – forma Nr. E025), nurodytą Elektroninės sveikatos paslaugų ir bendradarbiavimo infrastruktūros informacinės sistemos naudojimo tvarkos aprašo priede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3 p."/>
                    <w:tag w:val="part_48bda42fb75b4ea79b87139ced7ca5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48bda42fb75b4ea79b87139ced7ca5f3"/>
                          <w:lock w:val="sdtLocked"/>
                          <w:richText/>
                        </w:sdtPr>
                        <w:sdtContent>
                          <w:r>
                            <w:rPr>
                              <w:color w:val="000000"/>
                              <w:szCs w:val="24"/>
                              <w:lang w:eastAsia="lt-LT"/>
                            </w:rPr>
                            <w:t>9.3</w:t>
                          </w:r>
                        </w:sdtContent>
                      </w:sdt>
                      <w:r>
                        <w:rPr>
                          <w:color w:val="000000"/>
                          <w:szCs w:val="24"/>
                          <w:lang w:eastAsia="lt-LT"/>
                        </w:rPr>
                        <w:t xml:space="preserve">. jei reikia, </w:t>
                      </w:r>
                      <w:r>
                        <w:rPr>
                          <w:color w:val="000000"/>
                          <w:szCs w:val="24"/>
                        </w:rPr>
                        <w:t>formą Nr. 027/a „Medicinos dokumentų išrašas/siuntimas“ (toliau – forma Nr. 027/a), patvirtintą Lietuvos Respublikos sveikatos apsaugos ministro 2014 m. sausio 27 d. įsakymu Nr. V-120 „Dėl privalomų sveikatos statistikos apskaitos ir kitų tipinių formų bei privalomų sveikatos statistikos ataskaitų formų patvirtinimo“, išduotą gydytojo psichiatro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c418961bc12249fb98eb0f29c3c15b10"/>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2024-10-08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a65127d43b924d68928beace3d0e578e"/>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a65127d43b924d68928beace3d0e578e"/>
                          <w:lock w:val="sdtLocked"/>
                          <w:richText/>
                        </w:sdtPr>
                        <w:sdtContent>
                          <w:r>
                            <w:rPr>
                              <w:color w:val="000000"/>
                              <w:szCs w:val="24"/>
                            </w:rPr>
                            <w:t>10.2</w:t>
                          </w:r>
                        </w:sdtContent>
                      </w:sdt>
                      <w:r>
                        <w:rPr>
                          <w:color w:val="000000"/>
                          <w:szCs w:val="24"/>
                        </w:rPr>
                        <w:t xml:space="preserve">. Formą Nr. 027/a pildydamas gydytojas psichiatras nurodo, kad nėra įregistruota asmeniui teiktų sveikatos priežiūros paslaugų arba nurodomos suteiktos asmens sveikatos priežiūros paslaugos. Pasirašyta forma Nr. 027/a turi būti patvirtinta gydytojo asmeniniu spaudu bei ASPĮ antspaudu. Paciento psichikos sveikatą tikrina </w:t>
                      </w:r>
                      <w:r>
                        <w:rPr>
                          <w:color w:val="000000"/>
                          <w:spacing w:val="2"/>
                          <w:szCs w:val="24"/>
                        </w:rPr>
                        <w:t xml:space="preserve">gydytojas psichiatras, dirbantis paciento pasirinktoje ASPĮ, teikiančioje pirmines ambulatorines psichikos sveikatos priežiūros paslaugas (psichikos sveikatos centre, prie kurio jis yra prisirašęs arba kuriam, kaip aptarnaujančiam </w:t>
                      </w:r>
                      <w:r>
                        <w:rPr>
                          <w:color w:val="000000"/>
                          <w:szCs w:val="24"/>
                        </w:rPr>
                        <w:t xml:space="preserve">ASPĮ, </w:t>
                      </w:r>
                      <w:r>
                        <w:rPr>
                          <w:color w:val="000000"/>
                          <w:spacing w:val="2"/>
                          <w:szCs w:val="24"/>
                        </w:rPr>
                        <w:t>prie kurios jis yra prisirašęs, yra priskirtas)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969a7b4f91f74f4da923f3504c7e3d30"/>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69a7b4f91f74f4da923f3504c7e3d30"/>
                      <w:lock w:val="sdtLocked"/>
                      <w:richText/>
                    </w:sdtPr>
                    <w:sdtContent>
                      <w:r>
                        <w:rPr>
                          <w:color w:val="000000"/>
                          <w:szCs w:val="24"/>
                        </w:rPr>
                        <w:t>11</w:t>
                      </w:r>
                    </w:sdtContent>
                  </w:sdt>
                  <w:r>
                    <w:rPr>
                      <w:color w:val="000000"/>
                      <w:szCs w:val="24"/>
                    </w:rPr>
                    <w:t>. Sveikatos tikrinimo ir tyrimų duomenis bei išvadą dėl profesinio tinkamumo kiekvienas tikrinantis sveikatą gydytojas įrašo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2 p."/>
                <w:tag w:val="part_e6017dafec2b42bc9b6528846b8eab8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6017dafec2b42bc9b6528846b8eab89"/>
                      <w:lock w:val="sdtLocked"/>
                      <w:richText/>
                    </w:sdtPr>
                    <w:sdtContent>
                      <w:r>
                        <w:rPr>
                          <w:color w:val="000000"/>
                          <w:szCs w:val="24"/>
                        </w:rPr>
                        <w:t>12</w:t>
                      </w:r>
                    </w:sdtContent>
                  </w:sdt>
                  <w:r>
                    <w:rPr>
                      <w:color w:val="000000"/>
                      <w:szCs w:val="24"/>
                    </w:rPr>
                    <w:t>. Išvadą dėl darbuotojo profesinio tinkamumo („dirbti gali“ „dirbti gali, bet ribotai“ (nurodant, kaip), „dirbti negali“) įsidarbinančiam – į formą Nr. 047/a (ar formą Nr. E047), dirbančiajam – į formą Nr. 048/a (ar formą Nr. E048) įrašo Aprašo 10.4 papunktyje nurodytas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eb291956967e46549038a277e255779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b291956967e46549038a277e255779f"/>
                      <w:lock w:val="sdtLocked"/>
                      <w:richText/>
                    </w:sdtPr>
                    <w:sdtContent>
                      <w:r>
                        <w:rPr>
                          <w:color w:val="000000"/>
                          <w:szCs w:val="24"/>
                        </w:rPr>
                        <w:t>16</w:t>
                      </w:r>
                    </w:sdtContent>
                  </w:sdt>
                  <w:r>
                    <w:rPr>
                      <w:color w:val="000000"/>
                      <w:szCs w:val="24"/>
                    </w:rPr>
                    <w:t>. Gydytojas, nurodytas Aprašo 10.4 papunktyje, pacientui praneša apie su juo asmeniškai susijusius jo profilaktinio sveikatos tikrinimo rezultatus, taip pat informuoja ir pataria, koks sveikatos tikrinimas reikalingas jam, pasibaigus kenksmingo rizikos veiksnio poveikiui. Gydytojas įrašo į formą Nr. E025, kad suteikė pacientui informaciją, ir nurodo</w:t>
                  </w:r>
                  <w:r>
                    <w:rPr>
                      <w:b/>
                      <w:bCs/>
                      <w:color w:val="000000"/>
                      <w:szCs w:val="24"/>
                    </w:rPr>
                    <w:t>,</w:t>
                  </w:r>
                  <w:r>
                    <w:rPr>
                      <w:color w:val="000000"/>
                      <w:szCs w:val="24"/>
                    </w:rPr>
                    <w:t xml:space="preserve"> kokią.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6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6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3 pr. 19.3 pp."/>
                    <w:tag w:val="part_b96c42fcf15d4169a0fe0e910a61fb3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b96c42fcf15d4169a0fe0e910a61fb38"/>
                          <w:lock w:val="sdtLocked"/>
                          <w:richText/>
                        </w:sdtPr>
                        <w:sdtContent>
                          <w:r>
                            <w:rPr>
                              <w:color w:val="000000"/>
                              <w:szCs w:val="24"/>
                            </w:rPr>
                            <w:t>19.3</w:t>
                          </w:r>
                        </w:sdtContent>
                      </w:sdt>
                      <w:r>
                        <w:rPr>
                          <w:color w:val="000000"/>
                          <w:szCs w:val="24"/>
                        </w:rPr>
                        <w:t xml:space="preserve">. dėl asmenų su negalia </w:t>
                      </w:r>
                      <w:r>
                        <w:rPr>
                          <w:szCs w:val="24"/>
                        </w:rPr>
                        <w:t xml:space="preserve">ar asmenų, netekusių dalies darbingumo, </w:t>
                      </w:r>
                      <w:r>
                        <w:rPr>
                          <w:color w:val="000000"/>
                          <w:szCs w:val="24"/>
                        </w:rPr>
                        <w:t>galimybės dirbti konkretų darbą sprendžia Aprašo 10.4 papunktyje nurodytas gydytojas, gavęs Asmens su negalia teisių apsaugos agentūros prie Lietuvos Respublikos socialinės apsaugos ir darbo ministerijos rekomendacijas ir atitinkamos profesinės kvalifikacijos gydytojo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6fe199d2046d4464a9a88571df9276e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6fe199d2046d4464a9a88571df9276ed"/>
                      <w:lock w:val="sdtLocked"/>
                      <w:richText/>
                    </w:sdtPr>
                    <w:sdtContent>
                      <w:r>
                        <w:rPr>
                          <w:color w:val="000000"/>
                          <w:szCs w:val="24"/>
                        </w:rPr>
                        <w:t>22</w:t>
                      </w:r>
                    </w:sdtContent>
                  </w:sdt>
                  <w:r>
                    <w:rPr>
                      <w:color w:val="000000"/>
                      <w:szCs w:val="24"/>
                    </w:rPr>
                    <w:t>. Kiekvienas sveikatą tikrinantis gydytojas atsako už sveikatos tikrinimo kokybę ir įrašo tikrinimo rezultatus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192ea6384b5a4f40a7fcc02496f0d6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92ea6384b5a4f40a7fcc02496f0d619"/>
                      <w:lock w:val="sdtLocked"/>
                      <w:richText/>
                    </w:sdtPr>
                    <w:sdtContent>
                      <w:r>
                        <w:rPr>
                          <w:color w:val="000000"/>
                          <w:szCs w:val="24"/>
                        </w:rPr>
                        <w:t>25</w:t>
                      </w:r>
                    </w:sdtContent>
                  </w:sdt>
                  <w:r>
                    <w:rPr>
                      <w:color w:val="000000"/>
                      <w:szCs w:val="24"/>
                    </w:rPr>
                    <w:t>. Atlikus privalomą profilaktinį sveikatos patikrinimą forma Nr. 047/a arba forma Nr.048/a išduodama asmeniui, kuris pats ją pateikia darbdaviui atstovaujančiam ar jo įgaliotam asmeniui. Jeigu ASPĮ, atliekančioje privalomą sveikatos patikrinimą,</w:t>
                  </w:r>
                  <w:r>
                    <w:rPr>
                      <w:b/>
                      <w:bCs/>
                      <w:szCs w:val="24"/>
                    </w:rPr>
                    <w:t xml:space="preserve"> </w:t>
                  </w:r>
                  <w:r>
                    <w:rPr>
                      <w:szCs w:val="24"/>
                    </w:rPr>
                    <w:t xml:space="preserve">gauta darbdaviui atstovaujančio ar jo įgalioto asmens elektroniniu būdu užpildytos formos Nr. E047 ar formos Nr. E048 darbdavio dalis, atlikus </w:t>
                  </w:r>
                  <w:r>
                    <w:rPr>
                      <w:color w:val="000000"/>
                      <w:szCs w:val="24"/>
                    </w:rPr>
                    <w:t>privalomą profilaktinį</w:t>
                  </w:r>
                  <w:r>
                    <w:rPr>
                      <w:b/>
                      <w:bCs/>
                      <w:color w:val="000000"/>
                      <w:szCs w:val="24"/>
                    </w:rPr>
                    <w:t xml:space="preserve"> </w:t>
                  </w:r>
                  <w:r>
                    <w:rPr>
                      <w:szCs w:val="24"/>
                    </w:rPr>
                    <w:t>sveikatos patikrinimą,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6 p."/>
                <w:tag w:val="part_2343db4f87854c02bf94ee33b551d36c"/>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343db4f87854c02bf94ee33b551d36c"/>
                      <w:lock w:val="sdtLocked"/>
                      <w:richText/>
                    </w:sdtPr>
                    <w:sdtContent>
                      <w:r>
                        <w:rPr>
                          <w:color w:val="000000"/>
                          <w:szCs w:val="24"/>
                        </w:rPr>
                        <w:t>26</w:t>
                      </w:r>
                    </w:sdtContent>
                  </w:sdt>
                  <w:r>
                    <w:rPr>
                      <w:color w:val="000000"/>
                      <w:szCs w:val="24"/>
                    </w:rPr>
                    <w:t xml:space="preserve">. </w:t>
                  </w:r>
                  <w:r>
                    <w:rPr>
                      <w:szCs w:val="24"/>
                    </w:rPr>
                    <w:t>Formos Nr. 047/a, Nr.048/a, Nr. E047, Nr. E048 saugomos Bendrųjų dokumentų saugojimo terminų rodyklėje, patvirtintoje Lietuvos vyriausiojo archyvaro 2011 m. kovo 9 d. įsakymu Nr. V-100 „Dėl Bendrųjų dokumentų saugojimo terminų rodyklės patvirtinimo“, nustatyta tvarka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90a81f93255b488390317978c46725a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0a81f93255b488390317978c46725a4"/>
                      <w:lock w:val="sdtLocked"/>
                      <w:richText/>
                    </w:sdtPr>
                    <w:sdtContent>
                      <w:r>
                        <w:rPr>
                          <w:color w:val="000000"/>
                          <w:szCs w:val="24"/>
                        </w:rPr>
                        <w:t>28</w:t>
                      </w:r>
                    </w:sdtContent>
                  </w:sdt>
                  <w:r>
                    <w:rPr>
                      <w:color w:val="000000"/>
                      <w:szCs w:val="24"/>
                    </w:rPr>
                    <w:t>. Sveikatos tikrinimo ir jo dokumentacijos kontrolę gali vykdyti ASPĮ vadovai ar jų įgalioti asmenys. Formos Nr. 047/a (ar formos Nr. E047) ir formos Nr. 048/a (ar formos Nr. E048) įrašus turi teisę tikrinti darbdavys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45766f2e2e1f4880a4b0132b5970d7ed"/>
                <w:lock w:val="sdtLocked"/>
                <w:richText/>
              </w:sdtPr>
              <w:sdtContent>
                <w:p>
                  <w:pPr>
                    <w:ind w:firstLine="567"/>
                    <w:jc w:val="both"/>
                    <w:rPr>
                      <w:color w:val="000000"/>
                    </w:rPr>
                  </w:pPr>
                  <w:sdt>
                    <w:sdtPr>
                      <w:alias w:val="Numeris"/>
                      <w:tag w:val="nr_45766f2e2e1f4880a4b0132b5970d7ed"/>
                      <w:lock w:val="sdtLocked"/>
                      <w:richText/>
                    </w:sdtPr>
                    <w:sdtContent>
                      <w:r>
                        <w:rPr>
                          <w:color w:val="000000"/>
                          <w:szCs w:val="24"/>
                        </w:rPr>
                        <w:t>30</w:t>
                      </w:r>
                    </w:sdtContent>
                  </w:sdt>
                  <w:r>
                    <w:rPr>
                      <w:color w:val="000000"/>
                      <w:szCs w:val="24"/>
                    </w:rPr>
                    <w:t>. Įrašų apie sveikatos būklę informacija turi būti tęstinė. Jei darbuotojui buvo išduota forma Nr. 048/a, darbdaviui atstovaujantis ar jo įgaliotas asmuo, atleisdamas jį iš darbo, turi pasilikti formos Nr. 048/a patvirtintą kopiją, o formos Nr. 048/a originalą atiduoti darbuotojui, kuris įsidarbindamas pateikia jį naujam darbdaviui. Jei ESPBI IS buvo užpildyta forma Nr. E048 elektroniniu būdu, po paskutinio sveikatos patikrinimo įsidarbinantis asmuo naujam darbdaviui pateikia atspausdintą formos Nr. E048 kopiją arba ESPBI IS suformuoja peržiūros kodą.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1" w:tgtFrame="_blank" w:history="1">
                          <w:r>
                            <w:rPr>
                              <w:color w:val="0000FF" w:themeColor="hyperlink"/>
                              <w:sz w:val="18"/>
                              <w:szCs w:val="18"/>
                              <w:u w:val="single"/>
                            </w:rPr>
                            <w:t>47-1365</w:t>
                          </w:r>
                        </w:hyperlink>
                        <w:r>
                          <w:rPr>
                            <w:sz w:val="18"/>
                            <w:szCs w:val="18"/>
                          </w:rPr>
                          <w:t xml:space="preserve">; 2005, Nr. </w:t>
                        </w:r>
                        <w:hyperlink r:id="rId72" w:tgtFrame="_blank" w:history="1">
                          <w:r>
                            <w:rPr>
                              <w:color w:val="0000FF" w:themeColor="hyperlink"/>
                              <w:sz w:val="18"/>
                              <w:szCs w:val="18"/>
                              <w:u w:val="single"/>
                            </w:rPr>
                            <w:t>128-4637</w:t>
                          </w:r>
                        </w:hyperlink>
                        <w:r>
                          <w:rPr>
                            <w:sz w:val="18"/>
                            <w:szCs w:val="18"/>
                          </w:rPr>
                          <w:t xml:space="preserve">; 2008, Nr. </w:t>
                        </w:r>
                        <w:hyperlink r:id="rId7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74" w:tgtFrame="_blank" w:history="1">
                          <w:r>
                            <w:rPr>
                              <w:color w:val="0000FF" w:themeColor="hyperlink"/>
                              <w:sz w:val="18"/>
                              <w:szCs w:val="18"/>
                              <w:u w:val="single"/>
                            </w:rPr>
                            <w:t>47-1365</w:t>
                          </w:r>
                        </w:hyperlink>
                        <w:r>
                          <w:rPr>
                            <w:sz w:val="18"/>
                            <w:szCs w:val="18"/>
                          </w:rPr>
                          <w:t xml:space="preserve">; 2005, Nr. </w:t>
                        </w:r>
                        <w:hyperlink r:id="rId75" w:tgtFrame="_blank" w:history="1">
                          <w:r>
                            <w:rPr>
                              <w:color w:val="0000FF" w:themeColor="hyperlink"/>
                              <w:sz w:val="18"/>
                              <w:szCs w:val="18"/>
                              <w:u w:val="single"/>
                            </w:rPr>
                            <w:t>128-4637</w:t>
                          </w:r>
                        </w:hyperlink>
                        <w:r>
                          <w:rPr>
                            <w:sz w:val="18"/>
                            <w:szCs w:val="18"/>
                          </w:rPr>
                          <w:t xml:space="preserve">; 2008, Nr. </w:t>
                        </w:r>
                        <w:hyperlink r:id="rId7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1"/>
              <w:headerReference w:type="first" r:id="rId52"/>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9 pr."/>
        <w:tag w:val="part_53cf551dfe634e139bc01a235fa94131"/>
        <w:lock w:val="sdtLocked"/>
        <w:richText/>
      </w:sdtPr>
      <w:sdtContent>
        <w:p>
          <w:pPr>
            <w:keepNext/>
            <w:ind w:left="6210" w:firstLine="270"/>
            <w:jc w:val="both"/>
            <w:sectPr>
              <w:headerReference w:type="even" r:id="rId120"/>
              <w:headerReference w:type="default" r:id="rId121"/>
              <w:footerReference w:type="even" r:id="rId122"/>
              <w:footerReference w:type="default" r:id="rId123"/>
              <w:headerReference w:type="first" r:id="rId124"/>
              <w:footerReference w:type="first" r:id="rId125"/>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53cf551dfe634e139bc01a235fa94131"/>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53cf551dfe634e139bc01a235fa94131"/>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19 priedo 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13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14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15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16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27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28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29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30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31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fe2fc0837e11eea5a28c81c82193a8">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2023-11-15,
paskelbta TAR 2023-11-15, i. k. 2023-21992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5ed8c092cc11eea5a28c81c82193a8">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2023-12-04,
paskelbta TAR 2023-12-04, i. k. 2023-23483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eec50b68911eea5a28c81c82193a8">
            <w:r w:rsidRPr="00532B9F">
              <w:rPr>
                <w:rFonts w:ascii="Times New Roman" w:eastAsia="MS Mincho" w:hAnsi="Times New Roman"/>
                <w:sz w:val="20"/>
                <w:iCs/>
                <w:color w:val="0000FF" w:themeColor="hyperlink"/>
                <w:u w:val="single"/>
              </w:rPr>
              <w:t>V-62</w:t>
            </w:r>
          </w:fldSimple>
          <w:r>
            <w:rPr>
              <w:rFonts w:ascii="Times New Roman" w:eastAsia="MS Mincho" w:hAnsi="Times New Roman"/>
              <w:sz w:val="20"/>
              <w:iCs/>
            </w:rPr>
            <w:t>,
2024-01-19,
paskelbta TAR 2024-01-19, i. k. 2024-00826                </w:t>
          </w:r>
        </w:p>
        <w:p>
          <w:pPr>
            <w:jc w:val="both"/>
            <w:rPr>
              <w:rFonts w:ascii="Times New Roman" w:hAnsi="Times New Roman"/>
            </w:rPr>
          </w:pPr>
          <w:r>
            <w:rPr>
              <w:rFonts w:ascii="Times New Roman" w:hAnsi="Times New Roman"/>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742710121811efbcbfb318996800a8">
            <w:r w:rsidRPr="00532B9F">
              <w:rPr>
                <w:rFonts w:ascii="Times New Roman" w:eastAsia="MS Mincho" w:hAnsi="Times New Roman"/>
                <w:sz w:val="20"/>
                <w:iCs/>
                <w:color w:val="0000FF" w:themeColor="hyperlink"/>
                <w:u w:val="single"/>
              </w:rPr>
              <w:t>V-530</w:t>
            </w:r>
          </w:fldSimple>
          <w:r>
            <w:rPr>
              <w:rFonts w:ascii="Times New Roman" w:eastAsia="MS Mincho" w:hAnsi="Times New Roman"/>
              <w:sz w:val="20"/>
              <w:iCs/>
            </w:rPr>
            <w:t>,
2024-05-13,
paskelbta TAR 2024-05-15, i. k. 2024-08858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c1d914846111efabdbb4a1fc8b0b63">
            <w:r w:rsidRPr="00532B9F">
              <w:rPr>
                <w:rFonts w:ascii="Times New Roman" w:eastAsia="MS Mincho" w:hAnsi="Times New Roman"/>
                <w:sz w:val="20"/>
                <w:iCs/>
                <w:color w:val="0000FF" w:themeColor="hyperlink"/>
                <w:u w:val="single"/>
              </w:rPr>
              <w:t>V-966</w:t>
            </w:r>
          </w:fldSimple>
          <w:r>
            <w:rPr>
              <w:rFonts w:ascii="Times New Roman" w:eastAsia="MS Mincho" w:hAnsi="Times New Roman"/>
              <w:sz w:val="20"/>
              <w:iCs/>
            </w:rPr>
            <w:t>,
2024-10-07,
paskelbta TAR 2024-10-07, i. k. 2024-17546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9</w:t>
    </w:r>
    <w:r>
      <w:rPr>
        <w:sz w:val="22"/>
        <w:szCs w:val="22"/>
      </w:rPr>
      <w:fldChar w:fldCharType="end"/>
    </w:r>
  </w:p>
  <w:p>
    <w:pPr>
      <w:tabs>
        <w:tab w:val="center" w:pos="4819"/>
        <w:tab w:val="right" w:pos="9638"/>
      </w:tabs>
      <w:rPr>
        <w:sz w:val="22"/>
        <w:szCs w:val="22"/>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56</w:t>
    </w:r>
    <w:r>
      <w:fldChar w:fldCharType="end"/>
    </w: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8545"/>
    <o:shapelayout v:ext="edit">
      <o:idmap v:ext="edit" data="1"/>
    </o:shapelayout>
  </w:shapeDefaults>
  <w:decimalSymbol w:val=","/>
  <w:listSeparator w:val=";"/>
  <w14:docId w14:val="59969167"/>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60.xml"/>
  <Relationship Id="rId10" Type="http://schemas.openxmlformats.org/officeDocument/2006/relationships/webSettings" Target="webSettings.xml"/>
  <Relationship Id="rId100" Type="http://schemas.openxmlformats.org/officeDocument/2006/relationships/image" Target="media/image590.png"/>
  <Relationship Id="rId101" Type="http://schemas.openxmlformats.org/officeDocument/2006/relationships/image" Target="media/image591.png"/>
  <Relationship Id="rId102" Type="http://schemas.openxmlformats.org/officeDocument/2006/relationships/image" Target="media/image592.png"/>
  <Relationship Id="rId103" Type="http://schemas.openxmlformats.org/officeDocument/2006/relationships/image" Target="media/image593.png"/>
  <Relationship Id="rId104" Type="http://schemas.openxmlformats.org/officeDocument/2006/relationships/image" Target="media/image594.png"/>
  <Relationship Id="rId105" Type="http://schemas.openxmlformats.org/officeDocument/2006/relationships/image" Target="media/image595.png"/>
  <Relationship Id="rId106" Type="http://schemas.openxmlformats.org/officeDocument/2006/relationships/image" Target="media/image596.png"/>
  <Relationship Id="rId107" Type="http://schemas.openxmlformats.org/officeDocument/2006/relationships/image" Target="media/image597.png"/>
  <Relationship Id="rId108" Type="http://schemas.openxmlformats.org/officeDocument/2006/relationships/image" Target="media/image598.png"/>
  <Relationship Id="rId109" Type="http://schemas.openxmlformats.org/officeDocument/2006/relationships/image" Target="media/image599.png"/>
  <Relationship Id="rId11" Type="http://schemas.openxmlformats.org/officeDocument/2006/relationships/image" Target="media/image3.wmf"/>
  <Relationship Id="rId110" Type="http://schemas.openxmlformats.org/officeDocument/2006/relationships/image" Target="media/image600.png"/>
  <Relationship Id="rId111" Type="http://schemas.openxmlformats.org/officeDocument/2006/relationships/image" Target="media/image601.png"/>
  <Relationship Id="rId112" Type="http://schemas.openxmlformats.org/officeDocument/2006/relationships/image" Target="media/image602.png"/>
  <Relationship Id="rId113" Type="http://schemas.openxmlformats.org/officeDocument/2006/relationships/image" Target="media/image603.png"/>
  <Relationship Id="rId114" Type="http://schemas.openxmlformats.org/officeDocument/2006/relationships/image" Target="media/image604.png"/>
  <Relationship Id="rId115" Type="http://schemas.openxmlformats.org/officeDocument/2006/relationships/image" Target="media/image605.png"/>
  <Relationship Id="rId116" Type="http://schemas.openxmlformats.org/officeDocument/2006/relationships/image" Target="media/image606.png"/>
  <Relationship Id="rId117" Type="http://schemas.openxmlformats.org/officeDocument/2006/relationships/image" Target="media/image607.png"/>
  <Relationship Id="rId118" Type="http://schemas.openxmlformats.org/officeDocument/2006/relationships/image" Target="media/image608.png"/>
  <Relationship Id="rId119" Type="http://schemas.openxmlformats.org/officeDocument/2006/relationships/hyperlink" TargetMode="External" Target="https://www.e-tar.lt/portal/lt/legalAct/TAR.668CEF058FF8"/>
  <Relationship Id="rId12" Type="http://schemas.openxmlformats.org/officeDocument/2006/relationships/hyperlink" TargetMode="External" Target="https://www.e-tar.lt/portal/lt/legalAct/TAR.C337D779A343"/>
  <Relationship Id="rId120" Type="http://schemas.openxmlformats.org/officeDocument/2006/relationships/header" Target="header480.xml"/>
  <Relationship Id="rId121" Type="http://schemas.openxmlformats.org/officeDocument/2006/relationships/header" Target="header481.xml"/>
  <Relationship Id="rId122" Type="http://schemas.openxmlformats.org/officeDocument/2006/relationships/footer" Target="footer319.xml"/>
  <Relationship Id="rId123" Type="http://schemas.openxmlformats.org/officeDocument/2006/relationships/footer" Target="footer320.xml"/>
  <Relationship Id="rId124" Type="http://schemas.openxmlformats.org/officeDocument/2006/relationships/header" Target="header482.xml"/>
  <Relationship Id="rId125" Type="http://schemas.openxmlformats.org/officeDocument/2006/relationships/footer" Target="footer321.xml"/>
  <Relationship Id="rId126" Type="http://schemas.openxmlformats.org/officeDocument/2006/relationships/customXml" Target="../customXml/item1.xml"/>
  <Relationship Id="rId13" Type="http://schemas.openxmlformats.org/officeDocument/2006/relationships/hyperlink" TargetMode="External" Target="https://www.e-tar.lt/portal/lt/legalAct/TAR.A92EEEEF018C"/>
  <Relationship Id="rId14" Type="http://schemas.openxmlformats.org/officeDocument/2006/relationships/hyperlink" TargetMode="External" Target="https://www.e-tar.lt/portal/lt/legalAct/TAR.0BBFE299C915"/>
  <Relationship Id="rId15" Type="http://schemas.openxmlformats.org/officeDocument/2006/relationships/hyperlink" TargetMode="External" Target="https://www.e-tar.lt/portal/lt/legalAct/TAR.C925EFE595C1"/>
  <Relationship Id="rId16" Type="http://schemas.openxmlformats.org/officeDocument/2006/relationships/hyperlink" TargetMode="External" Target="https://www.e-tar.lt/portal/lt/legalAct/TAR.E572CC3872E1"/>
  <Relationship Id="rId17" Type="http://schemas.openxmlformats.org/officeDocument/2006/relationships/hyperlink" TargetMode="External" Target="https://www.e-tar.lt/portal/lt/legalAct/TAR.AB76E5928C64"/>
  <Relationship Id="rId18" Type="http://schemas.openxmlformats.org/officeDocument/2006/relationships/header" Target="header121.xml"/>
  <Relationship Id="rId19" Type="http://schemas.openxmlformats.org/officeDocument/2006/relationships/header" Target="header122.xml"/>
  <Relationship Id="rId2" Type="http://schemas.openxmlformats.org/officeDocument/2006/relationships/header" Target="header61.xml"/>
  <Relationship Id="rId20" Type="http://schemas.openxmlformats.org/officeDocument/2006/relationships/footer" Target="footer100.xml"/>
  <Relationship Id="rId21" Type="http://schemas.openxmlformats.org/officeDocument/2006/relationships/footer" Target="footer101.xml"/>
  <Relationship Id="rId22" Type="http://schemas.openxmlformats.org/officeDocument/2006/relationships/header" Target="header123.xml"/>
  <Relationship Id="rId23" Type="http://schemas.openxmlformats.org/officeDocument/2006/relationships/footer" Target="footer102.xml"/>
  <Relationship Id="rId24" Type="http://schemas.openxmlformats.org/officeDocument/2006/relationships/hyperlink" TargetMode="External" Target="https://www.e-tar.lt/portal/lt/legalAct/TAR.21897F4DD271"/>
  <Relationship Id="rId25" Type="http://schemas.openxmlformats.org/officeDocument/2006/relationships/hyperlink" TargetMode="External" Target="https://www.e-tar.lt/portal/lt/legalAct/TAR.22504E4941B4"/>
  <Relationship Id="rId26" Type="http://schemas.openxmlformats.org/officeDocument/2006/relationships/hyperlink" TargetMode="External" Target="http://www3.lrs.lt/cgi-bin/preps2?a=92894&amp;b="/>
  <Relationship Id="rId27" Type="http://schemas.openxmlformats.org/officeDocument/2006/relationships/hyperlink" TargetMode="External" Target="http://www3.lrs.lt/cgi-bin/preps2?a=76692&amp;b="/>
  <Relationship Id="rId28" Type="http://schemas.openxmlformats.org/officeDocument/2006/relationships/hyperlink" TargetMode="External" Target="http://www3.lrs.lt/cgi-bin/preps2?a=76692&amp;b="/>
  <Relationship Id="rId29" Type="http://schemas.openxmlformats.org/officeDocument/2006/relationships/header" Target="header169.xml"/>
  <Relationship Id="rId3" Type="http://schemas.openxmlformats.org/officeDocument/2006/relationships/endnotes" Target="endnotes.xml"/>
  <Relationship Id="rId30" Type="http://schemas.openxmlformats.org/officeDocument/2006/relationships/header" Target="header170.xml"/>
  <Relationship Id="rId31" Type="http://schemas.openxmlformats.org/officeDocument/2006/relationships/footer" Target="footer148.xml"/>
  <Relationship Id="rId32" Type="http://schemas.openxmlformats.org/officeDocument/2006/relationships/footer" Target="footer149.xml"/>
  <Relationship Id="rId33" Type="http://schemas.openxmlformats.org/officeDocument/2006/relationships/header" Target="header171.xml"/>
  <Relationship Id="rId34" Type="http://schemas.openxmlformats.org/officeDocument/2006/relationships/footer" Target="footer150.xml"/>
  <Relationship Id="rId35" Type="http://schemas.openxmlformats.org/officeDocument/2006/relationships/header" Target="header289.xml"/>
  <Relationship Id="rId36" Type="http://schemas.openxmlformats.org/officeDocument/2006/relationships/header" Target="header290.xml"/>
  <Relationship Id="rId37" Type="http://schemas.openxmlformats.org/officeDocument/2006/relationships/footer" Target="footer268.xml"/>
  <Relationship Id="rId38" Type="http://schemas.openxmlformats.org/officeDocument/2006/relationships/footer" Target="footer269.xml"/>
  <Relationship Id="rId39" Type="http://schemas.openxmlformats.org/officeDocument/2006/relationships/header" Target="header291.xml"/>
  <Relationship Id="rId4" Type="http://schemas.openxmlformats.org/officeDocument/2006/relationships/fontTable" Target="fontTable.xml"/>
  <Relationship Id="rId40" Type="http://schemas.openxmlformats.org/officeDocument/2006/relationships/footer" Target="footer270.xml"/>
  <Relationship Id="rId41" Type="http://schemas.openxmlformats.org/officeDocument/2006/relationships/hyperlink" TargetMode="External" Target="https://www.e-tar.lt/portal/lt/legalAct/TAR.3394CBFC359C"/>
  <Relationship Id="rId42" Type="http://schemas.openxmlformats.org/officeDocument/2006/relationships/hyperlink" TargetMode="External" Target="http://www3.lrs.lt/cgi-bin/preps2?a=51605&amp;b="/>
  <Relationship Id="rId43" Type="http://schemas.openxmlformats.org/officeDocument/2006/relationships/hyperlink" TargetMode="External" Target="https://www.e-tar.lt/portal/lt/legalAct/TAR.B7D7BAACDE6B"/>
  <Relationship Id="rId44" Type="http://schemas.openxmlformats.org/officeDocument/2006/relationships/hyperlink" TargetMode="External" Target="http://www3.lrs.lt/cgi-bin/preps2?a=69596&amp;b="/>
  <Relationship Id="rId45" Type="http://schemas.openxmlformats.org/officeDocument/2006/relationships/header" Target="header301.xml"/>
  <Relationship Id="rId46" Type="http://schemas.openxmlformats.org/officeDocument/2006/relationships/header" Target="header302.xml"/>
  <Relationship Id="rId47" Type="http://schemas.openxmlformats.org/officeDocument/2006/relationships/footer" Target="footer280.xml"/>
  <Relationship Id="rId48" Type="http://schemas.openxmlformats.org/officeDocument/2006/relationships/footer" Target="footer281.xml"/>
  <Relationship Id="rId49" Type="http://schemas.openxmlformats.org/officeDocument/2006/relationships/header" Target="header303.xml"/>
  <Relationship Id="rId5" Type="http://schemas.openxmlformats.org/officeDocument/2006/relationships/footnotes" Target="footnotes.xml"/>
  <Relationship Id="rId50" Type="http://schemas.openxmlformats.org/officeDocument/2006/relationships/footer" Target="footer282.xml"/>
  <Relationship Id="rId51" Type="http://schemas.openxmlformats.org/officeDocument/2006/relationships/header" Target="header330.xml"/>
  <Relationship Id="rId52" Type="http://schemas.openxmlformats.org/officeDocument/2006/relationships/header" Target="header331.xml"/>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eader" Target="header332.xml"/>
  <Relationship Id="rId58" Type="http://schemas.openxmlformats.org/officeDocument/2006/relationships/header" Target="header333.xml"/>
  <Relationship Id="rId59" Type="http://schemas.openxmlformats.org/officeDocument/2006/relationships/footer" Target="footer307.xml"/>
  <Relationship Id="rId6" Type="http://schemas.openxmlformats.org/officeDocument/2006/relationships/hyperlink" TargetMode="External" Target="https://www.e-tar.lt/portal/lt/legalAct/TAR.668CEF058FF8"/>
  <Relationship Id="rId60" Type="http://schemas.openxmlformats.org/officeDocument/2006/relationships/footer" Target="footer308.xml"/>
  <Relationship Id="rId61" Type="http://schemas.openxmlformats.org/officeDocument/2006/relationships/header" Target="header334.xml"/>
  <Relationship Id="rId62" Type="http://schemas.openxmlformats.org/officeDocument/2006/relationships/footer" Target="footer309.xml"/>
  <Relationship Id="rId63" Type="http://schemas.openxmlformats.org/officeDocument/2006/relationships/hyperlink" TargetMode="External" Target="https://www.e-tar.lt/portal/lt/legalAct/TAR.751B6F8BF451"/>
  <Relationship Id="rId64" Type="http://schemas.openxmlformats.org/officeDocument/2006/relationships/hyperlink" TargetMode="External" Target="https://www.e-tar.lt/portal/lt/legalAct/TAR.313208361D5D"/>
  <Relationship Id="rId65" Type="http://schemas.openxmlformats.org/officeDocument/2006/relationships/hyperlink" TargetMode="External" Target="https://www.e-tar.lt/portal/lt/legalAct/TAR.64EB889A3B24"/>
  <Relationship Id="rId66" Type="http://schemas.openxmlformats.org/officeDocument/2006/relationships/hyperlink" TargetMode="External" Target="https://www.e-tar.lt/portal/lt/legalAct/TAR.5ED52629C3C4"/>
  <Relationship Id="rId67" Type="http://schemas.openxmlformats.org/officeDocument/2006/relationships/hyperlink" TargetMode="External" Target="https://www.e-tar.lt/portal/lt/legalAct/TAR.0630DF325F2F"/>
  <Relationship Id="rId68" Type="http://schemas.openxmlformats.org/officeDocument/2006/relationships/hyperlink" TargetMode="External" Target="https://www.e-tar.lt/portal/lt/legalAct/TAR.04551A50A76D"/>
  <Relationship Id="rId69" Type="http://schemas.openxmlformats.org/officeDocument/2006/relationships/hyperlink" TargetMode="External" Target="https://www.e-tar.lt/portal/lt/legalAct/TAR.C6E4170DB704"/>
  <Relationship Id="rId7" Type="http://schemas.openxmlformats.org/officeDocument/2006/relationships/settings" Target="settings.xml"/>
  <Relationship Id="rId70" Type="http://schemas.openxmlformats.org/officeDocument/2006/relationships/hyperlink" TargetMode="External" Target="https://www.e-tar.lt/portal/lt/legalAct/TAR.DC61D74561C5"/>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9A2A80746DED"/>
  <Relationship Id="rId73" Type="http://schemas.openxmlformats.org/officeDocument/2006/relationships/hyperlink" TargetMode="External" Target="https://www.e-tar.lt/portal/lt/legalAct/TAR.F7E759DF5DFE"/>
  <Relationship Id="rId74" Type="http://schemas.openxmlformats.org/officeDocument/2006/relationships/hyperlink" TargetMode="External" Target="https://www.e-tar.lt/portal/lt/legalAct/TAR.DC61D74561C5"/>
  <Relationship Id="rId75" Type="http://schemas.openxmlformats.org/officeDocument/2006/relationships/hyperlink" TargetMode="External" Target="https://www.e-tar.lt/portal/lt/legalAct/TAR.9A2A80746DED"/>
  <Relationship Id="rId76" Type="http://schemas.openxmlformats.org/officeDocument/2006/relationships/hyperlink" TargetMode="External" Target="https://www.e-tar.lt/portal/lt/legalAct/TAR.F7E759DF5DFE"/>
  <Relationship Id="rId77" Type="http://schemas.openxmlformats.org/officeDocument/2006/relationships/hyperlink" TargetMode="External" Target="https://www.e-tar.lt/portal/lt/legalAct/TAR.C6E4170DB704"/>
  <Relationship Id="rId78" Type="http://schemas.openxmlformats.org/officeDocument/2006/relationships/hyperlink" TargetMode="External" Target="https://www.e-tar.lt/portal/lt/legalAct/TAR.6CFC2AC8617C"/>
  <Relationship Id="rId79" Type="http://schemas.openxmlformats.org/officeDocument/2006/relationships/hyperlink" TargetMode="External" Target="https://www.e-tar.lt/portal/lt/legalAct/TAR.9BB254501DB8"/>
  <Relationship Id="rId8" Type="http://schemas.openxmlformats.org/officeDocument/2006/relationships/styles" Target="styles.xml"/>
  <Relationship Id="rId80" Type="http://schemas.openxmlformats.org/officeDocument/2006/relationships/header" Target="header360.xml"/>
  <Relationship Id="rId81" Type="http://schemas.openxmlformats.org/officeDocument/2006/relationships/header" Target="header361.xml"/>
  <Relationship Id="rId82" Type="http://schemas.openxmlformats.org/officeDocument/2006/relationships/header" Target="header416.xml"/>
  <Relationship Id="rId83" Type="http://schemas.openxmlformats.org/officeDocument/2006/relationships/header" Target="header417.xml"/>
  <Relationship Id="rId84" Type="http://schemas.openxmlformats.org/officeDocument/2006/relationships/header" Target="header474.xml"/>
  <Relationship Id="rId85" Type="http://schemas.openxmlformats.org/officeDocument/2006/relationships/header" Target="header475.xml"/>
  <Relationship Id="rId86" Type="http://schemas.openxmlformats.org/officeDocument/2006/relationships/header" Target="header476.xml"/>
  <Relationship Id="rId87" Type="http://schemas.openxmlformats.org/officeDocument/2006/relationships/image" Target="media/image577.png"/>
  <Relationship Id="rId88" Type="http://schemas.openxmlformats.org/officeDocument/2006/relationships/image" Target="media/image578.png"/>
  <Relationship Id="rId89" Type="http://schemas.openxmlformats.org/officeDocument/2006/relationships/image" Target="media/image579.png"/>
  <Relationship Id="rId9" Type="http://schemas.openxmlformats.org/officeDocument/2006/relationships/theme" Target="theme/theme1.xml"/>
  <Relationship Id="rId90" Type="http://schemas.openxmlformats.org/officeDocument/2006/relationships/image" Target="media/image580.png"/>
  <Relationship Id="rId91" Type="http://schemas.openxmlformats.org/officeDocument/2006/relationships/image" Target="media/image581.png"/>
  <Relationship Id="rId92" Type="http://schemas.openxmlformats.org/officeDocument/2006/relationships/image" Target="media/image582.png"/>
  <Relationship Id="rId93" Type="http://schemas.openxmlformats.org/officeDocument/2006/relationships/image" Target="media/image583.png"/>
  <Relationship Id="rId94" Type="http://schemas.openxmlformats.org/officeDocument/2006/relationships/image" Target="media/image584.png"/>
  <Relationship Id="rId95" Type="http://schemas.openxmlformats.org/officeDocument/2006/relationships/image" Target="media/image585.png"/>
  <Relationship Id="rId96" Type="http://schemas.openxmlformats.org/officeDocument/2006/relationships/image" Target="media/image586.png"/>
  <Relationship Id="rId97" Type="http://schemas.openxmlformats.org/officeDocument/2006/relationships/image" Target="media/image587.png"/>
  <Relationship Id="rId98" Type="http://schemas.openxmlformats.org/officeDocument/2006/relationships/image" Target="media/image588.png"/>
  <Relationship Id="rId99" Type="http://schemas.openxmlformats.org/officeDocument/2006/relationships/image" Target="media/image589.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72b441d9e93540769b3e3910e7ddedd3"/>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08da52363d954ffab7a36b64022f328c"/>
      <Part Type="punktas" Nr="3.3" Abbr="3.3 p." DocPartId="c4b4309c5c4c4fe6a7b2c342fbc49d92" PartId="19e4ec4ec81c4821ab0ef5af4024e408"/>
      <Part Type="punktas" Nr="3.4" Abbr="3.4 p." DocPartId="fbf40d2974944be182634cca768d3bc8" PartId="38f3df114b9346ccba005ba5d67dd756"/>
      <Part Type="punktas" Nr="3.5" Abbr="3.5 p." DocPartId="0b6a564d38c14fe19bac3ce70609ffcd" PartId="fa037338bcd34773947d5b25c05c3035"/>
      <Part Type="punktas" Nr="3.6" Abbr="3.6 p." DocPartId="1bbf7d600cfa4831b4726a029016865b" PartId="9888991eb24e45d684529e1ef8b9836d"/>
      <Part Type="punktas" Nr="3.7" Abbr="3.7 p." DocPartId="be93755587af4307ae979b94d01d43d7" PartId="4530bff5e35641528a39d447bfab03ed"/>
      <Part Type="punktas" Nr="3.8" Abbr="3.8 p." DocPartId="b08d04bef75c47919c1cf6565c2f5332" PartId="b7ecf5c4981f4e4d90746a358ecdf685"/>
      <Part Type="punktas" Nr="3.9" Abbr="3.9 p." DocPartId="3251573119fc4bbc8c549ec65c85bb98" PartId="1d51b9fac74b45d2866c17b1b95aadfe"/>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3c9850e5f534484c8de336fc1a1f85a9">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Type="papunktis" Nr="1.13.4" Abbr="1.13.4 pp." DocPartId="4621291cd61847daa6b1ff0b24d848bd" PartId="61f4a437cc6d4651887e180ab4136172"/>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4a2ccc73d334771a68f6e7ac9afd583"/>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a040cfa09ec74c89951ceeebba2595fe">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27eccb910eff4be889ea0897587a0989"/>
  <Part Type="priedas" Nr="2" Abbr="2 pr." Title="VAIKO PSICHOMOTORINĖS RAIDOS TIKRINIMO LAPAS (KŪDIKIS)" DocPartId="c8665e5b69ff4dceac89b89c0be3ac6c" PartId="e5847b622753471f994024c27831818b"/>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814e101390974299ae56e37741caef75">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698a931cc1f24638bc9fb6a5f3e0c0b2"/>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c1f506df291e4803a77c3cf708cbd681"/>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e7f3af6fa3f24c4188c547309a2a9784">
        <Part Type="punktas" Nr="10.1" Abbr="7 pr. 10.1 p." DocPartId="d03dc4f7e80f44c5925eecb04012dd3c" PartId="8bb7fb173d214265ac24b4815644c948"/>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fb4360f8aae7459e92473f9f11fe7b5d"/>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9e263e3289a54ac79cac1dc1a4bbd708"/>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03ae22862c834a69aeaa7b497a34a473"/>
      <Part Type="punktas" Nr="19" Abbr="7 pr. 19 p." DocPartId="9ca913e854f64095b73a2c6b9397a787" PartId="1049cf0e12b7412f93ffa4f390c93f7a"/>
      <Part Type="punktas" Nr="20" Abbr="7 pr. 20 p." DocPartId="1afe0a07390648249e62eef37201a0f7" PartId="20ff8c034f334f6cbcc1e1ec243992b1"/>
      <Part Type="punktas" Nr="21" Abbr="7 pr. 21 p." DocPartId="68673ab899994f508afa421cd3cdf263" PartId="feb43a3182da4a2e9e63525ad9c599d5"/>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140dfa9c97ed49d3aed617aefeb54b8f">
    <Part Type="pabaiga" DocPartId="eb364b29c512451ba857a82059462d2c" PartId="e50d55efd3ae4d65bec65090cb1bedd2"/>
  </Part>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7a74db2534bc45fba20256b828e51842">
    <Part Type="pastraipa" DocPartId="347550e61bb44cb787c4b7600d24b476" PartId="88076a29a3b646228878ce38e471d811"/>
    <Part Type="punktas" Nr="1" Abbr="1 p." DocPartId="c77827eef2dd46a4a7e7b13bf2e9a429" PartId="d7d4134afdee4da287f40136be0b9536"/>
    <Part Type="punktas" Nr="2" Abbr="2 p." DocPartId="056d2ab62e3d41e78e007add482ebfd2" PartId="5b417e44656245c3a5d11707b15b9e2d"/>
    <Part Type="punktas" Nr="3" Abbr="3 p." DocPartId="19aef3385cd44f418ea6647b388b0382" PartId="7534734ae4f34e038c59619cb79be104"/>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dbbf82c90b514e19a4cb40a853b0b455">
    <Part Type="pabaiga" DocPartId="adad55d75c064e0bb1f973518bcd1973" PartId="ca8ad32ecd054575bb1e7d2a1ef01c55"/>
  </Part>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852c5890e49a4652a71c1ec7070e4f4a"/>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6ecd0c54a1c84b008f94cc83bd1aea88"/>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89e871cdda44f518f8c73250ea21d9a"/>
      <Part Type="punktas" Nr="16" Abbr="12 pr. 16 p." DocPartId="dd7a41073cda4a529e8455681b18b6a3" PartId="598fec1947cb4c6a839a4aeccc9d1eec"/>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ed1dbbdf21cc4e27816eac2120613ff3"/>
        <Part Type="papunktis" Nr="17.4" Abbr="12 pr. 17.4 pp." DocPartId="bd003fdb1670432e96eba8f7bfcaafa3" PartId="09389b21e8814de995661fa1afe672a9"/>
      </Part>
      <Part Type="punktas" Nr="18" Abbr="12 pr. 18 p." DocPartId="1342029c6ac24d49b4a0f82b80e85669" PartId="6f86f1de35ae438f8b84ca505d768ff4"/>
      <Part Type="punktas" Nr="19" Abbr="12 pr. 19 p." DocPartId="2ed8d137bf1848eba9c98ea123cd89a2" PartId="b1fd8ec24f664da4a1f55136d17b2171"/>
      <Part Type="punktas" Nr="20" Abbr="12 pr. 20 p." DocPartId="d5442e409131404e866ccf5078fc51bc" PartId="dc8cab33beea45b28c58822f0f26196f"/>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bdaf7e5c072d4a8c8e70dbf5cf2b5917"/>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24db75b65785484380e55064df5f7efa"/>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8dc116ae5814f97b793174ace06e61e"/>
  </Part>
  <Part Type="lentele" Nr="1" Title="KONTRAINDIKACIJOS, TAIKOMOS ASMENIMS, PRIEŠ PRIIMANT Į MOKYMO ĮSTAIGĄ ARBA Į DARBĄ, ARBA DIRBANTIEMS TRAUKINIO MAŠINISTAIS" DocPartId="784e211e90a0442e97858d40fba15ca5" PartId="d9f06a71aefd43cd958038c1762c8543">
    <Part Type="pabaiga" DocPartId="d35df1d0b7284573883d508dcdf082fd" PartId="427c9a40825445dab7b3aef59832eb0e"/>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c5c12852c3664cb19878a10e03f90cb8"/>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32a4cc2ce30b44ab8c51914a52c15d1f">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24a1969a2bfb4d88a3796141424a3826"/>
        <Part Type="punktas" Nr="9.3" Abbr="13 pr. 9.3 p." DocPartId="c6f0ec3b47d74723b34182dedd9f1131" PartId="48bda42fb75b4ea79b87139ced7ca5f3"/>
        <Part Type="punktas" Nr="9.4" Abbr="13 pr. 9.4 p." DocPartId="2307bd7931c54a449494c5c130ac4abf" PartId="8c8fcee348574820be1040944d63d890"/>
        <Part Type="papunktis" Nr="9.5" Abbr="9.5 pp." DocPartId="eb8fcbc1df6d47f585396b858e119f3f" PartId="c418961bc12249fb98eb0f29c3c15b10"/>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a65127d43b924d68928beace3d0e578e"/>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969a7b4f91f74f4da923f3504c7e3d30"/>
      <Part Type="punktas" Nr="12" Abbr="13 pr. 12 p." DocPartId="8db55781ba5a4c9ea91ec273849b4609" PartId="e6017dafec2b42bc9b6528846b8eab89"/>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eb291956967e46549038a277e255779f"/>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3 pr. 19.3 pp." DocPartId="ea82319a690b40ac824144f9602bd27b" PartId="b96c42fcf15d4169a0fe0e910a61fb38"/>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6fe199d2046d4464a9a88571df9276ed"/>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192ea6384b5a4f40a7fcc02496f0d619"/>
      <Part Type="punktas" Nr="26" Abbr="13 pr. 26 p." DocPartId="ac3f5f8b2857431199dc023b8be5730d" PartId="2343db4f87854c02bf94ee33b551d36c"/>
      <Part Type="punktas" Nr="27" Abbr="13 pr. 27 p." DocPartId="fa1ffa994ce6473484ea153aa520ddab" PartId="2c3677f1232d494983ffdf60d08d784b"/>
      <Part Type="punktas" Nr="28" Abbr="13 pr. 28 p." DocPartId="c2b35c69aa7845bc93c960d3e4f37d63" PartId="90a81f93255b488390317978c46725a4"/>
      <Part Type="punktas" Nr="29" Abbr="13 pr. 29 p." DocPartId="e606bd45af99426d968b5610f7221d66" PartId="54cf3303a93442c69da2581b7bf3ad43"/>
      <Part Type="punktas" Nr="30" Abbr="13 pr. 30 p." DocPartId="c5855d15a06a4797be5a3556869e5e5d" PartId="45766f2e2e1f4880a4b0132b5970d7ed"/>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 Type="priedas" Nr="19" Abbr="19 pr." Title="AMBULATORINIŲ SLAUGOS IR AKUŠERIJOS ANKSTYVOSIOS INTERVENCIJOS PASLAUGŲ ŠEIMOMS TEIKIMO REIKALAVIMŲ TVARKOS APRAŠAS" DocPartId="a6804cfc98f44d0a8871f3357e8eb800" PartId="53cf551dfe634e139bc01a235fa94131">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BBB37004-2525-46A4-A35F-246910117548}">
  <ds:schemaRefs>
    <ds:schemaRef ds:uri="http://lrs.lt/TAIS/DocParts"/>
  </ds:schemaRefs>
</ds:datastoreItem>
</file>

<file path=docProps/app.xml><?xml version="1.0" encoding="utf-8"?>
<Properties xmlns="http://schemas.openxmlformats.org/officeDocument/2006/extended-properties">
  <Template>Normal.dotm</Template>
  <TotalTime>305</TotalTime>
  <Pages>283</Pages>
  <Words>382883</Words>
  <Characters>218244</Characters>
  <Application>Microsoft Office Word</Application>
  <DocSecurity>0</DocSecurity>
  <Lines>1818</Lines>
  <Paragraphs>1199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599928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2025-01-21T06:47:00Z</dcterms:modified>
  <revision>136</revision>
</coreProperties>
</file>