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2016-01-08 iki 2016-06-30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dd1893748948a1b5ec38ac4bb9c85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dd1893748948a1b5ec38ac4bb9c85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dd1893748948a1b5ec38ac4bb9c85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2bcc68e8896441548e920b954acf698f"/>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2bcc68e8896441548e920b954acf698f"/>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2bcc68e8896441548e920b954acf698f"/>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09e49d310cdb401ca679c22defc7ed1d"/>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Pr/>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82893ec027bb40d5a80ae1a2ef4d3794"/>
        <w:lock w:val="sdtLocked"/>
        <w:richText/>
      </w:sdtPr>
      <w:sdtContent>
        <w:p>
          <w:pPr>
            <w:jc w:val="right"/>
          </w:pPr>
          <w:sdt>
            <w:sdtPr>
              <w:alias w:val="Numeris"/>
              <w:tag w:val="nr_82893ec027bb40d5a80ae1a2ef4d3794"/>
              <w:lock w:val="sdtLocked"/>
              <w:richText/>
            </w:sdtPr>
            <w:sdtContent>
              <w:r>
                <w:t>3</w:t>
              </w:r>
            </w:sdtContent>
          </w:sdt>
          <w:r>
            <w:t xml:space="preserve"> lentelė</w:t>
          </w:r>
        </w:p>
        <w:p>
          <w:pPr>
            <w:jc w:val="both"/>
            <w:rPr>
              <w:bCs/>
            </w:rPr>
          </w:pPr>
        </w:p>
        <w:p>
          <w:pPr>
            <w:jc w:val="center"/>
            <w:rPr>
              <w:b/>
              <w:bCs/>
            </w:rPr>
          </w:pPr>
          <w:sdt>
            <w:sdtPr>
              <w:alias w:val="Pavadinimas"/>
              <w:tag w:val="title_82893ec027bb40d5a80ae1a2ef4d3794"/>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01.01–01.06</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02.01, 02.02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ASMENYS SU JUDĖJIMO SUTRIKIMAIS</w:t>
                </w:r>
              </w:p>
              <w:p>
                <w:pPr>
                  <w:rPr>
                    <w:sz w:val="22"/>
                  </w:rPr>
                </w:pPr>
                <w:r>
                  <w:rPr>
                    <w:sz w:val="22"/>
                  </w:rPr>
                  <w:t>Vairuotojo pažymėjimai neišduodami kandidatams į vairuotojus ar neatnaujinami vairuotojams, kurie skundžiasi judėjimo sistemos negalavimais ar sutrikimais, kurie kelia pavojų saugiam variklio varomos priemonės vairavimui.</w:t>
                </w:r>
              </w:p>
              <w:p>
                <w:pPr>
                  <w:rPr>
                    <w:sz w:val="22"/>
                  </w:rPr>
                </w:pPr>
                <w:r>
                  <w:rPr>
                    <w:sz w:val="22"/>
                  </w:rPr>
                  <w:t>1 grupė:</w:t>
                </w:r>
              </w:p>
              <w:p>
                <w:pPr>
                  <w:rPr>
                    <w:sz w:val="22"/>
                  </w:rPr>
                </w:pPr>
                <w:r>
                  <w:rPr>
                    <w:sz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rPr>
                </w:pPr>
                <w:r>
                  <w:rPr>
                    <w:sz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rPr>
                </w:pPr>
                <w:r>
                  <w:rPr>
                    <w:sz w:val="22"/>
                  </w:rPr>
                  <w:t>Kai negalia neprogresuoja, vairuotojo pažymėjimas gali būti išduotas ar atnaujintas nereikalaujant reguliarios medicininės apžiūros.</w:t>
                </w:r>
              </w:p>
              <w:p>
                <w:pPr>
                  <w:rPr>
                    <w:sz w:val="22"/>
                  </w:rPr>
                </w:pPr>
                <w:r>
                  <w:rPr>
                    <w:sz w:val="22"/>
                  </w:rPr>
                  <w:t>2 grupė:</w:t>
                </w:r>
              </w:p>
              <w:p>
                <w:pPr>
                  <w:rPr>
                    <w:sz w:val="22"/>
                  </w:rPr>
                </w:pPr>
                <w:r>
                  <w:rPr>
                    <w:sz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Rankos, kojos, plaštakos, pėdos ar abiejų plaštakų, pėdų trūkumas, žymios deformacijos su lokomotorinės funkcijos sutrikimu: Z89.1, Z 89.2, Z 89.3, Z 89.4, Z 89.5, Z 89.6, Z 89.7, Z 89.8, Z 89.9 </w:t>
                </w:r>
              </w:p>
              <w:p>
                <w:pPr>
                  <w:rPr>
                    <w:sz w:val="22"/>
                  </w:rPr>
                </w:pPr>
                <w:r>
                  <w:rPr>
                    <w:b/>
                    <w:bCs/>
                    <w:sz w:val="22"/>
                  </w:rPr>
                  <w:t xml:space="preserve">PASTABA: </w:t>
                </w:r>
                <w:r>
                  <w:rPr>
                    <w:sz w:val="22"/>
                  </w:rPr>
                  <w:t>Tik individualiam transportui be teisės dirbti pagal darbo sutartis vairuotoju.</w:t>
                </w:r>
              </w:p>
              <w:p>
                <w:pPr>
                  <w:rPr>
                    <w:sz w:val="22"/>
                  </w:rPr>
                </w:pPr>
                <w:r>
                  <w:rPr>
                    <w:sz w:val="22"/>
                  </w:rPr>
                  <w:t xml:space="preserve">A; A1; AM; B; B1 ir BE kategorijų vairuotojams turi būti nurodyta,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rPr>
                </w:pPr>
                <w:r>
                  <w:rPr>
                    <w:b/>
                    <w:bCs/>
                    <w:sz w:val="22"/>
                  </w:rPr>
                  <w:t>PASTABA:</w:t>
                </w:r>
              </w:p>
              <w:p>
                <w:pPr>
                  <w:rPr>
                    <w:sz w:val="22"/>
                  </w:rPr>
                </w:pPr>
                <w:r>
                  <w:rPr>
                    <w:sz w:val="22"/>
                  </w:rPr>
                  <w:t xml:space="preserve">A; A1; AM; B; B1 ir BE kategorijų vairuotojams turi būti nurodytą kokia automobilio modifikacija reikalinga ir ar vairuotojui reikalingas ortopedinis įrenginys, kuriuo naudojantis, vairavimas nekeltų pavojaus.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apribojimus 03.01, 03.02 ir 05.07</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ŠIRDIES IR KRAUJAGYSLIŲ LIGOS</w:t>
                </w:r>
              </w:p>
              <w:p>
                <w:pPr>
                  <w:rPr>
                    <w:sz w:val="22"/>
                  </w:rPr>
                </w:pPr>
                <w:r>
                  <w:rPr>
                    <w:sz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rPr>
                </w:pPr>
                <w:r>
                  <w:rPr>
                    <w:sz w:val="22"/>
                  </w:rPr>
                  <w:t>1. Vairuotojo pažymėjimai neišduodami kandidatams į vairuotojus ar neatnaujinami vairuotojams, kurie serga sunkia aritmija.</w:t>
                </w:r>
              </w:p>
              <w:p>
                <w:pPr>
                  <w:rPr>
                    <w:sz w:val="22"/>
                  </w:rPr>
                </w:pPr>
                <w:r>
                  <w:rPr>
                    <w:sz w:val="22"/>
                  </w:rPr>
                  <w:t>2. Vairuotojo pažymėjimai gali būti išduodami kandidatams į vairuotojus ar atnaujinami vairuotojams su širdies stimuliatoriumi, pateikus gydytojo kardiologo išvadą ir reguliariai atliekant medicinines apžiūras.</w:t>
                </w:r>
              </w:p>
              <w:p>
                <w:pPr>
                  <w:rPr>
                    <w:sz w:val="22"/>
                  </w:rPr>
                </w:pPr>
                <w:r>
                  <w:rPr>
                    <w:sz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rPr>
                </w:pPr>
                <w:r>
                  <w:rPr>
                    <w:sz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rPr>
                </w:pPr>
                <w:r>
                  <w:rPr>
                    <w:sz w:val="22"/>
                  </w:rPr>
                  <w:t>2 grupė:</w:t>
                </w:r>
              </w:p>
              <w:p>
                <w:pPr>
                  <w:rPr>
                    <w:sz w:val="22"/>
                  </w:rPr>
                </w:pPr>
                <w:r>
                  <w:rPr>
                    <w:sz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II laipsnio su didele rizika ir III laipsnio arterinė hipertenzija: </w:t>
                </w:r>
              </w:p>
              <w:p>
                <w:pPr>
                  <w:rPr>
                    <w:sz w:val="22"/>
                  </w:rPr>
                </w:pPr>
                <w:r>
                  <w:rPr>
                    <w:sz w:val="22"/>
                  </w:rPr>
                  <w:t>I11–I15</w:t>
                </w:r>
              </w:p>
              <w:p>
                <w:pPr>
                  <w:rPr>
                    <w:sz w:val="22"/>
                  </w:rPr>
                </w:pPr>
                <w:r>
                  <w:rPr>
                    <w:b/>
                    <w:bCs/>
                    <w:sz w:val="22"/>
                  </w:rPr>
                  <w:t xml:space="preserve">PASTABA: </w:t>
                </w:r>
                <w:r>
                  <w:rPr>
                    <w:sz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Su apribojimu 05.04 100 km/h</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r>
                  <w:rPr>
                    <w:caps/>
                    <w:color w:val="000000"/>
                    <w:sz w:val="22"/>
                  </w:rPr>
                  <w:t>(</w:t>
                </w:r>
                <w:r>
                  <w:rPr>
                    <w:color w:val="000000"/>
                    <w:sz w:val="22"/>
                  </w:rPr>
                  <w:t>alkoholio sukeltų priepuolių atveju taikant 05.08</w:t>
                </w:r>
                <w:r>
                  <w:rPr>
                    <w:i/>
                    <w:color w:val="000000"/>
                    <w:sz w:val="22"/>
                  </w:rPr>
                  <w:t xml:space="preserve"> </w:t>
                </w:r>
                <w:r>
                  <w:rPr>
                    <w:color w:val="000000"/>
                    <w:sz w:val="22"/>
                  </w:rPr>
                  <w:t>apribojimą)</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p>
                <w:pPr>
                  <w:widowControl w:val="0"/>
                  <w:suppressAutoHyphens/>
                  <w:rPr>
                    <w:color w:val="000000"/>
                    <w:sz w:val="22"/>
                  </w:rPr>
                </w:pPr>
                <w:r>
                  <w:rPr>
                    <w:caps/>
                    <w:color w:val="000000"/>
                    <w:sz w:val="22"/>
                  </w:rPr>
                  <w:t>(</w:t>
                </w:r>
                <w:r>
                  <w:rPr>
                    <w:color w:val="000000"/>
                    <w:sz w:val="22"/>
                  </w:rPr>
                  <w:t>alkoholio sukeltų priepuolių atveju taikant apribojimą 05.08)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reikalingus apribojimus 05.01–05.08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PASTABA: Psichozinio lygio sutrikimų atveju kokybiška remisija turėtų trukti ne trumpiau kaip 3 metus </w:t>
                </w:r>
              </w:p>
              <w:p>
                <w:pPr>
                  <w:rPr>
                    <w:sz w:val="22"/>
                  </w:rPr>
                </w:pPr>
                <w:r>
                  <w:rPr>
                    <w:sz w:val="22"/>
                  </w:rPr>
                  <w:t xml:space="preserve">Nepsichozinio lygio psichikos sutrikimų atveju remisija turėtų trukti ne trumpiau kaip 1 metus </w:t>
                </w:r>
              </w:p>
              <w:p>
                <w:pPr>
                  <w:rPr>
                    <w:sz w:val="22"/>
                  </w:rPr>
                </w:pPr>
                <w:r>
                  <w:rPr>
                    <w:sz w:val="22"/>
                  </w:rPr>
                  <w:t>Galima taikyti apribojimus 05.01–05.08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ALKOHOLIS</w:t>
                </w:r>
              </w:p>
              <w:p>
                <w:pPr>
                  <w:rPr>
                    <w:sz w:val="22"/>
                  </w:rPr>
                </w:pPr>
                <w:r>
                  <w:rPr>
                    <w:sz w:val="22"/>
                  </w:rPr>
                  <w:t>Alkoholio vartojimas kelia didžiulį pavojų kelių eismo saugumui. Atsižvelgiant į problemos mastą, medikai turi būti ypač budrūs.</w:t>
                </w:r>
              </w:p>
              <w:p>
                <w:pPr>
                  <w:rPr>
                    <w:sz w:val="22"/>
                  </w:rPr>
                </w:pPr>
                <w:r>
                  <w:rPr>
                    <w:sz w:val="22"/>
                  </w:rPr>
                  <w:t>1 grupė:</w:t>
                </w:r>
              </w:p>
              <w:p>
                <w:pPr>
                  <w:rPr>
                    <w:sz w:val="22"/>
                  </w:rPr>
                </w:pPr>
                <w:r>
                  <w:rPr>
                    <w:sz w:val="22"/>
                  </w:rPr>
                  <w:t>Vairuotojo pažymėjimai neišduodami kandidatams į vairuotojus ar neatnaujinami vairuotojams, priklausomiems nuo alkoholio arba negalintiems susilaikyti negėrus ir nevairavus esant neblaiviems.</w:t>
                </w:r>
              </w:p>
              <w:p>
                <w:pPr>
                  <w:rPr>
                    <w:sz w:val="22"/>
                  </w:rPr>
                </w:pPr>
                <w:r>
                  <w:rPr>
                    <w:sz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rPr>
                </w:pPr>
                <w:r>
                  <w:rPr>
                    <w:sz w:val="22"/>
                  </w:rPr>
                  <w:t>2 grupė:</w:t>
                </w:r>
              </w:p>
              <w:p>
                <w:pPr>
                  <w:rPr>
                    <w:sz w:val="22"/>
                  </w:rPr>
                </w:pPr>
                <w:r>
                  <w:rPr>
                    <w:sz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Priklausomybės ligos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NARKOTIKAI IR VAISTAI</w:t>
                </w:r>
              </w:p>
              <w:p>
                <w:pPr>
                  <w:rPr>
                    <w:sz w:val="22"/>
                  </w:rPr>
                </w:pPr>
                <w:r>
                  <w:rPr>
                    <w:sz w:val="22"/>
                  </w:rPr>
                  <w:t>Piktnaudžiavimas:</w:t>
                </w:r>
              </w:p>
              <w:p>
                <w:pPr>
                  <w:rPr>
                    <w:sz w:val="22"/>
                  </w:rPr>
                </w:pPr>
                <w:r>
                  <w:rPr>
                    <w:sz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rPr>
                </w:pPr>
                <w:r>
                  <w:rPr>
                    <w:sz w:val="22"/>
                  </w:rPr>
                  <w:t>1 grupė:</w:t>
                </w:r>
              </w:p>
              <w:p>
                <w:pPr>
                  <w:rPr>
                    <w:sz w:val="22"/>
                  </w:rPr>
                </w:pPr>
                <w:r>
                  <w:rPr>
                    <w:sz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rPr>
                </w:pPr>
                <w:r>
                  <w:rPr>
                    <w:sz w:val="22"/>
                  </w:rPr>
                  <w:t>2 grupė:</w:t>
                </w:r>
              </w:p>
              <w:p>
                <w:pPr>
                  <w:rPr>
                    <w:sz w:val="22"/>
                  </w:rPr>
                </w:pPr>
                <w:r>
                  <w:rPr>
                    <w:sz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Piktnaudžiavimas narkotikais ir vaistais </w:t>
                </w:r>
              </w:p>
              <w:p>
                <w:pPr>
                  <w:rPr>
                    <w:b/>
                    <w:bCs/>
                    <w:sz w:val="22"/>
                  </w:rPr>
                </w:pPr>
                <w:r>
                  <w:rPr>
                    <w:b/>
                    <w:bCs/>
                    <w:sz w:val="22"/>
                  </w:rPr>
                  <w:t>PASTABOS:</w:t>
                </w:r>
              </w:p>
              <w:p>
                <w:pPr>
                  <w:rPr>
                    <w:sz w:val="22"/>
                  </w:rPr>
                </w:pPr>
                <w:r>
                  <w:rPr>
                    <w:sz w:val="22"/>
                  </w:rPr>
                  <w:t xml:space="preserve">Po sėkmingo gydymo sprendžiama individualiai. Vadovaujantis gydytojų komisijos išvada, gali būti leista vairuoti. </w:t>
                </w:r>
              </w:p>
              <w:p>
                <w:pPr>
                  <w:rPr>
                    <w:sz w:val="22"/>
                  </w:rPr>
                </w:pPr>
                <w:r>
                  <w:rPr>
                    <w:sz w:val="22"/>
                  </w:rPr>
                  <w:t xml:space="preserve">Sergantiesiems priklausomybės liga turi būti ne trumpesnė kaip 3 metų remisija. </w:t>
                </w:r>
              </w:p>
              <w:p>
                <w:pPr>
                  <w:rPr>
                    <w:sz w:val="22"/>
                  </w:rPr>
                </w:pPr>
                <w:r>
                  <w:rPr>
                    <w:sz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 taikant apribojimą 05.08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46e7d9a2085f48678a8485f3a6927b94"/>
            <w:lock w:val="sdtLocked"/>
            <w:richText/>
          </w:sdtPr>
          <w:sdtContent>
            <w:p>
              <w:pPr>
                <w:jc w:val="both"/>
                <w:rPr>
                  <w:sz w:val="22"/>
                </w:rPr>
              </w:pPr>
              <w:r>
                <w:rPr>
                  <w:sz w:val="22"/>
                </w:rPr>
                <w:t>Pastabos:</w:t>
              </w:r>
            </w:p>
          </w:sdtContent>
        </w:sdt>
        <w:sdt>
          <w:sdtPr>
            <w:alias w:val="1 p."/>
            <w:tag w:val="part_63c9baf161b343b5830c6d82a21d093a"/>
            <w:lock w:val="sdtLocked"/>
            <w:richText/>
          </w:sdtPr>
          <w:sdtContent>
            <w:p>
              <w:pPr>
                <w:jc w:val="both"/>
                <w:rPr>
                  <w:sz w:val="22"/>
                </w:rPr>
              </w:pPr>
              <w:sdt>
                <w:sdtPr>
                  <w:alias w:val="Numeris"/>
                  <w:tag w:val="nr_63c9baf161b343b5830c6d82a21d093a"/>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54c21f5c63f04a7f98b3f7a6077def86"/>
            <w:lock w:val="sdtLocked"/>
            <w:richText/>
          </w:sdtPr>
          <w:sdtContent>
            <w:p>
              <w:pPr>
                <w:jc w:val="both"/>
                <w:rPr>
                  <w:sz w:val="22"/>
                </w:rPr>
              </w:pPr>
              <w:sdt>
                <w:sdtPr>
                  <w:alias w:val="Numeris"/>
                  <w:tag w:val="nr_54c21f5c63f04a7f98b3f7a6077def86"/>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677da8099d284f209123f4a5d5df5aa9"/>
            <w:lock w:val="sdtLocked"/>
            <w:richText/>
          </w:sdtPr>
          <w:sdtContent>
            <w:p>
              <w:pPr>
                <w:jc w:val="both"/>
              </w:pPr>
              <w:sdt>
                <w:sdtPr>
                  <w:alias w:val="Numeris"/>
                  <w:tag w:val="nr_677da8099d284f209123f4a5d5df5aa9"/>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88957939666040ddb859e8049f66a047"/>
        <w:lock w:val="sdtLocked"/>
        <w:richText/>
      </w:sdtPr>
      <w:sdtContent>
        <w:p>
          <w:pPr>
            <w:ind w:firstLine="567"/>
            <w:jc w:val="right"/>
          </w:pPr>
          <w:r>
            <w:br w:type="page"/>
          </w:r>
          <w:sdt>
            <w:sdtPr>
              <w:alias w:val="Numeris"/>
              <w:tag w:val="nr_88957939666040ddb859e8049f66a047"/>
              <w:lock w:val="sdtLocked"/>
              <w:richText/>
            </w:sdtPr>
            <w:sdtContent>
              <w:r>
                <w:t>5</w:t>
              </w:r>
            </w:sdtContent>
          </w:sdt>
          <w:r>
            <w:t xml:space="preserve"> lentelė</w:t>
          </w:r>
        </w:p>
        <w:p>
          <w:pPr>
            <w:jc w:val="both"/>
            <w:rPr>
              <w:bCs/>
            </w:rPr>
          </w:pPr>
        </w:p>
        <w:p>
          <w:pPr>
            <w:jc w:val="center"/>
            <w:rPr>
              <w:b/>
              <w:bCs/>
            </w:rPr>
          </w:pPr>
          <w:sdt>
            <w:sdtPr>
              <w:alias w:val="Pavadinimas"/>
              <w:tag w:val="title_88957939666040ddb859e8049f66a047"/>
              <w:lock w:val="sdtLocked"/>
              <w:richText/>
            </w:sdtPr>
            <w:sdtContent>
              <w:r>
                <w:rPr>
                  <w:b/>
                  <w:bCs/>
                </w:rPr>
                <w:t>TAIKOMŲ APRIBOJIMŲ KODAI</w:t>
              </w:r>
            </w:sdtContent>
          </w:sdt>
        </w:p>
        <w:p>
          <w:pPr>
            <w:jc w:val="both"/>
          </w:pPr>
        </w:p>
        <w:tbl>
          <w:tblPr>
            <w:tblW w:w="9070" w:type="dxa"/>
            <w:tblLayout w:type="fixed"/>
            <w:tblCellMar>
              <w:left w:w="40" w:type="dxa"/>
              <w:right w:w="40" w:type="dxa"/>
            </w:tblCellMar>
            <w:tblLook w:val="0000" w:firstRow="0" w:lastRow="0" w:firstColumn="0" w:lastColumn="0" w:noHBand="0" w:noVBand="0"/>
          </w:tblPr>
          <w:tblGrid>
            <w:gridCol w:w="880"/>
            <w:gridCol w:w="720"/>
            <w:gridCol w:w="7470"/>
          </w:tblGrid>
          <w:tr>
            <w:trPr>
              <w:cantSplit/>
              <w:trHeight w:val="23"/>
              <w:tblHeader/>
            </w:trPr>
            <w:tc>
              <w:tcPr>
                <w:tcW w:w="880" w:type="dxa"/>
                <w:tcBorders>
                  <w:top w:val="single" w:sz="18" w:space="0" w:color="auto"/>
                  <w:left w:val="single" w:sz="18" w:space="0" w:color="auto"/>
                  <w:bottom w:val="single" w:sz="18" w:space="0" w:color="auto"/>
                  <w:right w:val="single" w:sz="18" w:space="0" w:color="auto"/>
                </w:tcBorders>
              </w:tcPr>
              <w:p>
                <w:pPr>
                  <w:jc w:val="center"/>
                  <w:rPr>
                    <w:sz w:val="22"/>
                  </w:rPr>
                </w:pPr>
                <w:r>
                  <w:rPr>
                    <w:sz w:val="22"/>
                  </w:rPr>
                  <w:t>Kodas</w:t>
                </w:r>
              </w:p>
            </w:tc>
            <w:tc>
              <w:tcPr>
                <w:tcW w:w="720" w:type="dxa"/>
                <w:tcBorders>
                  <w:top w:val="single" w:sz="18" w:space="0" w:color="auto"/>
                  <w:left w:val="single" w:sz="18" w:space="0" w:color="auto"/>
                  <w:bottom w:val="single" w:sz="18" w:space="0" w:color="auto"/>
                  <w:right w:val="single" w:sz="6" w:space="0" w:color="auto"/>
                </w:tcBorders>
              </w:tcPr>
              <w:p>
                <w:pPr>
                  <w:jc w:val="center"/>
                  <w:rPr>
                    <w:sz w:val="22"/>
                  </w:rPr>
                </w:pPr>
              </w:p>
            </w:tc>
            <w:tc>
              <w:tcPr>
                <w:tcW w:w="7470" w:type="dxa"/>
                <w:tcBorders>
                  <w:top w:val="single" w:sz="18" w:space="0" w:color="auto"/>
                  <w:left w:val="single" w:sz="6" w:space="0" w:color="auto"/>
                  <w:bottom w:val="single" w:sz="18" w:space="0" w:color="auto"/>
                  <w:right w:val="single" w:sz="18" w:space="0" w:color="auto"/>
                </w:tcBorders>
              </w:tcPr>
              <w:p>
                <w:pPr>
                  <w:jc w:val="center"/>
                  <w:rPr>
                    <w:sz w:val="22"/>
                  </w:rPr>
                </w:pPr>
                <w:r>
                  <w:rPr>
                    <w:sz w:val="22"/>
                  </w:rPr>
                  <w:t>Apribojimas</w:t>
                </w:r>
              </w:p>
            </w:tc>
          </w:tr>
          <w:tr>
            <w:trPr>
              <w:cantSplit/>
              <w:trHeight w:val="23"/>
            </w:trPr>
            <w:tc>
              <w:tcPr>
                <w:tcW w:w="880" w:type="dxa"/>
                <w:tcBorders>
                  <w:top w:val="single" w:sz="18"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18" w:space="0" w:color="auto"/>
                  <w:left w:val="single" w:sz="18" w:space="0" w:color="auto"/>
                  <w:bottom w:val="single" w:sz="6" w:space="0" w:color="auto"/>
                  <w:right w:val="single" w:sz="6" w:space="0" w:color="auto"/>
                </w:tcBorders>
              </w:tcPr>
              <w:p>
                <w:pPr>
                  <w:rPr>
                    <w:sz w:val="22"/>
                  </w:rPr>
                </w:pPr>
              </w:p>
            </w:tc>
            <w:tc>
              <w:tcPr>
                <w:tcW w:w="7470" w:type="dxa"/>
                <w:tcBorders>
                  <w:top w:val="single" w:sz="18" w:space="0" w:color="auto"/>
                  <w:left w:val="single" w:sz="6" w:space="0" w:color="auto"/>
                  <w:bottom w:val="single" w:sz="6" w:space="0" w:color="auto"/>
                  <w:right w:val="single" w:sz="18" w:space="0" w:color="auto"/>
                </w:tcBorders>
              </w:tcPr>
              <w:p>
                <w:pPr>
                  <w:rPr>
                    <w:sz w:val="22"/>
                  </w:rPr>
                </w:pPr>
                <w:r>
                  <w:rPr>
                    <w:sz w:val="22"/>
                  </w:rPr>
                  <w:t>Dėl medicininių priežasčių (kandidatui į vairuotojus ir vairuotojui – išvadą pateikia ASP įstaiga)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Kontaktinis (-iai) lęšis (-iai)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Apsauginiai akiniai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Tamsintas (matinis) lęšis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Akių danga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01.06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Akiniai arba kontaktiniai lęšiai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vienai ausiai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02.02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Klausos (ir susikalbėjimo) pagalbinė priemonė abiem ausims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Viršutinės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03.02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Apatinės galūnės protezas arba korekcijos įtaisas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Ribotas naudojimas (būtina nurodyti papildomą kodą; vairavimas su apribojimais dėl medicininių priežasčių):</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dienos metu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05.02</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 km spinduliu aplink vairuotojo gyvenamąją vietą arba tik ..................................... mieste (regione)</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05.03</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vežti keleivius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05.04</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didesniu nei.....km/h greičiu</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05.05</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Leidžiama vairuoti tik lydint vairuotojo pažymėjimą turinčiam asmeniui</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05.06</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su priekaba</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05.07</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važiuoti automagistralėmis ir greitkeliais</w:t>
                </w:r>
              </w:p>
            </w:tc>
          </w:tr>
          <w:tr>
            <w:trPr>
              <w:cantSplit/>
              <w:trHeight w:val="23"/>
            </w:trPr>
            <w:tc>
              <w:tcPr>
                <w:tcW w:w="880" w:type="dxa"/>
                <w:tcBorders>
                  <w:top w:val="single" w:sz="6" w:space="0" w:color="auto"/>
                  <w:left w:val="single" w:sz="18" w:space="0" w:color="auto"/>
                  <w:bottom w:val="single" w:sz="6" w:space="0" w:color="auto"/>
                  <w:right w:val="single" w:sz="18" w:space="0" w:color="auto"/>
                </w:tcBorders>
              </w:tcPr>
              <w:p>
                <w:pPr>
                  <w:rPr>
                    <w:sz w:val="22"/>
                  </w:rPr>
                </w:pPr>
                <w:r>
                  <w:rPr>
                    <w:sz w:val="22"/>
                  </w:rPr>
                  <w:t>05.08</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Draudžiama vairuoti išgėrus alkoholio</w:t>
                </w:r>
              </w:p>
            </w:tc>
          </w:tr>
          <w:tr>
            <w:trPr>
              <w:cantSplit/>
              <w:trHeight w:val="23"/>
            </w:trPr>
            <w:tc>
              <w:tcPr>
                <w:tcW w:w="880" w:type="dxa"/>
                <w:tcBorders>
                  <w:top w:val="single" w:sz="6" w:space="0" w:color="auto"/>
                  <w:left w:val="single" w:sz="18" w:space="0" w:color="auto"/>
                  <w:bottom w:val="single" w:sz="2" w:space="0" w:color="auto"/>
                  <w:right w:val="single" w:sz="18" w:space="0" w:color="auto"/>
                </w:tcBorders>
              </w:tcPr>
              <w:p>
                <w:pPr>
                  <w:rPr>
                    <w:sz w:val="22"/>
                  </w:rPr>
                </w:pPr>
                <w:r>
                  <w:rPr>
                    <w:sz w:val="22"/>
                  </w:rPr>
                  <w:t>10–51</w:t>
                </w:r>
              </w:p>
            </w:tc>
            <w:tc>
              <w:tcPr>
                <w:tcW w:w="720" w:type="dxa"/>
                <w:tcBorders>
                  <w:top w:val="single" w:sz="6" w:space="0" w:color="auto"/>
                  <w:left w:val="single" w:sz="18" w:space="0" w:color="auto"/>
                  <w:bottom w:val="single" w:sz="6" w:space="0" w:color="auto"/>
                  <w:right w:val="single" w:sz="6" w:space="0" w:color="auto"/>
                </w:tcBorders>
              </w:tcPr>
              <w:p>
                <w:pPr>
                  <w:rPr>
                    <w:sz w:val="22"/>
                  </w:rPr>
                </w:pPr>
              </w:p>
            </w:tc>
            <w:tc>
              <w:tcPr>
                <w:tcW w:w="7470" w:type="dxa"/>
                <w:tcBorders>
                  <w:top w:val="single" w:sz="6" w:space="0" w:color="auto"/>
                  <w:left w:val="single" w:sz="6" w:space="0" w:color="auto"/>
                  <w:bottom w:val="single" w:sz="6" w:space="0" w:color="auto"/>
                  <w:right w:val="single" w:sz="18" w:space="0" w:color="auto"/>
                </w:tcBorders>
              </w:tcPr>
              <w:p>
                <w:pPr>
                  <w:rPr>
                    <w:sz w:val="22"/>
                  </w:rPr>
                </w:pPr>
                <w:r>
                  <w:rPr>
                    <w:sz w:val="22"/>
                  </w:rPr>
                  <w:t>Transporto priemonės pritaikymas – išvadą pateikia protezinių ortopedijos gaminių ir techninių priemonių pritaikymo įstaigos (institucijos)</w:t>
                </w:r>
              </w:p>
            </w:tc>
          </w:tr>
        </w:tbl>
        <w:p>
          <w:pPr>
            <w:jc w:val="both"/>
          </w:pPr>
        </w:p>
        <w:sdt>
          <w:sdtPr>
            <w:alias w:val="pabaiga"/>
            <w:tag w:val="part_d64fbb402a2f42aa83a372486b609c14"/>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priedas"/>
        <w:tag w:val="part_e346b06b5c494f6ba26c62348bd3ec6f"/>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Pr/>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d08a8d9798034d6e9b692a36d644a7c3"/>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d08a8d9798034d6e9b692a36d644a7c3"/>
              <w:lock w:val="sdtLocked"/>
              <w:richText/>
            </w:sdtPr>
            <w:sdtContent>
              <w:r>
                <w:rPr>
                  <w:szCs w:val="24"/>
                </w:rPr>
                <w:t>2</w:t>
              </w:r>
            </w:sdtContent>
          </w:sdt>
          <w:r>
            <w:rPr>
              <w:szCs w:val="24"/>
            </w:rPr>
            <w:t xml:space="preserve"> priedas</w:t>
          </w:r>
        </w:p>
        <w:p>
          <w:pPr>
            <w:jc w:val="center"/>
            <w:rPr>
              <w:b/>
              <w:szCs w:val="24"/>
            </w:rPr>
          </w:pPr>
        </w:p>
        <w:sdt>
          <w:sdtPr>
            <w:alias w:val="Pavadinimas"/>
            <w:tag w:val="title_d08a8d9798034d6e9b692a36d644a7c3"/>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6079d1561f3747f1baebb423b54492cf"/>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6079d1561f3747f1baebb423b54492cf"/>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6079d1561f3747f1baebb423b54492cf"/>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 pagal Aprašo 1 priedo 1 ir 2 punktus;</w:t>
                    </w:r>
                  </w:p>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patruliuoja, saugo asmenis, vykdo mobiliąsias palydas, konvojuoja – pagal Aprašo 1 priedo 1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sdtContent>
        </w:sdt>
        <w:sdt>
          <w:sdtPr>
            <w:alias w:val="skyrius"/>
            <w:tag w:val="part_626c7dfef9c04833833249c77e250d3a"/>
            <w:lock w:val="sdtLocked"/>
            <w:richText/>
          </w:sdtPr>
          <w:sdtContent>
            <w:p>
              <w:pPr>
                <w:tabs>
                  <w:tab w:val="left" w:pos="0"/>
                  <w:tab w:val="left" w:pos="850"/>
                  <w:tab w:val="left" w:pos="8504"/>
                  <w:tab w:val="left" w:pos="9000"/>
                </w:tabs>
                <w:ind w:firstLine="709"/>
                <w:jc w:val="center"/>
                <w:rPr>
                  <w:b/>
                  <w:szCs w:val="24"/>
                </w:rPr>
              </w:pPr>
              <w:sdt>
                <w:sdtPr>
                  <w:alias w:val="Numeris"/>
                  <w:tag w:val="nr_626c7dfef9c04833833249c77e250d3a"/>
                  <w:lock w:val="sdtLocked"/>
                  <w:richText/>
                </w:sdtPr>
                <w:sdtContent>
                  <w:r>
                    <w:rPr>
                      <w:b/>
                      <w:szCs w:val="24"/>
                    </w:rPr>
                    <w:t>II</w:t>
                  </w:r>
                </w:sdtContent>
              </w:sdt>
              <w:r>
                <w:rPr>
                  <w:b/>
                  <w:szCs w:val="24"/>
                </w:rPr>
                <w:t xml:space="preserve"> SKYRIUS</w:t>
              </w:r>
            </w:p>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center"/>
                <w:rPr>
                  <w:szCs w:val="24"/>
                </w:rPr>
              </w:pPr>
              <w:sdt>
                <w:sdtPr>
                  <w:alias w:val="Pavadinimas"/>
                  <w:tag w:val="title_626c7dfef9c04833833249c77e250d3a"/>
                  <w:lock w:val="sdtLocked"/>
                  <w:richText/>
                </w:sdtPr>
                <w:sdtContent>
                  <w:r>
                    <w:rPr>
                      <w:b/>
                      <w:szCs w:val="24"/>
                    </w:rPr>
                    <w:t>GYDYTOJŲ SPECIALISTŲ, TEIKIANČIŲ PROFILAKTINIŲ SVEIKATOS TIKRINIMŲ PASLAUGAS, APMOKAMAS IŠ PRIVALOMOJO SVEIKATOS DRAUDIMO FONDO BIUDŽETO, PASLAUGŲ KAINOS</w:t>
                  </w:r>
                </w:sdtContent>
              </w:sdt>
            </w:p>
            <w:sdt>
              <w:sdtPr>
                <w:alias w:val="lentele"/>
                <w:tag w:val="part_363215b535284b928335c0cf16b6566a"/>
                <w:lock w:val="sdtLocked"/>
                <w:richText/>
              </w:sdtPr>
              <w:sdtContent>
                <w:p>
                  <w:pPr>
                    <w:tabs>
                      <w:tab w:val="left" w:pos="0"/>
                      <w:tab w:val="left" w:pos="850"/>
                      <w:tab w:val="left" w:pos="8504"/>
                      <w:tab w:val="left" w:pos="9000"/>
                    </w:tabs>
                    <w:ind w:firstLine="709"/>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95"/>
                    <w:gridCol w:w="2660"/>
                  </w:tblGrid>
                  <w:tr>
                    <w:tc>
                      <w:tcPr>
                        <w:tcW w:w="817" w:type="dxa"/>
                      </w:tcPr>
                      <w:p>
                        <w:pPr>
                          <w:tabs>
                            <w:tab w:val="left" w:pos="0"/>
                            <w:tab w:val="left" w:pos="850"/>
                            <w:tab w:val="left" w:pos="8504"/>
                            <w:tab w:val="left" w:pos="9000"/>
                          </w:tabs>
                          <w:spacing w:line="276" w:lineRule="auto"/>
                          <w:jc w:val="both"/>
                          <w:rPr>
                            <w:szCs w:val="24"/>
                          </w:rPr>
                        </w:pPr>
                        <w:r>
                          <w:rPr>
                            <w:szCs w:val="24"/>
                          </w:rPr>
                          <w:t>Eil.</w:t>
                        </w:r>
                      </w:p>
                      <w:p>
                        <w:pPr>
                          <w:rPr>
                            <w:sz w:val="18"/>
                            <w:szCs w:val="18"/>
                          </w:rPr>
                        </w:pPr>
                      </w:p>
                      <w:p>
                        <w:pPr>
                          <w:tabs>
                            <w:tab w:val="left" w:pos="0"/>
                            <w:tab w:val="left" w:pos="850"/>
                            <w:tab w:val="left" w:pos="8504"/>
                            <w:tab w:val="left" w:pos="9000"/>
                          </w:tabs>
                          <w:spacing w:line="276" w:lineRule="auto"/>
                          <w:jc w:val="both"/>
                          <w:rPr>
                            <w:szCs w:val="24"/>
                          </w:rPr>
                        </w:pPr>
                        <w:r>
                          <w:rPr>
                            <w:szCs w:val="24"/>
                          </w:rPr>
                          <w:t>Nr.</w:t>
                        </w:r>
                      </w:p>
                    </w:tc>
                    <w:tc>
                      <w:tcPr>
                        <w:tcW w:w="6095" w:type="dxa"/>
                      </w:tcPr>
                      <w:p>
                        <w:pPr>
                          <w:tabs>
                            <w:tab w:val="left" w:pos="0"/>
                            <w:tab w:val="left" w:pos="850"/>
                            <w:tab w:val="left" w:pos="8504"/>
                            <w:tab w:val="left" w:pos="9000"/>
                          </w:tabs>
                          <w:spacing w:line="276" w:lineRule="auto"/>
                          <w:jc w:val="both"/>
                          <w:rPr>
                            <w:szCs w:val="24"/>
                          </w:rPr>
                        </w:pPr>
                        <w:r>
                          <w:rPr>
                            <w:szCs w:val="24"/>
                          </w:rPr>
                          <w:t>Profilaktiniai sveikatos tikrinimai</w:t>
                        </w:r>
                      </w:p>
                    </w:tc>
                    <w:tc>
                      <w:tcPr>
                        <w:tcW w:w="2660" w:type="dxa"/>
                      </w:tcPr>
                      <w:p>
                        <w:pPr>
                          <w:tabs>
                            <w:tab w:val="left" w:pos="0"/>
                            <w:tab w:val="left" w:pos="850"/>
                            <w:tab w:val="left" w:pos="8504"/>
                            <w:tab w:val="left" w:pos="9000"/>
                          </w:tabs>
                          <w:spacing w:line="276" w:lineRule="auto"/>
                          <w:jc w:val="both"/>
                          <w:rPr>
                            <w:szCs w:val="24"/>
                          </w:rPr>
                        </w:pPr>
                        <w:r>
                          <w:rPr>
                            <w:szCs w:val="24"/>
                          </w:rPr>
                          <w:t>Kaina</w:t>
                        </w:r>
                      </w:p>
                      <w:p>
                        <w:pPr>
                          <w:rPr>
                            <w:sz w:val="18"/>
                            <w:szCs w:val="18"/>
                          </w:rPr>
                        </w:pPr>
                      </w:p>
                      <w:p>
                        <w:pPr>
                          <w:tabs>
                            <w:tab w:val="left" w:pos="0"/>
                            <w:tab w:val="left" w:pos="850"/>
                            <w:tab w:val="left" w:pos="8504"/>
                            <w:tab w:val="left" w:pos="9000"/>
                          </w:tabs>
                          <w:spacing w:line="276" w:lineRule="auto"/>
                          <w:jc w:val="both"/>
                          <w:rPr>
                            <w:szCs w:val="24"/>
                          </w:rPr>
                        </w:pPr>
                        <w:r>
                          <w:rPr>
                            <w:szCs w:val="24"/>
                          </w:rPr>
                          <w:t>(balais)</w:t>
                        </w:r>
                      </w:p>
                    </w:tc>
                  </w:tr>
                  <w:tr>
                    <w:tc>
                      <w:tcPr>
                        <w:tcW w:w="817" w:type="dxa"/>
                      </w:tcPr>
                      <w:p>
                        <w:pPr>
                          <w:tabs>
                            <w:tab w:val="left" w:pos="0"/>
                            <w:tab w:val="left" w:pos="850"/>
                            <w:tab w:val="left" w:pos="8504"/>
                            <w:tab w:val="left" w:pos="9000"/>
                          </w:tabs>
                          <w:spacing w:line="276" w:lineRule="auto"/>
                          <w:jc w:val="center"/>
                          <w:rPr>
                            <w:szCs w:val="24"/>
                          </w:rPr>
                        </w:pPr>
                        <w:r>
                          <w:rPr>
                            <w:szCs w:val="24"/>
                          </w:rPr>
                          <w:t>1</w:t>
                        </w:r>
                      </w:p>
                    </w:tc>
                    <w:tc>
                      <w:tcPr>
                        <w:tcW w:w="6095" w:type="dxa"/>
                      </w:tcPr>
                      <w:p>
                        <w:pPr>
                          <w:tabs>
                            <w:tab w:val="left" w:pos="0"/>
                            <w:tab w:val="left" w:pos="850"/>
                            <w:tab w:val="left" w:pos="8504"/>
                            <w:tab w:val="left" w:pos="9000"/>
                          </w:tabs>
                          <w:spacing w:line="276" w:lineRule="auto"/>
                          <w:jc w:val="center"/>
                          <w:rPr>
                            <w:szCs w:val="24"/>
                          </w:rPr>
                        </w:pPr>
                        <w:r>
                          <w:rPr>
                            <w:szCs w:val="24"/>
                          </w:rPr>
                          <w:t>2</w:t>
                        </w:r>
                      </w:p>
                    </w:tc>
                    <w:tc>
                      <w:tcPr>
                        <w:tcW w:w="2660" w:type="dxa"/>
                      </w:tcPr>
                      <w:p>
                        <w:pPr>
                          <w:tabs>
                            <w:tab w:val="left" w:pos="0"/>
                            <w:tab w:val="left" w:pos="850"/>
                            <w:tab w:val="left" w:pos="8504"/>
                            <w:tab w:val="left" w:pos="9000"/>
                          </w:tabs>
                          <w:spacing w:line="276" w:lineRule="auto"/>
                          <w:jc w:val="center"/>
                          <w:rPr>
                            <w:szCs w:val="24"/>
                          </w:rPr>
                        </w:pPr>
                        <w:r>
                          <w:rPr>
                            <w:szCs w:val="24"/>
                          </w:rPr>
                          <w:t>3</w:t>
                        </w:r>
                      </w:p>
                    </w:tc>
                  </w:tr>
                  <w:tr>
                    <w:tc>
                      <w:tcPr>
                        <w:tcW w:w="817" w:type="dxa"/>
                      </w:tcPr>
                      <w:p>
                        <w:pPr>
                          <w:tabs>
                            <w:tab w:val="left" w:pos="0"/>
                            <w:tab w:val="left" w:pos="850"/>
                            <w:tab w:val="left" w:pos="8504"/>
                            <w:tab w:val="left" w:pos="9000"/>
                          </w:tabs>
                          <w:spacing w:line="276" w:lineRule="auto"/>
                          <w:jc w:val="both"/>
                          <w:rPr>
                            <w:szCs w:val="24"/>
                          </w:rPr>
                        </w:pPr>
                        <w:r>
                          <w:rPr>
                            <w:szCs w:val="24"/>
                          </w:rPr>
                          <w:t>7.</w:t>
                        </w:r>
                      </w:p>
                    </w:tc>
                    <w:tc>
                      <w:tcPr>
                        <w:tcW w:w="6095" w:type="dxa"/>
                      </w:tcPr>
                      <w:p>
                        <w:pPr>
                          <w:tabs>
                            <w:tab w:val="left" w:pos="0"/>
                            <w:tab w:val="left" w:pos="850"/>
                            <w:tab w:val="left" w:pos="8504"/>
                            <w:tab w:val="left" w:pos="9000"/>
                          </w:tabs>
                          <w:spacing w:line="276" w:lineRule="auto"/>
                          <w:jc w:val="both"/>
                          <w:rPr>
                            <w:szCs w:val="24"/>
                          </w:rPr>
                        </w:pPr>
                        <w:r>
                          <w:rPr>
                            <w:szCs w:val="24"/>
                          </w:rPr>
                          <w:t>Gydytojo specialisto</w:t>
                        </w:r>
                      </w:p>
                    </w:tc>
                    <w:tc>
                      <w:tcPr>
                        <w:tcW w:w="2660" w:type="dxa"/>
                      </w:tcPr>
                      <w:p>
                        <w:pPr>
                          <w:tabs>
                            <w:tab w:val="left" w:pos="0"/>
                            <w:tab w:val="left" w:pos="850"/>
                            <w:tab w:val="left" w:pos="8504"/>
                            <w:tab w:val="left" w:pos="9000"/>
                          </w:tabs>
                          <w:spacing w:line="276" w:lineRule="auto"/>
                          <w:jc w:val="center"/>
                          <w:rPr>
                            <w:szCs w:val="24"/>
                          </w:rPr>
                        </w:pPr>
                        <w:r>
                          <w:rPr>
                            <w:szCs w:val="24"/>
                          </w:rPr>
                          <w:t>6,63</w:t>
                        </w:r>
                      </w:p>
                    </w:tc>
                  </w:tr>
                </w:tbl>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87770029ee11e5a2d7e5e47b869348">
                <w:r w:rsidRPr="00532B9F">
                  <w:rPr>
                    <w:rFonts w:ascii="Times New Roman" w:eastAsia="MS Mincho" w:hAnsi="Times New Roman"/>
                    <w:sz w:val="20"/>
                    <w:i/>
                    <w:iCs/>
                    <w:color w:val="0000FF" w:themeColor="hyperlink"/>
                    <w:u w:val="single"/>
                  </w:rPr>
                  <w:t>V-862</w:t>
                </w:r>
              </w:fldSimple>
              <w:r>
                <w:rPr>
                  <w:rFonts w:ascii="Times New Roman" w:eastAsia="MS Mincho" w:hAnsi="Times New Roman"/>
                  <w:sz w:val="20"/>
                  <w:i/>
                  <w:iCs/>
                </w:rPr>
                <w:t>,
2015-07-10,
paskelbta TAR 2015-07-14, i. k. 2015-11317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8913"/>
    <o:shapelayout v:ext="edit">
      <o:idmap v:ext="edit" data="1"/>
    </o:shapelayout>
  </w:shapeDefaults>
  <w:decimalSymbol w:val=","/>
  <w:listSeparator w:val=";"/>
  <w14:docId w14:val="7AB6E993"/>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63.xml"/>
  <Relationship Id="rId101" Type="http://schemas.openxmlformats.org/officeDocument/2006/relationships/header" Target="header164.xml"/>
  <Relationship Id="rId102" Type="http://schemas.openxmlformats.org/officeDocument/2006/relationships/image" Target="media/image1.png"/>
  <Relationship Id="rId103" Type="http://schemas.openxmlformats.org/officeDocument/2006/relationships/image" Target="media/image2.png"/>
  <Relationship Id="rId104" Type="http://schemas.openxmlformats.org/officeDocument/2006/relationships/image" Target="media/image3.png"/>
  <Relationship Id="rId105" Type="http://schemas.openxmlformats.org/officeDocument/2006/relationships/image" Target="media/image4.png"/>
  <Relationship Id="rId106" Type="http://schemas.openxmlformats.org/officeDocument/2006/relationships/image" Target="media/image5.png"/>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 Type="http://schemas.openxmlformats.org/officeDocument/2006/relationships/hyperlink" TargetMode="External" Target="https://www.e-tar.lt/portal/lt/legalAct/TAR.95C79D036AA4"/>
  <Relationship Id="rId110" Type="http://schemas.openxmlformats.org/officeDocument/2006/relationships/image" Target="media/image9.png"/>
  <Relationship Id="rId111" Type="http://schemas.openxmlformats.org/officeDocument/2006/relationships/image" Target="media/image10.png"/>
  <Relationship Id="rId112" Type="http://schemas.openxmlformats.org/officeDocument/2006/relationships/image" Target="media/image11.png"/>
  <Relationship Id="rId113" Type="http://schemas.openxmlformats.org/officeDocument/2006/relationships/image" Target="media/image12.png"/>
  <Relationship Id="rId114" Type="http://schemas.openxmlformats.org/officeDocument/2006/relationships/image" Target="media/image13.png"/>
  <Relationship Id="rId115" Type="http://schemas.openxmlformats.org/officeDocument/2006/relationships/image" Target="media/image14.png"/>
  <Relationship Id="rId116" Type="http://schemas.openxmlformats.org/officeDocument/2006/relationships/image" Target="media/image15.png"/>
  <Relationship Id="rId117" Type="http://schemas.openxmlformats.org/officeDocument/2006/relationships/image" Target="media/image16.png"/>
  <Relationship Id="rId118" Type="http://schemas.openxmlformats.org/officeDocument/2006/relationships/image" Target="media/image17.png"/>
  <Relationship Id="rId119" Type="http://schemas.openxmlformats.org/officeDocument/2006/relationships/image" Target="media/image18.png"/>
  <Relationship Id="rId12" Type="http://schemas.openxmlformats.org/officeDocument/2006/relationships/hyperlink" TargetMode="External" Target="https://www.e-tar.lt/portal/lt/legalAct/TAR.E2B2957B9182"/>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image" Target="media/image27.png"/>
  <Relationship Id="rId129" Type="http://schemas.openxmlformats.org/officeDocument/2006/relationships/image" Target="media/image28.png"/>
  <Relationship Id="rId13" Type="http://schemas.openxmlformats.org/officeDocument/2006/relationships/hyperlink" TargetMode="External" Target="https://www.e-tar.lt/portal/lt/legalAct/TAR.E964CE7A637A"/>
  <Relationship Id="rId130" Type="http://schemas.openxmlformats.org/officeDocument/2006/relationships/image" Target="media/image29.png"/>
  <Relationship Id="rId131" Type="http://schemas.openxmlformats.org/officeDocument/2006/relationships/image" Target="media/image30.png"/>
  <Relationship Id="rId132" Type="http://schemas.openxmlformats.org/officeDocument/2006/relationships/image" Target="media/image31.png"/>
  <Relationship Id="rId133" Type="http://schemas.openxmlformats.org/officeDocument/2006/relationships/image" Target="media/image32.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4.xml"/>
  <Relationship Id="rId23" Type="http://schemas.openxmlformats.org/officeDocument/2006/relationships/header" Target="header65.xml"/>
  <Relationship Id="rId24" Type="http://schemas.openxmlformats.org/officeDocument/2006/relationships/footer" Target="footer64.xml"/>
  <Relationship Id="rId25" Type="http://schemas.openxmlformats.org/officeDocument/2006/relationships/footer" Target="footer65.xml"/>
  <Relationship Id="rId26" Type="http://schemas.openxmlformats.org/officeDocument/2006/relationships/header" Target="header66.xml"/>
  <Relationship Id="rId27" Type="http://schemas.openxmlformats.org/officeDocument/2006/relationships/footer" Target="footer66.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76.xml"/>
  <Relationship Id="rId35" Type="http://schemas.openxmlformats.org/officeDocument/2006/relationships/header" Target="header77.xml"/>
  <Relationship Id="rId36" Type="http://schemas.openxmlformats.org/officeDocument/2006/relationships/footer" Target="footer76.xml"/>
  <Relationship Id="rId37" Type="http://schemas.openxmlformats.org/officeDocument/2006/relationships/footer" Target="footer77.xml"/>
  <Relationship Id="rId38" Type="http://schemas.openxmlformats.org/officeDocument/2006/relationships/header" Target="header78.xml"/>
  <Relationship Id="rId39" Type="http://schemas.openxmlformats.org/officeDocument/2006/relationships/footer" Target="footer78.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18.xml"/>
  <Relationship Id="rId43" Type="http://schemas.openxmlformats.org/officeDocument/2006/relationships/header" Target="header119.xml"/>
  <Relationship Id="rId44" Type="http://schemas.openxmlformats.org/officeDocument/2006/relationships/footer" Target="footer118.xml"/>
  <Relationship Id="rId45" Type="http://schemas.openxmlformats.org/officeDocument/2006/relationships/footer" Target="footer119.xml"/>
  <Relationship Id="rId46" Type="http://schemas.openxmlformats.org/officeDocument/2006/relationships/header" Target="header120.xml"/>
  <Relationship Id="rId47" Type="http://schemas.openxmlformats.org/officeDocument/2006/relationships/footer" Target="footer120.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48.xml"/>
  <Relationship Id="rId7" Type="http://schemas.openxmlformats.org/officeDocument/2006/relationships/theme" Target="theme/theme1.xml"/>
  <Relationship Id="rId70" Type="http://schemas.openxmlformats.org/officeDocument/2006/relationships/footer" Target="footer148.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54.xml"/>
  <Relationship Id="rId96" Type="http://schemas.openxmlformats.org/officeDocument/2006/relationships/header" Target="header155.xml"/>
  <Relationship Id="rId97" Type="http://schemas.openxmlformats.org/officeDocument/2006/relationships/header" Target="header160.xml"/>
  <Relationship Id="rId98" Type="http://schemas.openxmlformats.org/officeDocument/2006/relationships/header" Target="header161.xml"/>
  <Relationship Id="rId99" Type="http://schemas.openxmlformats.org/officeDocument/2006/relationships/header" Target="header16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dd1893748948a1b5ec38ac4bb9c85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2bcc68e8896441548e920b954acf698f">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09e49d310cdb401ca679c22defc7ed1d"/>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82893ec027bb40d5a80ae1a2ef4d3794">
    <Part Type="pastraipa" DocPartId="1c091382416e4bdc859472f554769c75" PartId="46e7d9a2085f48678a8485f3a6927b94"/>
    <Part Type="punktas" Nr="1" Abbr="1 p." DocPartId="17cd5e5ea5244be5a970149c4f6ecb20" PartId="63c9baf161b343b5830c6d82a21d093a"/>
    <Part Type="punktas" Nr="2" Abbr="2 p." DocPartId="e3c7f281d1db4b07838f13d859c5a821" PartId="54c21f5c63f04a7f98b3f7a6077def86"/>
    <Part Type="punktas" Nr="3" Abbr="3 p." DocPartId="b0789031f8d64a31b8cf4e3612f4ff72" PartId="677da8099d284f209123f4a5d5df5aa9"/>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88957939666040ddb859e8049f66a047">
    <Part Type="pabaiga" DocPartId="d74d6fa8bd9b4b52adbb3dfb1bbbe19b" PartId="d64fbb402a2f42aa83a372486b609c14"/>
  </Part>
  <Part Type="priedas" DocPartId="9e4d5731f64e4611b658ef00b9e5bb43" PartId="e346b06b5c494f6ba26c62348bd3ec6f"/>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d08a8d9798034d6e9b692a36d644a7c3"/>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6079d1561f3747f1baebb423b54492cf"/>
    <Part Type="skyrius" Nr="2" Title="GYDYTOJŲ SPECIALISTŲ, TEIKIANČIŲ PROFILAKTINIŲ SVEIKATOS TIKRINIMŲ PASLAUGAS, APMOKAMAS IŠ PRIVALOMOJO SVEIKATOS DRAUDIMO FONDO BIUDŽETO, PASLAUGŲ KAINOS" DocPartId="4c6f3dbd67e2452eb79027c8b6d83049" PartId="626c7dfef9c04833833249c77e250d3a">
      <Part Type="lentele" DocPartId="953db320ee274242999178c91740cddc" PartId="363215b535284b928335c0cf16b6566a"/>
    </Part>
  </Part>
</Parts>
</file>

<file path=customXml/itemProps1.xml><?xml version="1.0" encoding="utf-8"?>
<ds:datastoreItem xmlns:ds="http://schemas.openxmlformats.org/officeDocument/2006/customXml" ds:itemID="{B5850D5A-40C5-46FF-8271-332FFE20CD4A}">
  <ds:schemaRefs>
    <ds:schemaRef ds:uri="http://lrs.lt/TAIS/DocParts"/>
  </ds:schemaRefs>
</ds:datastoreItem>
</file>

<file path=docProps/app.xml><?xml version="1.0" encoding="utf-8"?>
<Properties xmlns="http://schemas.openxmlformats.org/officeDocument/2006/extended-properties">
  <Template>Normal.dotm</Template>
  <TotalTime>121</TotalTime>
  <Pages>251</Pages>
  <Words>319545</Words>
  <Characters>182142</Characters>
  <Application>Microsoft Office Word</Application>
  <DocSecurity>0</DocSecurity>
  <Lines>1517</Lines>
  <Paragraphs>1001</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500686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2018-06-26T10:12:00Z</dcterms:modified>
  <revision>82</revision>
</coreProperties>
</file>