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2015-01-01 iki 2015-02-02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c58e18ec32462998f249a6909cd66b"/>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c58e18ec32462998f249a6909cd66b"/>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c58e18ec32462998f249a6909cd66b"/>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5.3 p."/>
                    <w:tag w:val="part_dab8bea7d93841f5b738abc7242890dc"/>
                    <w:lock w:val="sdtLocked"/>
                    <w:richText/>
                  </w:sdtPr>
                  <w:sdtContent>
                    <w:p>
                      <w:pPr>
                        <w:widowControl w:val="0"/>
                        <w:suppressAutoHyphens/>
                        <w:ind w:firstLine="709"/>
                        <w:jc w:val="both"/>
                        <w:rPr>
                          <w:color w:val="000000"/>
                        </w:rPr>
                      </w:pPr>
                      <w:sdt>
                        <w:sdtPr>
                          <w:alias w:val="Numeris"/>
                          <w:tag w:val="nr_dab8bea7d93841f5b738abc7242890dc"/>
                          <w:lock w:val="sdtLocked"/>
                          <w:richText/>
                        </w:sdtPr>
                        <w:sdtContent>
                          <w:r>
                            <w:rPr>
                              <w:color w:val="000000"/>
                            </w:rPr>
                            <w:t>5.3</w:t>
                          </w:r>
                        </w:sdtContent>
                      </w:sdt>
                      <w:r>
                        <w:rPr>
                          <w:color w:val="000000"/>
                        </w:rPr>
                        <w:t xml:space="preserve">. profilaktinių tikrinimų kainos, nurodytos Profilaktinių sveikatos tikrinimų kainų (18 priedas), patvirtintų Lietuvos Respublikos sveikatos apsaugos ministro 2000 m. gegužės 31 d. įsakymu Nr. 301 „Dėl profilaktinių sveikatos tikrinimų sveikatos priežiūros įstaigose“ (Žin., 2000, Nr. </w:t>
                      </w:r>
                      <w:hyperlink r:id="rId96" w:tgtFrame="_blank" w:history="1">
                        <w:r>
                          <w:rPr>
                            <w:color w:val="0000FF" w:themeColor="hyperlink"/>
                            <w:u w:val="single"/>
                          </w:rPr>
                          <w:t>47-1365</w:t>
                        </w:r>
                      </w:hyperlink>
                      <w:r>
                        <w:rPr>
                          <w:color w:val="000000"/>
                        </w:rPr>
                        <w:t xml:space="preserv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(Žin., 1999, Nr. </w:t>
                      </w:r>
                      <w:hyperlink r:id="rId97" w:tgtFrame="_blank" w:history="1">
                        <w:r>
                          <w:rPr>
                            <w:color w:val="0000FF" w:themeColor="hyperlink"/>
                            <w:u w:val="single"/>
                          </w:rPr>
                          <w:t>67-2175</w:t>
                        </w:r>
                      </w:hyperlink>
                      <w:r>
                        <w:rPr>
                          <w:color w:val="000000"/>
                        </w:rPr>
                        <w:t>), 2 punkte nustatyta tvarka apskaičiuotu koeficientu ir iš naujo tvirtinamos ministro įsakymu.</w:t>
                      </w:r>
                    </w:p>
                    <w:p>
                      <w:pPr>
                        <w:widowControl w:val="0"/>
                        <w:suppressAutoHyphens/>
                        <w:ind w:firstLine="709"/>
                        <w:jc w:val="both"/>
                        <w:rPr>
                          <w:color w:val="000000"/>
                        </w:rPr>
                      </w:pPr>
                      <w:r>
                        <w:rPr>
                          <w:color w:val="000000"/>
                        </w:rPr>
                        <w:t>Kainos gali būti indeksuojamos, kai koeficientas yra ne mažesnis kaip 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6a65812f199745a58e3302679ef31305"/>
        <w:lock w:val="sdtLocked"/>
        <w:richText/>
      </w:sdtPr>
      <w:sdtContent>
        <w:p>
          <w:pPr>
            <w:widowControl w:val="0"/>
            <w:shd w:val="clear" w:color="000000" w:fill="auto"/>
            <w:suppressAutoHyphens/>
            <w:jc w:val="both"/>
            <w:rPr>
              <w:color w:val="000000"/>
            </w:rPr>
          </w:pPr>
        </w:p>
        <w:p>
          <w:pPr>
            <w:widowControl w:val="0"/>
            <w:shd w:val="clear" w:color="000000" w:fill="auto"/>
            <w:suppressAutoHyphens/>
            <w:jc w:val="both"/>
            <w:rPr>
              <w:color w:val="000000"/>
            </w:rPr>
            <w:sectPr>
              <w:pgSz w:w="11907" w:h="16840" w:code="9"/>
              <w:pgMar w:top="1134" w:right="1134" w:bottom="1134" w:left="1701" w:header="709" w:footer="709" w:gutter="0"/>
              <w:pgNumType w:start="1"/>
              <w:cols w:space="708"/>
              <w:titlePg/>
              <w:docGrid w:linePitch="326"/>
            </w:sectPr>
          </w:pPr>
        </w:p>
        <w:p>
          <w:pPr>
            <w:shd w:val="clear" w:color="000000" w:fill="auto"/>
            <w:ind w:left="9100"/>
          </w:pPr>
          <w:r>
            <w:t>PATVIRTINTA</w:t>
          </w:r>
        </w:p>
        <w:p>
          <w:pPr>
            <w:shd w:val="clear" w:color="000000" w:fill="auto"/>
            <w:ind w:left="9100"/>
          </w:pPr>
          <w:r>
            <w:t xml:space="preserve">Lietuvos Respublikos sveikatos apsaugos ministro </w:t>
          </w:r>
        </w:p>
        <w:p>
          <w:pPr>
            <w:shd w:val="clear" w:color="000000" w:fill="auto"/>
            <w:ind w:left="9100"/>
          </w:pPr>
          <w:r>
            <w:t>2000 m. gegužės 31 d. įsakymu Nr. 301</w:t>
          </w:r>
        </w:p>
        <w:p>
          <w:pPr>
            <w:shd w:val="clear" w:color="000000" w:fill="auto"/>
            <w:ind w:left="9100"/>
          </w:pPr>
          <w:r>
            <w:t>(2010 m. birželio 18 d. įsakymo Nr. V-586 redakcija)</w:t>
          </w:r>
        </w:p>
        <w:p>
          <w:pPr>
            <w:shd w:val="clear" w:color="000000" w:fill="auto"/>
            <w:ind w:left="9100"/>
          </w:pPr>
          <w:r>
            <w:t>3 priedas</w:t>
          </w:r>
        </w:p>
        <w:sdt>
          <w:sdtPr>
            <w:alias w:val="Pavadinimas"/>
            <w:tag w:val="title_6a65812f199745a58e3302679ef31305"/>
            <w:lock w:val="sdtLocked"/>
            <w:richText/>
          </w:sdtPr>
          <w:sdtContent>
            <w:p>
              <w:pPr>
                <w:shd w:val="clear" w:color="000000" w:fill="auto"/>
              </w:pPr>
            </w:p>
            <w:p>
              <w:pPr>
                <w:shd w:val="clear" w:color="000000" w:fill="auto"/>
                <w:tabs>
                  <w:tab w:val="left" w:pos="945"/>
                  <w:tab w:val="center" w:pos="6979"/>
                </w:tabs>
                <w:jc w:val="center"/>
                <w:rPr>
                  <w:b/>
                </w:rPr>
              </w:pPr>
              <w:r>
                <w:rPr>
                  <w:b/>
                </w:rPr>
                <w:t>VAIKŲ SVEIKATOS TIKRINIMO TVARKA</w:t>
              </w:r>
            </w:p>
          </w:sdtContent>
        </w:sdt>
        <w:p>
          <w:pPr>
            <w:shd w:val="clear" w:color="000000" w:fill="auto"/>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shd w:val="clear" w:color="000000" w:fill="auto"/>
                  <w:rPr>
                    <w:sz w:val="22"/>
                    <w:szCs w:val="22"/>
                  </w:rPr>
                </w:pPr>
                <w:r>
                  <w:rPr>
                    <w:sz w:val="22"/>
                    <w:szCs w:val="22"/>
                  </w:rPr>
                  <w:t>Eil. Nr.</w:t>
                </w:r>
              </w:p>
            </w:tc>
            <w:tc>
              <w:tcPr>
                <w:tcW w:w="1096" w:type="dxa"/>
                <w:vMerge w:val="restart"/>
                <w:shd w:val="clear" w:color="auto" w:fill="auto"/>
                <w:vAlign w:val="center"/>
              </w:tcPr>
              <w:p>
                <w:pPr>
                  <w:shd w:val="clear" w:color="000000" w:fill="auto"/>
                  <w:rPr>
                    <w:sz w:val="22"/>
                    <w:szCs w:val="22"/>
                  </w:rPr>
                </w:pPr>
                <w:r>
                  <w:rPr>
                    <w:sz w:val="22"/>
                    <w:szCs w:val="22"/>
                  </w:rPr>
                  <w:t>Amžius</w:t>
                </w:r>
              </w:p>
            </w:tc>
            <w:tc>
              <w:tcPr>
                <w:tcW w:w="8311" w:type="dxa"/>
                <w:gridSpan w:val="3"/>
                <w:vAlign w:val="center"/>
              </w:tcPr>
              <w:p>
                <w:pPr>
                  <w:shd w:val="clear" w:color="000000" w:fill="auto"/>
                  <w:rPr>
                    <w:sz w:val="22"/>
                    <w:szCs w:val="22"/>
                  </w:rPr>
                </w:pPr>
                <w:r>
                  <w:rPr>
                    <w:sz w:val="22"/>
                    <w:szCs w:val="22"/>
                  </w:rPr>
                  <w:t>Sveikatos priežiūra</w:t>
                </w:r>
              </w:p>
            </w:tc>
            <w:tc>
              <w:tcPr>
                <w:tcW w:w="4781" w:type="dxa"/>
                <w:gridSpan w:val="4"/>
                <w:tcBorders>
                  <w:right w:val="single" w:sz="4" w:space="0" w:color="auto"/>
                </w:tcBorders>
                <w:vAlign w:val="center"/>
              </w:tcPr>
              <w:p>
                <w:pPr>
                  <w:shd w:val="clear" w:color="000000" w:fill="auto"/>
                  <w:rPr>
                    <w:sz w:val="22"/>
                    <w:szCs w:val="22"/>
                  </w:rPr>
                </w:pPr>
                <w:r>
                  <w:rPr>
                    <w:sz w:val="22"/>
                    <w:szCs w:val="22"/>
                  </w:rPr>
                  <w:t>Profilaktinis sveikatos tikrinimas</w:t>
                </w:r>
              </w:p>
            </w:tc>
          </w:tr>
          <w:tr>
            <w:trPr>
              <w:trHeight w:val="20"/>
              <w:tblHeader/>
            </w:trPr>
            <w:tc>
              <w:tcPr>
                <w:tcW w:w="554" w:type="dxa"/>
                <w:vMerge/>
                <w:vAlign w:val="center"/>
              </w:tcPr>
              <w:p>
                <w:pPr>
                  <w:shd w:val="clear" w:color="000000" w:fill="auto"/>
                  <w:rPr>
                    <w:sz w:val="22"/>
                    <w:szCs w:val="22"/>
                  </w:rPr>
                </w:pPr>
              </w:p>
            </w:tc>
            <w:tc>
              <w:tcPr>
                <w:tcW w:w="1096" w:type="dxa"/>
                <w:vMerge/>
                <w:shd w:val="clear" w:color="auto" w:fill="auto"/>
                <w:vAlign w:val="center"/>
              </w:tcPr>
              <w:p>
                <w:pPr>
                  <w:shd w:val="clear" w:color="000000" w:fill="auto"/>
                  <w:rPr>
                    <w:sz w:val="22"/>
                    <w:szCs w:val="22"/>
                  </w:rPr>
                </w:pPr>
              </w:p>
            </w:tc>
            <w:tc>
              <w:tcPr>
                <w:tcW w:w="1639" w:type="dxa"/>
                <w:vAlign w:val="center"/>
              </w:tcPr>
              <w:p>
                <w:pPr>
                  <w:shd w:val="clear" w:color="000000" w:fill="auto"/>
                  <w:rPr>
                    <w:sz w:val="22"/>
                    <w:szCs w:val="22"/>
                  </w:rPr>
                </w:pPr>
                <w:r>
                  <w:rPr>
                    <w:sz w:val="22"/>
                    <w:szCs w:val="22"/>
                  </w:rPr>
                  <w:t>Periodiškumas</w:t>
                </w:r>
              </w:p>
            </w:tc>
            <w:tc>
              <w:tcPr>
                <w:tcW w:w="2318" w:type="dxa"/>
                <w:vAlign w:val="center"/>
              </w:tcPr>
              <w:p>
                <w:pPr>
                  <w:shd w:val="clear" w:color="000000" w:fill="auto"/>
                  <w:rPr>
                    <w:sz w:val="22"/>
                    <w:szCs w:val="22"/>
                  </w:rPr>
                </w:pPr>
                <w:r>
                  <w:rPr>
                    <w:sz w:val="22"/>
                    <w:szCs w:val="22"/>
                  </w:rPr>
                  <w:t>Specialistai</w:t>
                </w:r>
              </w:p>
            </w:tc>
            <w:tc>
              <w:tcPr>
                <w:tcW w:w="4354" w:type="dxa"/>
                <w:vAlign w:val="center"/>
              </w:tcPr>
              <w:p>
                <w:pPr>
                  <w:shd w:val="clear" w:color="000000" w:fill="auto"/>
                  <w:rPr>
                    <w:sz w:val="22"/>
                    <w:szCs w:val="22"/>
                  </w:rPr>
                </w:pPr>
                <w:r>
                  <w:rPr>
                    <w:sz w:val="22"/>
                    <w:szCs w:val="22"/>
                  </w:rPr>
                  <w:t>Privalomieji veiksmai ir būtini tyrimai</w:t>
                </w:r>
              </w:p>
            </w:tc>
            <w:tc>
              <w:tcPr>
                <w:tcW w:w="1639" w:type="dxa"/>
                <w:vAlign w:val="center"/>
              </w:tcPr>
              <w:p>
                <w:pPr>
                  <w:shd w:val="clear" w:color="000000" w:fill="auto"/>
                  <w:rPr>
                    <w:sz w:val="22"/>
                    <w:szCs w:val="22"/>
                  </w:rPr>
                </w:pPr>
                <w:r>
                  <w:rPr>
                    <w:sz w:val="22"/>
                    <w:szCs w:val="22"/>
                  </w:rPr>
                  <w:t>Periodiškumas</w:t>
                </w:r>
              </w:p>
            </w:tc>
            <w:tc>
              <w:tcPr>
                <w:tcW w:w="1503" w:type="dxa"/>
                <w:vAlign w:val="center"/>
              </w:tcPr>
              <w:p>
                <w:pPr>
                  <w:shd w:val="clear" w:color="000000" w:fill="auto"/>
                  <w:rPr>
                    <w:sz w:val="22"/>
                    <w:szCs w:val="22"/>
                  </w:rPr>
                </w:pPr>
                <w:r>
                  <w:rPr>
                    <w:sz w:val="22"/>
                    <w:szCs w:val="22"/>
                  </w:rPr>
                  <w:t>Specialistai</w:t>
                </w:r>
              </w:p>
            </w:tc>
            <w:tc>
              <w:tcPr>
                <w:tcW w:w="1639" w:type="dxa"/>
                <w:gridSpan w:val="2"/>
                <w:vAlign w:val="center"/>
              </w:tcPr>
              <w:p>
                <w:pPr>
                  <w:shd w:val="clear" w:color="000000" w:fill="auto"/>
                  <w:rPr>
                    <w:sz w:val="22"/>
                    <w:szCs w:val="22"/>
                  </w:rPr>
                </w:pPr>
                <w:r>
                  <w:rPr>
                    <w:sz w:val="22"/>
                    <w:szCs w:val="22"/>
                  </w:rPr>
                  <w:t>Privalomieji veiksmai</w:t>
                </w:r>
              </w:p>
            </w:tc>
          </w:tr>
          <w:tr>
            <w:trPr>
              <w:trHeight w:val="20"/>
            </w:trPr>
            <w:tc>
              <w:tcPr>
                <w:tcW w:w="554" w:type="dxa"/>
                <w:vMerge w:val="restart"/>
              </w:tcPr>
              <w:p>
                <w:pPr>
                  <w:shd w:val="clear" w:color="000000" w:fill="auto"/>
                  <w:rPr>
                    <w:sz w:val="22"/>
                    <w:szCs w:val="22"/>
                  </w:rPr>
                </w:pPr>
                <w:r>
                  <w:rPr>
                    <w:sz w:val="22"/>
                    <w:szCs w:val="22"/>
                  </w:rPr>
                  <w:t>1.</w:t>
                </w:r>
              </w:p>
            </w:tc>
            <w:tc>
              <w:tcPr>
                <w:tcW w:w="1096" w:type="dxa"/>
                <w:vMerge w:val="restart"/>
              </w:tcPr>
              <w:p>
                <w:pPr>
                  <w:shd w:val="clear" w:color="000000" w:fill="auto"/>
                  <w:rPr>
                    <w:sz w:val="22"/>
                    <w:szCs w:val="22"/>
                  </w:rPr>
                </w:pPr>
                <w:r>
                  <w:rPr>
                    <w:sz w:val="22"/>
                    <w:szCs w:val="22"/>
                  </w:rPr>
                  <w:t>Iki 1 mėn.</w:t>
                </w:r>
              </w:p>
            </w:tc>
            <w:tc>
              <w:tcPr>
                <w:tcW w:w="1639" w:type="dxa"/>
              </w:tcPr>
              <w:p>
                <w:pPr>
                  <w:shd w:val="clear" w:color="000000" w:fill="auto"/>
                  <w:rPr>
                    <w:sz w:val="22"/>
                    <w:szCs w:val="22"/>
                  </w:rPr>
                </w:pPr>
                <w:r>
                  <w:rPr>
                    <w:sz w:val="22"/>
                    <w:szCs w:val="22"/>
                  </w:rPr>
                  <w:t>1 kartą</w:t>
                </w:r>
              </w:p>
            </w:tc>
            <w:tc>
              <w:tcPr>
                <w:tcW w:w="2318" w:type="dxa"/>
              </w:tcPr>
              <w:p>
                <w:pPr>
                  <w:shd w:val="clear" w:color="000000" w:fill="auto"/>
                  <w:rPr>
                    <w:sz w:val="22"/>
                    <w:szCs w:val="22"/>
                  </w:rPr>
                </w:pPr>
                <w:r>
                  <w:rPr>
                    <w:sz w:val="22"/>
                    <w:szCs w:val="22"/>
                  </w:rPr>
                  <w:t>Slaugytojas, akušeris arba gydytojas</w:t>
                </w:r>
              </w:p>
            </w:tc>
            <w:tc>
              <w:tcPr>
                <w:tcW w:w="4354" w:type="dxa"/>
                <w:tcBorders>
                  <w:bottom w:val="single" w:sz="4" w:space="0" w:color="auto"/>
                </w:tcBorders>
              </w:tcPr>
              <w:p>
                <w:pPr>
                  <w:shd w:val="clear" w:color="000000" w:fill="auto"/>
                  <w:rPr>
                    <w:sz w:val="22"/>
                    <w:szCs w:val="22"/>
                  </w:rPr>
                </w:pPr>
                <w:r>
                  <w:rPr>
                    <w:sz w:val="22"/>
                    <w:szCs w:val="22"/>
                  </w:rPr>
                  <w:t xml:space="preserve">Aplankyti ir apžiūrėti naujagimį namuose per 3 darbo dienas nuo išvykimo iš akušerijos stacionaro. </w:t>
                </w:r>
              </w:p>
              <w:p>
                <w:pPr>
                  <w:shd w:val="clear" w:color="000000" w:fill="auto"/>
                  <w:rPr>
                    <w:sz w:val="22"/>
                    <w:szCs w:val="22"/>
                  </w:rPr>
                </w:pPr>
                <w:r>
                  <w:rPr>
                    <w:sz w:val="22"/>
                    <w:szCs w:val="22"/>
                  </w:rPr>
                  <w:t xml:space="preserve">Įvertinti šeimos socialinį, psichologinį pasirengimą. </w:t>
                </w:r>
              </w:p>
              <w:p>
                <w:pPr>
                  <w:shd w:val="clear" w:color="000000" w:fill="auto"/>
                  <w:rPr>
                    <w:sz w:val="22"/>
                    <w:szCs w:val="22"/>
                  </w:rPr>
                </w:pPr>
                <w:r>
                  <w:rPr>
                    <w:sz w:val="22"/>
                    <w:szCs w:val="22"/>
                  </w:rPr>
                  <w:t xml:space="preserve">Patarti tėvams naujagimio priežiūros, mitybos, higienos klausimais. </w:t>
                </w:r>
              </w:p>
              <w:p>
                <w:pPr>
                  <w:shd w:val="clear" w:color="000000" w:fill="auto"/>
                  <w:rPr>
                    <w:sz w:val="22"/>
                    <w:szCs w:val="22"/>
                  </w:rPr>
                </w:pPr>
                <w:r>
                  <w:rPr>
                    <w:sz w:val="22"/>
                    <w:szCs w:val="22"/>
                  </w:rPr>
                  <w:t xml:space="preserve">Informuoti tėvus apie prisiregistravimo prie pirminės asmens sveikatos priežiūros įstaigos (toliau – PASPĮ) tvarką. </w:t>
                </w:r>
              </w:p>
              <w:p>
                <w:pPr>
                  <w:shd w:val="clear" w:color="000000" w:fill="auto"/>
                  <w:rPr>
                    <w:sz w:val="22"/>
                    <w:szCs w:val="22"/>
                  </w:rPr>
                </w:pPr>
                <w:r>
                  <w:rPr>
                    <w:sz w:val="22"/>
                    <w:szCs w:val="22"/>
                  </w:rPr>
                  <w:t>Prireikus informuoti socialinį darbuotoją.</w:t>
                </w:r>
              </w:p>
            </w:tc>
            <w:tc>
              <w:tcPr>
                <w:tcW w:w="1639" w:type="dxa"/>
                <w:vMerge w:val="restart"/>
              </w:tcPr>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Oftalmologas, jeigu rizikos grupės vaikas nebuvo apžiūrėtas akušerijos stacionare.</w:t>
                </w:r>
              </w:p>
            </w:tc>
            <w:tc>
              <w:tcPr>
                <w:tcW w:w="1639" w:type="dxa"/>
                <w:gridSpan w:val="2"/>
                <w:vMerge w:val="restart"/>
              </w:tcPr>
              <w:p>
                <w:pPr>
                  <w:shd w:val="clear" w:color="000000" w:fill="auto"/>
                  <w:rPr>
                    <w:sz w:val="22"/>
                    <w:szCs w:val="22"/>
                  </w:rPr>
                </w:pPr>
                <w:r>
                  <w:rPr>
                    <w:sz w:val="22"/>
                    <w:szCs w:val="22"/>
                  </w:rPr>
                  <w:t>Apžiūrėti rizikos grupės vaiką.</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shd w:val="clear" w:color="000000" w:fill="auto"/>
                  <w:rPr>
                    <w:sz w:val="22"/>
                    <w:szCs w:val="22"/>
                  </w:rPr>
                </w:pPr>
                <w:r>
                  <w:rPr>
                    <w:sz w:val="22"/>
                    <w:szCs w:val="22"/>
                  </w:rPr>
                  <w:t xml:space="preserve">Vaikui apsilankius PASPĮ, įvertinti jo sveikatos būklę, klausą. </w:t>
                </w:r>
              </w:p>
              <w:p>
                <w:pPr>
                  <w:shd w:val="clear" w:color="000000" w:fill="auto"/>
                  <w:rPr>
                    <w:sz w:val="22"/>
                    <w:szCs w:val="22"/>
                  </w:rPr>
                </w:pPr>
                <w:r>
                  <w:rPr>
                    <w:sz w:val="22"/>
                    <w:szCs w:val="22"/>
                  </w:rPr>
                  <w:t>1 mėn. amžiaus, jeigu vaikas gimė neišnešiotas, po ABO ar Rh konflikto, įgimtos infekcijos, atlikti kraujo ir šlapimo tyrimus.</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Slaugytojas arba akušeris</w:t>
                </w:r>
              </w:p>
            </w:tc>
            <w:tc>
              <w:tcPr>
                <w:tcW w:w="4354" w:type="dxa"/>
                <w:tcBorders>
                  <w:bottom w:val="single" w:sz="4" w:space="0" w:color="auto"/>
                </w:tcBorders>
              </w:tcPr>
              <w:p>
                <w:pPr>
                  <w:shd w:val="clear" w:color="000000" w:fill="auto"/>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2.</w:t>
                </w:r>
              </w:p>
            </w:tc>
            <w:tc>
              <w:tcPr>
                <w:tcW w:w="1096" w:type="dxa"/>
                <w:vMerge w:val="restart"/>
              </w:tcPr>
              <w:p>
                <w:pPr>
                  <w:shd w:val="clear" w:color="000000" w:fill="auto"/>
                  <w:rPr>
                    <w:sz w:val="22"/>
                    <w:szCs w:val="22"/>
                  </w:rPr>
                </w:pPr>
                <w:r>
                  <w:rPr>
                    <w:sz w:val="22"/>
                    <w:szCs w:val="22"/>
                  </w:rPr>
                  <w:t>1–6 mėn.</w:t>
                </w:r>
              </w:p>
            </w:tc>
            <w:tc>
              <w:tcPr>
                <w:tcW w:w="1639" w:type="dxa"/>
                <w:tcBorders>
                  <w:bottom w:val="nil"/>
                </w:tcBorders>
              </w:tcPr>
              <w:p>
                <w:pPr>
                  <w:shd w:val="clear" w:color="000000" w:fill="auto"/>
                  <w:rPr>
                    <w:sz w:val="22"/>
                    <w:szCs w:val="22"/>
                  </w:rPr>
                </w:pPr>
                <w:r>
                  <w:rPr>
                    <w:sz w:val="22"/>
                    <w:szCs w:val="22"/>
                  </w:rPr>
                  <w:t>1 kartą per mėnesį</w:t>
                </w:r>
              </w:p>
            </w:tc>
            <w:tc>
              <w:tcPr>
                <w:tcW w:w="2318" w:type="dxa"/>
                <w:tcBorders>
                  <w:bottom w:val="nil"/>
                </w:tcBorders>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PASP komandos vaikų ligų gydytojas</w:t>
                </w:r>
              </w:p>
            </w:tc>
            <w:tc>
              <w:tcPr>
                <w:tcW w:w="4354" w:type="dxa"/>
                <w:tcBorders>
                  <w:bottom w:val="nil"/>
                </w:tcBorders>
              </w:tcPr>
              <w:p>
                <w:pPr>
                  <w:shd w:val="clear" w:color="000000" w:fill="auto"/>
                  <w:rPr>
                    <w:sz w:val="22"/>
                    <w:szCs w:val="22"/>
                  </w:rPr>
                </w:pPr>
                <w:r>
                  <w:rPr>
                    <w:sz w:val="22"/>
                    <w:szCs w:val="22"/>
                  </w:rPr>
                  <w:t xml:space="preserve">1. Kiekvieno apsilankymo metu įvertinti vaiko sveikatos būklę. </w:t>
                </w:r>
              </w:p>
            </w:tc>
            <w:tc>
              <w:tcPr>
                <w:tcW w:w="1639" w:type="dxa"/>
                <w:vMerge w:val="restart"/>
              </w:tcPr>
              <w:p>
                <w:pPr>
                  <w:shd w:val="clear" w:color="000000" w:fill="auto"/>
                  <w:rPr>
                    <w:sz w:val="22"/>
                    <w:szCs w:val="22"/>
                  </w:rPr>
                </w:pPr>
                <w:r>
                  <w:rPr>
                    <w:sz w:val="22"/>
                    <w:szCs w:val="22"/>
                  </w:rPr>
                  <w:t>1–3 mėn. amžiaus 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 xml:space="preserve">Nustatyti ir įvertinti rizikos veiksnius. </w:t>
                </w:r>
              </w:p>
              <w:p>
                <w:pPr>
                  <w:shd w:val="clear" w:color="000000" w:fill="auto"/>
                  <w:rPr>
                    <w:sz w:val="22"/>
                    <w:szCs w:val="22"/>
                  </w:rPr>
                </w:pPr>
                <w:r>
                  <w:rPr>
                    <w:sz w:val="22"/>
                    <w:szCs w:val="22"/>
                  </w:rPr>
                  <w:t>Esant indikacijų, paskirti kitų gydytojų specialistų profilaktinius patikrinimus.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 xml:space="preserve">2. 5–6 mėn. amžiaus atlikti: </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mėnesį</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Informuoti tėvus apie ligų ir traumų, nudegimų ir smurto profilaktiką, imunoprofilaktiką. </w:t>
                </w:r>
              </w:p>
              <w:p>
                <w:pPr>
                  <w:shd w:val="clear" w:color="000000" w:fill="auto"/>
                  <w:rPr>
                    <w:sz w:val="22"/>
                    <w:szCs w:val="22"/>
                  </w:rPr>
                </w:pPr>
                <w:r>
                  <w:rPr>
                    <w:sz w:val="22"/>
                    <w:szCs w:val="22"/>
                  </w:rPr>
                  <w:t>Padėti formuoti racionalios kūdikio ir motinos mitybos įgūdžius.</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3.</w:t>
                </w:r>
              </w:p>
            </w:tc>
            <w:tc>
              <w:tcPr>
                <w:tcW w:w="1096" w:type="dxa"/>
                <w:vMerge w:val="restart"/>
              </w:tcPr>
              <w:p>
                <w:pPr>
                  <w:shd w:val="clear" w:color="000000" w:fill="auto"/>
                  <w:rPr>
                    <w:sz w:val="22"/>
                    <w:szCs w:val="22"/>
                  </w:rPr>
                </w:pPr>
                <w:r>
                  <w:rPr>
                    <w:sz w:val="22"/>
                    <w:szCs w:val="22"/>
                  </w:rPr>
                  <w:t>7–12 mėn.</w:t>
                </w:r>
              </w:p>
            </w:tc>
            <w:tc>
              <w:tcPr>
                <w:tcW w:w="1639" w:type="dxa"/>
                <w:tcBorders>
                  <w:bottom w:val="nil"/>
                </w:tcBorders>
              </w:tcPr>
              <w:p>
                <w:pPr>
                  <w:shd w:val="clear" w:color="000000" w:fill="auto"/>
                  <w:rPr>
                    <w:sz w:val="22"/>
                    <w:szCs w:val="22"/>
                  </w:rPr>
                </w:pPr>
                <w:r>
                  <w:rPr>
                    <w:sz w:val="22"/>
                    <w:szCs w:val="22"/>
                  </w:rPr>
                  <w:t>2–3 kartus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 vaiko sveikatos būklę.</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9–12 mėn. amžiaus:</w:t>
                </w:r>
              </w:p>
              <w:p>
                <w:pPr>
                  <w:shd w:val="clear" w:color="000000" w:fill="auto"/>
                  <w:rPr>
                    <w:sz w:val="22"/>
                    <w:szCs w:val="22"/>
                  </w:rPr>
                </w:pPr>
                <w:r>
                  <w:rPr>
                    <w:sz w:val="22"/>
                    <w:szCs w:val="22"/>
                  </w:rPr>
                  <w:t>įvertinti tuberkuliozės vakcinos (BCG) randą.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2–3 kartus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Padėti formuoti racionalios kūdikio ir šeimos mitybos įgūdžius. </w:t>
                </w:r>
              </w:p>
              <w:p>
                <w:pPr>
                  <w:shd w:val="clear" w:color="000000" w:fill="auto"/>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4.</w:t>
                </w:r>
              </w:p>
            </w:tc>
            <w:tc>
              <w:tcPr>
                <w:tcW w:w="1096" w:type="dxa"/>
                <w:vMerge w:val="restart"/>
              </w:tcPr>
              <w:p>
                <w:pPr>
                  <w:shd w:val="clear" w:color="000000" w:fill="auto"/>
                  <w:rPr>
                    <w:sz w:val="22"/>
                    <w:szCs w:val="22"/>
                  </w:rPr>
                </w:pPr>
                <w:r>
                  <w:rPr>
                    <w:sz w:val="22"/>
                    <w:szCs w:val="22"/>
                  </w:rPr>
                  <w:t>1–4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 psichomotorinę raidą;</w:t>
                </w:r>
              </w:p>
              <w:p>
                <w:pPr>
                  <w:shd w:val="clear" w:color="000000" w:fill="auto"/>
                  <w:rPr>
                    <w:sz w:val="22"/>
                    <w:szCs w:val="22"/>
                  </w:rPr>
                </w:pPr>
                <w:r>
                  <w:rPr>
                    <w:sz w:val="22"/>
                    <w:szCs w:val="22"/>
                  </w:rPr>
                  <w:t xml:space="preserve">1.2. regėjimą, klausą, </w:t>
                </w:r>
              </w:p>
              <w:p>
                <w:pPr>
                  <w:shd w:val="clear" w:color="000000" w:fill="auto"/>
                  <w:rPr>
                    <w:sz w:val="22"/>
                    <w:szCs w:val="22"/>
                  </w:rPr>
                </w:pPr>
                <w:r>
                  <w:rPr>
                    <w:sz w:val="22"/>
                    <w:szCs w:val="22"/>
                  </w:rPr>
                  <w:t>1.3. atramos judamąjį aparatą.</w:t>
                </w:r>
              </w:p>
            </w:tc>
            <w:tc>
              <w:tcPr>
                <w:tcW w:w="1639" w:type="dxa"/>
                <w:vMerge w:val="restart"/>
              </w:tcPr>
              <w:p>
                <w:pPr>
                  <w:shd w:val="clear" w:color="000000" w:fill="auto"/>
                  <w:rPr>
                    <w:sz w:val="22"/>
                    <w:szCs w:val="22"/>
                  </w:rPr>
                </w:pPr>
                <w:r>
                  <w:rPr>
                    <w:sz w:val="22"/>
                    <w:szCs w:val="22"/>
                  </w:rPr>
                  <w:t xml:space="preserve">1–3 metų amžiaus 1 kartą </w:t>
                </w:r>
              </w:p>
            </w:tc>
            <w:tc>
              <w:tcPr>
                <w:tcW w:w="1503" w:type="dxa"/>
                <w:vMerge w:val="restart"/>
              </w:tcPr>
              <w:p>
                <w:pPr>
                  <w:shd w:val="clear" w:color="000000" w:fill="auto"/>
                  <w:rPr>
                    <w:sz w:val="22"/>
                    <w:szCs w:val="22"/>
                  </w:rPr>
                </w:pPr>
                <w:r>
                  <w:rPr>
                    <w:sz w:val="22"/>
                    <w:szCs w:val="22"/>
                  </w:rPr>
                  <w:t>Oftalmologas</w:t>
                </w:r>
              </w:p>
            </w:tc>
            <w:tc>
              <w:tcPr>
                <w:tcW w:w="1639" w:type="dxa"/>
                <w:gridSpan w:val="2"/>
                <w:vMerge w:val="restart"/>
              </w:tcPr>
              <w:p>
                <w:pPr>
                  <w:shd w:val="clear" w:color="000000" w:fill="auto"/>
                  <w:rPr>
                    <w:sz w:val="22"/>
                    <w:szCs w:val="22"/>
                  </w:rPr>
                </w:pPr>
                <w:r>
                  <w:rPr>
                    <w:sz w:val="22"/>
                    <w:szCs w:val="22"/>
                  </w:rPr>
                  <w:t>Įvertinti refrakciją, regėjimą (žvairumas, astigmatizmas), įgimtas anomalijas.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2–3 metų amžiaus atlikti: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 xml:space="preserve">2.2. šlapimo tyrimą. </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dantų dygimą. </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Borders>
                  <w:tl2br w:val="nil"/>
                  <w:tr2bl w:val="nil"/>
                </w:tcBorders>
              </w:tcPr>
              <w:p>
                <w:pPr>
                  <w:shd w:val="clear" w:color="000000" w:fill="auto"/>
                  <w:ind w:firstLine="55"/>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w:t>
                </w:r>
              </w:p>
              <w:p>
                <w:pPr>
                  <w:shd w:val="clear" w:color="000000" w:fill="auto"/>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5.</w:t>
                </w:r>
              </w:p>
            </w:tc>
            <w:tc>
              <w:tcPr>
                <w:tcW w:w="1096" w:type="dxa"/>
                <w:vMerge w:val="restart"/>
              </w:tcPr>
              <w:p>
                <w:pPr>
                  <w:shd w:val="clear" w:color="000000" w:fill="auto"/>
                  <w:rPr>
                    <w:sz w:val="22"/>
                    <w:szCs w:val="22"/>
                  </w:rPr>
                </w:pPr>
                <w:r>
                  <w:rPr>
                    <w:sz w:val="22"/>
                    <w:szCs w:val="22"/>
                  </w:rPr>
                  <w:t>5–7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w:t>
                </w:r>
              </w:p>
              <w:p>
                <w:pPr>
                  <w:shd w:val="clear" w:color="000000" w:fill="auto"/>
                  <w:rPr>
                    <w:sz w:val="22"/>
                    <w:szCs w:val="22"/>
                  </w:rPr>
                </w:pPr>
                <w:r>
                  <w:rPr>
                    <w:sz w:val="22"/>
                    <w:szCs w:val="22"/>
                  </w:rPr>
                  <w:t>1.2. ūgį, svorį;</w:t>
                </w:r>
              </w:p>
              <w:p>
                <w:pPr>
                  <w:shd w:val="clear" w:color="000000" w:fill="auto"/>
                  <w:rPr>
                    <w:sz w:val="22"/>
                    <w:szCs w:val="22"/>
                  </w:rPr>
                </w:pPr>
                <w:r>
                  <w:rPr>
                    <w:sz w:val="22"/>
                    <w:szCs w:val="22"/>
                  </w:rPr>
                  <w:t xml:space="preserve">1.3. regėjimą, klausą, </w:t>
                </w:r>
              </w:p>
              <w:p>
                <w:pPr>
                  <w:shd w:val="clear" w:color="000000" w:fill="auto"/>
                  <w:rPr>
                    <w:sz w:val="22"/>
                    <w:szCs w:val="22"/>
                  </w:rPr>
                </w:pPr>
                <w:r>
                  <w:rPr>
                    <w:sz w:val="22"/>
                    <w:szCs w:val="22"/>
                  </w:rPr>
                  <w:t>1.4. atramos judamąjį aparatą.</w:t>
                </w:r>
              </w:p>
            </w:tc>
            <w:tc>
              <w:tcPr>
                <w:tcW w:w="1639" w:type="dxa"/>
                <w:vMerge w:val="restart"/>
              </w:tcPr>
              <w:p>
                <w:pPr>
                  <w:shd w:val="clear" w:color="000000" w:fill="auto"/>
                  <w:rPr>
                    <w:sz w:val="22"/>
                    <w:szCs w:val="22"/>
                  </w:rPr>
                </w:pPr>
                <w:r>
                  <w:rPr>
                    <w:sz w:val="22"/>
                    <w:szCs w:val="22"/>
                  </w:rPr>
                  <w:t xml:space="preserve">6–7 metų amžiaus </w:t>
                </w:r>
              </w:p>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shd w:val="clear" w:color="000000" w:fill="auto"/>
                  <w:rPr>
                    <w:sz w:val="22"/>
                    <w:szCs w:val="22"/>
                  </w:rPr>
                </w:pPr>
              </w:p>
            </w:tc>
            <w:tc>
              <w:tcPr>
                <w:tcW w:w="1096" w:type="dxa"/>
                <w:vMerge/>
                <w:tcBorders>
                  <w:bottom w:val="nil"/>
                </w:tcBorders>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6–7 metų amžiaus atlikti / pamatuoti: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elektrokardiogramą (EKG);</w:t>
                </w:r>
              </w:p>
              <w:p>
                <w:pPr>
                  <w:shd w:val="clear" w:color="000000" w:fill="auto"/>
                  <w:rPr>
                    <w:sz w:val="22"/>
                    <w:szCs w:val="22"/>
                  </w:rPr>
                </w:pPr>
                <w:r>
                  <w:rPr>
                    <w:sz w:val="22"/>
                    <w:szCs w:val="22"/>
                  </w:rPr>
                  <w:t xml:space="preserve">2.4. arterinį kraujo spaudimą (AKS). </w:t>
                </w:r>
              </w:p>
            </w:tc>
            <w:tc>
              <w:tcPr>
                <w:tcW w:w="1639" w:type="dxa"/>
                <w:vMerge/>
                <w:tcBorders>
                  <w:top w:val="nil"/>
                </w:tcBorders>
              </w:tcPr>
              <w:p>
                <w:pPr>
                  <w:shd w:val="clear" w:color="000000" w:fill="auto"/>
                  <w:rPr>
                    <w:sz w:val="22"/>
                    <w:szCs w:val="22"/>
                  </w:rPr>
                </w:pPr>
              </w:p>
            </w:tc>
            <w:tc>
              <w:tcPr>
                <w:tcW w:w="1503" w:type="dxa"/>
                <w:vMerge/>
                <w:tcBorders>
                  <w:top w:val="nil"/>
                </w:tcBorders>
              </w:tcPr>
              <w:p>
                <w:pPr>
                  <w:shd w:val="clear" w:color="000000" w:fill="auto"/>
                  <w:rPr>
                    <w:sz w:val="22"/>
                    <w:szCs w:val="22"/>
                  </w:rPr>
                </w:pPr>
              </w:p>
            </w:tc>
            <w:tc>
              <w:tcPr>
                <w:tcW w:w="1639" w:type="dxa"/>
                <w:gridSpan w:val="2"/>
                <w:vMerge/>
                <w:tcBorders>
                  <w:top w:val="nil"/>
                </w:tcBorders>
              </w:tcPr>
              <w:p>
                <w:pPr>
                  <w:shd w:val="clear" w:color="000000" w:fill="auto"/>
                  <w:rPr>
                    <w:sz w:val="22"/>
                    <w:szCs w:val="22"/>
                  </w:rPr>
                </w:pPr>
              </w:p>
            </w:tc>
          </w:tr>
          <w:tr>
            <w:trPr>
              <w:trHeight w:val="20"/>
            </w:trPr>
            <w:tc>
              <w:tcPr>
                <w:tcW w:w="554" w:type="dxa"/>
                <w:vMerge w:val="restart"/>
                <w:tcBorders>
                  <w:top w:val="nil"/>
                </w:tcBorders>
              </w:tcPr>
              <w:p>
                <w:pPr>
                  <w:shd w:val="clear" w:color="000000" w:fill="auto"/>
                  <w:rPr>
                    <w:sz w:val="22"/>
                    <w:szCs w:val="22"/>
                  </w:rPr>
                </w:pPr>
              </w:p>
            </w:tc>
            <w:tc>
              <w:tcPr>
                <w:tcW w:w="1096" w:type="dxa"/>
                <w:vMerge w:val="restart"/>
                <w:tcBorders>
                  <w:top w:val="nil"/>
                </w:tcBorders>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nuolatinių dantų dygimą. </w:t>
                </w:r>
              </w:p>
              <w:p>
                <w:pPr>
                  <w:shd w:val="clear" w:color="000000" w:fill="auto"/>
                  <w:rPr>
                    <w:sz w:val="22"/>
                    <w:szCs w:val="22"/>
                  </w:rPr>
                </w:pPr>
                <w:r>
                  <w:rPr>
                    <w:sz w:val="22"/>
                    <w:szCs w:val="22"/>
                  </w:rPr>
                  <w:t xml:space="preserve">Atlikti krūminių dantų ėduonies profilaktiką. </w:t>
                </w:r>
              </w:p>
              <w:p>
                <w:pPr>
                  <w:shd w:val="clear" w:color="000000" w:fill="auto"/>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shd w:val="clear" w:color="000000" w:fill="auto"/>
                  <w:rPr>
                    <w:sz w:val="22"/>
                    <w:szCs w:val="22"/>
                  </w:rPr>
                </w:pPr>
                <w:r>
                  <w:rPr>
                    <w:sz w:val="22"/>
                    <w:szCs w:val="22"/>
                  </w:rPr>
                  <w:t>6–7 metų amžiaus</w:t>
                </w:r>
              </w:p>
              <w:p>
                <w:pPr>
                  <w:shd w:val="clear" w:color="000000" w:fill="auto"/>
                  <w:rPr>
                    <w:sz w:val="22"/>
                    <w:szCs w:val="22"/>
                  </w:rPr>
                </w:pPr>
                <w:r>
                  <w:rPr>
                    <w:sz w:val="22"/>
                    <w:szCs w:val="22"/>
                  </w:rPr>
                  <w:t>1 kartą</w:t>
                </w:r>
              </w:p>
            </w:tc>
            <w:tc>
              <w:tcPr>
                <w:tcW w:w="1503" w:type="dxa"/>
                <w:vMerge w:val="restart"/>
                <w:tcBorders>
                  <w:top w:val="nil"/>
                </w:tcBorders>
              </w:tcPr>
              <w:p>
                <w:pPr>
                  <w:shd w:val="clear" w:color="000000" w:fill="auto"/>
                  <w:rPr>
                    <w:sz w:val="22"/>
                    <w:szCs w:val="22"/>
                  </w:rPr>
                </w:pPr>
                <w:r>
                  <w:rPr>
                    <w:sz w:val="22"/>
                    <w:szCs w:val="22"/>
                  </w:rPr>
                  <w:t>Oftalmologas</w:t>
                </w:r>
              </w:p>
            </w:tc>
            <w:tc>
              <w:tcPr>
                <w:tcW w:w="1639" w:type="dxa"/>
                <w:gridSpan w:val="2"/>
                <w:vMerge w:val="restart"/>
                <w:tcBorders>
                  <w:top w:val="nil"/>
                </w:tcBorders>
              </w:tcPr>
              <w:p>
                <w:pPr>
                  <w:shd w:val="clear" w:color="000000" w:fill="auto"/>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shd w:val="clear" w:color="000000" w:fill="auto"/>
                  <w:rPr>
                    <w:sz w:val="22"/>
                    <w:szCs w:val="22"/>
                  </w:rPr>
                </w:pPr>
              </w:p>
            </w:tc>
            <w:tc>
              <w:tcPr>
                <w:tcW w:w="1503" w:type="dxa"/>
                <w:vMerge/>
                <w:tcBorders>
                  <w:top w:val="nil"/>
                  <w:bottom w:val="single" w:sz="4" w:space="0" w:color="auto"/>
                </w:tcBorders>
              </w:tcPr>
              <w:p>
                <w:pPr>
                  <w:shd w:val="clear" w:color="000000" w:fill="auto"/>
                  <w:rPr>
                    <w:sz w:val="22"/>
                    <w:szCs w:val="22"/>
                  </w:rPr>
                </w:pPr>
              </w:p>
            </w:tc>
            <w:tc>
              <w:tcPr>
                <w:tcW w:w="1639" w:type="dxa"/>
                <w:gridSpan w:val="2"/>
                <w:vMerge/>
                <w:tcBorders>
                  <w:top w:val="nil"/>
                  <w:bottom w:val="single" w:sz="4" w:space="0" w:color="auto"/>
                </w:tcBorders>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6.</w:t>
                </w:r>
              </w:p>
            </w:tc>
            <w:tc>
              <w:tcPr>
                <w:tcW w:w="1096" w:type="dxa"/>
                <w:vMerge w:val="restart"/>
              </w:tcPr>
              <w:p>
                <w:pPr>
                  <w:shd w:val="clear" w:color="000000" w:fill="auto"/>
                  <w:rPr>
                    <w:sz w:val="22"/>
                    <w:szCs w:val="22"/>
                  </w:rPr>
                </w:pPr>
                <w:r>
                  <w:rPr>
                    <w:sz w:val="22"/>
                    <w:szCs w:val="22"/>
                  </w:rPr>
                  <w:t>8–11 gyvenimo metai</w:t>
                </w: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 xml:space="preserve">1.2. atramos judamąjį aparatą; </w:t>
                </w:r>
              </w:p>
              <w:p>
                <w:pPr>
                  <w:shd w:val="clear" w:color="000000" w:fill="auto"/>
                  <w:rPr>
                    <w:sz w:val="22"/>
                    <w:szCs w:val="22"/>
                  </w:rPr>
                </w:pPr>
                <w:r>
                  <w:rPr>
                    <w:sz w:val="22"/>
                    <w:szCs w:val="22"/>
                  </w:rPr>
                  <w:t xml:space="preserve">1.3. regėjimą; </w:t>
                </w:r>
              </w:p>
              <w:p>
                <w:pPr>
                  <w:shd w:val="clear" w:color="000000" w:fill="auto"/>
                  <w:rPr>
                    <w:sz w:val="22"/>
                    <w:szCs w:val="22"/>
                  </w:rPr>
                </w:pPr>
                <w:r>
                  <w:rPr>
                    <w:sz w:val="22"/>
                    <w:szCs w:val="22"/>
                  </w:rPr>
                  <w:t>1.4. psichikos būklę;</w:t>
                </w:r>
              </w:p>
              <w:p>
                <w:pPr>
                  <w:shd w:val="clear" w:color="000000" w:fill="auto"/>
                  <w:rPr>
                    <w:sz w:val="22"/>
                    <w:szCs w:val="22"/>
                  </w:rPr>
                </w:pPr>
                <w:r>
                  <w:rPr>
                    <w:sz w:val="22"/>
                    <w:szCs w:val="22"/>
                  </w:rPr>
                  <w:t>1.5. mitybos ir higienos įgūdžius.</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Borders>
                  <w:top w:val="single" w:sz="4" w:space="0" w:color="auto"/>
                </w:tcBorders>
              </w:tcPr>
              <w:p>
                <w:pPr>
                  <w:shd w:val="clear" w:color="000000" w:fill="auto"/>
                  <w:rPr>
                    <w:sz w:val="22"/>
                    <w:szCs w:val="22"/>
                  </w:rPr>
                </w:pPr>
                <w:r>
                  <w:rPr>
                    <w:sz w:val="22"/>
                    <w:szCs w:val="22"/>
                  </w:rPr>
                  <w:t xml:space="preserve">Atlikti dantų ėduonies profilaktiką. </w:t>
                </w:r>
              </w:p>
              <w:p>
                <w:pPr>
                  <w:shd w:val="clear" w:color="000000" w:fill="auto"/>
                  <w:rPr>
                    <w:sz w:val="22"/>
                    <w:szCs w:val="22"/>
                  </w:rPr>
                </w:pPr>
                <w:r>
                  <w:rPr>
                    <w:sz w:val="22"/>
                    <w:szCs w:val="22"/>
                  </w:rPr>
                  <w:t xml:space="preserve">Įvertinti nuolatinių dantų sąkandį, nustatyti, ar nėra sąkandžio anomalijų.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Pagal amžiaus ir lyties ypatumus padėti vaikui ir tėvams formuoti higienos, racionalios mitybos, sveiko gyvenimo būdo, imunoprofilaktikos nuostatas. </w:t>
                </w:r>
              </w:p>
              <w:p>
                <w:pPr>
                  <w:shd w:val="clear" w:color="000000" w:fill="auto"/>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7.</w:t>
                </w:r>
              </w:p>
            </w:tc>
            <w:tc>
              <w:tcPr>
                <w:tcW w:w="1096" w:type="dxa"/>
                <w:vMerge w:val="restart"/>
              </w:tcPr>
              <w:p>
                <w:pPr>
                  <w:shd w:val="clear" w:color="000000" w:fill="auto"/>
                  <w:rPr>
                    <w:sz w:val="22"/>
                    <w:szCs w:val="22"/>
                  </w:rPr>
                </w:pPr>
                <w:r>
                  <w:rPr>
                    <w:sz w:val="22"/>
                    <w:szCs w:val="22"/>
                  </w:rPr>
                  <w:t>12–17 gyvenimo metai imtinai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1.2. atramos judamąjį aparatą;</w:t>
                </w:r>
              </w:p>
              <w:p>
                <w:pPr>
                  <w:shd w:val="clear" w:color="000000" w:fill="auto"/>
                  <w:rPr>
                    <w:sz w:val="22"/>
                    <w:szCs w:val="22"/>
                  </w:rPr>
                </w:pPr>
                <w:r>
                  <w:rPr>
                    <w:sz w:val="22"/>
                    <w:szCs w:val="22"/>
                  </w:rPr>
                  <w:t>1.3. psichikos būklę;</w:t>
                </w:r>
              </w:p>
              <w:p>
                <w:pPr>
                  <w:shd w:val="clear" w:color="000000" w:fill="auto"/>
                  <w:rPr>
                    <w:sz w:val="22"/>
                    <w:szCs w:val="22"/>
                  </w:rPr>
                </w:pPr>
                <w:r>
                  <w:rPr>
                    <w:sz w:val="22"/>
                    <w:szCs w:val="22"/>
                  </w:rPr>
                  <w:t>1.4. regėjimą.</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12–14 metų amžiaus atlikti / nustatyti: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gliukozės kiekį kraujyje.</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Atlikti dantų ėduonies profilaktiką.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Slaugytojas</w:t>
                </w:r>
              </w:p>
            </w:tc>
            <w:tc>
              <w:tcPr>
                <w:tcW w:w="4354" w:type="dxa"/>
              </w:tcPr>
              <w:p>
                <w:pPr>
                  <w:shd w:val="clear" w:color="000000" w:fill="auto"/>
                  <w:rPr>
                    <w:sz w:val="22"/>
                    <w:szCs w:val="22"/>
                  </w:rPr>
                </w:pPr>
                <w:r>
                  <w:rPr>
                    <w:sz w:val="22"/>
                    <w:szCs w:val="22"/>
                  </w:rPr>
                  <w:t>Pagal amžiaus ir lyties ypatumus</w:t>
                </w:r>
              </w:p>
              <w:p>
                <w:pPr>
                  <w:shd w:val="clear" w:color="000000" w:fill="auto"/>
                  <w:rPr>
                    <w:sz w:val="22"/>
                    <w:szCs w:val="22"/>
                  </w:rPr>
                </w:pPr>
                <w:r>
                  <w:rPr>
                    <w:sz w:val="22"/>
                    <w:szCs w:val="22"/>
                  </w:rPr>
                  <w:t>padėti paaugliui susiformuoti racionalios</w:t>
                </w:r>
              </w:p>
              <w:p>
                <w:pPr>
                  <w:shd w:val="clear" w:color="000000" w:fill="auto"/>
                  <w:rPr>
                    <w:sz w:val="22"/>
                    <w:szCs w:val="22"/>
                  </w:rPr>
                </w:pPr>
                <w:r>
                  <w:rPr>
                    <w:sz w:val="22"/>
                    <w:szCs w:val="22"/>
                  </w:rPr>
                  <w:t>mitybos, sveiko gyvenimo būdo</w:t>
                </w:r>
              </w:p>
              <w:p>
                <w:pPr>
                  <w:shd w:val="clear" w:color="000000" w:fill="auto"/>
                  <w:rPr>
                    <w:sz w:val="22"/>
                    <w:szCs w:val="22"/>
                  </w:rPr>
                </w:pPr>
                <w:r>
                  <w:rPr>
                    <w:sz w:val="22"/>
                    <w:szCs w:val="22"/>
                  </w:rPr>
                  <w:t>nuostatas.</w:t>
                </w:r>
              </w:p>
              <w:p>
                <w:pPr>
                  <w:shd w:val="clear" w:color="000000" w:fill="auto"/>
                  <w:rPr>
                    <w:sz w:val="22"/>
                    <w:szCs w:val="22"/>
                  </w:rPr>
                </w:pPr>
                <w:r>
                  <w:rPr>
                    <w:sz w:val="22"/>
                    <w:szCs w:val="22"/>
                  </w:rPr>
                  <w:t>Informuoti apie ligų ir žalingų įpročių</w:t>
                </w:r>
              </w:p>
              <w:p>
                <w:pPr>
                  <w:shd w:val="clear" w:color="000000" w:fill="auto"/>
                  <w:rPr>
                    <w:sz w:val="22"/>
                    <w:szCs w:val="22"/>
                  </w:rPr>
                </w:pPr>
                <w:r>
                  <w:rPr>
                    <w:sz w:val="22"/>
                    <w:szCs w:val="22"/>
                  </w:rPr>
                  <w:t>profilaktiką, imunoprofilaktiką, lytinį</w:t>
                </w:r>
              </w:p>
              <w:p>
                <w:pPr>
                  <w:shd w:val="clear" w:color="000000" w:fill="auto"/>
                  <w:rPr>
                    <w:sz w:val="22"/>
                    <w:szCs w:val="22"/>
                  </w:rPr>
                </w:pPr>
                <w:r>
                  <w:rPr>
                    <w:sz w:val="22"/>
                    <w:szCs w:val="22"/>
                  </w:rPr>
                  <w:t>ugdymą ir švietimą.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bl>
        <w:p>
          <w:pPr>
            <w:shd w:val="clear" w:color="000000" w:fill="auto"/>
            <w:tabs>
              <w:tab w:val="left" w:pos="600"/>
            </w:tabs>
            <w:jc w:val="both"/>
          </w:pPr>
        </w:p>
        <w:p>
          <w:pPr>
            <w:shd w:val="clear" w:color="000000" w:fill="auto"/>
            <w:tabs>
              <w:tab w:val="left" w:pos="600"/>
            </w:tabs>
            <w:jc w:val="both"/>
            <w:rPr>
              <w:sz w:val="22"/>
            </w:rPr>
          </w:pPr>
          <w:r>
            <w:rPr>
              <w:sz w:val="22"/>
            </w:rPr>
            <w:t xml:space="preserve">Pastabos: </w:t>
          </w:r>
        </w:p>
        <w:sdt>
          <w:sdtPr>
            <w:alias w:val="3 pr. 1 p."/>
            <w:tag w:val="part_da7f2bc8aa694d9e9b8bfa8750ce2b3e"/>
            <w:lock w:val="sdtLocked"/>
            <w:richText/>
          </w:sdtPr>
          <w:sdtContent>
            <w:p>
              <w:pPr>
                <w:shd w:val="clear" w:color="000000" w:fill="auto"/>
                <w:tabs>
                  <w:tab w:val="left" w:pos="600"/>
                </w:tabs>
                <w:ind w:firstLine="567"/>
                <w:jc w:val="both"/>
                <w:rPr>
                  <w:sz w:val="22"/>
                </w:rPr>
              </w:pPr>
              <w:sdt>
                <w:sdtPr>
                  <w:alias w:val="Numeris"/>
                  <w:tag w:val="nr_da7f2bc8aa694d9e9b8bfa8750ce2b3e"/>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bae3b0d3dabc4e18a8a7bb9f94235f0a"/>
            <w:lock w:val="sdtLocked"/>
            <w:richText/>
          </w:sdtPr>
          <w:sdtContent>
            <w:p>
              <w:pPr>
                <w:shd w:val="clear" w:color="000000" w:fill="auto"/>
                <w:tabs>
                  <w:tab w:val="left" w:pos="600"/>
                </w:tabs>
                <w:ind w:firstLine="567"/>
                <w:jc w:val="both"/>
                <w:rPr>
                  <w:sz w:val="22"/>
                </w:rPr>
              </w:pPr>
              <w:sdt>
                <w:sdtPr>
                  <w:alias w:val="Numeris"/>
                  <w:tag w:val="nr_bae3b0d3dabc4e18a8a7bb9f94235f0a"/>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7d519a59213d471f87cbd98127bc7094"/>
            <w:lock w:val="sdtLocked"/>
            <w:richText/>
          </w:sdtPr>
          <w:sdtContent>
            <w:p>
              <w:pPr>
                <w:shd w:val="clear" w:color="000000" w:fill="auto"/>
                <w:tabs>
                  <w:tab w:val="left" w:pos="600"/>
                </w:tabs>
                <w:ind w:firstLine="567"/>
                <w:jc w:val="both"/>
                <w:rPr>
                  <w:sz w:val="22"/>
                </w:rPr>
              </w:pPr>
              <w:sdt>
                <w:sdtPr>
                  <w:alias w:val="Numeris"/>
                  <w:tag w:val="nr_7d519a59213d471f87cbd98127bc7094"/>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c83862ff18444031b16b5d186b09bd7a"/>
            <w:lock w:val="sdtLocked"/>
            <w:richText/>
          </w:sdtPr>
          <w:sdtContent>
            <w:p>
              <w:pPr>
                <w:shd w:val="clear" w:color="000000" w:fill="auto"/>
                <w:tabs>
                  <w:tab w:val="left" w:pos="600"/>
                </w:tabs>
                <w:ind w:firstLine="567"/>
                <w:jc w:val="both"/>
                <w:rPr>
                  <w:sz w:val="22"/>
                </w:rPr>
              </w:pPr>
              <w:sdt>
                <w:sdtPr>
                  <w:alias w:val="Numeris"/>
                  <w:tag w:val="nr_c83862ff18444031b16b5d186b09bd7a"/>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0d9b4c226464644a467d6e58befe99e"/>
            <w:lock w:val="sdtLocked"/>
            <w:richText/>
          </w:sdtPr>
          <w:sdtContent>
            <w:p>
              <w:pPr>
                <w:shd w:val="clear" w:color="000000" w:fill="auto"/>
                <w:tabs>
                  <w:tab w:val="left" w:pos="600"/>
                </w:tabs>
                <w:ind w:firstLine="567"/>
                <w:jc w:val="both"/>
              </w:pPr>
              <w:sdt>
                <w:sdtPr>
                  <w:alias w:val="Numeris"/>
                  <w:tag w:val="nr_00d9b4c226464644a467d6e58befe99e"/>
                  <w:lock w:val="sdtLocked"/>
                  <w:richText/>
                </w:sdtPr>
                <w:sdtContent>
                  <w:r>
                    <w:rPr>
                      <w:sz w:val="22"/>
                    </w:rPr>
                    <w:t>5</w:t>
                  </w:r>
                </w:sdtContent>
              </w:sdt>
              <w:r>
                <w:rPr>
                  <w:sz w:val="22"/>
                </w:rPr>
                <w:t>. Krūminių dantų paviršius silantinėmis medžiagomis dengiamas vadovaujantis teisės aktais.</w:t>
              </w:r>
            </w:p>
          </w:sdtContent>
        </w:sdt>
        <w:sdt>
          <w:sdtPr>
            <w:alias w:val="5-1 p."/>
            <w:tag w:val="part_9a9b3861c23142c39c172af7014ca180"/>
            <w:lock w:val="sdtLocked"/>
            <w:richText/>
          </w:sdtPr>
          <w:sdtContent>
            <w:p>
              <w:pPr>
                <w:widowControl w:val="0"/>
                <w:suppressAutoHyphens/>
                <w:ind w:firstLine="567"/>
                <w:jc w:val="both"/>
                <w:rPr>
                  <w:sz w:val="22"/>
                  <w:szCs w:val="22"/>
                </w:rPr>
              </w:pPr>
              <w:sdt>
                <w:sdtPr>
                  <w:alias w:val="Numeris"/>
                  <w:tag w:val="nr_9a9b3861c23142c39c172af7014ca180"/>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Gydytojas odontologas, atlikęs privalomuosius veiksmus ir būtinus tyrimus, informaciją apie atliktus privalomuosius veiksmus ir būtinus tyrimus bei tikrinimo rezultatus įrašo į formą Nr. 027/a arba Nr. 028-1/a ar laisvo pavyzdžio formą, savo spaudu bei parašu patvirtina ir pateikia ją šeimos gydytojui arba pirminės asmens sveikatos priežiūros komandos vaikų ligų gydytojui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BCB4E424F">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2011-05-06,
Žin., 2011, Nr.
57-2724 (2011-05-12), i. k. 1112250ISAK000V-441        </w:t>
              </w:r>
            </w:p>
            <w:p/>
          </w:sdtContent>
        </w:sdt>
        <w:sdt>
          <w:sdtPr>
            <w:alias w:val="3 pr. 6 p."/>
            <w:tag w:val="part_9a0bfb6917be43d295440521cf6a7e94"/>
            <w:lock w:val="sdtLocked"/>
            <w:richText/>
          </w:sdtPr>
          <w:sdtContent>
            <w:p>
              <w:pPr>
                <w:shd w:val="clear" w:color="000000" w:fill="auto"/>
                <w:tabs>
                  <w:tab w:val="left" w:pos="600"/>
                </w:tabs>
                <w:ind w:firstLine="567"/>
                <w:jc w:val="both"/>
                <w:rPr>
                  <w:sz w:val="22"/>
                </w:rPr>
              </w:pPr>
              <w:sdt>
                <w:sdtPr>
                  <w:alias w:val="Numeris"/>
                  <w:tag w:val="nr_9a0bfb6917be43d295440521cf6a7e94"/>
                  <w:lock w:val="sdtLocked"/>
                  <w:richText/>
                </w:sdtPr>
                <w:sdtContent>
                  <w:r>
                    <w:rPr>
                      <w:sz w:val="22"/>
                    </w:rPr>
                    <w:t>6</w:t>
                  </w:r>
                </w:sdtContent>
              </w:sdt>
              <w:r>
                <w:rPr>
                  <w:sz w:val="22"/>
                </w:rPr>
                <w:t>. Vykdoma pagal amžiaus ypatumus:</w:t>
              </w:r>
            </w:p>
            <w:sdt>
              <w:sdtPr>
                <w:alias w:val="3 pr. 6.1 p."/>
                <w:tag w:val="part_713f97bb1de1442e9dacc298e85b3b25"/>
                <w:lock w:val="sdtLocked"/>
                <w:richText/>
              </w:sdtPr>
              <w:sdtContent>
                <w:p>
                  <w:pPr>
                    <w:shd w:val="clear" w:color="000000" w:fill="auto"/>
                    <w:tabs>
                      <w:tab w:val="left" w:pos="600"/>
                    </w:tabs>
                    <w:ind w:firstLine="567"/>
                    <w:jc w:val="both"/>
                    <w:rPr>
                      <w:sz w:val="22"/>
                    </w:rPr>
                  </w:pPr>
                  <w:sdt>
                    <w:sdtPr>
                      <w:alias w:val="Numeris"/>
                      <w:tag w:val="nr_713f97bb1de1442e9dacc298e85b3b25"/>
                      <w:lock w:val="sdtLocked"/>
                      <w:richText/>
                    </w:sdtPr>
                    <w:sdtContent>
                      <w:r>
                        <w:rPr>
                          <w:sz w:val="22"/>
                        </w:rPr>
                        <w:t>6.1</w:t>
                      </w:r>
                    </w:sdtContent>
                  </w:sdt>
                  <w:r>
                    <w:rPr>
                      <w:sz w:val="22"/>
                    </w:rPr>
                    <w:t>. racionalios mitybos principų formavimas,</w:t>
                  </w:r>
                </w:p>
              </w:sdtContent>
            </w:sdt>
            <w:sdt>
              <w:sdtPr>
                <w:alias w:val="3 pr. 6.2 p."/>
                <w:tag w:val="part_1201878f56e64ff9b516664870b9851d"/>
                <w:lock w:val="sdtLocked"/>
                <w:richText/>
              </w:sdtPr>
              <w:sdtContent>
                <w:p>
                  <w:pPr>
                    <w:shd w:val="clear" w:color="000000" w:fill="auto"/>
                    <w:tabs>
                      <w:tab w:val="left" w:pos="600"/>
                    </w:tabs>
                    <w:ind w:firstLine="567"/>
                    <w:jc w:val="both"/>
                    <w:rPr>
                      <w:sz w:val="22"/>
                    </w:rPr>
                  </w:pPr>
                  <w:sdt>
                    <w:sdtPr>
                      <w:alias w:val="Numeris"/>
                      <w:tag w:val="nr_1201878f56e64ff9b516664870b9851d"/>
                      <w:lock w:val="sdtLocked"/>
                      <w:richText/>
                    </w:sdtPr>
                    <w:sdtContent>
                      <w:r>
                        <w:rPr>
                          <w:sz w:val="22"/>
                        </w:rPr>
                        <w:t>6.2</w:t>
                      </w:r>
                    </w:sdtContent>
                  </w:sdt>
                  <w:r>
                    <w:rPr>
                      <w:sz w:val="22"/>
                    </w:rPr>
                    <w:t>. sveiko gyvenimo būdo nuostatų formavimas,</w:t>
                  </w:r>
                </w:p>
              </w:sdtContent>
            </w:sdt>
            <w:sdt>
              <w:sdtPr>
                <w:alias w:val="3 pr. 6.3 p."/>
                <w:tag w:val="part_236f5571aefc4b90a220491112a89d88"/>
                <w:lock w:val="sdtLocked"/>
                <w:richText/>
              </w:sdtPr>
              <w:sdtContent>
                <w:p>
                  <w:pPr>
                    <w:shd w:val="clear" w:color="000000" w:fill="auto"/>
                    <w:tabs>
                      <w:tab w:val="left" w:pos="600"/>
                    </w:tabs>
                    <w:ind w:firstLine="567"/>
                    <w:jc w:val="both"/>
                    <w:rPr>
                      <w:sz w:val="22"/>
                    </w:rPr>
                  </w:pPr>
                  <w:sdt>
                    <w:sdtPr>
                      <w:alias w:val="Numeris"/>
                      <w:tag w:val="nr_236f5571aefc4b90a220491112a89d88"/>
                      <w:lock w:val="sdtLocked"/>
                      <w:richText/>
                    </w:sdtPr>
                    <w:sdtContent>
                      <w:r>
                        <w:rPr>
                          <w:sz w:val="22"/>
                        </w:rPr>
                        <w:t>6.3</w:t>
                      </w:r>
                    </w:sdtContent>
                  </w:sdt>
                  <w:r>
                    <w:rPr>
                      <w:sz w:val="22"/>
                    </w:rPr>
                    <w:t>. traumų, nudegimų ir smurto profilaktika,</w:t>
                  </w:r>
                </w:p>
              </w:sdtContent>
            </w:sdt>
            <w:sdt>
              <w:sdtPr>
                <w:alias w:val="3 pr. 6.4 p."/>
                <w:tag w:val="part_2c0a7a7f57ec4d3aaaa3a841bdde72fc"/>
                <w:lock w:val="sdtLocked"/>
                <w:richText/>
              </w:sdtPr>
              <w:sdtContent>
                <w:p>
                  <w:pPr>
                    <w:shd w:val="clear" w:color="000000" w:fill="auto"/>
                    <w:tabs>
                      <w:tab w:val="left" w:pos="600"/>
                    </w:tabs>
                    <w:ind w:firstLine="567"/>
                    <w:jc w:val="both"/>
                    <w:rPr>
                      <w:sz w:val="22"/>
                    </w:rPr>
                  </w:pPr>
                  <w:sdt>
                    <w:sdtPr>
                      <w:alias w:val="Numeris"/>
                      <w:tag w:val="nr_2c0a7a7f57ec4d3aaaa3a841bdde72fc"/>
                      <w:lock w:val="sdtLocked"/>
                      <w:richText/>
                    </w:sdtPr>
                    <w:sdtContent>
                      <w:r>
                        <w:rPr>
                          <w:sz w:val="22"/>
                        </w:rPr>
                        <w:t>6.4</w:t>
                      </w:r>
                    </w:sdtContent>
                  </w:sdt>
                  <w:r>
                    <w:rPr>
                      <w:sz w:val="22"/>
                    </w:rPr>
                    <w:t>. ligų ir žalingų įpročių profilaktika,</w:t>
                  </w:r>
                </w:p>
              </w:sdtContent>
            </w:sdt>
            <w:sdt>
              <w:sdtPr>
                <w:alias w:val="3 pr. 6.5 p."/>
                <w:tag w:val="part_624df4894e0c4aac9b017fb4e940fba5"/>
                <w:lock w:val="sdtLocked"/>
                <w:richText/>
              </w:sdtPr>
              <w:sdtContent>
                <w:p>
                  <w:pPr>
                    <w:shd w:val="clear" w:color="000000" w:fill="auto"/>
                    <w:tabs>
                      <w:tab w:val="left" w:pos="600"/>
                    </w:tabs>
                    <w:ind w:firstLine="567"/>
                    <w:jc w:val="both"/>
                    <w:rPr>
                      <w:sz w:val="22"/>
                    </w:rPr>
                  </w:pPr>
                  <w:sdt>
                    <w:sdtPr>
                      <w:alias w:val="Numeris"/>
                      <w:tag w:val="nr_624df4894e0c4aac9b017fb4e940fba5"/>
                      <w:lock w:val="sdtLocked"/>
                      <w:richText/>
                    </w:sdtPr>
                    <w:sdtContent>
                      <w:r>
                        <w:rPr>
                          <w:sz w:val="22"/>
                        </w:rPr>
                        <w:t>6.5</w:t>
                      </w:r>
                    </w:sdtContent>
                  </w:sdt>
                  <w:r>
                    <w:rPr>
                      <w:sz w:val="22"/>
                    </w:rPr>
                    <w:t>. lytinis ugdymas ir švietimas.</w:t>
                  </w:r>
                </w:p>
              </w:sdtContent>
            </w:sdt>
          </w:sdtContent>
        </w:sdt>
        <w:sdt>
          <w:sdtPr>
            <w:alias w:val="pabaiga"/>
            <w:tag w:val="part_90641c1479e048a7a73422410deb2d11"/>
            <w:lock w:val="sdtLocked"/>
            <w:richText/>
          </w:sdtPr>
          <w:sdtContent>
            <w:p>
              <w:pPr>
                <w:shd w:val="clear" w:color="000000" w:fill="auto"/>
                <w:tabs>
                  <w:tab w:val="left" w:pos="60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4"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5"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1674e55ce98487e9c3340a2bdde3fa0"/>
        <w:lock w:val="sdtLocked"/>
        <w:richText/>
      </w:sdtPr>
      <w:sdtContent>
        <w:p>
          <w:pPr>
            <w:keepLines/>
            <w:widowControl w:val="0"/>
            <w:suppressAutoHyphens/>
            <w:ind w:left="5102"/>
            <w:sectPr>
              <w:headerReference w:type="even" r:id="rId36"/>
              <w:headerReference w:type="default" r:id="rId37"/>
              <w:footerReference w:type="even" r:id="rId38"/>
              <w:footerReference w:type="default" r:id="rId39"/>
              <w:headerReference w:type="first" r:id="rId40"/>
              <w:footerReference w:type="first" r:id="rId41"/>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1674e55ce98487e9c3340a2bdde3fa0"/>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1674e55ce98487e9c3340a2bdde3fa0"/>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6 pr."/>
        <w:tag w:val="part_a3e28083ab6c49c0bf7adb09653f29e7"/>
        <w:lock w:val="sdtLocked"/>
        <w:richText/>
      </w:sdtPr>
      <w:sdtContent>
        <w:p>
          <w:pPr>
            <w:tabs>
              <w:tab w:val="left" w:pos="1304"/>
              <w:tab w:val="left" w:pos="1457"/>
              <w:tab w:val="left" w:pos="1604"/>
              <w:tab w:val="left" w:pos="1757"/>
            </w:tabs>
            <w:ind w:left="5102"/>
            <w:sectPr>
              <w:pgSz w:w="11907" w:h="16840" w:code="9"/>
              <w:pgMar w:top="1134" w:right="1134" w:bottom="1134" w:left="1701"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3e28083ab6c49c0bf7adb09653f29e7"/>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a3e28083ab6c49c0bf7adb09653f29e7"/>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78fda4d184954ce7bf852d81f06d3359"/>
        <w:lock w:val="sdtLocked"/>
        <w:richText/>
      </w:sdtPr>
      <w:sdtContent>
        <w:p>
          <w:pPr>
            <w:ind w:left="5102"/>
            <w:sectPr>
              <w:pgSz w:w="11907" w:h="16840" w:code="9"/>
              <w:pgMar w:top="1134" w:right="1134" w:bottom="1134" w:left="1701" w:header="567" w:footer="567" w:gutter="0"/>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78fda4d184954ce7bf852d81f06d3359"/>
              <w:lock w:val="sdtLocked"/>
              <w:richText/>
            </w:sdtPr>
            <w:sdtContent>
              <w:r>
                <w:t>7</w:t>
              </w:r>
            </w:sdtContent>
          </w:sdt>
          <w:r>
            <w:t xml:space="preserve"> priedas</w:t>
          </w:r>
        </w:p>
        <w:p>
          <w:pPr>
            <w:jc w:val="both"/>
          </w:pPr>
        </w:p>
        <w:p>
          <w:pPr>
            <w:jc w:val="center"/>
            <w:rPr>
              <w:b/>
              <w:bCs/>
            </w:rPr>
          </w:pPr>
          <w:sdt>
            <w:sdtPr>
              <w:alias w:val="Pavadinimas"/>
              <w:tag w:val="title_78fda4d184954ce7bf852d81f06d3359"/>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4" w:tgtFrame="_blank" w:history="1">
                    <w:r>
                      <w:rPr>
                        <w:color w:val="0000FF" w:themeColor="hyperlink"/>
                        <w:u w:val="single"/>
                      </w:rPr>
                      <w:t>92-2883</w:t>
                    </w:r>
                  </w:hyperlink>
                  <w:r>
                    <w:t xml:space="preserve">; 2007, Nr. </w:t>
                  </w:r>
                  <w:hyperlink r:id="rId55"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6"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7" w:tgtFrame="_blank" w:history="1">
                    <w:r>
                      <w:rPr>
                        <w:color w:val="0000FF" w:themeColor="hyperlink"/>
                        <w:u w:val="single"/>
                      </w:rPr>
                      <w:t>13-308</w:t>
                    </w:r>
                  </w:hyperlink>
                  <w:r>
                    <w:t xml:space="preserve">; 2000, Nr. </w:t>
                  </w:r>
                  <w:hyperlink r:id="rId58"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ff5be57aa8f94379894a0e01f3340661"/>
        <w:lock w:val="sdtLocked"/>
        <w:richText/>
      </w:sdtPr>
      <w:sdtContent>
        <w:p>
          <w:pPr>
            <w:jc w:val="right"/>
          </w:pPr>
          <w:sdt>
            <w:sdtPr>
              <w:alias w:val="Numeris"/>
              <w:tag w:val="nr_ff5be57aa8f94379894a0e01f3340661"/>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ff5be57aa8f94379894a0e01f3340661"/>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2"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3"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4"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5"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6"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56c44c63f12e42c08cbe4654bbd7e282"/>
        <w:lock w:val="sdtLocked"/>
        <w:richText/>
      </w:sdtPr>
      <w:sdtContent>
        <w:p>
          <w:pPr>
            <w:ind w:left="720" w:hanging="11"/>
            <w:jc w:val="center"/>
            <w:rPr>
              <w:szCs w:val="24"/>
            </w:rPr>
          </w:pPr>
        </w:p>
        <w:p>
          <w:pPr>
            <w:ind w:right="27"/>
            <w:jc w:val="both"/>
            <w:rPr>
              <w:sz w:val="20"/>
              <w:szCs w:val="24"/>
            </w:rPr>
            <w:sectPr>
              <w:headerReference w:type="even" r:id="rId98"/>
              <w:headerReference w:type="default" r:id="rId99"/>
              <w:pgSz w:w="11906" w:h="16838"/>
              <w:pgMar w:top="1276" w:right="567" w:bottom="851" w:left="1134" w:header="720" w:footer="720" w:gutter="0"/>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56c44c63f12e42c08cbe4654bbd7e282"/>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42ad0c95fd64828985df24c78037c99"/>
        <w:lock w:val="sdtLocked"/>
        <w:richText/>
      </w:sdtPr>
      <w:sdtContent>
        <w:p>
          <w:pPr>
            <w:ind w:left="5184"/>
            <w:jc w:val="both"/>
            <w:sectPr>
              <w:headerReference w:type="even" r:id="rId100"/>
              <w:headerReference w:type="default" r:id="rId101"/>
              <w:pgSz w:w="16838" w:h="11906" w:orient="landscape" w:code="9"/>
              <w:pgMar w:top="709" w:right="680" w:bottom="567" w:left="1418" w:header="567" w:footer="567" w:gutter="0"/>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42ad0c95fd64828985df24c78037c99"/>
              <w:lock w:val="sdtLocked"/>
              <w:richText/>
            </w:sdtPr>
            <w:sdtContent>
              <w:r>
                <w:rPr>
                  <w:szCs w:val="24"/>
                </w:rPr>
                <w:t>2</w:t>
              </w:r>
            </w:sdtContent>
          </w:sdt>
          <w:r>
            <w:rPr>
              <w:szCs w:val="24"/>
            </w:rPr>
            <w:t xml:space="preserve"> priedas</w:t>
          </w:r>
        </w:p>
        <w:p>
          <w:pPr>
            <w:jc w:val="center"/>
            <w:rPr>
              <w:b/>
              <w:szCs w:val="24"/>
            </w:rPr>
          </w:pPr>
        </w:p>
        <w:sdt>
          <w:sdtPr>
            <w:alias w:val="Pavadinimas"/>
            <w:tag w:val="title_b42ad0c95fd64828985df24c78037c9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9" w:tgtFrame="_blank" w:history="1">
                    <w:r>
                      <w:rPr>
                        <w:color w:val="0000FF" w:themeColor="hyperlink"/>
                        <w:u w:val="single"/>
                      </w:rPr>
                      <w:t>4-27</w:t>
                    </w:r>
                  </w:hyperlink>
                  <w:r>
                    <w:rPr>
                      <w:color w:val="000000"/>
                    </w:rPr>
                    <w:t xml:space="preserve">; 2006, Nr. </w:t>
                  </w:r>
                  <w:hyperlink r:id="rId60"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1" w:tgtFrame="_blank" w:history="1">
                    <w:r>
                      <w:rPr>
                        <w:color w:val="0000FF" w:themeColor="hyperlink"/>
                        <w:u w:val="single"/>
                      </w:rPr>
                      <w:t>47-1365</w:t>
                    </w:r>
                  </w:hyperlink>
                  <w:r>
                    <w:rPr>
                      <w:color w:val="000000"/>
                    </w:rPr>
                    <w:t xml:space="preserve">; 2009, Nr. </w:t>
                  </w:r>
                  <w:hyperlink r:id="rId62"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3"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4"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5"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6"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8"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9"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0"/>
                          <w:footerReference w:type="default" r:id="rId71"/>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2"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3"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4"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5"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2"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3"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862c31f5292c4e13adafdf9c9c23b8e0"/>
        <w:lock w:val="sdtLocked"/>
        <w:richText/>
      </w:sdtPr>
      <w:sdtContent>
        <w:p>
          <w:pPr>
            <w:tabs>
              <w:tab w:val="left" w:pos="1304"/>
              <w:tab w:val="left" w:pos="1457"/>
              <w:tab w:val="left" w:pos="1604"/>
              <w:tab w:val="left" w:pos="1757"/>
            </w:tabs>
            <w:ind w:left="5102"/>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62c31f5292c4e13adafdf9c9c23b8e0"/>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862c31f5292c4e13adafdf9c9c23b8e0"/>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3"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9612f60edcc940a9a70ed1f840690b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9612f60edcc940a9a70ed1f840690bb8"/>
              <w:lock w:val="sdtLocked"/>
              <w:richText/>
            </w:sdtPr>
            <w:sdtContent>
              <w:r>
                <w:rPr>
                  <w:szCs w:val="24"/>
                  <w:lang w:eastAsia="lt-LT"/>
                </w:rPr>
                <w:t>18</w:t>
              </w:r>
            </w:sdtContent>
          </w:sdt>
          <w:r>
            <w:rPr>
              <w:szCs w:val="24"/>
              <w:lang w:eastAsia="lt-LT"/>
            </w:rPr>
            <w:t xml:space="preserve">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9612f60edcc940a9a70ed1f840690bb8"/>
              <w:lock w:val="sdtLocked"/>
              <w:richText/>
            </w:sdtPr>
            <w:sdtContent>
              <w:r>
                <w:rPr>
                  <w:b/>
                  <w:szCs w:val="24"/>
                  <w:lang w:eastAsia="lt-LT"/>
                </w:rPr>
                <w:t>PROFILAKTINIŲ SVEIKATOS TIKRINIMŲ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066a1b17632248f4a153636b3bebb4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66a1b17632248f4a153636b3bebb48a"/>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066a1b17632248f4a153636b3bebb48a"/>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dirbančių darbus, įrašytus į pavojingų darbų sąrašą, patvirtintą šio įsakymo 13 priedo          1 lentelėje</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Content>
        </w:sdt>
        <w:sdt>
          <w:sdtPr>
            <w:alias w:val="skyrius"/>
            <w:tag w:val="part_37cc4225fdea4919ba6f846b366388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37cc4225fdea4919ba6f846b3663888a"/>
                  <w:lock w:val="sdtLocked"/>
                  <w:richText/>
                </w:sdtPr>
                <w:sdtContent>
                  <w:r>
                    <w:rPr>
                      <w:b/>
                      <w:szCs w:val="24"/>
                      <w:lang w:eastAsia="lt-LT"/>
                    </w:rPr>
                    <w:t>II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0"/>
                <w:jc w:val="center"/>
                <w:rPr>
                  <w:b/>
                  <w:szCs w:val="24"/>
                  <w:lang w:eastAsia="lt-LT"/>
                </w:rPr>
              </w:pPr>
              <w:sdt>
                <w:sdtPr>
                  <w:alias w:val="Pavadinimas"/>
                  <w:tag w:val="title_37cc4225fdea4919ba6f846b3663888a"/>
                  <w:lock w:val="sdtLocked"/>
                  <w:richText/>
                </w:sdtPr>
                <w:sdtContent>
                  <w:r>
                    <w:rPr>
                      <w:b/>
                      <w:szCs w:val="24"/>
                      <w:lang w:eastAsia="lt-LT"/>
                    </w:rPr>
                    <w:t>PROFILAKTINIŲ SVEIKATOS TIKRINIMŲ, APMOKAMŲ IŠ PRIVALOMOJO SVEIKATOS DRAUDIMO FONDO BIUDŽETO,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6237"/>
                <w:gridCol w:w="1951"/>
              </w:tblGrid>
              <w:tr>
                <w:tc>
                  <w:tcPr>
                    <w:tcW w:w="850"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623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1951" w:type="dxa"/>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Tikrinimų kaina (balais)</w:t>
                    </w:r>
                  </w:p>
                </w:tc>
              </w:tr>
              <w:tr>
                <w:trPr>
                  <w:trHeight w:val="17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zCs w:val="24"/>
                        <w:lang w:eastAsia="lt-LT"/>
                      </w:rPr>
                    </w:pPr>
                    <w:r>
                      <w:rPr>
                        <w:szCs w:val="24"/>
                        <w:lang w:eastAsia="lt-LT"/>
                      </w:rPr>
                      <w:t>2</w:t>
                    </w:r>
                  </w:p>
                </w:tc>
                <w:tc>
                  <w:tcPr>
                    <w:tcW w:w="1951"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r>
              <w:tr>
                <w:trPr>
                  <w:trHeight w:val="36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 xml:space="preserve">1. </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szCs w:val="24"/>
                        <w:lang w:eastAsia="lt-LT"/>
                      </w:rPr>
                      <w:t xml:space="preserve">Gydytojų, norinčių gauti gydytojo veiklos licenciją </w:t>
                    </w:r>
                  </w:p>
                </w:tc>
                <w:tc>
                  <w:tcPr>
                    <w:tcW w:w="1951"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color w:val="000000"/>
                        <w:szCs w:val="24"/>
                      </w:rPr>
                    </w:pPr>
                    <w:r>
                      <w:rPr>
                        <w:szCs w:val="24"/>
                        <w:lang w:eastAsia="lt-LT"/>
                      </w:rPr>
                      <w:t>6,63</w:t>
                    </w:r>
                  </w:p>
                  <w:p>
                    <w:pPr>
                      <w:rPr>
                        <w:sz w:val="18"/>
                        <w:szCs w:val="18"/>
                      </w:rPr>
                    </w:pPr>
                  </w:p>
                  <w:p>
                    <w:pPr>
                      <w:tabs>
                        <w:tab w:val="left" w:pos="916"/>
                      </w:tabs>
                      <w:spacing w:line="276" w:lineRule="auto"/>
                      <w:jc w:val="right"/>
                      <w:rPr>
                        <w:color w:val="000000"/>
                        <w:szCs w:val="24"/>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89"/>
    <o:shapelayout v:ext="edit">
      <o:idmap v:ext="edit" data="1"/>
    </o:shapelayout>
  </w:shapeDefaults>
  <w:decimalSymbol w:val=","/>
  <w:listSeparator w:val=";"/>
  <w14:docId w14:val="1579B66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91.xml"/>
  <Relationship Id="rId101" Type="http://schemas.openxmlformats.org/officeDocument/2006/relationships/header" Target="header92.xml"/>
  <Relationship Id="rId102" Type="http://schemas.openxmlformats.org/officeDocument/2006/relationships/customXml" Target="../customXml/item1.xml"/>
  <Relationship Id="rId11" Type="http://schemas.openxmlformats.org/officeDocument/2006/relationships/hyperlink" TargetMode="External" Target="https://www.e-tar.lt/portal/lt/legalAct/TAR.95C79D036AA4"/>
  <Relationship Id="rId12" Type="http://schemas.openxmlformats.org/officeDocument/2006/relationships/hyperlink" TargetMode="External" Target="https://www.e-tar.lt/portal/lt/legalAct/TAR.E2B2957B9182"/>
  <Relationship Id="rId13" Type="http://schemas.openxmlformats.org/officeDocument/2006/relationships/hyperlink" TargetMode="External" Target="https://www.e-tar.lt/portal/lt/legalAct/TAR.E964CE7A637A"/>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46.xml"/>
  <Relationship Id="rId23" Type="http://schemas.openxmlformats.org/officeDocument/2006/relationships/header" Target="header47.xml"/>
  <Relationship Id="rId24" Type="http://schemas.openxmlformats.org/officeDocument/2006/relationships/footer" Target="footer46.xml"/>
  <Relationship Id="rId25" Type="http://schemas.openxmlformats.org/officeDocument/2006/relationships/footer" Target="footer47.xml"/>
  <Relationship Id="rId26" Type="http://schemas.openxmlformats.org/officeDocument/2006/relationships/header" Target="header48.xml"/>
  <Relationship Id="rId27" Type="http://schemas.openxmlformats.org/officeDocument/2006/relationships/footer" Target="footer48.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FC348F73C47A"/>
  <Relationship Id="rId36" Type="http://schemas.openxmlformats.org/officeDocument/2006/relationships/header" Target="header64.xml"/>
  <Relationship Id="rId37" Type="http://schemas.openxmlformats.org/officeDocument/2006/relationships/header" Target="header65.xml"/>
  <Relationship Id="rId38" Type="http://schemas.openxmlformats.org/officeDocument/2006/relationships/footer" Target="footer64.xml"/>
  <Relationship Id="rId39" Type="http://schemas.openxmlformats.org/officeDocument/2006/relationships/footer" Target="footer65.xml"/>
  <Relationship Id="rId4" Type="http://schemas.openxmlformats.org/officeDocument/2006/relationships/settings" Target="settings.xml"/>
  <Relationship Id="rId40" Type="http://schemas.openxmlformats.org/officeDocument/2006/relationships/header" Target="header66.xml"/>
  <Relationship Id="rId41" Type="http://schemas.openxmlformats.org/officeDocument/2006/relationships/footer" Target="footer66.xml"/>
  <Relationship Id="rId42" Type="http://schemas.openxmlformats.org/officeDocument/2006/relationships/hyperlink" TargetMode="External" Target="https://www.e-tar.lt/portal/lt/legalAct/TAR.3394CBFC359C"/>
  <Relationship Id="rId43" Type="http://schemas.openxmlformats.org/officeDocument/2006/relationships/hyperlink" TargetMode="External" Target="http://www3.lrs.lt/cgi-bin/preps2?a=51605&amp;b="/>
  <Relationship Id="rId44" Type="http://schemas.openxmlformats.org/officeDocument/2006/relationships/hyperlink" TargetMode="External" Target="https://www.e-tar.lt/portal/lt/legalAct/TAR.B7D7BAACDE6B"/>
  <Relationship Id="rId45" Type="http://schemas.openxmlformats.org/officeDocument/2006/relationships/hyperlink" TargetMode="External" Target="http://www3.lrs.lt/cgi-bin/preps2?a=69596&amp;b="/>
  <Relationship Id="rId46" Type="http://schemas.openxmlformats.org/officeDocument/2006/relationships/hyperlink" TargetMode="External" Target="https://www.e-tar.lt/portal/lt/legalAct/TAR.501193BA5D7C"/>
  <Relationship Id="rId47" Type="http://schemas.openxmlformats.org/officeDocument/2006/relationships/header" Target="header79.xml"/>
  <Relationship Id="rId48" Type="http://schemas.openxmlformats.org/officeDocument/2006/relationships/header" Target="header80.xml"/>
  <Relationship Id="rId49" Type="http://schemas.openxmlformats.org/officeDocument/2006/relationships/footer" Target="footer79.xml"/>
  <Relationship Id="rId5" Type="http://schemas.openxmlformats.org/officeDocument/2006/relationships/styles" Target="styles.xml"/>
  <Relationship Id="rId50" Type="http://schemas.openxmlformats.org/officeDocument/2006/relationships/footer" Target="footer80.xml"/>
  <Relationship Id="rId51" Type="http://schemas.openxmlformats.org/officeDocument/2006/relationships/header" Target="header81.xml"/>
  <Relationship Id="rId52" Type="http://schemas.openxmlformats.org/officeDocument/2006/relationships/footer" Target="footer81.xml"/>
  <Relationship Id="rId53" Type="http://schemas.openxmlformats.org/officeDocument/2006/relationships/hyperlink" TargetMode="External" Target="http://www3.lrs.lt/cgi-bin/preps2?a=79699&amp;b="/>
  <Relationship Id="rId54" Type="http://schemas.openxmlformats.org/officeDocument/2006/relationships/hyperlink" TargetMode="External" Target="https://www.e-tar.lt/portal/lt/legalAct/TAR.5DC1759E42CB"/>
  <Relationship Id="rId55" Type="http://schemas.openxmlformats.org/officeDocument/2006/relationships/hyperlink" TargetMode="External" Target="https://www.e-tar.lt/portal/lt/legalAct/TAR.8D97CD7E1857"/>
  <Relationship Id="rId56" Type="http://schemas.openxmlformats.org/officeDocument/2006/relationships/hyperlink" TargetMode="External" Target="https://www.e-tar.lt/portal/lt/legalAct/TAR.DC61D74561C5"/>
  <Relationship Id="rId57" Type="http://schemas.openxmlformats.org/officeDocument/2006/relationships/hyperlink" TargetMode="External" Target="https://www.e-tar.lt/portal/lt/legalAct/TAR.67B5099C5848"/>
  <Relationship Id="rId58" Type="http://schemas.openxmlformats.org/officeDocument/2006/relationships/hyperlink" TargetMode="External" Target="https://www.e-tar.lt/portal/lt/legalAct/TAR.78FAC7B20AD8"/>
  <Relationship Id="rId59" Type="http://schemas.openxmlformats.org/officeDocument/2006/relationships/hyperlink" TargetMode="External" Target="https://www.e-tar.lt/portal/lt/legalAct/TAR.C7A984833333"/>
  <Relationship Id="rId6" Type="http://schemas.microsoft.com/office/2007/relationships/stylesWithEffects" Target="stylesWithEffects.xml"/>
  <Relationship Id="rId60" Type="http://schemas.openxmlformats.org/officeDocument/2006/relationships/hyperlink" TargetMode="External" Target="https://www.e-tar.lt/portal/lt/legalAct/TAR.33907EA7C2DC"/>
  <Relationship Id="rId61" Type="http://schemas.openxmlformats.org/officeDocument/2006/relationships/hyperlink" TargetMode="External" Target="https://www.e-tar.lt/portal/lt/legalAct/TAR.DC61D74561C5"/>
  <Relationship Id="rId62" Type="http://schemas.openxmlformats.org/officeDocument/2006/relationships/hyperlink" TargetMode="External" Target="https://www.e-tar.lt/portal/lt/legalAct/TAR.723F49D02CD8"/>
  <Relationship Id="rId63" Type="http://schemas.openxmlformats.org/officeDocument/2006/relationships/hyperlink" TargetMode="External" Target="https://www.e-tar.lt/portal/lt/legalAct/TAR.6A8A7A3BBCDC"/>
  <Relationship Id="rId64" Type="http://schemas.openxmlformats.org/officeDocument/2006/relationships/hyperlink" TargetMode="External" Target="https://www.e-tar.lt/portal/lt/legalAct/TAR.F1D86F455636"/>
  <Relationship Id="rId65" Type="http://schemas.openxmlformats.org/officeDocument/2006/relationships/hyperlink" TargetMode="External" Target="https://www.e-tar.lt/portal/lt/legalAct/TAR.5E3842DF67F8"/>
  <Relationship Id="rId66" Type="http://schemas.openxmlformats.org/officeDocument/2006/relationships/hyperlink" TargetMode="External" Target="https://www.e-tar.lt/portal/lt/legalAct/TAR.668CEF058FF8"/>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C6E4170DB704"/>
  <Relationship Id="rId69" Type="http://schemas.openxmlformats.org/officeDocument/2006/relationships/hyperlink" TargetMode="External" Target="https://www.e-tar.lt/portal/lt/legalAct/TAR.668CEF058FF8"/>
  <Relationship Id="rId7" Type="http://schemas.openxmlformats.org/officeDocument/2006/relationships/theme" Target="theme/theme1.xml"/>
  <Relationship Id="rId70" Type="http://schemas.openxmlformats.org/officeDocument/2006/relationships/header" Target="header85.xml"/>
  <Relationship Id="rId71" Type="http://schemas.openxmlformats.org/officeDocument/2006/relationships/footer" Target="footer85.xml"/>
  <Relationship Id="rId72" Type="http://schemas.openxmlformats.org/officeDocument/2006/relationships/hyperlink" TargetMode="External" Target="https://www.e-tar.lt/portal/lt/legalAct/TAR.1B50A305B56B"/>
  <Relationship Id="rId73" Type="http://schemas.openxmlformats.org/officeDocument/2006/relationships/hyperlink" TargetMode="External" Target="https://www.e-tar.lt/portal/lt/legalAct/TAR.A36A799DD928"/>
  <Relationship Id="rId74" Type="http://schemas.openxmlformats.org/officeDocument/2006/relationships/hyperlink" TargetMode="External" Target="https://www.e-tar.lt/portal/lt/legalAct/TAR.7083DB116A2E"/>
  <Relationship Id="rId75" Type="http://schemas.openxmlformats.org/officeDocument/2006/relationships/hyperlink" TargetMode="External" Target="https://www.e-tar.lt/portal/lt/legalAct/TAR.6A8A7A3BBCDC"/>
  <Relationship Id="rId76" Type="http://schemas.openxmlformats.org/officeDocument/2006/relationships/hyperlink" TargetMode="External" Target="https://www.e-tar.lt/portal/lt/legalAct/TAR.F1D86F455636"/>
  <Relationship Id="rId77" Type="http://schemas.openxmlformats.org/officeDocument/2006/relationships/hyperlink" TargetMode="External" Target="https://www.e-tar.lt/portal/lt/legalAct/TAR.751B6F8BF451"/>
  <Relationship Id="rId78" Type="http://schemas.openxmlformats.org/officeDocument/2006/relationships/hyperlink" TargetMode="External" Target="https://www.e-tar.lt/portal/lt/legalAct/TAR.313208361D5D"/>
  <Relationship Id="rId79" Type="http://schemas.openxmlformats.org/officeDocument/2006/relationships/hyperlink" TargetMode="External" Target="https://www.e-tar.lt/portal/lt/legalAct/TAR.64EB889A3B24"/>
  <Relationship Id="rId8" Type="http://schemas.openxmlformats.org/officeDocument/2006/relationships/webSettings" Target="webSettings.xml"/>
  <Relationship Id="rId80" Type="http://schemas.openxmlformats.org/officeDocument/2006/relationships/hyperlink" TargetMode="External" Target="https://www.e-tar.lt/portal/lt/legalAct/TAR.5ED52629C3C4"/>
  <Relationship Id="rId81" Type="http://schemas.openxmlformats.org/officeDocument/2006/relationships/hyperlink" TargetMode="External" Target="https://www.e-tar.lt/portal/lt/legalAct/TAR.0630DF325F2F"/>
  <Relationship Id="rId82" Type="http://schemas.openxmlformats.org/officeDocument/2006/relationships/hyperlink" TargetMode="External" Target="https://www.e-tar.lt/portal/lt/legalAct/TAR.A57CA999DD08"/>
  <Relationship Id="rId83" Type="http://schemas.openxmlformats.org/officeDocument/2006/relationships/hyperlink" TargetMode="External" Target="https://www.e-tar.lt/portal/lt/legalAct/TAR.668CEF058FF8"/>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hyperlink" TargetMode="External" Target="https://www.e-tar.lt/portal/lt/legalAct/TAR.DC61D74561C5"/>
  <Relationship Id="rId97" Type="http://schemas.openxmlformats.org/officeDocument/2006/relationships/hyperlink" TargetMode="External" Target="https://www.e-tar.lt/portal/lt/legalAct/TAR.21897F4DD271"/>
  <Relationship Id="rId98" Type="http://schemas.openxmlformats.org/officeDocument/2006/relationships/header" Target="header89.xml"/>
  <Relationship Id="rId99" Type="http://schemas.openxmlformats.org/officeDocument/2006/relationships/header" Target="header90.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c58e18ec32462998f249a6909cd66b">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5.3 p." DocPartId="3051079954284fa5a96af68222df2073" PartId="dab8bea7d93841f5b738abc7242890dc"/>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A" DocPartId="957f1ca1d35843c095d59efb3391897b" PartId="6a65812f199745a58e3302679ef31305">
    <Part Type="punktas" Nr="1" Abbr="3 pr. 1 p." DocPartId="a86d96fcbb464d69a129645507412d94" PartId="da7f2bc8aa694d9e9b8bfa8750ce2b3e"/>
    <Part Type="punktas" Nr="2" Abbr="3 pr. 2 p." DocPartId="3299e5c5db5b4481af7a8727b364a5cb" PartId="bae3b0d3dabc4e18a8a7bb9f94235f0a"/>
    <Part Type="punktas" Nr="3" Abbr="3 pr. 3 p." DocPartId="2928b9ea876e439594880a4ace58cc07" PartId="7d519a59213d471f87cbd98127bc7094"/>
    <Part Type="punktas" Nr="4" Abbr="3 pr. 4 p." DocPartId="16ff920b688d4e278892a41a687d4b74" PartId="c83862ff18444031b16b5d186b09bd7a"/>
    <Part Type="punktas" Nr="5" Abbr="3 pr. 5 p." DocPartId="177b49174d6e4bb29ccfcde9d74a0137" PartId="00d9b4c226464644a467d6e58befe99e"/>
    <Part Type="punktas" Nr="5-1" Abbr="5-1 p." DocPartId="4d3b7abe3bec40578a9fb07b5ed3a057" PartId="9a9b3861c23142c39c172af7014ca180"/>
    <Part Type="punktas" Nr="6" Abbr="3 pr. 6 p." DocPartId="77909525900a46a9b7e6e20e850b17bc" PartId="9a0bfb6917be43d295440521cf6a7e94">
      <Part Type="punktas" Nr="6.1" Abbr="3 pr. 6.1 p." DocPartId="ccc70debcfd04c5c9d8e3c85dc3b39af" PartId="713f97bb1de1442e9dacc298e85b3b25"/>
      <Part Type="punktas" Nr="6.2" Abbr="3 pr. 6.2 p." DocPartId="fabc5a5c6a92479ca702c819d2adc615" PartId="1201878f56e64ff9b516664870b9851d"/>
      <Part Type="punktas" Nr="6.3" Abbr="3 pr. 6.3 p." DocPartId="203dc71f90764bba914f350524b4c268" PartId="236f5571aefc4b90a220491112a89d88"/>
      <Part Type="punktas" Nr="6.4" Abbr="3 pr. 6.4 p." DocPartId="7040d59cdb614b3fa3c661f3e057eaa4" PartId="2c0a7a7f57ec4d3aaaa3a841bdde72fc"/>
      <Part Type="punktas" Nr="6.5" Abbr="3 pr. 6.5 p." DocPartId="520ffa2f71264485a58e6768340ca437" PartId="624df4894e0c4aac9b017fb4e940fba5"/>
    </Part>
    <Part Type="pabaiga" DocPartId="1e2f7a53378e43a59155fb6cda1bbe6b" PartId="90641c1479e048a7a73422410deb2d11"/>
  </Part>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1674e55ce98487e9c3340a2bdde3fa0">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Nr="6" Abbr="6 pr." Title="NEINFEKCINIŲ LIGŲ PROFILAKTIKOS IR KONTROLĖS TVARKA (ATLIEKA BENDROSIOS PRAKTIKOS GYDYTOJAS, JO NESANT – PIRMINĖS SVEIKATOS PRIEŽIŪROS PASLAUGAS TEIKIANTI GYDYTOJŲ KOMANDA)" DocPartId="a9ee91f55eda4207951c1586c9c07d67" PartId="a3e28083ab6c49c0bf7adb09653f29e7"/>
  <Part Type="priedas" Nr="7" Abbr="7 pr." Title="VAIRUOTOJŲ SVEIKATOS TIKRINIMO REIKALAVIMŲ IR TVARKOS APRAŠAS" DocPartId="2b2a2484d1814949a3b63be4a4fcb94a" PartId="78fda4d184954ce7bf852d81f06d3359">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ff5be57aa8f94379894a0e01f3340661"/>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56c44c63f12e42c08cbe4654bbd7e282"/>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42ad0c95fd64828985df24c78037c9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862c31f5292c4e13adafdf9c9c23b8e0"/>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9612f60edcc940a9a70ed1f840690bb8">
    <Part Type="skyrius" Nr="1" Title="PROFILAKTINIŲ SVEIKATOS TIKRINIMŲ, UŽ KURIUOS MOKA PATS DARBUOTOJAS, DARBDAVYS AR KITI ASMENYS, KAINOS" DocPartId="4e19544411544d95ad684a97c4d57727" PartId="066a1b17632248f4a153636b3bebb48a"/>
    <Part Type="skyrius" Nr="2" Title="PROFILAKTINIŲ SVEIKATOS TIKRINIMŲ, APMOKAMŲ IŠ PRIVALOMOJO SVEIKATOS DRAUDIMO FONDO BIUDŽETO, KAINOS" DocPartId="92ca7ca024794aa0aaf2dd2c8c645856" PartId="37cc4225fdea4919ba6f846b3663888a"/>
  </Part>
</Parts>
</file>

<file path=customXml/itemProps1.xml><?xml version="1.0" encoding="utf-8"?>
<ds:datastoreItem xmlns:ds="http://schemas.openxmlformats.org/officeDocument/2006/customXml" ds:itemID="{A63827F4-602F-43BA-B351-918850A0E903}">
  <ds:schemaRefs>
    <ds:schemaRef ds:uri="http://lrs.lt/TAIS/DocParts"/>
  </ds:schemaRefs>
</ds:datastoreItem>
</file>

<file path=docProps/app.xml><?xml version="1.0" encoding="utf-8"?>
<Properties xmlns="http://schemas.openxmlformats.org/officeDocument/2006/extended-properties">
  <Template>Normal.dotm</Template>
  <TotalTime>100</TotalTime>
  <Pages>211</Pages>
  <Words>275436</Words>
  <Characters>156999</Characters>
  <Application>Microsoft Office Word</Application>
  <DocSecurity>0</DocSecurity>
  <Lines>1308</Lines>
  <Paragraphs>863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431572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2018-06-19T07:30:00Z</dcterms:modified>
  <revision>57</revision>
</coreProperties>
</file>