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2020-01-10 iki 2020-04-30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4" w:tgtFrame="_blank" w:history="1">
                <w:r>
                  <w:rPr>
                    <w:color w:val="0000FF" w:themeColor="hyperlink"/>
                    <w:u w:val="single"/>
                  </w:rPr>
                  <w:t>64-2569</w:t>
                </w:r>
              </w:hyperlink>
              <w:r>
                <w:rPr>
                  <w:color w:val="000000"/>
                </w:rPr>
                <w:t xml:space="preserve">), Lietuvos Respublikos darbuotojų saugos ir sveikatos įstatymo (Žin., 2003, Nr. </w:t>
              </w:r>
              <w:hyperlink r:id="rId15" w:tgtFrame="_blank" w:history="1">
                <w:r>
                  <w:rPr>
                    <w:color w:val="0000FF" w:themeColor="hyperlink"/>
                    <w:u w:val="single"/>
                  </w:rPr>
                  <w:t>70-3170</w:t>
                </w:r>
              </w:hyperlink>
              <w:r>
                <w:rPr>
                  <w:color w:val="000000"/>
                </w:rPr>
                <w:t xml:space="preserve">), Lietuvos Respublikos sveikatos sistemos įstatymo (Žin., 1994, Nr. </w:t>
              </w:r>
              <w:hyperlink r:id="rId16" w:tgtFrame="_blank" w:history="1">
                <w:r>
                  <w:rPr>
                    <w:color w:val="0000FF" w:themeColor="hyperlink"/>
                    <w:u w:val="single"/>
                  </w:rPr>
                  <w:t>63-1231</w:t>
                </w:r>
              </w:hyperlink>
              <w:r>
                <w:rPr>
                  <w:color w:val="000000"/>
                </w:rPr>
                <w:t xml:space="preserve">; 1998, Nr. </w:t>
              </w:r>
              <w:hyperlink r:id="rId17" w:tgtFrame="_blank" w:history="1">
                <w:r>
                  <w:rPr>
                    <w:color w:val="0000FF" w:themeColor="hyperlink"/>
                    <w:u w:val="single"/>
                  </w:rPr>
                  <w:t>112-3099</w:t>
                </w:r>
              </w:hyperlink>
              <w:r>
                <w:rPr>
                  <w:color w:val="000000"/>
                </w:rPr>
                <w:t xml:space="preserve">), Lietuvos Respublikos radiacinės saugos įstatymo (Žin., 1999, Nr. </w:t>
              </w:r>
              <w:hyperlink r:id="rId18"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9"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858ccc378d1b4def9d5409f053bb13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858ccc378d1b4def9d5409f053bb13fe"/>
                      <w:lock w:val="sdtLocked"/>
                      <w:richText/>
                    </w:sdtPr>
                    <w:sdtContent>
                      <w:r>
                        <w:rPr>
                          <w:bCs/>
                          <w:szCs w:val="24"/>
                        </w:rPr>
                        <w:t>1.3</w:t>
                      </w:r>
                    </w:sdtContent>
                  </w:sdt>
                  <w:r>
                    <w:rPr>
                      <w:bCs/>
                      <w:szCs w:val="24"/>
                    </w:rPr>
                    <w:t>. Vaikų ir pilnamečių mokinių, ugdomų pagal bendrojo ugdymo programas, sveikatos tikrinimo 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20"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21"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22"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23"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4"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5"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b31b47089825415abd49b95f4dd3da77"/>
        <w:lock w:val="sdtLocked"/>
        <w:richText/>
      </w:sdtPr>
      <w:sdtContent>
        <w:p>
          <w:pPr>
            <w:tabs>
              <w:tab w:val="left" w:pos="1304"/>
              <w:tab w:val="left" w:pos="1457"/>
              <w:tab w:val="left" w:pos="1604"/>
              <w:tab w:val="left" w:pos="1757"/>
            </w:tabs>
            <w:ind w:left="5102"/>
            <w:sectPr>
              <w:headerReference w:type="even" r:id="rId26"/>
              <w:headerReference w:type="default" r:id="rId27"/>
              <w:footerReference w:type="even" r:id="rId28"/>
              <w:footerReference w:type="default" r:id="rId29"/>
              <w:headerReference w:type="first" r:id="rId30"/>
              <w:footerReference w:type="first" r:id="rId31"/>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b31b47089825415abd49b95f4dd3da77"/>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b31b47089825415abd49b95f4dd3da77"/>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682b3a33a62a41e7970732757e845b61"/>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682b3a33a62a41e7970732757e845b61"/>
                          <w:lock w:val="sdtLocked"/>
                          <w:richText/>
                        </w:sdtPr>
                        <w:sdtContent>
                          <w:r>
                            <w:rPr>
                              <w:color w:val="000000"/>
                              <w:szCs w:val="24"/>
                              <w:lang w:eastAsia="lt-LT"/>
                            </w:rPr>
                            <w:t>1.2</w:t>
                          </w:r>
                        </w:sdtContent>
                      </w:sdt>
                      <w:r>
                        <w:rPr>
                          <w:color w:val="000000"/>
                          <w:szCs w:val="24"/>
                          <w:lang w:eastAsia="lt-LT"/>
                        </w:rPr>
                        <w:t xml:space="preserve"> vaikų </w:t>
                      </w:r>
                      <w:r>
                        <w:rPr>
                          <w:bCs/>
                          <w:szCs w:val="24"/>
                        </w:rPr>
                        <w:t>ir pilnamečių mokinių, ugdomų pagal bendrojo ugdymo programas</w:t>
                      </w:r>
                      <w:r>
                        <w:rPr>
                          <w:color w:val="000000"/>
                          <w:szCs w:val="24"/>
                          <w:lang w:eastAsia="lt-LT"/>
                        </w:rPr>
                        <w:t xml:space="preserve">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32"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33"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ca7a93b731ba4db6b5a98275787d8727"/>
                    <w:lock w:val="sdtLocked"/>
                    <w:richText/>
                  </w:sdtPr>
                  <w:sdtContent>
                    <w:p>
                      <w:pPr>
                        <w:ind w:firstLine="720"/>
                        <w:jc w:val="both"/>
                        <w:rPr>
                          <w:color w:val="000000"/>
                        </w:rPr>
                      </w:pPr>
                      <w:sdt>
                        <w:sdtPr>
                          <w:alias w:val="Numeris"/>
                          <w:tag w:val="nr_ca7a93b731ba4db6b5a98275787d8727"/>
                          <w:lock w:val="sdtLocked"/>
                          <w:richText/>
                        </w:sdtPr>
                        <w:sdtContent>
                          <w:r>
                            <w:rPr>
                              <w:szCs w:val="24"/>
                              <w:lang w:eastAsia="lt-LT"/>
                            </w:rPr>
                            <w:t>5.3</w:t>
                          </w:r>
                        </w:sdtContent>
                      </w:sdt>
                      <w:r>
                        <w:rPr>
                          <w:szCs w:val="24"/>
                          <w:lang w:eastAsia="lt-LT"/>
                        </w:rPr>
                        <w:t>. Profilaktinių sveikatos tikrinimų kainos ir gydytojų specialistų, teikiančių profilaktinių sveikatos tikrinimų paslaugas, apmokamas iš Privalomojo sveikatos draudimo fondo biudžeto, paslaugų kainos (18 priedas) nurodytos Lietuvos Respublikos sveikatos apsaugos ministro 2000 m. gegužės 31 d. įsakymo Nr. 301 „Dėl profilaktinių sveikatos tikrinimų sveikatos priežiūros įstaigose“ I skyriuje „Profilaktinių sveikatos tikrinimų, už kuriuos moka pats darbuotojas, darbdavys ar kiti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Kainos gali būti indeksuojamos, kai koeficientas yra ne mažesnis kaip 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4"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5"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6"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7"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18225d26d56947acbae7769530b8bb7f"/>
        <w:lock w:val="sdtLocked"/>
        <w:richText/>
      </w:sdtPr>
      <w:sdtContent>
        <w:p>
          <w:pPr>
            <w:tabs>
              <w:tab w:val="left" w:pos="6521"/>
            </w:tabs>
            <w:ind w:left="3888" w:firstLine="2633"/>
            <w:sectPr>
              <w:headerReference w:type="even" r:id="rId38"/>
              <w:headerReference w:type="default" r:id="rId39"/>
              <w:footerReference w:type="even" r:id="rId40"/>
              <w:footerReference w:type="default" r:id="rId41"/>
              <w:headerReference w:type="first" r:id="rId42"/>
              <w:footerReference w:type="first" r:id="rId43"/>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18225d26d56947acbae7769530b8bb7f"/>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18225d26d56947acbae7769530b8bb7f"/>
              <w:lock w:val="sdtLocked"/>
              <w:richText/>
            </w:sdtPr>
            <w:sdtContent>
              <w:r>
                <w:rPr>
                  <w:b/>
                  <w:caps/>
                  <w:color w:val="000000"/>
                  <w:szCs w:val="24"/>
                </w:rPr>
                <w:t xml:space="preserve">VAIKŲ IR PILNAMEČIŲ MOKINIŲ, UGDOMŲ PAGAL BENDROJO UGDYMO PROGRAMAS, SVEIKATOS TIKRINIMO TVARKOS APRAŠAS </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e590613e73de43299d891ecef0c9810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e590613e73de43299d891ecef0c98105"/>
                      <w:lock w:val="sdtLocked"/>
                      <w:richText/>
                    </w:sdtPr>
                    <w:sdtContent>
                      <w:r>
                        <w:rPr>
                          <w:szCs w:val="24"/>
                          <w:lang w:eastAsia="lt-LT"/>
                        </w:rPr>
                        <w:t>1</w:t>
                      </w:r>
                    </w:sdtContent>
                  </w:sdt>
                  <w:r>
                    <w:rPr>
                      <w:szCs w:val="24"/>
                      <w:lang w:eastAsia="lt-LT"/>
                    </w:rPr>
                    <w:t xml:space="preserve">. Vaikų </w:t>
                  </w:r>
                  <w:r>
                    <w:rPr>
                      <w:bCs/>
                      <w:szCs w:val="24"/>
                    </w:rPr>
                    <w:t>ir pilnamečių mokinių, ugdomų pagal bendrojo ugdymo programas,</w:t>
                  </w:r>
                  <w:r>
                    <w:rPr>
                      <w:color w:val="000000"/>
                      <w:szCs w:val="24"/>
                      <w:lang w:eastAsia="lt-LT"/>
                    </w:rPr>
                    <w:t xml:space="preserve"> </w:t>
                  </w:r>
                  <w:r>
                    <w:rPr>
                      <w:szCs w:val="24"/>
                      <w:lang w:eastAsia="lt-LT"/>
                    </w:rPr>
                    <w:t xml:space="preserve">sveikatos tikrinimo tvarkos aprašas (toliau – Aprašas) nustato privalomo profilaktinio vaikų, Lietuvos Respublikos sveikatos draudimo įstatymo 6 straipsnio 4 dalies 7 punkte nurodytų 18 metų ir vyresnių mokinių, kurie mokosi Lietuvos Respublikos mokyklose pagal bendrojo ugdymo programas,      (toliau – pilnamečių mokinių) sveikatos bei ankstyvojo amžiaus vaikų (iki 4 metų) psichomotorinės raidos tikrinimo reikalavimus, šių paslaugų teikimo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df2ce585f04e4a6f8a69076c298ca8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df2ce585f04e4a6f8a69076c298ca8ae"/>
                      <w:lock w:val="sdtLocked"/>
                      <w:richText/>
                    </w:sdtPr>
                    <w:sdtContent>
                      <w:r>
                        <w:rPr>
                          <w:szCs w:val="24"/>
                          <w:lang w:eastAsia="lt-LT"/>
                        </w:rPr>
                        <w:t>3</w:t>
                      </w:r>
                    </w:sdtContent>
                  </w:sdt>
                  <w:r>
                    <w:rPr>
                      <w:szCs w:val="24"/>
                      <w:lang w:eastAsia="lt-LT"/>
                    </w:rPr>
                    <w:t xml:space="preserve">. </w:t>
                  </w:r>
                  <w:r>
                    <w:rPr>
                      <w:color w:val="000000"/>
                      <w:szCs w:val="24"/>
                      <w:lang w:eastAsia="lt-LT"/>
                    </w:rPr>
                    <w:t xml:space="preserve">Apraše nustatyto profilaktinio </w:t>
                  </w:r>
                  <w:r>
                    <w:rPr>
                      <w:szCs w:val="24"/>
                      <w:lang w:eastAsia="lt-LT"/>
                    </w:rPr>
                    <w:t xml:space="preserve">vaikų ir pilnamečių mokinių sveikatos  tikrinimo tikslas – išaiškinti ir koreguoti rizikos sveikatai veiksnius, nustatyti, ar tikrinamo asmens sveikatos būklė atitinka jo augimo ir brendimo pagal amžių ir lytį normatyvus, ar  dėl sveikatos būklės jis gali lankyti švietimo įstaigą ir  pan.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3d3645cb4b694f6d91dc1f0ead9a636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d3645cb4b694f6d91dc1f0ead9a6363"/>
                      <w:lock w:val="sdtLocked"/>
                      <w:richText/>
                    </w:sdtPr>
                    <w:sdtContent>
                      <w:r>
                        <w:rPr>
                          <w:szCs w:val="24"/>
                          <w:lang w:eastAsia="lt-LT"/>
                        </w:rPr>
                        <w:t>5</w:t>
                      </w:r>
                    </w:sdtContent>
                  </w:sdt>
                  <w:r>
                    <w:rPr>
                      <w:szCs w:val="24"/>
                      <w:lang w:eastAsia="lt-LT"/>
                    </w:rPr>
                    <w:t xml:space="preserve">. Vaikų, pilnamečių mokinių sveikatos ir vaikų psichomotorinės raidos tikrinimas atliekamas licenciją teikti asmens sveikatos priežiūros paslaugas turinčioje įstaigoje (toliau – ASPĮ), kurioje asmuo yra prirašytas Lietuvos Respublikos sveikatos apsaugos ministro 2001 m. lapkričio      9 d. įsakymo Nr. 583 „Dėl gyventojų prisirašymo prie pirminės asmens sveikatos priežiūros įstaigų tvarkos“ nustatyta tvarka (toliau – prirašytas). Vaikų sveikatos tikrinimą atlieka šeimos medicinos paslaugas teikiantis šeimos gydytojas ar vaikų ligų gydytojas, kurį pacientas (jo tėvai ar kiti atstovai pagal įstatymą) yra pasirinkęs. Pilnamečių mokinių sveikatos tikrinimą atlieka šeimos medicinos paslaugas teikiantis šeimos gydytojas ar vidaus ligų gydytojas, kurį pacientas yra pasirinkęs.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6 p."/>
                <w:tag w:val="part_5538dd5c1be44eb393b0a441d008c53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5538dd5c1be44eb393b0a441d008c534"/>
                      <w:lock w:val="sdtLocked"/>
                      <w:richText/>
                    </w:sdtPr>
                    <w:sdtContent>
                      <w:r>
                        <w:rPr>
                          <w:color w:val="000000"/>
                          <w:szCs w:val="24"/>
                          <w:lang w:eastAsia="lt-LT"/>
                        </w:rPr>
                        <w:t>6</w:t>
                      </w:r>
                    </w:sdtContent>
                  </w:sdt>
                  <w:r>
                    <w:rPr>
                      <w:color w:val="000000"/>
                      <w:szCs w:val="24"/>
                      <w:lang w:eastAsia="lt-LT"/>
                    </w:rPr>
                    <w:t>.</w:t>
                  </w:r>
                  <w:r>
                    <w:rPr>
                      <w:szCs w:val="24"/>
                      <w:lang w:eastAsia="lt-LT"/>
                    </w:rPr>
                    <w:t xml:space="preserve"> Vaikų ir pilnamečių mokinių dantų ir burnos higienos būklę pagal kompetenciją tikrina ir informavimo dantų ir burnos ligų profilaktikos klausimais paslaugą teikia gydytojas odontologas arba gydytojas odontologas specialistas, arba burnos higienistas ASPĮ, teikiančiose pirminės odontologinės sveikatos priežiūros paslaugas.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97c9cc681b0b45a7acdd644c2ea8af2b"/>
            <w:lock w:val="sdtLocked"/>
            <w:richText/>
          </w:sdtPr>
          <w:sdtContent>
            <w:p>
              <w:pPr>
                <w:ind w:left="360"/>
                <w:jc w:val="center"/>
                <w:rPr>
                  <w:b/>
                  <w:caps/>
                  <w:color w:val="000000"/>
                  <w:szCs w:val="24"/>
                </w:rPr>
              </w:pPr>
              <w:sdt>
                <w:sdtPr>
                  <w:alias w:val="Numeris"/>
                  <w:tag w:val="nr_97c9cc681b0b45a7acdd644c2ea8af2b"/>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97c9cc681b0b45a7acdd644c2ea8af2b"/>
                  <w:lock w:val="sdtLocked"/>
                  <w:richText/>
                </w:sdtPr>
                <w:sdtContent>
                  <w:r>
                    <w:rPr>
                      <w:b/>
                      <w:caps/>
                      <w:szCs w:val="24"/>
                    </w:rPr>
                    <w:t xml:space="preserve">PROFILAKTINIO VAIKŲ IR PILNAMEČIŲ MOKINIŲ SVEIKATOS TIKRINIMO REIKALAVIMAI IR TVARKA </w:t>
                  </w:r>
                </w:sdtContent>
              </w:sdt>
            </w:p>
            <w:p>
              <w:pPr>
                <w:ind w:left="360"/>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3 pr. 8 p."/>
                <w:tag w:val="part_80c2a14edf654891af57d9a15daf0c88"/>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80c2a14edf654891af57d9a15daf0c88"/>
                      <w:lock w:val="sdtLocked"/>
                      <w:richText/>
                    </w:sdtPr>
                    <w:sdtContent>
                      <w:r>
                        <w:rPr>
                          <w:szCs w:val="24"/>
                          <w:lang w:eastAsia="lt-LT"/>
                        </w:rPr>
                        <w:t>8</w:t>
                      </w:r>
                    </w:sdtContent>
                  </w:sdt>
                  <w:r>
                    <w:rPr>
                      <w:szCs w:val="24"/>
                      <w:lang w:eastAsia="lt-LT"/>
                    </w:rPr>
                    <w:t xml:space="preserve">. Profilaktinio vaikų ir pilnamečių mokinių sveikatos tikrinimo reikalavimai taikomi sveikatos priežiūrai ir profilaktiniam sveikatos tikrinimui, nustatyti Aprašo 1 priede.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78afa658c5ae46fcb2aff0d334850b90"/>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8afa658c5ae46fcb2aff0d334850b90"/>
                      <w:lock w:val="sdtLocked"/>
                      <w:richText/>
                    </w:sdtPr>
                    <w:sdtContent>
                      <w:r>
                        <w:rPr>
                          <w:color w:val="000000"/>
                          <w:szCs w:val="24"/>
                          <w:lang w:eastAsia="lt-LT"/>
                        </w:rPr>
                        <w:t>11</w:t>
                      </w:r>
                    </w:sdtContent>
                  </w:sdt>
                  <w:r>
                    <w:rPr>
                      <w:color w:val="000000"/>
                      <w:szCs w:val="24"/>
                      <w:lang w:eastAsia="lt-LT"/>
                    </w:rPr>
                    <w:t xml:space="preserve">. </w:t>
                  </w:r>
                  <w:r>
                    <w:rPr>
                      <w:szCs w:val="24"/>
                      <w:lang w:eastAsia="lt-LT"/>
                    </w:rPr>
                    <w:t>Fizinio ugdymo grupė</w:t>
                  </w:r>
                  <w:r>
                    <w:rPr>
                      <w:color w:val="000000"/>
                      <w:szCs w:val="24"/>
                      <w:lang w:eastAsia="lt-LT"/>
                    </w:rPr>
                    <w:t xml:space="preserve">, </w:t>
                  </w:r>
                  <w:r>
                    <w:rPr>
                      <w:szCs w:val="24"/>
                      <w:lang w:eastAsia="lt-LT"/>
                    </w:rPr>
                    <w:t>kurioje vaikui ar pilnamečiam mokiniui rekomenduojama dalyvauti kūno kultūros pamokose, nustatoma vadovaujantis Lietuvos Respublikos švietimo ir mokslo ministerijos metodinėmis rekomendacijomis „Kūno kultūra silpnesnės sveikatos moksleiviams“ (1999 m., antrasis leidimas, 2003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2 p."/>
                <w:tag w:val="part_ac4b335ebf334e7f830d129ce14a415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ac4b335ebf334e7f830d129ce14a4153"/>
                      <w:lock w:val="sdtLocked"/>
                      <w:richText/>
                    </w:sdtPr>
                    <w:sdtContent>
                      <w:r>
                        <w:rPr>
                          <w:szCs w:val="24"/>
                          <w:lang w:eastAsia="lt-LT"/>
                        </w:rPr>
                        <w:t>12</w:t>
                      </w:r>
                    </w:sdtContent>
                  </w:sdt>
                  <w:r>
                    <w:rPr>
                      <w:szCs w:val="24"/>
                      <w:lang w:eastAsia="lt-LT"/>
                    </w:rPr>
                    <w:t>. Pilnametis mokinys, vaikas, jo tėvai ar kiti atstovai pagal įstatymą ASPĮ informuojami apie higienos įgūdžius, o švietimo ar kitą ugdymo įstaigą lankančio vaiko tėvai ar kiti atstovai pagal įstatymą informuojami</w:t>
                  </w:r>
                  <w:r>
                    <w:rPr>
                      <w:color w:val="000000"/>
                      <w:szCs w:val="24"/>
                      <w:lang w:eastAsia="lt-LT"/>
                    </w:rPr>
                    <w:t>, kaip nuolat prižiūrėti odą, nagus, plaukus, kaip tikrinti dėl utėlių ir niežų.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3 p."/>
                <w:tag w:val="part_81a3b019ba60423d9c4df432dbebe34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81a3b019ba60423d9c4df432dbebe34b"/>
                      <w:lock w:val="sdtLocked"/>
                      <w:richText/>
                    </w:sdtPr>
                    <w:sdtContent>
                      <w:r>
                        <w:rPr>
                          <w:color w:val="000000"/>
                          <w:szCs w:val="24"/>
                          <w:lang w:eastAsia="lt-LT"/>
                        </w:rPr>
                        <w:t>13</w:t>
                      </w:r>
                    </w:sdtContent>
                  </w:sdt>
                  <w:r>
                    <w:rPr>
                      <w:color w:val="000000"/>
                      <w:szCs w:val="24"/>
                      <w:lang w:eastAsia="lt-LT"/>
                    </w:rPr>
                    <w:t xml:space="preserve">. Duomenis apie profilaktinį sveikatos tikrinimą Aprašo 5 ir 6 punktuose bei Aprašo 1 priede </w:t>
                  </w:r>
                  <w:r>
                    <w:rPr>
                      <w:szCs w:val="24"/>
                      <w:lang w:eastAsia="lt-LT"/>
                    </w:rPr>
                    <w:t>nurodyti specialistai įrašo į:</w:t>
                  </w:r>
                </w:p>
                <w:sdt>
                  <w:sdtPr>
                    <w:alias w:val="13.1 pp."/>
                    <w:tag w:val="part_19a76c172fa24a5ca7fa7adf8f4781b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19a76c172fa24a5ca7fa7adf8f4781b3"/>
                          <w:lock w:val="sdtLocked"/>
                          <w:richText/>
                        </w:sdtPr>
                        <w:sdtContent>
                          <w:r>
                            <w:rPr>
                              <w:szCs w:val="24"/>
                              <w:lang w:eastAsia="lt-LT"/>
                            </w:rPr>
                            <w:t>13.1</w:t>
                          </w:r>
                        </w:sdtContent>
                      </w:sdt>
                      <w:r>
                        <w:rPr>
                          <w:szCs w:val="24"/>
                          <w:lang w:eastAsia="lt-LT"/>
                        </w:rPr>
                        <w:t>. formą Nr. 025-112/a „Vaiko sveikatos raidos istorija“, patvirtintą Lietuvos Respublikos sveikatos apsaugos ministro 2014 m. sausio 27 d. įsakymu Nr. V-120 „Dėl privalomų sveikatos statistikos apskaitos ir kitų tipinių formų bei privalomų sveikatos statistikos ataskaitų formų patvirtinimo“ (toliau – forma Nr. 025-112/a), jeigu buvo patikrinta vaiko sveikata;</w:t>
                      </w:r>
                    </w:p>
                  </w:sdtContent>
                </w:sdt>
                <w:sdt>
                  <w:sdtPr>
                    <w:alias w:val="13.2 pp."/>
                    <w:tag w:val="part_7d21c345854143d1a9f6a8c2364ed73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d21c345854143d1a9f6a8c2364ed73f"/>
                          <w:lock w:val="sdtLocked"/>
                          <w:richText/>
                        </w:sdtPr>
                        <w:sdtContent>
                          <w:r>
                            <w:rPr>
                              <w:szCs w:val="24"/>
                              <w:lang w:eastAsia="lt-LT"/>
                            </w:rPr>
                            <w:t>13.2</w:t>
                          </w:r>
                        </w:sdtContent>
                      </w:sdt>
                      <w:r>
                        <w:rPr>
                          <w:szCs w:val="24"/>
                          <w:lang w:eastAsia="lt-LT"/>
                        </w:rPr>
                        <w:t>. formą Nr. 025/a „Ambulatorinė asmens sveikatos istorija“, patvirtintą Lietuvos Respublikos sveikatos apsaugos ministro 2014 m. sausio 27 d. įsakymu Nr. V-120 „Dėl privalomų sveikatos statistikos apskaitos ir kitų tipinių formų bei privalomų sveikatos statistikos ataskaitų formų patvirtinimo“, jeigu buvo patikrinta pilnamečio mokinio sveikata.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fa627178b95c4d7fbac4bbaa65423f8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pPr>
                  <w:sdt>
                    <w:sdtPr>
                      <w:alias w:val="Numeris"/>
                      <w:tag w:val="nr_fa627178b95c4d7fbac4bbaa65423f8f"/>
                      <w:lock w:val="sdtLocked"/>
                      <w:richText/>
                    </w:sdtPr>
                    <w:sdtContent>
                      <w:r>
                        <w:rPr>
                          <w:color w:val="000000"/>
                          <w:szCs w:val="24"/>
                          <w:lang w:eastAsia="lt-LT"/>
                        </w:rPr>
                        <w:t>26</w:t>
                      </w:r>
                    </w:sdtContent>
                  </w:sdt>
                  <w:r>
                    <w:rPr>
                      <w:color w:val="000000"/>
                      <w:szCs w:val="24"/>
                      <w:lang w:eastAsia="lt-LT"/>
                    </w:rPr>
                    <w:t>. Atlikus privalomą profilaktinį</w:t>
                  </w:r>
                  <w:r>
                    <w:rPr>
                      <w:szCs w:val="24"/>
                      <w:lang w:eastAsia="lt-LT"/>
                    </w:rPr>
                    <w:t xml:space="preserve"> pilnamečio mokinio ar vaiko, lankančio švietimo ar kitą ugdymo įstaigą, sveikatos tikrinimą, </w:t>
                  </w:r>
                  <w:r>
                    <w:rPr>
                      <w:rFonts w:eastAsia="Calibri"/>
                      <w:szCs w:val="24"/>
                    </w:rPr>
                    <w:t>elektroninės sveikatos paslaugų ir bendradarbiavimo infrastruktūros informacinėje sistemoje (toliau – ESPBI IS) užpildomas Vaiko sveikatos pažymėjimas</w:t>
                  </w:r>
                  <w:r>
                    <w:rPr>
                      <w:szCs w:val="24"/>
                      <w:lang w:eastAsia="lt-LT"/>
                    </w:rPr>
                    <w:t xml:space="preserve">, </w:t>
                  </w:r>
                  <w:r>
                    <w:rPr>
                      <w:color w:val="000000"/>
                      <w:szCs w:val="24"/>
                      <w:lang w:eastAsia="lt-LT"/>
                    </w:rPr>
                    <w:t xml:space="preserve">kurio forma patvirtinta Lietuvos Respublikos sveikatos apsaugos ministro 2004 m. gruodžio 24 d. įsakymu Nr. V-951 „Dėl statistinės apskaitos formos Nr. 027-1/a „Vaiko sveikatos pažymėjimas“ patvirtinimo“ (toliau – </w:t>
                  </w:r>
                  <w:r>
                    <w:rPr>
                      <w:szCs w:val="24"/>
                    </w:rPr>
                    <w:t>forma Nr. E027-1)</w:t>
                  </w:r>
                  <w:r>
                    <w:rPr>
                      <w:color w:val="000000"/>
                      <w:szCs w:val="24"/>
                      <w:lang w:eastAsia="lt-LT"/>
                    </w:rPr>
                    <w:t xml:space="preserve">, </w:t>
                  </w:r>
                  <w:r>
                    <w:rPr>
                      <w:szCs w:val="24"/>
                      <w:lang w:eastAsia="lt-LT"/>
                    </w:rPr>
                    <w:t>kuriame įrašomi reikiami duomenys, išvados ir rekomendacijos švietimo ar kitai ugdymo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6-1 p."/>
                <w:tag w:val="part_3a83b56652c443d19faa6fc3a71ad132"/>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a83b56652c443d19faa6fc3a71ad132"/>
                      <w:lock w:val="sdtLocked"/>
                      <w:richText/>
                    </w:sdtPr>
                    <w:sdtContent>
                      <w:r>
                        <w:rPr>
                          <w:szCs w:val="24"/>
                          <w:lang w:eastAsia="lt-LT"/>
                        </w:rPr>
                        <w:t>26</w:t>
                      </w:r>
                      <w:r>
                        <w:rPr>
                          <w:szCs w:val="24"/>
                          <w:vertAlign w:val="superscript"/>
                          <w:lang w:eastAsia="lt-LT"/>
                        </w:rPr>
                        <w:t>1</w:t>
                      </w:r>
                    </w:sdtContent>
                  </w:sdt>
                  <w:r>
                    <w:rPr>
                      <w:szCs w:val="24"/>
                      <w:lang w:eastAsia="lt-LT"/>
                    </w:rPr>
                    <w:t xml:space="preserve">. </w:t>
                  </w:r>
                  <w:r>
                    <w:rPr>
                      <w:bCs/>
                      <w:szCs w:val="24"/>
                      <w:lang w:eastAsia="lt-LT"/>
                    </w:rPr>
                    <w:t>Esant ESPBI IS arba ASPĮ vidinių informacinės sistemos veikimo sutrikimų, forma E027-1 užpildoma atkūrus sistemos / sistemų veiklą.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7 p."/>
                <w:tag w:val="part_8d2b7b70ce7c406ea672890a3bf6084a"/>
                <w:lock w:val="sdtLocked"/>
                <w:richText/>
              </w:sdtPr>
              <w:sdtContent>
                <w:p>
                  <w:pPr>
                    <w:ind w:firstLine="851"/>
                    <w:jc w:val="both"/>
                    <w:rPr>
                      <w:color w:val="000000"/>
                      <w:szCs w:val="24"/>
                    </w:rPr>
                  </w:pPr>
                  <w:sdt>
                    <w:sdtPr>
                      <w:alias w:val="Numeris"/>
                      <w:tag w:val="nr_8d2b7b70ce7c406ea672890a3bf6084a"/>
                      <w:lock w:val="sdtLocked"/>
                      <w:richText/>
                    </w:sdtPr>
                    <w:sdtContent>
                      <w:r>
                        <w:rPr>
                          <w:szCs w:val="24"/>
                          <w:lang w:eastAsia="lt-LT"/>
                        </w:rPr>
                        <w:t>27</w:t>
                      </w:r>
                    </w:sdtContent>
                  </w:sdt>
                  <w:r>
                    <w:rPr>
                      <w:szCs w:val="24"/>
                      <w:lang w:eastAsia="lt-LT"/>
                    </w:rPr>
                    <w:t xml:space="preserve">. Jeigu nepasibaigus formos Nr. </w:t>
                  </w:r>
                  <w:r>
                    <w:rPr>
                      <w:szCs w:val="24"/>
                    </w:rPr>
                    <w:t xml:space="preserve">E027-1 galiojimo laikui vaiko ar pilnamečio mokinio sveikatos būklė pasikeičia taip, kad turi būti keičiama jo fizinio ugdymo grupė arba atsiranda naujų bendrų arba specialių rekomendacijų, kurių turi būti laikomasi jam dalyvaujant ugdymo veikloje, ši informacija įrašoma į formą Nr. 046/a „Medicininis pažymėjimas“, </w:t>
                  </w:r>
                  <w:r>
                    <w:rPr>
                      <w:color w:val="000000"/>
                      <w:spacing w:val="-4"/>
                      <w:szCs w:val="24"/>
                      <w:lang w:eastAsia="lt-LT"/>
                    </w:rPr>
                    <w:t xml:space="preserve">patvirtintą Lietuvos Respublikos sveikatos apsaugos ministro 2014 m. sausio 27 d.  įsakymu Nr. V-120 „Dėl privalomų sveikatos statistikos apskaitos ir kitų tipinių formų bei privalomų sveikatos statistikos ataskaitų formų patvirtinimo“</w:t>
                  </w:r>
                  <w:r>
                    <w:rPr>
                      <w:szCs w:val="24"/>
                    </w:rPr>
                    <w:t>, kuri pateikiama</w:t>
                  </w:r>
                  <w:r>
                    <w:rPr>
                      <w:szCs w:val="24"/>
                      <w:lang w:eastAsia="lt-LT"/>
                    </w:rPr>
                    <w:t xml:space="preserve"> visuomenės sveikatos specialistui, vykdančiam sveikatos priežiūrą mokykloje.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8 p."/>
                <w:tag w:val="part_7e98687be84a48ca85ac6bacae23fce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e98687be84a48ca85ac6bacae23fceb"/>
                      <w:lock w:val="sdtLocked"/>
                      <w:richText/>
                    </w:sdtPr>
                    <w:sdtContent>
                      <w:r>
                        <w:rPr>
                          <w:color w:val="000000"/>
                          <w:szCs w:val="24"/>
                          <w:lang w:eastAsia="lt-LT"/>
                        </w:rPr>
                        <w:t>28</w:t>
                      </w:r>
                    </w:sdtContent>
                  </w:sdt>
                  <w:r>
                    <w:rPr>
                      <w:color w:val="000000"/>
                      <w:szCs w:val="24"/>
                      <w:lang w:eastAsia="lt-LT"/>
                    </w:rPr>
                    <w:t>. Atlikus privalomą profilaktinį sveikatos tikrinimą</w:t>
                  </w:r>
                  <w:r>
                    <w:rPr>
                      <w:szCs w:val="24"/>
                      <w:lang w:eastAsia="lt-LT"/>
                    </w:rPr>
                    <w:t>,</w:t>
                  </w:r>
                  <w:r>
                    <w:rPr>
                      <w:color w:val="000000"/>
                      <w:szCs w:val="24"/>
                      <w:lang w:eastAsia="lt-LT"/>
                    </w:rPr>
                    <w:t xml:space="preserve"> p</w:t>
                  </w:r>
                  <w:r>
                    <w:rPr>
                      <w:szCs w:val="24"/>
                      <w:lang w:eastAsia="lt-LT"/>
                    </w:rPr>
                    <w:t xml:space="preserve">ilnamečiam mokiniui ar </w:t>
                  </w:r>
                  <w:r>
                    <w:rPr>
                      <w:color w:val="000000"/>
                      <w:szCs w:val="24"/>
                      <w:lang w:eastAsia="lt-LT"/>
                    </w:rPr>
                    <w:t xml:space="preserve">švietimo ar kitą ugdymo įstaigą lankančiam vaikui (jo tėvams arba kitiems atstovams pagal įstatymą) pageidaujant, ASPĮ nustatyta tvarka išduodama </w:t>
                  </w:r>
                  <w:r>
                    <w:rPr>
                      <w:szCs w:val="24"/>
                    </w:rPr>
                    <w:t>formos Nr. E027-1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9 p."/>
                <w:tag w:val="part_8555f97a3262479ba5fb4e463a613e5d"/>
                <w:lock w:val="sdtLocked"/>
                <w:richText/>
              </w:sdtPr>
              <w:sdtContent>
                <w:p>
                  <w:pPr>
                    <w:ind w:firstLine="851"/>
                    <w:jc w:val="both"/>
                    <w:rPr>
                      <w:color w:val="000000"/>
                      <w:szCs w:val="24"/>
                    </w:rPr>
                  </w:pPr>
                  <w:sdt>
                    <w:sdtPr>
                      <w:alias w:val="Numeris"/>
                      <w:tag w:val="nr_8555f97a3262479ba5fb4e463a613e5d"/>
                      <w:lock w:val="sdtLocked"/>
                      <w:richText/>
                    </w:sdtPr>
                    <w:sdtContent>
                      <w:r>
                        <w:rPr>
                          <w:szCs w:val="24"/>
                          <w:lang w:eastAsia="lt-LT"/>
                        </w:rPr>
                        <w:t>29</w:t>
                      </w:r>
                    </w:sdtContent>
                  </w:sdt>
                  <w:r>
                    <w:rPr>
                      <w:szCs w:val="24"/>
                      <w:lang w:eastAsia="lt-LT"/>
                    </w:rPr>
                    <w:t xml:space="preserve">. Atlikus privalomą profilaktinį sveikatos tikrinimą užpildyta forma Nr. </w:t>
                  </w:r>
                  <w:r>
                    <w:rPr>
                      <w:szCs w:val="24"/>
                    </w:rPr>
                    <w:t>E027-1 galioja 1 metus nuo užpildymo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0118e110bc114001937696f02abc728d"/>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shd w:val="clear" w:color="auto" w:fill="FFFFFF"/>
            <w:tabs>
              <w:tab w:val="left" w:pos="5812"/>
            </w:tabs>
            <w:ind w:left="7655"/>
            <w:rPr>
              <w:bCs/>
              <w:szCs w:val="24"/>
            </w:rPr>
          </w:pPr>
          <w:r>
            <w:rPr>
              <w:szCs w:val="24"/>
            </w:rPr>
            <w:t xml:space="preserve">Vaikų </w:t>
          </w:r>
          <w:r>
            <w:rPr>
              <w:bCs/>
              <w:szCs w:val="24"/>
            </w:rPr>
            <w:t xml:space="preserve">ir pilnamečių mokinių, ugdomų </w:t>
          </w:r>
        </w:p>
        <w:p>
          <w:pPr>
            <w:shd w:val="clear" w:color="auto" w:fill="FFFFFF"/>
            <w:tabs>
              <w:tab w:val="left" w:pos="5812"/>
            </w:tabs>
            <w:ind w:left="7655"/>
            <w:rPr>
              <w:szCs w:val="24"/>
            </w:rPr>
          </w:pPr>
          <w:r>
            <w:rPr>
              <w:bCs/>
              <w:szCs w:val="24"/>
            </w:rPr>
            <w:t>pagal bendrojo ugdymo programas,</w:t>
          </w:r>
          <w:r>
            <w:rPr>
              <w:szCs w:val="24"/>
            </w:rPr>
            <w:t xml:space="preserve"> </w:t>
          </w:r>
        </w:p>
        <w:p>
          <w:pPr>
            <w:shd w:val="clear" w:color="auto" w:fill="FFFFFF"/>
            <w:tabs>
              <w:tab w:val="left" w:pos="5812"/>
            </w:tabs>
            <w:ind w:left="7655"/>
            <w:rPr>
              <w:szCs w:val="24"/>
            </w:rPr>
          </w:pPr>
          <w:r>
            <w:rPr>
              <w:szCs w:val="24"/>
            </w:rPr>
            <w:t>tikrinimo tvarkos aprašo</w:t>
          </w:r>
        </w:p>
        <w:p>
          <w:pPr>
            <w:tabs>
              <w:tab w:val="left" w:pos="11057"/>
            </w:tabs>
            <w:ind w:left="7655"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0118e110bc114001937696f02abc728d"/>
            <w:lock w:val="sdtLocked"/>
            <w:richText/>
          </w:sdtPr>
          <w:sdtContent>
            <w:p>
              <w:pPr>
                <w:tabs>
                  <w:tab w:val="left" w:pos="945"/>
                  <w:tab w:val="center" w:pos="6979"/>
                </w:tabs>
                <w:jc w:val="center"/>
                <w:rPr>
                  <w:b/>
                  <w:color w:val="000000"/>
                  <w:szCs w:val="24"/>
                </w:rPr>
              </w:pPr>
              <w:r>
                <w:rPr>
                  <w:b/>
                  <w:szCs w:val="24"/>
                </w:rPr>
                <w:t xml:space="preserve">PROFILAKTINIO VAIKŲ IR PILNAMEČIŲ MOKINIŲ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szCs w:val="24"/>
                    <w:lang w:eastAsia="lt-LT"/>
                  </w:rPr>
                </w:pPr>
                <w:r>
                  <w:rPr>
                    <w:szCs w:val="24"/>
                    <w:lang w:eastAsia="lt-LT"/>
                  </w:rPr>
                  <w:t>Paauglys, pilnametis mokinys</w:t>
                </w:r>
              </w:p>
              <w:p>
                <w:pPr>
                  <w:ind w:firstLine="62"/>
                  <w:rPr>
                    <w:szCs w:val="24"/>
                    <w:lang w:eastAsia="lt-LT"/>
                  </w:rPr>
                </w:pPr>
              </w:p>
              <w:p>
                <w:pPr>
                  <w:rPr>
                    <w:szCs w:val="24"/>
                    <w:lang w:eastAsia="lt-LT"/>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rPr>
                    <w:szCs w:val="24"/>
                    <w:lang w:eastAsia="lt-LT"/>
                  </w:rPr>
                </w:pPr>
              </w:p>
              <w:p>
                <w:pPr>
                  <w:ind w:firstLine="62"/>
                  <w:rPr>
                    <w:szCs w:val="24"/>
                    <w:lang w:eastAsia="lt-LT"/>
                  </w:rPr>
                </w:pPr>
              </w:p>
            </w:tc>
            <w:tc>
              <w:tcPr>
                <w:tcW w:w="4536" w:type="dxa"/>
              </w:tcPr>
              <w:p>
                <w:pPr>
                  <w:rPr>
                    <w:szCs w:val="24"/>
                    <w:lang w:eastAsia="lt-LT"/>
                  </w:rPr>
                </w:pPr>
                <w:r>
                  <w:rPr>
                    <w:szCs w:val="24"/>
                    <w:lang w:eastAsia="lt-LT"/>
                  </w:rPr>
                  <w:t xml:space="preserve">5.1. Kiekvieno apsilankymo metu įvertinti paciento sveikatos būklę, fizinę būklę, lytinį brendimą, augimą, nubrėžiant  asmenines ūgio ir svorio bei  svorio priklausomybės nuo ūgio kitimo kreives pagal lytį; įvertinti </w:t>
                </w:r>
                <w:r>
                  <w:rPr>
                    <w:szCs w:val="24"/>
                    <w:lang w:val="pl-PL" w:eastAsia="lt-LT"/>
                  </w:rPr>
                  <w:t xml:space="preserve">KMI, </w:t>
                </w:r>
                <w:r>
                  <w:rPr>
                    <w:szCs w:val="24"/>
                    <w:lang w:eastAsia="lt-LT"/>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szCs w:val="24"/>
                    <w:lang w:eastAsia="lt-LT"/>
                  </w:rPr>
                </w:pPr>
                <w:r>
                  <w:rPr>
                    <w:szCs w:val="24"/>
                    <w:lang w:eastAsia="lt-LT"/>
                  </w:rPr>
                  <w:t>5.1.1. asmens higienos;</w:t>
                </w:r>
              </w:p>
              <w:p>
                <w:pPr>
                  <w:rPr>
                    <w:szCs w:val="24"/>
                    <w:lang w:eastAsia="lt-LT"/>
                  </w:rPr>
                </w:pPr>
                <w:r>
                  <w:rPr>
                    <w:szCs w:val="24"/>
                    <w:lang w:eastAsia="lt-LT"/>
                  </w:rPr>
                  <w:t>5.1.2. racionalios mitybos;</w:t>
                </w:r>
              </w:p>
              <w:p>
                <w:pPr>
                  <w:rPr>
                    <w:szCs w:val="24"/>
                    <w:lang w:eastAsia="lt-LT"/>
                  </w:rPr>
                </w:pPr>
                <w:r>
                  <w:rPr>
                    <w:szCs w:val="24"/>
                    <w:lang w:eastAsia="lt-LT"/>
                  </w:rPr>
                  <w:t xml:space="preserve">5.1.3. miego ir budrumo režimo; </w:t>
                </w:r>
              </w:p>
              <w:p>
                <w:pPr>
                  <w:rPr>
                    <w:szCs w:val="24"/>
                    <w:lang w:eastAsia="lt-LT"/>
                  </w:rPr>
                </w:pPr>
                <w:r>
                  <w:rPr>
                    <w:szCs w:val="24"/>
                    <w:lang w:eastAsia="lt-LT"/>
                  </w:rPr>
                  <w:t>5.1.4. burnos sveikatos;</w:t>
                </w:r>
              </w:p>
              <w:p>
                <w:pPr>
                  <w:rPr>
                    <w:szCs w:val="24"/>
                    <w:lang w:eastAsia="lt-LT"/>
                  </w:rPr>
                </w:pPr>
                <w:r>
                  <w:rPr>
                    <w:szCs w:val="24"/>
                    <w:lang w:eastAsia="lt-LT"/>
                  </w:rPr>
                  <w:t>5.1.5. fizinio aktyvumo (rekomenduotina ne mažiau kaip 1 val. kasdien) lauke, ir sveiko gyvenimo būdo;</w:t>
                </w:r>
              </w:p>
              <w:p>
                <w:pPr>
                  <w:rPr>
                    <w:szCs w:val="24"/>
                    <w:lang w:eastAsia="lt-LT"/>
                  </w:rPr>
                </w:pPr>
                <w:r>
                  <w:rPr>
                    <w:szCs w:val="24"/>
                    <w:lang w:eastAsia="lt-LT"/>
                  </w:rPr>
                  <w:t>5.1.6. regėjimo sutrikimų, sukeliamų darbo su videoterminalais, profilaktikos, taisyklingos laikysenos sėdint prie kompiuterio, darbo ir poilsio režimo;</w:t>
                </w:r>
              </w:p>
              <w:p>
                <w:pPr>
                  <w:rPr>
                    <w:szCs w:val="24"/>
                    <w:lang w:eastAsia="lt-LT"/>
                  </w:rPr>
                </w:pPr>
                <w:r>
                  <w:rPr>
                    <w:szCs w:val="24"/>
                    <w:lang w:eastAsia="lt-LT"/>
                  </w:rPr>
                  <w:t>5.1.7. traumų, prievartos, uždusimo, paskendimo, apsinuodijimų, nudegimų ir kitų nelaimingų atsitikimų, saugaus elgesio kelyje ir kitoje aplinkoje profilaktiką, imunoprofilaktiką;</w:t>
                </w:r>
              </w:p>
              <w:p>
                <w:pPr>
                  <w:rPr>
                    <w:szCs w:val="24"/>
                    <w:lang w:eastAsia="lt-LT"/>
                  </w:rPr>
                </w:pPr>
                <w:r>
                  <w:rPr>
                    <w:szCs w:val="24"/>
                    <w:lang w:eastAsia="lt-LT"/>
                  </w:rPr>
                  <w:t xml:space="preserve">5.1.8. žalingų sveikatai įpročių (alkoholio, nikotino ir narkotinių medžiagų vartojimo); </w:t>
                </w:r>
              </w:p>
              <w:p>
                <w:pPr>
                  <w:rPr>
                    <w:szCs w:val="24"/>
                    <w:lang w:eastAsia="lt-LT"/>
                  </w:rPr>
                </w:pPr>
                <w:r>
                  <w:rPr>
                    <w:szCs w:val="24"/>
                    <w:lang w:eastAsia="lt-LT"/>
                  </w:rPr>
                  <w:t>5.1.9. atsparumo rizikingai sveikatai elgsenai;</w:t>
                </w:r>
              </w:p>
              <w:p>
                <w:pPr>
                  <w:rPr>
                    <w:szCs w:val="24"/>
                    <w:lang w:eastAsia="lt-LT"/>
                  </w:rPr>
                </w:pPr>
                <w:r>
                  <w:rPr>
                    <w:szCs w:val="24"/>
                    <w:lang w:eastAsia="lt-LT"/>
                  </w:rPr>
                  <w:t>5.1.10. lytinės elgsenos saugumo;</w:t>
                </w:r>
              </w:p>
              <w:p>
                <w:pPr>
                  <w:rPr>
                    <w:szCs w:val="24"/>
                    <w:lang w:eastAsia="lt-LT"/>
                  </w:rPr>
                </w:pPr>
                <w:r>
                  <w:rPr>
                    <w:szCs w:val="24"/>
                    <w:lang w:eastAsia="lt-LT"/>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ind w:firstLine="62"/>
                  <w:rPr>
                    <w:szCs w:val="24"/>
                    <w:lang w:eastAsia="lt-LT"/>
                  </w:rPr>
                </w:pPr>
              </w:p>
            </w:tc>
            <w:tc>
              <w:tcPr>
                <w:tcW w:w="4536" w:type="dxa"/>
              </w:tcPr>
              <w:p>
                <w:pPr>
                  <w:rPr>
                    <w:szCs w:val="24"/>
                    <w:lang w:eastAsia="lt-LT"/>
                  </w:rPr>
                </w:pPr>
                <w:r>
                  <w:rPr>
                    <w:szCs w:val="24"/>
                    <w:lang w:eastAsia="lt-LT"/>
                  </w:rPr>
                  <w:t>5.2. Atlikti ir įvertinti:</w:t>
                </w:r>
              </w:p>
              <w:p>
                <w:pPr>
                  <w:rPr>
                    <w:szCs w:val="24"/>
                    <w:lang w:eastAsia="lt-LT"/>
                  </w:rPr>
                </w:pPr>
                <w:r>
                  <w:rPr>
                    <w:szCs w:val="24"/>
                    <w:lang w:eastAsia="lt-LT"/>
                  </w:rPr>
                  <w:t>5.2.1. bendrą kraujo tyrimą, jei yra šie rizikos veiksniai: neracionali mityba (ypač – vegetarams), gausios menstruacijos, pacientas sportuoja, gyvena blogomis socialinėmis sąlygomis, augimo spurto metu ir jei paauglys netenka kūno masės;</w:t>
                </w:r>
              </w:p>
              <w:p>
                <w:pPr>
                  <w:rPr>
                    <w:szCs w:val="24"/>
                    <w:lang w:eastAsia="lt-LT"/>
                  </w:rPr>
                </w:pPr>
                <w:r>
                  <w:rPr>
                    <w:szCs w:val="24"/>
                    <w:lang w:eastAsia="lt-LT"/>
                  </w:rPr>
                  <w:t>5.2.2. kapiliarinės glikemijos tyrimą, jei yra šie klinikiniai simptomai:</w:t>
                </w:r>
                <w:r>
                  <w:rPr>
                    <w:b/>
                    <w:bCs/>
                    <w:szCs w:val="24"/>
                    <w:lang w:eastAsia="lt-LT"/>
                  </w:rPr>
                  <w:t xml:space="preserve"> </w:t>
                </w:r>
                <w:r>
                  <w:rPr>
                    <w:szCs w:val="24"/>
                    <w:lang w:eastAsia="lt-LT"/>
                  </w:rPr>
                  <w:t>poliurija, polidipsija, svorio kritimas, nuovargis; nuo 10 metų arba prasidėjus lytiniam brendimui, kai KMI viršija 85 procentilę</w:t>
                </w:r>
                <w:r>
                  <w:rPr>
                    <w:b/>
                    <w:bCs/>
                    <w:szCs w:val="24"/>
                    <w:lang w:eastAsia="lt-LT"/>
                  </w:rPr>
                  <w:t xml:space="preserve"> </w:t>
                </w:r>
                <w:r>
                  <w:rPr>
                    <w:szCs w:val="24"/>
                    <w:lang w:eastAsia="lt-LT"/>
                  </w:rPr>
                  <w:t>ir yra rizikos veiksnių, tokių kaip cukrinis diabetas ir (ar) širdies kraujagyslių ligos šeimoje,  atsparumo insulinui požymių (juodoji akantozė, dislipidemija, hipertenzija, policistinių kiaušidžių sindromas);</w:t>
                </w:r>
              </w:p>
              <w:p>
                <w:pPr>
                  <w:rPr>
                    <w:szCs w:val="24"/>
                    <w:lang w:eastAsia="lt-LT"/>
                  </w:rPr>
                </w:pPr>
                <w:r>
                  <w:rPr>
                    <w:szCs w:val="24"/>
                    <w:lang w:eastAsia="lt-LT"/>
                  </w:rPr>
                  <w:t>visiems, kurių KMI viršija 95 procentilę pagal amžių ir lytį;</w:t>
                </w:r>
              </w:p>
              <w:p>
                <w:pPr>
                  <w:rPr>
                    <w:szCs w:val="24"/>
                    <w:lang w:eastAsia="lt-LT"/>
                  </w:rPr>
                </w:pPr>
                <w:r>
                  <w:rPr>
                    <w:szCs w:val="24"/>
                    <w:lang w:eastAsia="lt-LT"/>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arba gydytojas odontologas specialistas</w:t>
                </w:r>
              </w:p>
            </w:tc>
            <w:tc>
              <w:tcPr>
                <w:tcW w:w="4536" w:type="dxa"/>
              </w:tcPr>
              <w:p>
                <w:pPr>
                  <w:rPr>
                    <w:szCs w:val="24"/>
                    <w:lang w:eastAsia="lt-LT"/>
                  </w:rPr>
                </w:pPr>
                <w:r>
                  <w:rPr>
                    <w:szCs w:val="24"/>
                    <w:lang w:eastAsia="lt-LT"/>
                  </w:rPr>
                  <w:t xml:space="preserve">5.3. Atlikti dantų ėduonies diagnostiką, krūminių dantų silantavimą – priklausomai nuo dantų dygimo laiko, jei reikia, pagydyti ar skirti gydymo laiką / siųsti gydyti. </w:t>
                </w:r>
              </w:p>
              <w:p>
                <w:pPr>
                  <w:rPr>
                    <w:szCs w:val="24"/>
                    <w:lang w:eastAsia="lt-LT"/>
                  </w:rPr>
                </w:pPr>
                <w:r>
                  <w:rPr>
                    <w:szCs w:val="24"/>
                    <w:lang w:eastAsia="lt-LT"/>
                  </w:rPr>
                  <w:t xml:space="preserve">5.4. Įvertinti nuolatinių dantų sąkandį, nustatyti, ar nėra sąkandžio anomalijų, jei reikia,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 xml:space="preserve">arba gydytojas odontologas specialistas, </w:t>
                </w:r>
              </w:p>
              <w:p>
                <w:pPr>
                  <w:rPr>
                    <w:szCs w:val="24"/>
                    <w:lang w:eastAsia="lt-LT"/>
                  </w:rPr>
                </w:pPr>
                <w:r>
                  <w:rPr>
                    <w:szCs w:val="24"/>
                    <w:lang w:eastAsia="lt-LT"/>
                  </w:rPr>
                  <w:t xml:space="preserve">arba burnos higienistas </w:t>
                </w:r>
              </w:p>
            </w:tc>
            <w:tc>
              <w:tcPr>
                <w:tcW w:w="4536" w:type="dxa"/>
              </w:tcPr>
              <w:p>
                <w:pPr>
                  <w:rPr>
                    <w:szCs w:val="24"/>
                    <w:lang w:eastAsia="lt-LT"/>
                  </w:rPr>
                </w:pPr>
                <w:r>
                  <w:rPr>
                    <w:szCs w:val="24"/>
                    <w:lang w:eastAsia="lt-LT"/>
                  </w:rPr>
                  <w:t xml:space="preserve">5.5. Atlikti dantų ėduonies profilaktiką. </w:t>
                </w:r>
                <w:r>
                  <w:rPr>
                    <w:sz w:val="10"/>
                    <w:szCs w:val="10"/>
                    <w:lang w:eastAsia="lt-LT"/>
                  </w:rPr>
                  <w:t> </w:t>
                </w:r>
              </w:p>
              <w:p>
                <w:pPr>
                  <w:rPr>
                    <w:szCs w:val="24"/>
                    <w:lang w:eastAsia="lt-LT"/>
                  </w:rPr>
                </w:pPr>
                <w:r>
                  <w:rPr>
                    <w:szCs w:val="24"/>
                    <w:lang w:eastAsia="lt-LT"/>
                  </w:rPr>
                  <w:t>5.6. Įvertinti burnos higienos būklę ir pamokyti burnos higienos ir racionalios mitybos pagrindų, informuoti apie deimantų ant dantų, auskarų liežuvyje žalą.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rPr>
                    <w:szCs w:val="24"/>
                    <w:lang w:eastAsia="lt-LT"/>
                  </w:rPr>
                </w:pPr>
                <w:r>
                  <w:rPr>
                    <w:szCs w:val="24"/>
                    <w:lang w:eastAsia="lt-LT"/>
                  </w:rPr>
                  <w:t xml:space="preserve">5.7. Kiekvieno apsilankymo metu pamatuoti paciento AKS, ūgį bei svorį ir šiuos duomenis įrašyti į asmeninę svorio priklausomybės nuo ūgio kitimo diagramą pagal lytį, apskaičiuoti </w:t>
                </w:r>
                <w:r>
                  <w:rPr>
                    <w:szCs w:val="24"/>
                    <w:lang w:val="pl-PL" w:eastAsia="lt-LT"/>
                  </w:rPr>
                  <w:t>KMI.</w:t>
                </w:r>
              </w:p>
              <w:p>
                <w:pPr>
                  <w:rPr>
                    <w:szCs w:val="24"/>
                    <w:lang w:eastAsia="lt-LT"/>
                  </w:rPr>
                </w:pPr>
                <w:r>
                  <w:rPr>
                    <w:szCs w:val="24"/>
                    <w:lang w:eastAsia="lt-LT"/>
                  </w:rPr>
                  <w:t>5.8. Pagal amžiaus ir lyties ypatumus padėti pacientui susiformuoti racionalios mitybos, fizinio aktyvumo, sveiko gyvenimo būdo nuostatas.</w:t>
                </w:r>
              </w:p>
              <w:p>
                <w:pPr>
                  <w:rPr>
                    <w:szCs w:val="24"/>
                    <w:lang w:eastAsia="lt-LT"/>
                  </w:rPr>
                </w:pPr>
                <w:r>
                  <w:rPr>
                    <w:szCs w:val="24"/>
                    <w:lang w:eastAsia="lt-LT"/>
                  </w:rPr>
                  <w:t>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 pr."/>
        <w:tag w:val="part_7bf9660fd8584eef935ed014ecc3f288"/>
        <w:lock w:val="sdtLocked"/>
        <w:richText/>
      </w:sdtPr>
      <w:sdtContent>
        <w:p>
          <w:pPr>
            <w:ind w:left="11907"/>
            <w:sectPr>
              <w:headerReference w:type="even" r:id="rId104"/>
              <w:headerReference w:type="default" r:id="rId105"/>
              <w:headerReference w:type="first" r:id="rId106"/>
              <w:pgSz w:w="16838" w:h="11906" w:orient="landscape" w:code="9"/>
              <w:pgMar w:top="539" w:right="1440" w:bottom="284" w:left="1134" w:header="284" w:footer="284" w:gutter="0"/>
              <w:pgNumType w:start="1"/>
              <w:cols w:space="708"/>
              <w:titlePg/>
              <w:docGrid w:linePitch="360"/>
            </w:sectPr>
          </w:pPr>
        </w:p>
        <w:p>
          <w:pPr>
            <w:shd w:val="clear" w:color="auto" w:fill="FFFFFF"/>
            <w:tabs>
              <w:tab w:val="left" w:pos="5812"/>
            </w:tabs>
            <w:ind w:left="9639"/>
            <w:rPr>
              <w:bCs/>
              <w:szCs w:val="24"/>
            </w:rPr>
          </w:pPr>
          <w:r>
            <w:rPr>
              <w:szCs w:val="24"/>
            </w:rPr>
            <w:t xml:space="preserve">Vaikų </w:t>
          </w:r>
          <w:r>
            <w:rPr>
              <w:bCs/>
              <w:szCs w:val="24"/>
            </w:rPr>
            <w:t xml:space="preserve">ir pilnamečių mokinių, ugdomų </w:t>
          </w:r>
        </w:p>
        <w:p>
          <w:pPr>
            <w:shd w:val="clear" w:color="auto" w:fill="FFFFFF"/>
            <w:tabs>
              <w:tab w:val="left" w:pos="5812"/>
            </w:tabs>
            <w:ind w:left="9639"/>
            <w:rPr>
              <w:szCs w:val="24"/>
            </w:rPr>
          </w:pPr>
          <w:r>
            <w:rPr>
              <w:bCs/>
              <w:szCs w:val="24"/>
            </w:rPr>
            <w:t>pagal bendrojo ugdymo programas,</w:t>
          </w:r>
          <w:r>
            <w:rPr>
              <w:szCs w:val="24"/>
            </w:rPr>
            <w:t xml:space="preserve"> </w:t>
          </w:r>
        </w:p>
        <w:p>
          <w:pPr>
            <w:ind w:left="9639" w:right="395"/>
            <w:rPr>
              <w:color w:val="000000"/>
              <w:szCs w:val="24"/>
            </w:rPr>
          </w:pPr>
          <w:r>
            <w:rPr>
              <w:szCs w:val="24"/>
            </w:rPr>
            <w:t>tikrinimo tvarkos aprašo</w:t>
          </w:r>
          <w:r>
            <w:rPr>
              <w:color w:val="000000"/>
              <w:szCs w:val="24"/>
            </w:rPr>
            <w:t xml:space="preserve">  </w:t>
          </w:r>
        </w:p>
        <w:p>
          <w:pPr>
            <w:ind w:left="9639"/>
            <w:rPr>
              <w:color w:val="000000"/>
              <w:szCs w:val="24"/>
            </w:rPr>
          </w:pPr>
          <w:sdt>
            <w:sdtPr>
              <w:alias w:val="Numeris"/>
              <w:tag w:val="nr_7bf9660fd8584eef935ed014ecc3f288"/>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7bf9660fd8584eef935ed014ecc3f288"/>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4"/>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6"/>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8"/>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4"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5"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7832cf9f997842f6b87a4c44df0962ea"/>
        <w:lock w:val="sdtLocked"/>
        <w:richText/>
      </w:sdtPr>
      <w:sdtContent>
        <w:p>
          <w:pPr>
            <w:keepLines/>
            <w:widowControl w:val="0"/>
            <w:suppressAutoHyphens/>
            <w:ind w:left="5102"/>
            <w:sectPr>
              <w:headerReference w:type="even" r:id="rId46"/>
              <w:headerReference w:type="default" r:id="rId47"/>
              <w:footerReference w:type="even" r:id="rId48"/>
              <w:footerReference w:type="default" r:id="rId49"/>
              <w:headerReference w:type="first" r:id="rId50"/>
              <w:footerReference w:type="first" r:id="rId51"/>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7832cf9f997842f6b87a4c44df0962ea"/>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7832cf9f997842f6b87a4c44df0962ea"/>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8"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9"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62" w:tgtFrame="_blank" w:history="1">
                    <w:r>
                      <w:rPr>
                        <w:color w:val="0000FF" w:themeColor="hyperlink"/>
                        <w:u w:val="single"/>
                      </w:rPr>
                      <w:t>92-2883</w:t>
                    </w:r>
                  </w:hyperlink>
                  <w:r>
                    <w:t xml:space="preserve">; 2007, Nr. </w:t>
                  </w:r>
                  <w:hyperlink r:id="rId63"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4"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7de7cb5508eb4487b95e24594c81804a"/>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2019-04-17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5" w:tgtFrame="_blank" w:history="1">
                    <w:r>
                      <w:rPr>
                        <w:color w:val="0000FF" w:themeColor="hyperlink"/>
                        <w:u w:val="single"/>
                      </w:rPr>
                      <w:t>13-308</w:t>
                    </w:r>
                  </w:hyperlink>
                  <w:r>
                    <w:t xml:space="preserve">; 2000, Nr. </w:t>
                  </w:r>
                  <w:hyperlink r:id="rId66"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da39e86e0365404c80191091e05e5124"/>
        <w:lock w:val="sdtLocked"/>
        <w:richText/>
      </w:sdtPr>
      <w:sdtContent>
        <w:p>
          <w:pPr>
            <w:tabs>
              <w:tab w:val="left" w:pos="8789"/>
            </w:tabs>
            <w:spacing w:line="276" w:lineRule="auto"/>
            <w:ind w:left="4895"/>
            <w:jc w:val="right"/>
            <w:sectPr>
              <w:pgSz w:w="11907" w:h="16840" w:code="9"/>
              <w:pgMar w:top="1134" w:right="1134" w:bottom="1134" w:left="1079" w:header="567" w:footer="567" w:gutter="0"/>
              <w:pgNumType w:start="1"/>
              <w:cols w:space="1296"/>
              <w:titlePg/>
              <w:docGrid w:linePitch="360"/>
            </w:sectPr>
          </w:pPr>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ddcc24f42f904bf2be6b0a71cb6b7ac0"/>
        <w:lock w:val="sdtLocked"/>
        <w:richText/>
      </w:sdtPr>
      <w:sdtContent>
        <w:p>
          <w:pPr>
            <w:jc w:val="right"/>
            <w:sectPr>
              <w:pgSz w:w="11907" w:h="16840" w:code="9"/>
              <w:pgMar w:top="1134" w:right="1134" w:bottom="1134" w:left="1079" w:header="567" w:footer="567" w:gutter="0"/>
              <w:pgNumType w:start="1"/>
              <w:cols w:space="1296"/>
              <w:titlePg/>
              <w:docGrid w:linePitch="360"/>
            </w:sectPr>
          </w:pPr>
        </w:p>
        <w:p>
          <w:pPr>
            <w:jc w:val="right"/>
          </w:pPr>
          <w:sdt>
            <w:sdtPr>
              <w:alias w:val="Numeris"/>
              <w:tag w:val="nr_ddcc24f42f904bf2be6b0a71cb6b7ac0"/>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ddcc24f42f904bf2be6b0a71cb6b7ac0"/>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e950408d9c76469d9e0c98fd7189996e"/>
        <w:lock w:val="sdtLocked"/>
        <w:richText/>
      </w:sdtPr>
      <w:sdtContent>
        <w:p>
          <w:pPr>
            <w:jc w:val="right"/>
            <w:sectPr>
              <w:pgSz w:w="16840" w:h="11907" w:orient="landscape" w:code="9"/>
              <w:pgMar w:top="1079" w:right="1134" w:bottom="1134" w:left="1134" w:header="567" w:footer="567" w:gutter="0"/>
              <w:pgNumType w:start="1"/>
              <w:cols w:space="1296"/>
              <w:titlePg/>
              <w:docGrid w:linePitch="360"/>
            </w:sectPr>
          </w:pPr>
        </w:p>
        <w:p>
          <w:pPr>
            <w:jc w:val="right"/>
          </w:pPr>
          <w:sdt>
            <w:sdtPr>
              <w:alias w:val="Numeris"/>
              <w:tag w:val="nr_e950408d9c76469d9e0c98fd7189996e"/>
              <w:lock w:val="sdtLocked"/>
              <w:richText/>
            </w:sdtPr>
            <w:sdtContent>
              <w:r>
                <w:t>3</w:t>
              </w:r>
            </w:sdtContent>
          </w:sdt>
          <w:r>
            <w:t xml:space="preserve"> lentelė</w:t>
          </w:r>
        </w:p>
        <w:p>
          <w:pPr>
            <w:jc w:val="both"/>
            <w:rPr>
              <w:bCs/>
            </w:rPr>
          </w:pPr>
        </w:p>
        <w:p>
          <w:pPr>
            <w:jc w:val="center"/>
            <w:rPr>
              <w:b/>
              <w:bCs/>
            </w:rPr>
          </w:pPr>
          <w:sdt>
            <w:sdtPr>
              <w:alias w:val="Pavadinimas"/>
              <w:tag w:val="title_e950408d9c76469d9e0c98fd7189996e"/>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91"/>
            <w:gridCol w:w="9109"/>
            <w:gridCol w:w="2370"/>
            <w:gridCol w:w="2370"/>
          </w:tblGrid>
          <w:tr>
            <w:trPr>
              <w:trHeight w:val="23"/>
              <w:tblHeader/>
            </w:trPr>
            <w:tc>
              <w:tcPr>
                <w:tcW w:w="891"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09"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trHeight w:val="23"/>
              <w:tblHeader/>
            </w:trPr>
            <w:tc>
              <w:tcPr>
                <w:tcW w:w="891" w:type="dxa"/>
                <w:vMerge/>
                <w:tcBorders>
                  <w:left w:val="single" w:sz="6" w:space="0" w:color="auto"/>
                  <w:bottom w:val="single" w:sz="6" w:space="0" w:color="auto"/>
                  <w:right w:val="single" w:sz="6" w:space="0" w:color="auto"/>
                </w:tcBorders>
              </w:tcPr>
              <w:p>
                <w:pPr>
                  <w:jc w:val="center"/>
                  <w:rPr>
                    <w:sz w:val="22"/>
                  </w:rPr>
                </w:pPr>
              </w:p>
            </w:tc>
            <w:tc>
              <w:tcPr>
                <w:tcW w:w="9109"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trHeight w:val="23"/>
              <w:tblHeader/>
            </w:trPr>
            <w:tc>
              <w:tcPr>
                <w:tcW w:w="8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0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ASMENYS, TURINTYS JUDĖJIMO SUTRIKIMŲ</w:t>
                </w:r>
              </w:p>
              <w:p>
                <w:pPr>
                  <w:jc w:val="both"/>
                  <w:rPr>
                    <w:bCs/>
                    <w:sz w:val="22"/>
                    <w:szCs w:val="22"/>
                  </w:rPr>
                </w:pPr>
                <w:r>
                  <w:rPr>
                    <w:bCs/>
                    <w:sz w:val="22"/>
                    <w:szCs w:val="22"/>
                  </w:rPr>
                  <w:t>Vairuotojo pažymėjimai neišduodami kandidatams į vairuotojus ir neatnaujinami vairuotojams, kuriems nustatyti judėjimo sistemos sutrikimai, keliantys pavojų saugiam variklio varomos priemonės vairavimui.</w:t>
                </w:r>
              </w:p>
              <w:p>
                <w:pPr>
                  <w:jc w:val="both"/>
                  <w:rPr>
                    <w:bCs/>
                    <w:sz w:val="22"/>
                    <w:szCs w:val="22"/>
                  </w:rPr>
                </w:pPr>
                <w:r>
                  <w:rPr>
                    <w:bCs/>
                    <w:sz w:val="22"/>
                    <w:szCs w:val="22"/>
                  </w:rPr>
                  <w:t>1 grupė:</w:t>
                </w:r>
              </w:p>
              <w:p>
                <w:pPr>
                  <w:jc w:val="both"/>
                  <w:rPr>
                    <w:bCs/>
                    <w:sz w:val="22"/>
                    <w:szCs w:val="22"/>
                  </w:rPr>
                </w:pPr>
                <w:r>
                  <w:rPr>
                    <w:bCs/>
                    <w:sz w:val="22"/>
                    <w:szCs w:val="22"/>
                  </w:rPr>
                  <w:t xml:space="preserve">1. Vairuotojo pažymėjimai, kuriems taikomi tam tikri apribojimai, fiziškai neįgaliems kandidatams į vairuotojus ir vairuotojams išduodami atsižvelgiant į vairuotojų sveikatos tikrinimo arba asmens sveikatos priežiūros įstaigos gydytojų konsultacinės komisijos (toliau kartu – gydytojų komisija) išvadą. </w:t>
                </w:r>
              </w:p>
              <w:p>
                <w:pPr>
                  <w:jc w:val="both"/>
                  <w:rPr>
                    <w:bCs/>
                    <w:sz w:val="22"/>
                    <w:szCs w:val="22"/>
                  </w:rPr>
                </w:pPr>
                <w:r>
                  <w:rPr>
                    <w:bCs/>
                    <w:sz w:val="22"/>
                    <w:szCs w:val="22"/>
                  </w:rPr>
                  <w:t>Ši išvada turi remtis atitinkamo sutrikimo medicininiu įvertinimu ir, jei būtina, vairavimo gebėjimų ir elgsenos praktiniu patikrinimu. Išvadoje turi būti nurodyta, koks transporto priemonės pritaikymas reikalingas ir ar vairuotojui reikalinga ortopedijos techninė priemonė, kuria naudojantis, atsižvelgiant į vairavimo gebėjimų ir elgsenos patikrinimo rezultatus, vairavimas nekeltų pavojaus.</w:t>
                </w:r>
              </w:p>
              <w:p>
                <w:pPr>
                  <w:jc w:val="both"/>
                  <w:rPr>
                    <w:bCs/>
                    <w:sz w:val="22"/>
                    <w:szCs w:val="22"/>
                  </w:rPr>
                </w:pPr>
                <w:r>
                  <w:rPr>
                    <w:bCs/>
                    <w:sz w:val="22"/>
                    <w:szCs w:val="22"/>
                  </w:rPr>
                  <w:t>Gydytojų komisija gali iš karto priimti individualų sprendimą dėl asmenų, turinčių judėjimo sutrikimų, galimybės vairuoti, kai asmeniui saugiai vairuoti pakanka tik transporto priemonės su automatine pavarų dėže arba transporto priemonės su rankinio valdymo sistema.</w:t>
                </w:r>
              </w:p>
              <w:p>
                <w:pPr>
                  <w:jc w:val="both"/>
                  <w:rPr>
                    <w:bCs/>
                    <w:sz w:val="22"/>
                    <w:szCs w:val="22"/>
                  </w:rPr>
                </w:pPr>
                <w:r>
                  <w:rPr>
                    <w:bCs/>
                    <w:sz w:val="22"/>
                    <w:szCs w:val="22"/>
                  </w:rPr>
                  <w:t>Jeigu asmuo, turintis judėjimo sutrikimų, gali vairuoti tik transporto priemonę su automatine pavarų dėže, išvadoje įrašomas transporto priemonės pritaikymo kodas 10.02 (automatinis pavaros perdavimo skaičiaus parinkimas).</w:t>
                </w:r>
              </w:p>
              <w:p>
                <w:pPr>
                  <w:jc w:val="both"/>
                  <w:rPr>
                    <w:bCs/>
                    <w:sz w:val="22"/>
                    <w:szCs w:val="22"/>
                  </w:rPr>
                </w:pPr>
                <w:r>
                  <w:rPr>
                    <w:bCs/>
                    <w:sz w:val="22"/>
                    <w:szCs w:val="22"/>
                  </w:rPr>
                  <w:t>Jeigu asmuo, turintis judėjimo sutrikimų, gali vairuoti tik transporto priemonę su rankinio valdymo sistema, priklausomai nuo to, ar asmuo planuoja vairuoti automobilį su automatine ar mechanine pavarų dėžę, išvadoje įrašomi 3 transporto priemonės pritaikymo kodai:</w:t>
                </w:r>
              </w:p>
              <w:p>
                <w:pPr>
                  <w:jc w:val="both"/>
                  <w:rPr>
                    <w:bCs/>
                    <w:sz w:val="22"/>
                    <w:szCs w:val="22"/>
                  </w:rPr>
                </w:pPr>
                <w:r>
                  <w:rPr>
                    <w:bCs/>
                    <w:sz w:val="22"/>
                    <w:szCs w:val="22"/>
                  </w:rPr>
                  <w:t>a) 20.06 (ranka valdomas stabdys), 25.04 (ranka valdomas akseleratorius) ir 10.02 (automatinis pavaros perdavimo skaičiaus parinkimas) – transporto priemonei su automatine pavarų dėže;</w:t>
                </w:r>
              </w:p>
              <w:p>
                <w:pPr>
                  <w:jc w:val="both"/>
                  <w:rPr>
                    <w:bCs/>
                    <w:sz w:val="22"/>
                    <w:szCs w:val="22"/>
                  </w:rPr>
                </w:pPr>
                <w:r>
                  <w:rPr>
                    <w:bCs/>
                    <w:sz w:val="22"/>
                    <w:szCs w:val="22"/>
                  </w:rPr>
                  <w:t>b) 20.06 (ranka valdomas stabdys), 25.04 (ranka valdomas akseleratorius) ir 15.02 (ranka valdoma sankaba) – transporto priemonei su mechanine pavarų dėže (šią kodų kombinaciją rekomenduojama naudoti, kai asmens sveikata tikrinama ne pirmą kartą ir jis jau vairuoja automobilį su mechanine pavarų dėže).</w:t>
                </w:r>
              </w:p>
              <w:p>
                <w:pPr>
                  <w:jc w:val="both"/>
                  <w:rPr>
                    <w:bCs/>
                    <w:sz w:val="22"/>
                    <w:szCs w:val="22"/>
                  </w:rPr>
                </w:pPr>
                <w:r>
                  <w:rPr>
                    <w:bCs/>
                    <w:sz w:val="22"/>
                    <w:szCs w:val="22"/>
                  </w:rPr>
                  <w:t>Jeigu gydytojų komisija nusprendžia, kad išvadai dėl tikrinamo asmens sveikatos būklės tinkamumo vairuoti priimti nepakanka turimos informacijos, tikrinamas asmuo siunčiamas praktiškai patikrinti vairavimo gebėjimų į įstaigą, turinčią įrangą, leidžiančią įvertinti specifinius vairavimo gebėjimus (vairo pasukimo jėgą, ištvermę, rankinio akseleratoriaus stūmimo, traukimo jėgą, reakcijos greitį, pedalo paspaudimo jėgą ir kt.) ir galinčią pateikti rekomendacijas dėl asmens gebėjimo saugiai vairuoti ir tam būtino transporto priemonės pritaikymo (nurodant transporto priemonės pritaikymo kodus) ir (ar) ortopedijos techninės priemonės reikalingumo.</w:t>
                </w:r>
              </w:p>
              <w:p>
                <w:pPr>
                  <w:jc w:val="both"/>
                  <w:rPr>
                    <w:bCs/>
                    <w:sz w:val="22"/>
                    <w:szCs w:val="22"/>
                  </w:rPr>
                </w:pPr>
                <w:r>
                  <w:rPr>
                    <w:bCs/>
                    <w:sz w:val="22"/>
                    <w:szCs w:val="22"/>
                  </w:rPr>
                  <w:t>2 grupė:</w:t>
                </w:r>
              </w:p>
              <w:p>
                <w:pPr>
                  <w:jc w:val="both"/>
                  <w:rPr>
                    <w:bCs/>
                    <w:sz w:val="22"/>
                    <w:szCs w:val="22"/>
                  </w:rPr>
                </w:pPr>
                <w:r>
                  <w:rPr>
                    <w:bCs/>
                    <w:sz w:val="22"/>
                    <w:szCs w:val="22"/>
                  </w:rPr>
                  <w:t>2. Gydytojų komisija įvertina papildomą riziką ir pavojus, kurie kyla vairuojant prie šios grupės priskiriamas transporto priemones.</w:t>
                </w:r>
              </w:p>
              <w:p>
                <w:pPr>
                  <w:jc w:val="both"/>
                  <w:rPr>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Rankos, kojos, plaštakos, pėdos ar abiejų plaštakų, pėdų trūkumas, žymios deformacijos, dėl kurių yra sutrikusi lokomotorinė funkcija: Z89.1, Z 89.2, Z 89.3, Z 89.4, Z 89.5, Z 89.6, Z 89.7, Z 89.8, Z 89.9 </w:t>
                </w:r>
              </w:p>
              <w:p>
                <w:pPr>
                  <w:jc w:val="both"/>
                  <w:rPr>
                    <w:bCs/>
                    <w:sz w:val="22"/>
                    <w:szCs w:val="22"/>
                  </w:rPr>
                </w:pPr>
                <w:r>
                  <w:rPr>
                    <w:bCs/>
                    <w:sz w:val="22"/>
                    <w:szCs w:val="22"/>
                  </w:rPr>
                  <w:t xml:space="preserve">PASTABA: </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reikiamą apribojimą</w:t>
                </w:r>
              </w:p>
              <w:p>
                <w:pPr>
                  <w:jc w:val="center"/>
                  <w:rPr>
                    <w:sz w:val="22"/>
                    <w:szCs w:val="22"/>
                  </w:rPr>
                </w:pPr>
                <w:r>
                  <w:rPr>
                    <w:sz w:val="22"/>
                    <w:szCs w:val="22"/>
                  </w:rPr>
                  <w:t>03.01, 03.02</w:t>
                </w:r>
              </w:p>
              <w:p>
                <w:pPr>
                  <w:jc w:val="center"/>
                  <w:rPr>
                    <w:sz w:val="22"/>
                    <w:szCs w:val="22"/>
                  </w:rPr>
                </w:pPr>
                <w:r>
                  <w:rPr>
                    <w:sz w:val="22"/>
                    <w:szCs w:val="22"/>
                  </w:rPr>
                  <w:t>bei nurodant reikalingą transporto priemonės pritaikymo kodą (nuo 10 iki 50), nurodytą 5 lentelėje</w:t>
                </w:r>
              </w:p>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jc w:val="both"/>
                  <w:rPr>
                    <w:b/>
                    <w:bCs/>
                    <w:sz w:val="22"/>
                    <w:szCs w:val="22"/>
                  </w:rPr>
                </w:pPr>
                <w:r>
                  <w:rPr>
                    <w:b/>
                    <w:bCs/>
                    <w:sz w:val="22"/>
                    <w:szCs w:val="22"/>
                  </w:rPr>
                  <w:t>PASTABA:</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 Apie galimybę vairuoti rankinio valdymo ar su automatine pavarų dėže automobilį sprendžiama individualiai.</w:t>
                </w:r>
              </w:p>
              <w:p>
                <w:pPr>
                  <w:jc w:val="both"/>
                  <w:rPr>
                    <w:b/>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apribojimą 03.01</w:t>
                </w:r>
              </w:p>
              <w:p>
                <w:pPr>
                  <w:jc w:val="center"/>
                  <w:rPr>
                    <w:sz w:val="22"/>
                    <w:szCs w:val="22"/>
                  </w:rPr>
                </w:pPr>
                <w:r>
                  <w:rPr>
                    <w:sz w:val="22"/>
                    <w:szCs w:val="22"/>
                  </w:rPr>
                  <w:t>bei nurodant reikalingą transporto priemonės pritaikymo kodą (nuo 10 iki 50), nurodytą 5 lentelėje</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09"/>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09"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09"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09"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414"/>
            </w:trPr>
            <w:tc>
              <w:tcPr>
                <w:tcW w:w="891" w:type="dxa"/>
                <w:tcBorders>
                  <w:top w:val="single" w:sz="6" w:space="0" w:color="auto"/>
                  <w:left w:val="single" w:sz="6" w:space="0" w:color="auto"/>
                  <w:right w:val="single" w:sz="6" w:space="0" w:color="auto"/>
                </w:tcBorders>
              </w:tcPr>
              <w:p>
                <w:pPr>
                  <w:rPr>
                    <w:sz w:val="22"/>
                  </w:rPr>
                </w:pPr>
                <w:r>
                  <w:rPr>
                    <w:sz w:val="22"/>
                  </w:rPr>
                  <w:t>10.</w:t>
                </w:r>
              </w:p>
            </w:tc>
            <w:tc>
              <w:tcPr>
                <w:tcW w:w="9109"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2a5cc77725464ab3061b5460210de5"/>
            <w:lock w:val="sdtLocked"/>
            <w:richText/>
          </w:sdtPr>
          <w:sdtContent>
            <w:p>
              <w:pPr>
                <w:jc w:val="both"/>
                <w:rPr>
                  <w:sz w:val="22"/>
                </w:rPr>
              </w:pPr>
              <w:r>
                <w:rPr>
                  <w:sz w:val="22"/>
                </w:rPr>
                <w:t>Pastabos:</w:t>
              </w:r>
            </w:p>
          </w:sdtContent>
        </w:sdt>
        <w:sdt>
          <w:sdtPr>
            <w:alias w:val="1 p."/>
            <w:tag w:val="part_91f7c691844a4270896e1adf8e1ddf81"/>
            <w:lock w:val="sdtLocked"/>
            <w:richText/>
          </w:sdtPr>
          <w:sdtContent>
            <w:p>
              <w:pPr>
                <w:jc w:val="both"/>
                <w:rPr>
                  <w:sz w:val="22"/>
                </w:rPr>
              </w:pPr>
              <w:sdt>
                <w:sdtPr>
                  <w:alias w:val="Numeris"/>
                  <w:tag w:val="nr_91f7c691844a4270896e1adf8e1ddf81"/>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5dab9f62a8746c5b88ee15bc28813f8"/>
            <w:lock w:val="sdtLocked"/>
            <w:richText/>
          </w:sdtPr>
          <w:sdtContent>
            <w:p>
              <w:pPr>
                <w:jc w:val="both"/>
                <w:rPr>
                  <w:sz w:val="22"/>
                </w:rPr>
              </w:pPr>
              <w:sdt>
                <w:sdtPr>
                  <w:alias w:val="Numeris"/>
                  <w:tag w:val="nr_95dab9f62a8746c5b88ee15bc28813f8"/>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91c0a009624d44db9eaeb52843343851"/>
            <w:lock w:val="sdtLocked"/>
            <w:richText/>
          </w:sdtPr>
          <w:sdtContent>
            <w:p>
              <w:pPr>
                <w:jc w:val="both"/>
              </w:pPr>
              <w:sdt>
                <w:sdtPr>
                  <w:alias w:val="Numeris"/>
                  <w:tag w:val="nr_91c0a009624d44db9eaeb52843343851"/>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f99f630dd4494ea8a0278039b27fdecd"/>
        <w:lock w:val="sdtLocked"/>
        <w:richText/>
      </w:sdtPr>
      <w:sdtContent>
        <w:p>
          <w:pPr>
            <w:suppressAutoHyphens/>
            <w:ind w:left="1134"/>
            <w:jc w:val="right"/>
            <w:textAlignment w:val="center"/>
            <w:sectPr>
              <w:pgSz w:w="11906" w:h="16838"/>
              <w:pgMar w:top="1134" w:right="1134" w:bottom="1134" w:left="1701" w:header="567" w:footer="567" w:gutter="0"/>
              <w:pgNumType w:start="1"/>
              <w:cols w:space="1296"/>
              <w:noEndnote/>
              <w:titlePg/>
              <w:docGrid w:linePitch="326"/>
            </w:sectPr>
          </w:pPr>
        </w:p>
        <w:p>
          <w:pPr>
            <w:suppressAutoHyphens/>
            <w:ind w:left="1134"/>
            <w:jc w:val="right"/>
            <w:textAlignment w:val="center"/>
            <w:rPr>
              <w:bCs/>
              <w:szCs w:val="24"/>
              <w:lang w:eastAsia="lt-LT"/>
            </w:rPr>
          </w:pPr>
          <w:sdt>
            <w:sdtPr>
              <w:alias w:val="Numeris"/>
              <w:tag w:val="nr_f99f630dd4494ea8a0278039b27fdecd"/>
              <w:lock w:val="sdtLocked"/>
              <w:richText/>
            </w:sdtPr>
            <w:sdtContent>
              <w:r>
                <w:rPr>
                  <w:bCs/>
                  <w:szCs w:val="24"/>
                  <w:lang w:eastAsia="lt-LT"/>
                </w:rPr>
                <w:t>5</w:t>
              </w:r>
            </w:sdtContent>
          </w:sdt>
          <w:r>
            <w:rPr>
              <w:bCs/>
              <w:szCs w:val="24"/>
              <w:lang w:eastAsia="lt-LT"/>
            </w:rPr>
            <w:t xml:space="preserve"> lentelė</w:t>
          </w:r>
        </w:p>
        <w:p>
          <w:pPr>
            <w:suppressAutoHyphens/>
            <w:ind w:left="1134"/>
            <w:jc w:val="center"/>
            <w:textAlignment w:val="center"/>
            <w:rPr>
              <w:b/>
              <w:bCs/>
              <w:szCs w:val="24"/>
              <w:lang w:eastAsia="lt-LT"/>
            </w:rPr>
          </w:pPr>
          <w:sdt>
            <w:sdtPr>
              <w:alias w:val="Pavadinimas"/>
              <w:tag w:val="title_f99f630dd4494ea8a0278039b27fdecd"/>
              <w:lock w:val="sdtLocked"/>
              <w:richText/>
            </w:sdtPr>
            <w:sdtContent>
              <w:r>
                <w:rPr>
                  <w:b/>
                  <w:bCs/>
                  <w:szCs w:val="24"/>
                  <w:lang w:eastAsia="lt-LT"/>
                </w:rPr>
                <w:t>VAIRUOTOJUI TAIKOMŲ APRIBOJIMŲ KODAI</w:t>
              </w:r>
            </w:sdtContent>
          </w:sdt>
        </w:p>
        <w:p>
          <w:pPr>
            <w:suppressAutoHyphens/>
            <w:jc w:val="center"/>
            <w:textAlignment w:val="center"/>
            <w:rPr>
              <w:szCs w:val="24"/>
              <w:lang w:eastAsia="lt-LT"/>
            </w:rPr>
          </w:pPr>
        </w:p>
        <w:tbl>
          <w:tblPr>
            <w:tblW w:w="9356" w:type="dxa"/>
            <w:tblInd w:w="40" w:type="dxa"/>
            <w:tblLayout w:type="fixed"/>
            <w:tblCellMar>
              <w:left w:w="0" w:type="dxa"/>
              <w:right w:w="0" w:type="dxa"/>
            </w:tblCellMar>
            <w:tblLook w:val="04A0" w:firstRow="1" w:lastRow="0" w:firstColumn="1" w:lastColumn="0" w:noHBand="0" w:noVBand="1"/>
          </w:tblPr>
          <w:tblGrid>
            <w:gridCol w:w="1703"/>
            <w:gridCol w:w="7653"/>
          </w:tblGrid>
          <w:tr>
            <w:trPr>
              <w:trHeight w:val="23"/>
            </w:trPr>
            <w:tc>
              <w:tcPr>
                <w:tcW w:w="9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pPr>
                  <w:ind w:firstLine="62"/>
                  <w:jc w:val="both"/>
                  <w:rPr>
                    <w:b/>
                    <w:szCs w:val="24"/>
                    <w:lang w:eastAsia="lt-LT"/>
                  </w:rPr>
                </w:pPr>
                <w:r>
                  <w:rPr>
                    <w:b/>
                    <w:bCs/>
                    <w:szCs w:val="24"/>
                    <w:lang w:eastAsia="lt-LT"/>
                  </w:rPr>
                  <w:t>Kodas</w:t>
                </w:r>
              </w:p>
            </w:tc>
            <w:tc>
              <w:tcPr>
                <w:tcW w:w="409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Vairuotojui taikomas apribojimas</w:t>
                </w:r>
                <w:r>
                  <w:rPr>
                    <w:b/>
                    <w:bCs/>
                    <w:szCs w:val="24"/>
                    <w:vertAlign w:val="superscript"/>
                    <w:lang w:eastAsia="lt-LT"/>
                  </w:rPr>
                  <w:t>*</w:t>
                </w:r>
                <w:r>
                  <w:rPr>
                    <w:b/>
                    <w:bCs/>
                    <w:szCs w:val="24"/>
                    <w:lang w:eastAsia="lt-LT"/>
                  </w:rPr>
                  <w:t xml:space="preserve"> </w:t>
                </w:r>
              </w:p>
              <w:p>
                <w:pPr>
                  <w:jc w:val="center"/>
                  <w:rPr>
                    <w:b/>
                    <w:szCs w:val="24"/>
                    <w:lang w:eastAsia="lt-LT"/>
                  </w:rPr>
                </w:pP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szCs w:val="24"/>
                    <w:lang w:eastAsia="lt-LT"/>
                  </w:rPr>
                </w:pPr>
                <w:r>
                  <w:rPr>
                    <w:b/>
                    <w:bCs/>
                    <w:szCs w:val="24"/>
                    <w:lang w:eastAsia="lt-LT"/>
                  </w:rPr>
                  <w:t>Dėl medicininių priežasčių</w:t>
                </w:r>
              </w:p>
              <w:p>
                <w:pPr>
                  <w:jc w:val="center"/>
                  <w:rPr>
                    <w:szCs w:val="24"/>
                    <w:lang w:eastAsia="lt-LT"/>
                  </w:rPr>
                </w:pPr>
                <w:r>
                  <w:rPr>
                    <w:szCs w:val="24"/>
                    <w:lang w:eastAsia="lt-LT"/>
                  </w:rPr>
                  <w:t>(Išvadą pateikia sveikatos priežiūros įstaiga)</w:t>
                </w:r>
              </w:p>
              <w:p>
                <w:pPr>
                  <w:jc w:val="center"/>
                  <w:rPr>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Regos korekcija ir (arba) apsauga</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Kontaktinis (-iai) lęšis (-iai)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01.05</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Akies raištis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01.06</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 arba kontaktiniai lęšiai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01.07</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Speciali optinė pagalbinė priemonė</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Klausos ir susikalbėjimo pagalbinė priemonė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Galūnių protezai arba korekcijos įtaisai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Viršutinės galūnės protezas arba korekcijos įtaisas (papildomai nurodomos reikiamos raidės a, b, c, f, g)</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Apatinės galūnės protezas arba korekcijos įtaisas (papildomai nurodomos reikiamos raidės a, b, d)</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pritaikymas</w:t>
                </w:r>
              </w:p>
              <w:p>
                <w:pPr>
                  <w:jc w:val="center"/>
                  <w:rPr>
                    <w:b/>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Nuo 10 iki 50</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 xml:space="preserve">Transporto priemonės pritaikymas – išvadą pateikia gydytojų komisija, atsižvelgdama į  asmens sveikatos priežiūros įstaigos, kurioje buvo atliekamas praktinis vairavimo gebėjimų patikrinimas, rekomendacijas (jei toks patikrinimas buvo atliekamas)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naudojimo ribojimo kodai</w:t>
                </w:r>
              </w:p>
              <w:p>
                <w:pPr>
                  <w:jc w:val="center"/>
                  <w:rPr>
                    <w:b/>
                    <w:szCs w:val="24"/>
                    <w:lang w:eastAsia="lt-LT"/>
                  </w:rPr>
                </w:pPr>
              </w:p>
            </w:tc>
          </w:tr>
          <w:tr>
            <w:trPr>
              <w:trHeight w:val="23"/>
            </w:trPr>
            <w:tc>
              <w:tcPr>
                <w:tcW w:w="910"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68</w:t>
                </w:r>
              </w:p>
            </w:tc>
            <w:tc>
              <w:tcPr>
                <w:tcW w:w="4090" w:type="pct"/>
                <w:tcBorders>
                  <w:top w:val="nil"/>
                  <w:left w:val="nil"/>
                  <w:bottom w:val="single" w:sz="4" w:space="0" w:color="auto"/>
                  <w:right w:val="single" w:sz="8" w:space="0" w:color="auto"/>
                </w:tcBorders>
                <w:tcMar>
                  <w:top w:w="0" w:type="dxa"/>
                  <w:left w:w="40" w:type="dxa"/>
                  <w:bottom w:w="0" w:type="dxa"/>
                  <w:right w:w="40" w:type="dxa"/>
                </w:tcMar>
                <w:hideMark/>
              </w:tcPr>
              <w:p>
                <w:pPr>
                  <w:jc w:val="both"/>
                  <w:rPr>
                    <w:szCs w:val="24"/>
                    <w:lang w:eastAsia="lt-LT"/>
                  </w:rPr>
                </w:pPr>
                <w:r>
                  <w:rPr>
                    <w:szCs w:val="24"/>
                    <w:lang w:eastAsia="lt-LT"/>
                  </w:rPr>
                  <w:t>Draudžiama vairuoti išgėrus alkoholio</w:t>
                </w:r>
              </w:p>
            </w:tc>
          </w:tr>
        </w:tbl>
        <w:p>
          <w:pPr>
            <w:ind w:firstLine="1296"/>
            <w:rPr>
              <w:szCs w:val="24"/>
              <w:lang w:eastAsia="lt-LT"/>
            </w:rPr>
          </w:pPr>
        </w:p>
        <w:p>
          <w:pPr>
            <w:suppressAutoHyphens/>
            <w:ind w:left="1134"/>
            <w:textAlignment w:val="center"/>
            <w:rPr>
              <w:szCs w:val="24"/>
              <w:lang w:eastAsia="lt-LT"/>
            </w:rPr>
          </w:pPr>
          <w:r>
            <w:rPr>
              <w:szCs w:val="24"/>
              <w:vertAlign w:val="superscript"/>
              <w:lang w:eastAsia="lt-LT"/>
            </w:rPr>
            <w:t>*</w:t>
          </w:r>
          <w:r>
            <w:rPr>
              <w:szCs w:val="24"/>
              <w:lang w:eastAsia="lt-LT"/>
            </w:rPr>
            <w:t>Lentelėje naudojamų raidžių reikšmės:</w:t>
          </w:r>
        </w:p>
        <w:p>
          <w:pPr>
            <w:suppressAutoHyphens/>
            <w:ind w:left="1134"/>
            <w:textAlignment w:val="center"/>
            <w:rPr>
              <w:szCs w:val="24"/>
              <w:lang w:eastAsia="lt-LT"/>
            </w:rPr>
          </w:pPr>
          <w:r>
            <w:rPr>
              <w:szCs w:val="24"/>
              <w:lang w:eastAsia="lt-LT"/>
            </w:rPr>
            <w:t>a – kairė</w:t>
          </w:r>
        </w:p>
        <w:p>
          <w:pPr>
            <w:suppressAutoHyphens/>
            <w:ind w:left="1134"/>
            <w:textAlignment w:val="center"/>
            <w:rPr>
              <w:szCs w:val="24"/>
              <w:lang w:eastAsia="lt-LT"/>
            </w:rPr>
          </w:pPr>
          <w:r>
            <w:rPr>
              <w:szCs w:val="24"/>
              <w:lang w:eastAsia="lt-LT"/>
            </w:rPr>
            <w:t>b – dešinė</w:t>
          </w:r>
        </w:p>
        <w:p>
          <w:pPr>
            <w:suppressAutoHyphens/>
            <w:ind w:left="1134"/>
            <w:textAlignment w:val="center"/>
            <w:rPr>
              <w:szCs w:val="24"/>
              <w:lang w:eastAsia="lt-LT"/>
            </w:rPr>
          </w:pPr>
          <w:r>
            <w:rPr>
              <w:szCs w:val="24"/>
              <w:lang w:eastAsia="lt-LT"/>
            </w:rPr>
            <w:t>c – plaštaka</w:t>
          </w:r>
        </w:p>
        <w:p>
          <w:pPr>
            <w:suppressAutoHyphens/>
            <w:ind w:left="1134"/>
            <w:textAlignment w:val="center"/>
            <w:rPr>
              <w:szCs w:val="24"/>
              <w:lang w:eastAsia="lt-LT"/>
            </w:rPr>
          </w:pPr>
          <w:r>
            <w:rPr>
              <w:szCs w:val="24"/>
              <w:lang w:eastAsia="lt-LT"/>
            </w:rPr>
            <w:t>d – pėda</w:t>
          </w:r>
        </w:p>
        <w:p>
          <w:pPr>
            <w:suppressAutoHyphens/>
            <w:ind w:left="1134"/>
            <w:textAlignment w:val="center"/>
            <w:rPr>
              <w:szCs w:val="24"/>
              <w:lang w:eastAsia="lt-LT"/>
            </w:rPr>
          </w:pPr>
          <w:r>
            <w:rPr>
              <w:szCs w:val="24"/>
              <w:lang w:eastAsia="lt-LT"/>
            </w:rPr>
            <w:t>f – ranka</w:t>
          </w:r>
        </w:p>
        <w:p>
          <w:pPr>
            <w:suppressAutoHyphens/>
            <w:ind w:left="1134"/>
            <w:textAlignment w:val="center"/>
          </w:pPr>
          <w:r>
            <w:rPr>
              <w:szCs w:val="24"/>
              <w:lang w:eastAsia="lt-LT"/>
            </w:rPr>
            <w:t>g – nykštys</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priedas"/>
        <w:tag w:val="part_cacbc32b0b034471ad3812d97292a3b6"/>
        <w:lock w:val="sdtLocked"/>
        <w:richText/>
      </w:sdtPr>
      <w:sdtContent>
        <w:p>
          <w:pPr>
            <w:spacing w:line="276" w:lineRule="auto"/>
            <w:sectPr>
              <w:pgSz w:w="11906" w:h="16838"/>
              <w:pgMar w:top="1134" w:right="1134" w:bottom="1134" w:left="1701" w:header="567" w:footer="567" w:gutter="0"/>
              <w:pgNumType w:start="1"/>
              <w:cols w:space="1296"/>
              <w:noEndnote/>
              <w:titlePg/>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55fd7fe9e33046209ea3009aeaa8b7b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55fd7fe9e33046209ea3009aeaa8b7b7"/>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52"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53"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4"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5"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43cc33497961491f8cea2b436cc9b0bd"/>
        <w:lock w:val="sdtLocked"/>
        <w:richText/>
      </w:sdtPr>
      <w:sdtContent>
        <w:p>
          <w:pPr>
            <w:tabs>
              <w:tab w:val="left" w:pos="1304"/>
              <w:tab w:val="left" w:pos="1457"/>
              <w:tab w:val="left" w:pos="1604"/>
              <w:tab w:val="left" w:pos="1757"/>
            </w:tabs>
            <w:ind w:left="5102"/>
            <w:sectPr>
              <w:headerReference w:type="even" r:id="rId56"/>
              <w:headerReference w:type="default" r:id="rId57"/>
              <w:footerReference w:type="even" r:id="rId58"/>
              <w:footerReference w:type="default" r:id="rId59"/>
              <w:headerReference w:type="first" r:id="rId60"/>
              <w:footerReference w:type="first" r:id="rId61"/>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43cc33497961491f8cea2b436cc9b0bd"/>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43cc33497961491f8cea2b436cc9b0bd"/>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100"/>
              <w:headerReference w:type="default" r:id="rId101"/>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e0fe783483e94590bd203414eeb08ebb"/>
        <w:lock w:val="sdtLocked"/>
        <w:richText/>
      </w:sdtPr>
      <w:sdtContent>
        <w:p>
          <w:pPr>
            <w:ind w:left="5184"/>
            <w:jc w:val="both"/>
            <w:sectPr>
              <w:headerReference w:type="even" r:id="rId102"/>
              <w:headerReference w:type="default" r:id="rId103"/>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e0fe783483e94590bd203414eeb08ebb"/>
              <w:lock w:val="sdtLocked"/>
              <w:richText/>
            </w:sdtPr>
            <w:sdtContent>
              <w:r>
                <w:rPr>
                  <w:szCs w:val="24"/>
                </w:rPr>
                <w:t>2</w:t>
              </w:r>
            </w:sdtContent>
          </w:sdt>
          <w:r>
            <w:rPr>
              <w:szCs w:val="24"/>
            </w:rPr>
            <w:t xml:space="preserve"> priedas</w:t>
          </w:r>
        </w:p>
        <w:p>
          <w:pPr>
            <w:jc w:val="center"/>
            <w:rPr>
              <w:b/>
              <w:szCs w:val="24"/>
            </w:rPr>
          </w:pPr>
        </w:p>
        <w:sdt>
          <w:sdtPr>
            <w:alias w:val="Pavadinimas"/>
            <w:tag w:val="title_e0fe783483e94590bd203414eeb08ebb"/>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7" w:tgtFrame="_blank" w:history="1">
                    <w:r>
                      <w:rPr>
                        <w:color w:val="0000FF" w:themeColor="hyperlink"/>
                        <w:u w:val="single"/>
                      </w:rPr>
                      <w:t>4-27</w:t>
                    </w:r>
                  </w:hyperlink>
                  <w:r>
                    <w:rPr>
                      <w:color w:val="000000"/>
                    </w:rPr>
                    <w:t xml:space="preserve">; 2006, Nr. </w:t>
                  </w:r>
                  <w:hyperlink r:id="rId68"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9" w:tgtFrame="_blank" w:history="1">
                    <w:r>
                      <w:rPr>
                        <w:color w:val="0000FF" w:themeColor="hyperlink"/>
                        <w:u w:val="single"/>
                      </w:rPr>
                      <w:t>47-1365</w:t>
                    </w:r>
                  </w:hyperlink>
                  <w:r>
                    <w:rPr>
                      <w:color w:val="000000"/>
                    </w:rPr>
                    <w:t xml:space="preserve">; 2009, Nr. </w:t>
                  </w:r>
                  <w:hyperlink r:id="rId70"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1"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72"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73"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4"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5"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6"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7"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8"/>
                          <w:footerReference w:type="default" r:id="rId79"/>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cdff958ff76f44e9a2f2b5d9532b319d"/>
                <w:lock w:val="sdtLocked"/>
                <w:richText/>
              </w:sdtPr>
              <w:sdtContent>
                <w:p>
                  <w:pPr>
                    <w:ind w:firstLine="567"/>
                    <w:jc w:val="both"/>
                    <w:rPr>
                      <w:color w:val="000000"/>
                    </w:rPr>
                  </w:pPr>
                  <w:sdt>
                    <w:sdtPr>
                      <w:alias w:val="Numeris"/>
                      <w:tag w:val="nr_cdff958ff76f44e9a2f2b5d9532b319d"/>
                      <w:lock w:val="sdtLocked"/>
                      <w:richText/>
                    </w:sdtPr>
                    <w:sdtContent>
                      <w:r>
                        <w:rPr>
                          <w:color w:val="000000"/>
                          <w:szCs w:val="24"/>
                        </w:rPr>
                        <w:t>2</w:t>
                      </w:r>
                    </w:sdtContent>
                  </w:sdt>
                  <w:r>
                    <w:rPr>
                      <w:color w:val="000000"/>
                      <w:szCs w:val="24"/>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arba darbo aplinkoje, kurioje įvertinus riziką, atsižvelgiant į Profesinės rizikos vertinimo bendruosius nuostatus, patvirtintus Lietuvos Respublikos socialinės apsaugos ir darbo ministro ir Lietuvos Respublikos sveikatos apsaugos ministro 2012 m. spalio 25 d. įsakymu Nr. </w:t>
                  </w:r>
                  <w:r>
                    <w:rPr>
                      <w:color w:val="000000"/>
                      <w:szCs w:val="24"/>
                      <w:lang w:eastAsia="lt-LT"/>
                    </w:rPr>
                    <w:t>A1-457/V-961</w:t>
                  </w:r>
                  <w:r>
                    <w:rPr>
                      <w:color w:val="000000"/>
                      <w:szCs w:val="24"/>
                    </w:rPr>
                    <w:t xml:space="preserve"> „Dėl Profesinės rizikos vertinimo bendrųjų nuostatų patvirtinimo“,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įforminimo ir kontrolės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80"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81"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2"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3"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2529ba8d4c5d4cfdba2ff4d9ff535b70"/>
                    <w:lock w:val="sdtLocked"/>
                    <w:richText/>
                  </w:sdtPr>
                  <w:sdtContent>
                    <w:p>
                      <w:pPr>
                        <w:widowControl w:val="0"/>
                        <w:suppressAutoHyphens/>
                        <w:ind w:firstLine="567"/>
                        <w:jc w:val="both"/>
                      </w:pPr>
                      <w:sdt>
                        <w:sdtPr>
                          <w:alias w:val="Numeris"/>
                          <w:tag w:val="nr_2529ba8d4c5d4cfdba2ff4d9ff535b70"/>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
                  <w:sdtPr>
                    <w:alias w:val="9.5 pp."/>
                    <w:tag w:val="part_ecd90fb37b19407e839b28c2474140b8"/>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ecd90fb37b19407e839b28c2474140b8"/>
                          <w:lock w:val="sdtLocked"/>
                          <w:richText/>
                        </w:sdtPr>
                        <w:sdtContent>
                          <w:r>
                            <w:rPr>
                              <w:szCs w:val="24"/>
                              <w:lang w:eastAsia="lt-LT"/>
                            </w:rPr>
                            <w:t>9.5</w:t>
                          </w:r>
                        </w:sdtContent>
                      </w:sdt>
                      <w:r>
                        <w:rPr>
                          <w:szCs w:val="24"/>
                          <w:lang w:eastAsia="lt-LT"/>
                        </w:rPr>
                        <w:t xml:space="preserve">. jeigu reikalinga gydytojo </w:t>
                      </w:r>
                      <w:r>
                        <w:rPr>
                          <w:szCs w:val="24"/>
                        </w:rPr>
                        <w:t xml:space="preserve">išvada dėl sunkų ar vidutinį neįgalumo lygį ar 40 procentų neviršijantį darbingumo lygį </w:t>
                      </w:r>
                      <w:r>
                        <w:rPr>
                          <w:szCs w:val="24"/>
                          <w:lang w:eastAsia="lt-LT"/>
                        </w:rPr>
                        <w:t xml:space="preserve">arba didelių ar vidutinių specialiųjų poreikių lygį </w:t>
                      </w:r>
                      <w:r>
                        <w:rPr>
                          <w:szCs w:val="24"/>
                        </w:rPr>
                        <w:t xml:space="preserve">turinčių darbuotojų negalios pobūdžio, darbo funkcijos socialinėje įmonėje, kurios neįgalus darbuotojas negali atlikti be asistento pagalbos </w:t>
                      </w:r>
                      <w:r>
                        <w:rPr>
                          <w:color w:val="000000"/>
                          <w:szCs w:val="24"/>
                        </w:rPr>
                        <w:t>–</w:t>
                      </w:r>
                      <w:r>
                        <w:rPr>
                          <w:szCs w:val="24"/>
                        </w:rPr>
                        <w:t xml:space="preserve"> darbdaviui atstovaujančio ar jo įgalioto asmens raštą, kuriame išvardytos tos darbuotojo funkcijos, dėl kurių prašoma gydytojo išvados.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4"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5"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6"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7"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a3d877e0cd114ec892d3b01867b1eae1"/>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lang w:eastAsia="lt-LT"/>
                    </w:rPr>
                  </w:pPr>
                  <w:sdt>
                    <w:sdtPr>
                      <w:alias w:val="Numeris"/>
                      <w:tag w:val="nr_a3d877e0cd114ec892d3b01867b1eae1"/>
                      <w:lock w:val="sdtLocked"/>
                      <w:richText/>
                    </w:sdtPr>
                    <w:sdtContent>
                      <w:r>
                        <w:rPr>
                          <w:szCs w:val="24"/>
                        </w:rPr>
                        <w:t>19</w:t>
                      </w:r>
                    </w:sdtContent>
                  </w:sdt>
                  <w:r>
                    <w:rPr>
                      <w:szCs w:val="24"/>
                    </w:rPr>
                    <w:t xml:space="preserve">. </w:t>
                  </w:r>
                  <w:r>
                    <w:rPr>
                      <w:color w:val="000000"/>
                      <w:szCs w:val="24"/>
                      <w:lang w:eastAsia="lt-LT"/>
                    </w:rPr>
                    <w:t>Asmenų iki aštuoniolikos metų, nėščių, neseniai pagimdžiusių ar krūtimi maitinančių darbuotojų, neįgaliųjų ir asmenų, kuriems nustatytas sumažėjęs darbingumo lygis, privalomi sveikatos tikrinimai:</w:t>
                  </w:r>
                </w:p>
                <w:sdt>
                  <w:sdtPr>
                    <w:alias w:val="19.1 pp."/>
                    <w:tag w:val="part_cb8ee80f82084bbdb61b058855fd2eb7"/>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cb8ee80f82084bbdb61b058855fd2eb7"/>
                          <w:lock w:val="sdtLocked"/>
                          <w:richText/>
                        </w:sdtPr>
                        <w:sdtContent>
                          <w:r>
                            <w:rPr>
                              <w:color w:val="000000"/>
                              <w:szCs w:val="24"/>
                            </w:rPr>
                            <w:t>19.1</w:t>
                          </w:r>
                        </w:sdtContent>
                      </w:sdt>
                      <w:r>
                        <w:rPr>
                          <w:color w:val="000000"/>
                          <w:szCs w:val="24"/>
                        </w:rPr>
                        <w:t xml:space="preserve">. tikrinant asmenų iki 18 metų amžiaus sveikatą vadovaujamasi </w:t>
                      </w:r>
                      <w:r>
                        <w:rPr>
                          <w:szCs w:val="24"/>
                        </w:rPr>
                        <w:t>Asmenų iki aštuoniolikos metų įdarbinimo, darbo ir profesinio parengimo organizavimo tvarkos, vaikų įdarbinimo sąlygų aprašu, patvirtintu Lietuvos Respublikos Vyriausybės 2017 m. birželio 28 d. nutarimu Nr. 518 „Dėl Asmenų iki aštuoniolikos metų įdarbinimo, darbo ir profesinio parengimo organizavimo tvarkos, vaikų įdarbinimo sąlygų aprašo patvirtinimo“;</w:t>
                      </w:r>
                    </w:p>
                  </w:sdtContent>
                </w:sdt>
                <w:sdt>
                  <w:sdtPr>
                    <w:alias w:val="19.2 pp."/>
                    <w:tag w:val="part_9bcbc80f0fb3408590d5644c6802337a"/>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9bcbc80f0fb3408590d5644c6802337a"/>
                          <w:lock w:val="sdtLocked"/>
                          <w:richText/>
                        </w:sdtPr>
                        <w:sdtContent>
                          <w:r>
                            <w:rPr>
                              <w:color w:val="000000"/>
                              <w:szCs w:val="24"/>
                            </w:rPr>
                            <w:t>19.2</w:t>
                          </w:r>
                        </w:sdtContent>
                      </w:sdt>
                      <w:r>
                        <w:rPr>
                          <w:color w:val="000000"/>
                          <w:szCs w:val="24"/>
                        </w:rPr>
                        <w:t xml:space="preserve">. tikrinant nėščiųjų, neseniai pagimdžiusių ar krūtimi maitinančių darbuotojų sveikatą vadovaujamasi </w:t>
                      </w:r>
                      <w:r>
                        <w:rPr>
                          <w:szCs w:val="24"/>
                        </w:rPr>
                        <w:t>Nėščių, neseniai pagimdžiusių, krūtimi maitinančių darbuotojų darbo sąlygų aprašu, patvirtintu Lietuvos Respublikos Vyriausybės 2017 m. birželio 21 d. nutarimu Nr. 469 „Dėl Nėščių, neseniai pagimdžiusių, krūtimi maitinančių darbuotojų darbo sąlygų aprašo patvirtinimo“;</w:t>
                      </w:r>
                    </w:p>
                  </w:sdtContent>
                </w:sdt>
                <w:sdt>
                  <w:sdtPr>
                    <w:alias w:val="19.3 pp."/>
                    <w:tag w:val="part_edf1b7aac38647e38f2f74d57fc0cfde"/>
                    <w:lock w:val="sdtLocked"/>
                    <w:richText/>
                  </w:sdtPr>
                  <w:sdtContent>
                    <w:p>
                      <w:pPr>
                        <w:ind w:firstLine="567"/>
                        <w:jc w:val="both"/>
                        <w:rPr>
                          <w:color w:val="000000"/>
                        </w:rPr>
                      </w:pPr>
                      <w:sdt>
                        <w:sdtPr>
                          <w:alias w:val="Numeris"/>
                          <w:tag w:val="nr_edf1b7aac38647e38f2f74d57fc0cfde"/>
                          <w:lock w:val="sdtLocked"/>
                          <w:richText/>
                        </w:sdtPr>
                        <w:sdtContent>
                          <w:r>
                            <w:rPr>
                              <w:color w:val="000000"/>
                              <w:szCs w:val="24"/>
                              <w:lang w:eastAsia="lt-LT"/>
                            </w:rPr>
                            <w:t>19.3</w:t>
                          </w:r>
                        </w:sdtContent>
                      </w:sdt>
                      <w:r>
                        <w:rPr>
                          <w:color w:val="000000"/>
                          <w:szCs w:val="24"/>
                          <w:lang w:eastAsia="lt-LT"/>
                        </w:rPr>
                        <w:t xml:space="preserve">. dėl neįgaliųjų asmenų ar asmenų, netekusių dalies darbingumo, galimybės dirbti konkretų darbą sprendžia Aprašo 10.4 papunktyje nurodytas gydytojas, gavęs Neįgalumo ir darbingumo nustatymo tarnybos prie Socialinės apsaugos ir darbo ministerijos rekomendacijas ir atitinkamos profesinės kvalifikacijos gydytojo išvadą. Jeigu buvo pateiktas Aprašo 9.5 papunktyje nurodytas </w:t>
                      </w:r>
                      <w:r>
                        <w:rPr>
                          <w:szCs w:val="24"/>
                        </w:rPr>
                        <w:t>darbdaviui atstovaujančio ar jo įgalioto asmens raštas, Aprašo 10.4 papunktyje nurodytas gydytojas F Nr. 047/a arba F Nr. 048/a papildomai įrašo išvadą dėl darbo funkcijos (-ų), kurios (-ių) darbuotojas dėl savo negalios pobūdžio negali atlikti be asistento pagalbos.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9-1 p."/>
                <w:tag w:val="part_e186288a75384c44be0e92e8c774ce25"/>
                <w:lock w:val="sdtLocked"/>
                <w:richText/>
              </w:sdtPr>
              <w:sdtContent>
                <w:p>
                  <w:pPr>
                    <w:tabs>
                      <w:tab w:val="left" w:pos="1134"/>
                    </w:tabs>
                    <w:ind w:firstLine="567"/>
                    <w:jc w:val="both"/>
                    <w:rPr>
                      <w:color w:val="000000"/>
                    </w:rPr>
                  </w:pPr>
                  <w:sdt>
                    <w:sdtPr>
                      <w:alias w:val="Numeris"/>
                      <w:tag w:val="nr_e186288a75384c44be0e92e8c774ce25"/>
                      <w:lock w:val="sdtLocked"/>
                      <w:richText/>
                    </w:sdtPr>
                    <w:sdtContent>
                      <w:r>
                        <w:rPr>
                          <w:szCs w:val="24"/>
                        </w:rPr>
                        <w:t>19</w:t>
                      </w:r>
                      <w:r>
                        <w:rPr>
                          <w:szCs w:val="24"/>
                          <w:vertAlign w:val="superscript"/>
                        </w:rPr>
                        <w:t>1</w:t>
                      </w:r>
                    </w:sdtContent>
                  </w:sdt>
                  <w:r>
                    <w:rPr>
                      <w:szCs w:val="24"/>
                    </w:rPr>
                    <w:t xml:space="preserve">. Tikrinant asmenų, siekiančių verstis ar besiverčiančių bendrosios slaugos praktika, akušerijos praktika ar medicinos praktika sveikatą, papildomai vadovautis Ligų, trukdančių verstis bendrosios slaugos praktika, akušerijos praktika ar medicinos praktika sąrašu, patvirtintu Lietuvos Respublikos sveikatos apsaugos ministro 2010 m. </w:t>
                  </w:r>
                  <w:r>
                    <w:rPr>
                      <w:bCs/>
                      <w:szCs w:val="24"/>
                    </w:rPr>
                    <w:t xml:space="preserve">rugpjūčio 12 </w:t>
                  </w:r>
                  <w:r>
                    <w:rPr>
                      <w:szCs w:val="24"/>
                    </w:rPr>
                    <w:t>d. įsakymu Nr. V-720 „Dėl Ligų, trukdančių verstis bendrosios slaugos praktika, akušerijos praktika ar medicinos praktika, sąrašo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8"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9"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0"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1" w:tgtFrame="_blank" w:history="1">
                          <w:r>
                            <w:rPr>
                              <w:color w:val="0000FF" w:themeColor="hyperlink"/>
                              <w:sz w:val="18"/>
                              <w:szCs w:val="18"/>
                              <w:u w:val="single"/>
                            </w:rPr>
                            <w:t>47-1365</w:t>
                          </w:r>
                        </w:hyperlink>
                        <w:r>
                          <w:rPr>
                            <w:sz w:val="18"/>
                            <w:szCs w:val="18"/>
                          </w:rPr>
                          <w:t xml:space="preserve">; 2005, Nr. </w:t>
                        </w:r>
                        <w:hyperlink r:id="rId92" w:tgtFrame="_blank" w:history="1">
                          <w:r>
                            <w:rPr>
                              <w:color w:val="0000FF" w:themeColor="hyperlink"/>
                              <w:sz w:val="18"/>
                              <w:szCs w:val="18"/>
                              <w:u w:val="single"/>
                            </w:rPr>
                            <w:t>128-4637</w:t>
                          </w:r>
                        </w:hyperlink>
                        <w:r>
                          <w:rPr>
                            <w:sz w:val="18"/>
                            <w:szCs w:val="18"/>
                          </w:rPr>
                          <w:t xml:space="preserve">; 2008, Nr. </w:t>
                        </w:r>
                        <w:hyperlink r:id="rId93"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4" w:tgtFrame="_blank" w:history="1">
                          <w:r>
                            <w:rPr>
                              <w:color w:val="0000FF" w:themeColor="hyperlink"/>
                              <w:sz w:val="18"/>
                              <w:szCs w:val="18"/>
                              <w:u w:val="single"/>
                            </w:rPr>
                            <w:t>47-1365</w:t>
                          </w:r>
                        </w:hyperlink>
                        <w:r>
                          <w:rPr>
                            <w:sz w:val="18"/>
                            <w:szCs w:val="18"/>
                          </w:rPr>
                          <w:t xml:space="preserve">; 2005, Nr. </w:t>
                        </w:r>
                        <w:hyperlink r:id="rId95" w:tgtFrame="_blank" w:history="1">
                          <w:r>
                            <w:rPr>
                              <w:color w:val="0000FF" w:themeColor="hyperlink"/>
                              <w:sz w:val="18"/>
                              <w:szCs w:val="18"/>
                              <w:u w:val="single"/>
                            </w:rPr>
                            <w:t>128-4637</w:t>
                          </w:r>
                        </w:hyperlink>
                        <w:r>
                          <w:rPr>
                            <w:sz w:val="18"/>
                            <w:szCs w:val="18"/>
                          </w:rPr>
                          <w:t xml:space="preserve">; 2008, Nr. </w:t>
                        </w:r>
                        <w:hyperlink r:id="rId96"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7"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4fe74421a0e5406a99443c2f7d4f5184"/>
            <w:lock w:val="sdtLocked"/>
            <w:richText/>
          </w:sdtPr>
          <w:sdtContent>
            <w:p>
              <w:pPr>
                <w:jc w:val="center"/>
                <w:rPr>
                  <w:b/>
                  <w:szCs w:val="24"/>
                </w:rPr>
              </w:pPr>
              <w:sdt>
                <w:sdtPr>
                  <w:alias w:val="Numeris"/>
                  <w:tag w:val="nr_4fe74421a0e5406a99443c2f7d4f5184"/>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4fe74421a0e5406a99443c2f7d4f5184"/>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rPr>
                  <w:trHeight w:val="428"/>
                </w:trP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rPr>
                        <w:szCs w:val="24"/>
                      </w:rPr>
                    </w:pPr>
                    <w:r>
                      <w:rPr>
                        <w:szCs w:val="24"/>
                      </w:rPr>
                      <w:t>Gydytojo specialisto</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9,13</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383fb0a9f911e9964cdd77475976b0">
                <w:r w:rsidRPr="00532B9F">
                  <w:rPr>
                    <w:rFonts w:ascii="Times New Roman" w:eastAsia="MS Mincho" w:hAnsi="Times New Roman"/>
                    <w:sz w:val="20"/>
                    <w:i/>
                    <w:iCs/>
                    <w:color w:val="0000FF" w:themeColor="hyperlink"/>
                    <w:u w:val="single"/>
                  </w:rPr>
                  <w:t>V-844</w:t>
                </w:r>
              </w:fldSimple>
              <w:r>
                <w:rPr>
                  <w:rFonts w:ascii="Times New Roman" w:eastAsia="MS Mincho" w:hAnsi="Times New Roman"/>
                  <w:sz w:val="20"/>
                  <w:i/>
                  <w:iCs/>
                </w:rPr>
                <w:t>,
2019-07-18,
paskelbta TAR 2019-07-19, i. k. 2019-11907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3cf8f0601411e98b599e654d7d03a0">
            <w:r w:rsidRPr="00532B9F">
              <w:rPr>
                <w:rFonts w:ascii="Times New Roman" w:eastAsia="MS Mincho" w:hAnsi="Times New Roman"/>
                <w:sz w:val="20"/>
                <w:iCs/>
                <w:color w:val="0000FF" w:themeColor="hyperlink"/>
                <w:u w:val="single"/>
              </w:rPr>
              <w:t>V-422</w:t>
            </w:r>
          </w:fldSimple>
          <w:r>
            <w:rPr>
              <w:rFonts w:ascii="Times New Roman" w:eastAsia="MS Mincho" w:hAnsi="Times New Roman"/>
              <w:sz w:val="20"/>
              <w:iCs/>
            </w:rPr>
            <w:t>,
2019-04-15,
paskelbta TAR 2019-04-16, i. k. 2019-06202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595bc076f111e9b81587fcbd5a76f6">
            <w:r w:rsidRPr="00532B9F">
              <w:rPr>
                <w:rFonts w:ascii="Times New Roman" w:eastAsia="MS Mincho" w:hAnsi="Times New Roman"/>
                <w:sz w:val="20"/>
                <w:iCs/>
                <w:color w:val="0000FF" w:themeColor="hyperlink"/>
                <w:u w:val="single"/>
              </w:rPr>
              <w:t>V-566</w:t>
            </w:r>
          </w:fldSimple>
          <w:r>
            <w:rPr>
              <w:rFonts w:ascii="Times New Roman" w:eastAsia="MS Mincho" w:hAnsi="Times New Roman"/>
              <w:sz w:val="20"/>
              <w:iCs/>
            </w:rPr>
            <w:t>,
2019-05-14,
paskelbta TAR 2019-05-15, i. k. 2019-07703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383fb0a9f911e9964cdd77475976b0">
            <w:r w:rsidRPr="00532B9F">
              <w:rPr>
                <w:rFonts w:ascii="Times New Roman" w:eastAsia="MS Mincho" w:hAnsi="Times New Roman"/>
                <w:sz w:val="20"/>
                <w:iCs/>
                <w:color w:val="0000FF" w:themeColor="hyperlink"/>
                <w:u w:val="single"/>
              </w:rPr>
              <w:t>V-844</w:t>
            </w:r>
          </w:fldSimple>
          <w:r>
            <w:rPr>
              <w:rFonts w:ascii="Times New Roman" w:eastAsia="MS Mincho" w:hAnsi="Times New Roman"/>
              <w:sz w:val="20"/>
              <w:iCs/>
            </w:rPr>
            <w:t>,
2019-07-18,
paskelbta TAR 2019-07-19, i. k. 2019-11907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2331b102b1511eabe008ea93139d588">
            <w:r w:rsidRPr="00532B9F">
              <w:rPr>
                <w:rFonts w:ascii="Times New Roman" w:eastAsia="MS Mincho" w:hAnsi="Times New Roman"/>
                <w:sz w:val="20"/>
                <w:iCs/>
                <w:color w:val="0000FF" w:themeColor="hyperlink"/>
                <w:u w:val="single"/>
              </w:rPr>
              <w:t>V-1512</w:t>
            </w:r>
          </w:fldSimple>
          <w:r>
            <w:rPr>
              <w:rFonts w:ascii="Times New Roman" w:eastAsia="MS Mincho" w:hAnsi="Times New Roman"/>
              <w:sz w:val="20"/>
              <w:iCs/>
            </w:rPr>
            <w:t>,
2019-12-30,
paskelbta TAR 2019-12-31, i. k. 2019-21686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e619f0322711eabe008ea93139d588">
            <w:r w:rsidRPr="00532B9F">
              <w:rPr>
                <w:rFonts w:ascii="Times New Roman" w:eastAsia="MS Mincho" w:hAnsi="Times New Roman"/>
                <w:sz w:val="20"/>
                <w:iCs/>
                <w:color w:val="0000FF" w:themeColor="hyperlink"/>
                <w:u w:val="single"/>
              </w:rPr>
              <w:t>V-20</w:t>
            </w:r>
          </w:fldSimple>
          <w:r>
            <w:rPr>
              <w:rFonts w:ascii="Times New Roman" w:eastAsia="MS Mincho" w:hAnsi="Times New Roman"/>
              <w:sz w:val="20"/>
              <w:iCs/>
            </w:rPr>
            <w:t>,
2020-01-07,
paskelbta TAR 2020-01-09, i. k. 2020-00251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2E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36</w:t>
    </w:r>
    <w: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34</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rPr>
        <w:sz w:val="22"/>
        <w:szCs w:val="22"/>
      </w:rPr>
    </w:pPr>
  </w:p>
  <w:p>
    <w:pPr>
      <w:tabs>
        <w:tab w:val="center" w:pos="4819"/>
        <w:tab w:val="right" w:pos="9638"/>
      </w:tabs>
      <w:rPr>
        <w:sz w:val="22"/>
        <w:szCs w:val="22"/>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4</w:t>
    </w:r>
    <w:r>
      <w:fldChar w:fldCharType="end"/>
    </w:r>
  </w:p>
  <w:p>
    <w:pPr>
      <w:tabs>
        <w:tab w:val="center" w:pos="4153"/>
        <w:tab w:val="right" w:pos="8306"/>
      </w:tabs>
      <w:rPr>
        <w:lang w:eastAsia="lt-LT"/>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5</w:t>
    </w:r>
    <w:r>
      <w:fldChar w:fldCharType="end"/>
    </w:r>
  </w:p>
  <w:p>
    <w:pPr>
      <w:tabs>
        <w:tab w:val="center" w:pos="4153"/>
        <w:tab w:val="right" w:pos="8306"/>
      </w:tabs>
      <w:rPr>
        <w:lang w:eastAsia="lt-LT"/>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szCs w:val="24"/>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3729"/>
    <o:shapelayout v:ext="edit">
      <o:idmap v:ext="edit" data="1"/>
    </o:shapelayout>
  </w:shapeDefaults>
  <w:decimalSymbol w:val=","/>
  <w:listSeparator w:val=";"/>
  <w14:docId w14:val="78290DAC"/>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microsoft.com/office/2007/relationships/stylesWithEffects" Target="stylesWithEffects.xml"/>
  <Relationship Id="rId100" Type="http://schemas.openxmlformats.org/officeDocument/2006/relationships/header" Target="header241.xml"/>
  <Relationship Id="rId101" Type="http://schemas.openxmlformats.org/officeDocument/2006/relationships/header" Target="header242.xml"/>
  <Relationship Id="rId102" Type="http://schemas.openxmlformats.org/officeDocument/2006/relationships/header" Target="header267.xml"/>
  <Relationship Id="rId103" Type="http://schemas.openxmlformats.org/officeDocument/2006/relationships/header" Target="header268.xml"/>
  <Relationship Id="rId104" Type="http://schemas.openxmlformats.org/officeDocument/2006/relationships/header" Target="header292.xml"/>
  <Relationship Id="rId105" Type="http://schemas.openxmlformats.org/officeDocument/2006/relationships/header" Target="header293.xml"/>
  <Relationship Id="rId106" Type="http://schemas.openxmlformats.org/officeDocument/2006/relationships/header" Target="header294.xml"/>
  <Relationship Id="rId107" Type="http://schemas.openxmlformats.org/officeDocument/2006/relationships/image" Target="media/image225.png"/>
  <Relationship Id="rId108" Type="http://schemas.openxmlformats.org/officeDocument/2006/relationships/image" Target="media/image226.png"/>
  <Relationship Id="rId109" Type="http://schemas.openxmlformats.org/officeDocument/2006/relationships/image" Target="media/image227.png"/>
  <Relationship Id="rId11" Type="http://schemas.openxmlformats.org/officeDocument/2006/relationships/theme" Target="theme/theme1.xml"/>
  <Relationship Id="rId110" Type="http://schemas.openxmlformats.org/officeDocument/2006/relationships/image" Target="media/image228.png"/>
  <Relationship Id="rId111" Type="http://schemas.openxmlformats.org/officeDocument/2006/relationships/image" Target="media/image229.png"/>
  <Relationship Id="rId112" Type="http://schemas.openxmlformats.org/officeDocument/2006/relationships/image" Target="media/image230.png"/>
  <Relationship Id="rId113" Type="http://schemas.openxmlformats.org/officeDocument/2006/relationships/image" Target="media/image231.png"/>
  <Relationship Id="rId114" Type="http://schemas.openxmlformats.org/officeDocument/2006/relationships/image" Target="media/image232.png"/>
  <Relationship Id="rId115" Type="http://schemas.openxmlformats.org/officeDocument/2006/relationships/image" Target="media/image233.png"/>
  <Relationship Id="rId116" Type="http://schemas.openxmlformats.org/officeDocument/2006/relationships/image" Target="media/image234.png"/>
  <Relationship Id="rId117" Type="http://schemas.openxmlformats.org/officeDocument/2006/relationships/image" Target="media/image235.png"/>
  <Relationship Id="rId118" Type="http://schemas.openxmlformats.org/officeDocument/2006/relationships/image" Target="media/image236.png"/>
  <Relationship Id="rId119" Type="http://schemas.openxmlformats.org/officeDocument/2006/relationships/image" Target="media/image237.png"/>
  <Relationship Id="rId12" Type="http://schemas.openxmlformats.org/officeDocument/2006/relationships/webSettings" Target="webSettings.xml"/>
  <Relationship Id="rId120" Type="http://schemas.openxmlformats.org/officeDocument/2006/relationships/image" Target="media/image238.png"/>
  <Relationship Id="rId121" Type="http://schemas.openxmlformats.org/officeDocument/2006/relationships/image" Target="media/image239.png"/>
  <Relationship Id="rId122" Type="http://schemas.openxmlformats.org/officeDocument/2006/relationships/image" Target="media/image240.png"/>
  <Relationship Id="rId123" Type="http://schemas.openxmlformats.org/officeDocument/2006/relationships/image" Target="media/image241.png"/>
  <Relationship Id="rId124" Type="http://schemas.openxmlformats.org/officeDocument/2006/relationships/image" Target="media/image242.png"/>
  <Relationship Id="rId125" Type="http://schemas.openxmlformats.org/officeDocument/2006/relationships/image" Target="media/image243.png"/>
  <Relationship Id="rId126" Type="http://schemas.openxmlformats.org/officeDocument/2006/relationships/image" Target="media/image244.png"/>
  <Relationship Id="rId127" Type="http://schemas.openxmlformats.org/officeDocument/2006/relationships/image" Target="media/image245.png"/>
  <Relationship Id="rId128" Type="http://schemas.openxmlformats.org/officeDocument/2006/relationships/image" Target="media/image246.png"/>
  <Relationship Id="rId129" Type="http://schemas.openxmlformats.org/officeDocument/2006/relationships/image" Target="media/image247.png"/>
  <Relationship Id="rId13" Type="http://schemas.openxmlformats.org/officeDocument/2006/relationships/image" Target="media/image3.wmf"/>
  <Relationship Id="rId130" Type="http://schemas.openxmlformats.org/officeDocument/2006/relationships/image" Target="media/image248.png"/>
  <Relationship Id="rId131" Type="http://schemas.openxmlformats.org/officeDocument/2006/relationships/image" Target="media/image249.png"/>
  <Relationship Id="rId132" Type="http://schemas.openxmlformats.org/officeDocument/2006/relationships/image" Target="media/image250.png"/>
  <Relationship Id="rId133" Type="http://schemas.openxmlformats.org/officeDocument/2006/relationships/image" Target="media/image251.png"/>
  <Relationship Id="rId134" Type="http://schemas.openxmlformats.org/officeDocument/2006/relationships/image" Target="media/image252.png"/>
  <Relationship Id="rId135" Type="http://schemas.openxmlformats.org/officeDocument/2006/relationships/image" Target="media/image253.png"/>
  <Relationship Id="rId136" Type="http://schemas.openxmlformats.org/officeDocument/2006/relationships/image" Target="media/image254.png"/>
  <Relationship Id="rId137" Type="http://schemas.openxmlformats.org/officeDocument/2006/relationships/image" Target="media/image255.png"/>
  <Relationship Id="rId138" Type="http://schemas.openxmlformats.org/officeDocument/2006/relationships/image" Target="media/image256.png"/>
  <Relationship Id="rId139" Type="http://schemas.openxmlformats.org/officeDocument/2006/relationships/customXml" Target="../customXml/item1.xml"/>
  <Relationship Id="rId14" Type="http://schemas.openxmlformats.org/officeDocument/2006/relationships/hyperlink" TargetMode="External" Target="https://www.e-tar.lt/portal/lt/legalAct/TAR.31185A622C9F"/>
  <Relationship Id="rId15" Type="http://schemas.openxmlformats.org/officeDocument/2006/relationships/hyperlink" TargetMode="External" Target="https://www.e-tar.lt/portal/lt/legalAct/TAR.95C79D036AA4"/>
  <Relationship Id="rId16" Type="http://schemas.openxmlformats.org/officeDocument/2006/relationships/hyperlink" TargetMode="External" Target="https://www.e-tar.lt/portal/lt/legalAct/TAR.E2B2957B9182"/>
  <Relationship Id="rId17" Type="http://schemas.openxmlformats.org/officeDocument/2006/relationships/hyperlink" TargetMode="External" Target="https://www.e-tar.lt/portal/lt/legalAct/TAR.E964CE7A637A"/>
  <Relationship Id="rId18" Type="http://schemas.openxmlformats.org/officeDocument/2006/relationships/hyperlink" TargetMode="External" Target="https://www.e-tar.lt/portal/lt/legalAct/TAR.7083DB116A2E"/>
  <Relationship Id="rId19" Type="http://schemas.openxmlformats.org/officeDocument/2006/relationships/hyperlink" TargetMode="External" Target="https://www.e-tar.lt/portal/lt/legalAct/TAR.6A8A7A3BBCDC"/>
  <Relationship Id="rId2" Type="http://schemas.openxmlformats.org/officeDocument/2006/relationships/fontTable" Target="fontTable.xml"/>
  <Relationship Id="rId20" Type="http://schemas.openxmlformats.org/officeDocument/2006/relationships/hyperlink" TargetMode="External" Target="https://www.e-tar.lt/portal/lt/legalAct/TAR.C337D779A343"/>
  <Relationship Id="rId21" Type="http://schemas.openxmlformats.org/officeDocument/2006/relationships/hyperlink" TargetMode="External" Target="https://www.e-tar.lt/portal/lt/legalAct/TAR.A92EEEEF018C"/>
  <Relationship Id="rId22" Type="http://schemas.openxmlformats.org/officeDocument/2006/relationships/hyperlink" TargetMode="External" Target="https://www.e-tar.lt/portal/lt/legalAct/TAR.0BBFE299C915"/>
  <Relationship Id="rId23" Type="http://schemas.openxmlformats.org/officeDocument/2006/relationships/hyperlink" TargetMode="External" Target="https://www.e-tar.lt/portal/lt/legalAct/TAR.C925EFE595C1"/>
  <Relationship Id="rId24" Type="http://schemas.openxmlformats.org/officeDocument/2006/relationships/hyperlink" TargetMode="External" Target="https://www.e-tar.lt/portal/lt/legalAct/TAR.E572CC3872E1"/>
  <Relationship Id="rId25" Type="http://schemas.openxmlformats.org/officeDocument/2006/relationships/hyperlink" TargetMode="External" Target="https://www.e-tar.lt/portal/lt/legalAct/TAR.AB76E5928C64"/>
  <Relationship Id="rId26" Type="http://schemas.openxmlformats.org/officeDocument/2006/relationships/header" Target="header81.xml"/>
  <Relationship Id="rId27" Type="http://schemas.openxmlformats.org/officeDocument/2006/relationships/header" Target="header82.xml"/>
  <Relationship Id="rId28" Type="http://schemas.openxmlformats.org/officeDocument/2006/relationships/footer" Target="footer76.xml"/>
  <Relationship Id="rId29" Type="http://schemas.openxmlformats.org/officeDocument/2006/relationships/footer" Target="footer77.xml"/>
  <Relationship Id="rId3" Type="http://schemas.openxmlformats.org/officeDocument/2006/relationships/footnotes" Target="footnotes.xml"/>
  <Relationship Id="rId30" Type="http://schemas.openxmlformats.org/officeDocument/2006/relationships/header" Target="header83.xml"/>
  <Relationship Id="rId31" Type="http://schemas.openxmlformats.org/officeDocument/2006/relationships/footer" Target="footer78.xml"/>
  <Relationship Id="rId32" Type="http://schemas.openxmlformats.org/officeDocument/2006/relationships/hyperlink" TargetMode="External" Target="https://www.e-tar.lt/portal/lt/legalAct/TAR.5098571C779B"/>
  <Relationship Id="rId33" Type="http://schemas.openxmlformats.org/officeDocument/2006/relationships/hyperlink" TargetMode="External" Target="https://www.e-tar.lt/portal/lt/legalAct/TAR.21897F4DD271"/>
  <Relationship Id="rId34" Type="http://schemas.openxmlformats.org/officeDocument/2006/relationships/hyperlink" TargetMode="External" Target="https://www.e-tar.lt/portal/lt/legalAct/TAR.22504E4941B4"/>
  <Relationship Id="rId35" Type="http://schemas.openxmlformats.org/officeDocument/2006/relationships/hyperlink" TargetMode="External" Target="http://www3.lrs.lt/cgi-bin/preps2?a=92894&amp;b="/>
  <Relationship Id="rId36" Type="http://schemas.openxmlformats.org/officeDocument/2006/relationships/hyperlink" TargetMode="External" Target="http://www3.lrs.lt/cgi-bin/preps2?a=76692&amp;b="/>
  <Relationship Id="rId37" Type="http://schemas.openxmlformats.org/officeDocument/2006/relationships/hyperlink" TargetMode="External" Target="http://www3.lrs.lt/cgi-bin/preps2?a=76692&amp;b="/>
  <Relationship Id="rId38" Type="http://schemas.openxmlformats.org/officeDocument/2006/relationships/header" Target="header105.xml"/>
  <Relationship Id="rId39" Type="http://schemas.openxmlformats.org/officeDocument/2006/relationships/header" Target="header106.xml"/>
  <Relationship Id="rId4" Type="http://schemas.openxmlformats.org/officeDocument/2006/relationships/hyperlink" TargetMode="External" Target="https://www.e-tar.lt/portal/lt/legalAct/TAR.1B50A305B56B"/>
  <Relationship Id="rId40" Type="http://schemas.openxmlformats.org/officeDocument/2006/relationships/footer" Target="footer100.xml"/>
  <Relationship Id="rId41" Type="http://schemas.openxmlformats.org/officeDocument/2006/relationships/footer" Target="footer101.xml"/>
  <Relationship Id="rId42" Type="http://schemas.openxmlformats.org/officeDocument/2006/relationships/header" Target="header107.xml"/>
  <Relationship Id="rId43" Type="http://schemas.openxmlformats.org/officeDocument/2006/relationships/footer" Target="footer102.xml"/>
  <Relationship Id="rId44" Type="http://schemas.openxmlformats.org/officeDocument/2006/relationships/hyperlink" TargetMode="External" Target="https://www.e-tar.lt/portal/lt/legalAct/TAR.FC348F73C47A"/>
  <Relationship Id="rId45" Type="http://schemas.openxmlformats.org/officeDocument/2006/relationships/hyperlink" TargetMode="External" Target="https://www.e-tar.lt/portal/lt/legalAct/TAR.FC348F73C47A"/>
  <Relationship Id="rId46" Type="http://schemas.openxmlformats.org/officeDocument/2006/relationships/header" Target="header195.xml"/>
  <Relationship Id="rId47" Type="http://schemas.openxmlformats.org/officeDocument/2006/relationships/header" Target="header196.xml"/>
  <Relationship Id="rId48" Type="http://schemas.openxmlformats.org/officeDocument/2006/relationships/footer" Target="footer190.xml"/>
  <Relationship Id="rId49" Type="http://schemas.openxmlformats.org/officeDocument/2006/relationships/footer" Target="footer191.xml"/>
  <Relationship Id="rId5" Type="http://schemas.openxmlformats.org/officeDocument/2006/relationships/hyperlink" TargetMode="External" Target="https://www.e-tar.lt/portal/lt/legalAct/TAR.668CEF058FF8"/>
  <Relationship Id="rId50" Type="http://schemas.openxmlformats.org/officeDocument/2006/relationships/header" Target="header197.xml"/>
  <Relationship Id="rId51" Type="http://schemas.openxmlformats.org/officeDocument/2006/relationships/footer" Target="footer192.xml"/>
  <Relationship Id="rId52" Type="http://schemas.openxmlformats.org/officeDocument/2006/relationships/hyperlink" TargetMode="External" Target="https://www.e-tar.lt/portal/lt/legalAct/TAR.3394CBFC359C"/>
  <Relationship Id="rId53" Type="http://schemas.openxmlformats.org/officeDocument/2006/relationships/hyperlink" TargetMode="External" Target="http://www3.lrs.lt/cgi-bin/preps2?a=51605&amp;b="/>
  <Relationship Id="rId54" Type="http://schemas.openxmlformats.org/officeDocument/2006/relationships/hyperlink" TargetMode="External" Target="https://www.e-tar.lt/portal/lt/legalAct/TAR.B7D7BAACDE6B"/>
  <Relationship Id="rId55" Type="http://schemas.openxmlformats.org/officeDocument/2006/relationships/hyperlink" TargetMode="External" Target="http://www3.lrs.lt/cgi-bin/preps2?a=69596&amp;b="/>
  <Relationship Id="rId56" Type="http://schemas.openxmlformats.org/officeDocument/2006/relationships/header" Target="header204.xml"/>
  <Relationship Id="rId57" Type="http://schemas.openxmlformats.org/officeDocument/2006/relationships/header" Target="header205.xml"/>
  <Relationship Id="rId58" Type="http://schemas.openxmlformats.org/officeDocument/2006/relationships/footer" Target="footer199.xml"/>
  <Relationship Id="rId59" Type="http://schemas.openxmlformats.org/officeDocument/2006/relationships/footer" Target="footer200.xml"/>
  <Relationship Id="rId6" Type="http://schemas.openxmlformats.org/officeDocument/2006/relationships/hyperlink" TargetMode="External" Target="https://www.e-tar.lt/portal/lt/legalAct/TAR.A36A799DD928"/>
  <Relationship Id="rId60" Type="http://schemas.openxmlformats.org/officeDocument/2006/relationships/header" Target="header206.xml"/>
  <Relationship Id="rId61" Type="http://schemas.openxmlformats.org/officeDocument/2006/relationships/footer" Target="footer201.xml"/>
  <Relationship Id="rId62" Type="http://schemas.openxmlformats.org/officeDocument/2006/relationships/hyperlink" TargetMode="External" Target="https://www.e-tar.lt/portal/lt/legalAct/TAR.5DC1759E42CB"/>
  <Relationship Id="rId63" Type="http://schemas.openxmlformats.org/officeDocument/2006/relationships/hyperlink" TargetMode="External" Target="https://www.e-tar.lt/portal/lt/legalAct/TAR.8D97CD7E1857"/>
  <Relationship Id="rId64" Type="http://schemas.openxmlformats.org/officeDocument/2006/relationships/hyperlink" TargetMode="External" Target="https://www.e-tar.lt/portal/lt/legalAct/TAR.DC61D74561C5"/>
  <Relationship Id="rId65" Type="http://schemas.openxmlformats.org/officeDocument/2006/relationships/hyperlink" TargetMode="External" Target="https://www.e-tar.lt/portal/lt/legalAct/TAR.67B5099C5848"/>
  <Relationship Id="rId66" Type="http://schemas.openxmlformats.org/officeDocument/2006/relationships/hyperlink" TargetMode="External" Target="https://www.e-tar.lt/portal/lt/legalAct/TAR.78FAC7B20AD8"/>
  <Relationship Id="rId67" Type="http://schemas.openxmlformats.org/officeDocument/2006/relationships/hyperlink" TargetMode="External" Target="https://www.e-tar.lt/portal/lt/legalAct/TAR.C7A984833333"/>
  <Relationship Id="rId68" Type="http://schemas.openxmlformats.org/officeDocument/2006/relationships/hyperlink" TargetMode="External" Target="https://www.e-tar.lt/portal/lt/legalAct/TAR.33907EA7C2DC"/>
  <Relationship Id="rId69" Type="http://schemas.openxmlformats.org/officeDocument/2006/relationships/hyperlink" TargetMode="External" Target="https://www.e-tar.lt/portal/lt/legalAct/TAR.DC61D74561C5"/>
  <Relationship Id="rId7" Type="http://schemas.openxmlformats.org/officeDocument/2006/relationships/hyperlink" TargetMode="External" Target="https://www.e-tar.lt/portal/lt/legalAct/TAR.A57CA999DD08"/>
  <Relationship Id="rId70" Type="http://schemas.openxmlformats.org/officeDocument/2006/relationships/hyperlink" TargetMode="External" Target="https://www.e-tar.lt/portal/lt/legalAct/TAR.723F49D02CD8"/>
  <Relationship Id="rId71" Type="http://schemas.openxmlformats.org/officeDocument/2006/relationships/hyperlink" TargetMode="External" Target="https://www.e-tar.lt/portal/lt/legalAct/TAR.6A8A7A3BBCDC"/>
  <Relationship Id="rId72" Type="http://schemas.openxmlformats.org/officeDocument/2006/relationships/hyperlink" TargetMode="External" Target="https://www.e-tar.lt/portal/lt/legalAct/TAR.F1D86F455636"/>
  <Relationship Id="rId73" Type="http://schemas.openxmlformats.org/officeDocument/2006/relationships/hyperlink" TargetMode="External" Target="https://www.e-tar.lt/portal/lt/legalAct/TAR.5E3842DF67F8"/>
  <Relationship Id="rId74" Type="http://schemas.openxmlformats.org/officeDocument/2006/relationships/hyperlink" TargetMode="External" Target="https://www.e-tar.lt/portal/lt/legalAct/TAR.668CEF058FF8"/>
  <Relationship Id="rId75" Type="http://schemas.openxmlformats.org/officeDocument/2006/relationships/hyperlink" TargetMode="External" Target="https://www.e-tar.lt/portal/lt/legalAct/TAR.DC61D74561C5"/>
  <Relationship Id="rId76" Type="http://schemas.openxmlformats.org/officeDocument/2006/relationships/hyperlink" TargetMode="External" Target="https://www.e-tar.lt/portal/lt/legalAct/TAR.C6E4170DB704"/>
  <Relationship Id="rId77" Type="http://schemas.openxmlformats.org/officeDocument/2006/relationships/hyperlink" TargetMode="External" Target="https://www.e-tar.lt/portal/lt/legalAct/TAR.668CEF058FF8"/>
  <Relationship Id="rId78" Type="http://schemas.openxmlformats.org/officeDocument/2006/relationships/header" Target="header231.xml"/>
  <Relationship Id="rId79" Type="http://schemas.openxmlformats.org/officeDocument/2006/relationships/footer" Target="footer226.xml"/>
  <Relationship Id="rId8" Type="http://schemas.openxmlformats.org/officeDocument/2006/relationships/settings" Target="settings.xml"/>
  <Relationship Id="rId80" Type="http://schemas.openxmlformats.org/officeDocument/2006/relationships/hyperlink" TargetMode="External" Target="https://www.e-tar.lt/portal/lt/legalAct/TAR.7083DB116A2E"/>
  <Relationship Id="rId81" Type="http://schemas.openxmlformats.org/officeDocument/2006/relationships/hyperlink" TargetMode="External" Target="https://www.e-tar.lt/portal/lt/legalAct/TAR.6A8A7A3BBCDC"/>
  <Relationship Id="rId82" Type="http://schemas.openxmlformats.org/officeDocument/2006/relationships/hyperlink" TargetMode="External" Target="https://www.e-tar.lt/portal/lt/legalAct/TAR.F1D86F455636"/>
  <Relationship Id="rId83" Type="http://schemas.openxmlformats.org/officeDocument/2006/relationships/hyperlink" TargetMode="External" Target="https://www.e-tar.lt/portal/lt/legalAct/TAR.751B6F8BF451"/>
  <Relationship Id="rId84" Type="http://schemas.openxmlformats.org/officeDocument/2006/relationships/hyperlink" TargetMode="External" Target="https://www.e-tar.lt/portal/lt/legalAct/TAR.313208361D5D"/>
  <Relationship Id="rId85" Type="http://schemas.openxmlformats.org/officeDocument/2006/relationships/hyperlink" TargetMode="External" Target="https://www.e-tar.lt/portal/lt/legalAct/TAR.64EB889A3B24"/>
  <Relationship Id="rId86" Type="http://schemas.openxmlformats.org/officeDocument/2006/relationships/hyperlink" TargetMode="External" Target="https://www.e-tar.lt/portal/lt/legalAct/TAR.5ED52629C3C4"/>
  <Relationship Id="rId87" Type="http://schemas.openxmlformats.org/officeDocument/2006/relationships/hyperlink" TargetMode="External" Target="https://www.e-tar.lt/portal/lt/legalAct/TAR.0630DF325F2F"/>
  <Relationship Id="rId88" Type="http://schemas.openxmlformats.org/officeDocument/2006/relationships/hyperlink" TargetMode="External" Target="https://www.e-tar.lt/portal/lt/legalAct/TAR.04551A50A76D"/>
  <Relationship Id="rId89" Type="http://schemas.openxmlformats.org/officeDocument/2006/relationships/hyperlink" TargetMode="External" Target="https://www.e-tar.lt/portal/lt/legalAct/TAR.C6E4170DB704"/>
  <Relationship Id="rId9" Type="http://schemas.openxmlformats.org/officeDocument/2006/relationships/styles" Target="styles.xml"/>
  <Relationship Id="rId90" Type="http://schemas.openxmlformats.org/officeDocument/2006/relationships/hyperlink" TargetMode="External" Target="https://www.e-tar.lt/portal/lt/legalAct/TAR.DC61D74561C5"/>
  <Relationship Id="rId91" Type="http://schemas.openxmlformats.org/officeDocument/2006/relationships/hyperlink" TargetMode="External" Target="https://www.e-tar.lt/portal/lt/legalAct/TAR.DC61D74561C5"/>
  <Relationship Id="rId92" Type="http://schemas.openxmlformats.org/officeDocument/2006/relationships/hyperlink" TargetMode="External" Target="https://www.e-tar.lt/portal/lt/legalAct/TAR.9A2A80746DED"/>
  <Relationship Id="rId93" Type="http://schemas.openxmlformats.org/officeDocument/2006/relationships/hyperlink" TargetMode="External" Target="https://www.e-tar.lt/portal/lt/legalAct/TAR.F7E759DF5DFE"/>
  <Relationship Id="rId94" Type="http://schemas.openxmlformats.org/officeDocument/2006/relationships/hyperlink" TargetMode="External" Target="https://www.e-tar.lt/portal/lt/legalAct/TAR.DC61D74561C5"/>
  <Relationship Id="rId95" Type="http://schemas.openxmlformats.org/officeDocument/2006/relationships/hyperlink" TargetMode="External" Target="https://www.e-tar.lt/portal/lt/legalAct/TAR.9A2A80746DED"/>
  <Relationship Id="rId96" Type="http://schemas.openxmlformats.org/officeDocument/2006/relationships/hyperlink" TargetMode="External" Target="https://www.e-tar.lt/portal/lt/legalAct/TAR.F7E759DF5DFE"/>
  <Relationship Id="rId97" Type="http://schemas.openxmlformats.org/officeDocument/2006/relationships/hyperlink" TargetMode="External" Target="https://www.e-tar.lt/portal/lt/legalAct/TAR.C6E4170DB704"/>
  <Relationship Id="rId98" Type="http://schemas.openxmlformats.org/officeDocument/2006/relationships/hyperlink" TargetMode="External" Target="https://www.e-tar.lt/portal/lt/legalAct/TAR.6CFC2AC8617C"/>
  <Relationship Id="rId99" Type="http://schemas.openxmlformats.org/officeDocument/2006/relationships/hyperlink" TargetMode="External" Target="https://www.e-tar.lt/portal/lt/legalAct/TAR.9BB254501DB8"/>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858ccc378d1b4def9d5409f053bb13fe"/>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b31b47089825415abd49b95f4dd3da77">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682b3a33a62a41e7970732757e845b61"/>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ca7a93b731ba4db6b5a98275787d8727"/>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IR PILNAMEČIŲ MOKINIŲ, UGDOMŲ PAGAL BENDROJO UGDYMO PROGRAMAS, SVEIKATOS TIKRINIMO TVARKOS APRAŠAS“." DocPartId="957f1ca1d35843c095d59efb3391897b" PartId="18225d26d56947acbae7769530b8bb7f">
    <Part Type="skyrius" Nr="1" Title="BENDROSIOS NUOSTATOS" DocPartId="b1bd943a9cb3438cbcffec59d8a908c3" PartId="fb9892e1576644058c6853638be99e39">
      <Part Type="punktas" Nr="1" Abbr="3 pr. 1 p." DocPartId="f47ec5286eab443f84402d759a9f973b" PartId="e590613e73de43299d891ecef0c98105"/>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df2ce585f04e4a6f8a69076c298ca8ae"/>
      <Part Type="punktas" Nr="4" Abbr="3 pr. 4 p." DocPartId="031fdee77b464e4480325b643f0ebb6f" PartId="7767116a6d7b474bb402dd02a0a65f23"/>
      <Part Type="punktas" Nr="5" Abbr="3 pr. 5 p." DocPartId="f3fa9def604b4067bc8299f983298f97" PartId="3d3645cb4b694f6d91dc1f0ead9a6363"/>
      <Part Type="punktas" Nr="6" Abbr="3 pr. 6 p." DocPartId="a29a76e1d0b749a6b0405e1e09c8d3a3" PartId="5538dd5c1be44eb393b0a441d008c534"/>
      <Part Type="punktas" Nr="7" Abbr="3 pr. 7 p." DocPartId="f870ea9c504548d18718fc91a1123db2" PartId="5c4cbf7f3d07488aa9be70f64d1e484f"/>
    </Part>
    <Part Type="skyrius" Nr="2" Title="„II SKYRIUS PROFILAKTINIO VAIKŲ IR PILNAMEČIŲ MOKINIŲ SVEIKATOS TIKRINIMO REIKALAVIMAI IR TVARKA“." DocPartId="39ef3160c86f43a9b5140602e0089922" PartId="97c9cc681b0b45a7acdd644c2ea8af2b">
      <Part Type="punktas" Nr="8" Abbr="3 pr. 8 p." DocPartId="748a56fcbb6d45359c1e487dd69d3244" PartId="80c2a14edf654891af57d9a15daf0c88"/>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78afa658c5ae46fcb2aff0d334850b90"/>
      <Part Type="punktas" Nr="12" Abbr="3 pr. 12 p." DocPartId="bbc759109d7449e18efb7fbf89762723" PartId="ac4b335ebf334e7f830d129ce14a4153"/>
      <Part Type="punktas" Nr="13" Abbr="3 pr. 13 p." DocPartId="0ed9939918314609bb405e4c20dfb5b4" PartId="81a3b019ba60423d9c4df432dbebe34b">
        <Part Type="papunktis" Nr="13.1" Abbr="13.1 pp." DocPartId="9815c1f976a04baa85f0dfecf180a762" PartId="19a76c172fa24a5ca7fa7adf8f4781b3"/>
        <Part Type="papunktis" Nr="13.2" Abbr="13.2 pp." DocPartId="d287b8d551ed469690ee34be0d5aee69" PartId="7d21c345854143d1a9f6a8c2364ed73f"/>
      </Part>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fa627178b95c4d7fbac4bbaa65423f8f"/>
      <Part Type="punktas" Nr="26-1" Abbr="26-1 p." DocPartId="4fbec3e7c0a4427885c0f6fc44619dd7" PartId="3a83b56652c443d19faa6fc3a71ad132"/>
      <Part Type="punktas" Nr="27" Abbr="3 pr. 27 p." DocPartId="194eeefd93fb41cfae08eacb28b1763b" PartId="8d2b7b70ce7c406ea672890a3bf6084a"/>
      <Part Type="punktas" Nr="28" Abbr="3 pr. 28 p." DocPartId="63d2abdaaaf2445aa96a8c379b2c2efe" PartId="7e98687be84a48ca85ac6bacae23fceb"/>
      <Part Type="punktas" Nr="29" Abbr="3 pr. 29 p." DocPartId="37097c65c0b940e39b6a8fb07d4cdca6" PartId="8555f97a3262479ba5fb4e463a613e5d"/>
      <Part Type="punktas" Nr="30" Abbr="3 pr. 30 p." DocPartId="0804394be4c641a3947b3e529b317296" PartId="fbfc8fe1fcff4eda8a8b2a87b2d3d1e5"/>
    </Part>
  </Part>
  <Part Type="priedas" Nr="1" Abbr="1 pr." Title="PROFILAKTINIO VAIKŲ SVEIKATOS TIKRINIMO REIKALAVIMAI" DocPartId="ac2b2da24049474eae9a2f50226f9ad7" PartId="0118e110bc114001937696f02abc728d"/>
  <Part Type="priedas" Nr="2" Abbr="2 pr." Title="VAIKO PSICHOMOTORINĖS RAIDOS TIKRINIMO LAPAS (KŪDIKIS)" DocPartId="c8665e5b69ff4dceac89b89c0be3ac6c" PartId="7bf9660fd8584eef935ed014ecc3f288"/>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7832cf9f997842f6b87a4c44df0962ea">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7de7cb5508eb4487b95e24594c81804a"/>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da39e86e0365404c80191091e05e5124"/>
  <Part Type="lentele" Nr="2" Title="TRANSPORTO PRIEMONIŲ KATEGORIJOS, MINIMALUS VAIRUOTOJŲ AMŽIUS" DocPartId="36fd42b018aa4aae9c5fe82f72c4dc0e" PartId="ddcc24f42f904bf2be6b0a71cb6b7ac0"/>
  <Part Type="lentele" Nr="3" Title="MINIMALIOS FIZINIO IR PSICHIKOS TINKAMUMO NORMOS, TAIKOMOS ASMENIMS, VAIRUOJANTIEMS VARIKLIO VAROMĄ TRANSPORTO PRIEMONĘ" DocPartId="4f0a5ac065614e669245fb31f1e590cc" PartId="e950408d9c76469d9e0c98fd7189996e">
    <Part Type="pastraipa" DocPartId="557567d3ded24cc8a831a99680be6b7b" PartId="a12a5cc77725464ab3061b5460210de5"/>
    <Part Type="punktas" Nr="1" Abbr="1 p." DocPartId="11f675b1e99f4a58bc0fcdd411f2f896" PartId="91f7c691844a4270896e1adf8e1ddf81"/>
    <Part Type="punktas" Nr="2" Abbr="2 p." DocPartId="5ecaa926b6444e0fbb5b5057a7e87da3" PartId="95dab9f62a8746c5b88ee15bc28813f8"/>
    <Part Type="punktas" Nr="3" Abbr="3 p." DocPartId="15e15844b787420c998fe34c2343d55f" PartId="91c0a009624d44db9eaeb52843343851"/>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VAIRUOTOJUI TAIKOMŲ APRIBOJIMŲ KODAI" DocPartId="5c01a10416c64c96ae9969ff1fbc7648" PartId="f99f630dd4494ea8a0278039b27fdecd"/>
  <Part Type="priedas" DocPartId="9e4d5731f64e4611b658ef00b9e5bb43" PartId="cacbc32b0b034471ad3812d97292a3b6"/>
  <Part Type="priedas" Nr="8" Abbr="8 pr." DocPartId="5138adef28ff4ffe832acd60005e49ed" PartId="55fd7fe9e33046209ea3009aeaa8b7b7"/>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43cc33497961491f8cea2b436cc9b0bd">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e0fe783483e94590bd203414eeb08ebb"/>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cdff958ff76f44e9a2f2b5d9532b319d"/>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2529ba8d4c5d4cfdba2ff4d9ff535b70"/>
        <Part Type="papunktis" Nr="9.5" Abbr="9.5 pp." DocPartId="eb8fcbc1df6d47f585396b858e119f3f" PartId="ecd90fb37b19407e839b28c2474140b8"/>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a3d877e0cd114ec892d3b01867b1eae1">
        <Part Type="papunktis" Nr="19.1" Abbr="19.1 pp." DocPartId="9edb485ad67c42398f80f78422ba7f67" PartId="cb8ee80f82084bbdb61b058855fd2eb7"/>
        <Part Type="papunktis" Nr="19.2" Abbr="19.2 pp." DocPartId="d9d6907d6ab44feba4e3c6224f380d13" PartId="9bcbc80f0fb3408590d5644c6802337a"/>
        <Part Type="papunktis" Nr="19.3" Abbr="19.3 pp." DocPartId="ea82319a690b40ac824144f9602bd27b" PartId="edf1b7aac38647e38f2f74d57fc0cfde"/>
      </Part>
      <Part Type="punktas" Nr="19-1" Abbr="19-1 p." DocPartId="53fe2a66ed2546f7878ae649522397c8" PartId="e186288a75384c44be0e92e8c774ce25"/>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4fe74421a0e5406a99443c2f7d4f5184"/>
  </Part>
</Parts>
</file>

<file path=customXml/itemProps1.xml><?xml version="1.0" encoding="utf-8"?>
<ds:datastoreItem xmlns:ds="http://schemas.openxmlformats.org/officeDocument/2006/customXml" ds:itemID="{0E35BBDE-0131-4D56-B085-5F5F04007C55}">
  <ds:schemaRefs>
    <ds:schemaRef ds:uri="http://lrs.lt/TAIS/DocParts"/>
  </ds:schemaRefs>
</ds:datastoreItem>
</file>

<file path=docProps/app.xml><?xml version="1.0" encoding="utf-8"?>
<Properties xmlns="http://schemas.openxmlformats.org/officeDocument/2006/extended-properties">
  <Template>Normal.dotm</Template>
  <TotalTime>185</TotalTime>
  <Pages>234</Pages>
  <Words>302352</Words>
  <Characters>172342</Characters>
  <Application>Microsoft Office Word</Application>
  <DocSecurity>0</DocSecurity>
  <Lines>1436</Lines>
  <Paragraphs>947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473747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TAMALIŪNIENĖ Vilija</lastModifiedBy>
  <dcterms:modified xsi:type="dcterms:W3CDTF">2020-01-10T08:37:00Z</dcterms:modified>
  <revision>116</revision>
</coreProperties>
</file>