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2018-05-01 iki 2018-09-04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df3f94c76e574a73a302e745485559a0"/>
                <w:lock w:val="sdtLocked"/>
                <w:richText/>
              </w:sdtPr>
              <w:sdtContent>
                <w:p>
                  <w:pPr>
                    <w:ind w:firstLine="709"/>
                    <w:jc w:val="both"/>
                    <w:rPr>
                      <w:color w:val="000000"/>
                    </w:rPr>
                  </w:pPr>
                  <w:sdt>
                    <w:sdtPr>
                      <w:alias w:val="Numeris"/>
                      <w:tag w:val="nr_df3f94c76e574a73a302e745485559a0"/>
                      <w:lock w:val="sdtLocked"/>
                      <w:richText/>
                    </w:sdtPr>
                    <w:sdtContent>
                      <w:r>
                        <w:rPr>
                          <w:szCs w:val="24"/>
                        </w:rPr>
                        <w:t>1.3</w:t>
                      </w:r>
                    </w:sdtContent>
                  </w:sdt>
                  <w:r>
                    <w:rPr>
                      <w:szCs w:val="24"/>
                    </w:rPr>
                    <w:t xml:space="preserve">. </w:t>
                  </w:r>
                  <w:r>
                    <w:rPr>
                      <w:color w:val="000000"/>
                      <w:szCs w:val="24"/>
                    </w:rPr>
                    <w:t xml:space="preserve">Vaikų sveikatos tikrinimo </w:t>
                  </w:r>
                  <w:r>
                    <w:rPr>
                      <w:szCs w:val="24"/>
                    </w:rPr>
                    <w:t>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55634dd1d6a4430997190d93fb1415a8"/>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55634dd1d6a4430997190d93fb1415a8"/>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55634dd1d6a4430997190d93fb1415a8"/>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700d9c8174d24f52b0626b1e2c6e94be"/>
                    <w:lock w:val="sdtLocked"/>
                    <w:richText/>
                  </w:sdtPr>
                  <w:sdtContent>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700d9c8174d24f52b0626b1e2c6e94be"/>
                          <w:lock w:val="sdtLocked"/>
                          <w:richText/>
                        </w:sdtPr>
                        <w:sdtContent>
                          <w:r>
                            <w:rPr>
                              <w:szCs w:val="24"/>
                            </w:rPr>
                            <w:t>5.3</w:t>
                          </w:r>
                        </w:sdtContent>
                      </w:sdt>
                      <w:r>
                        <w:rPr>
                          <w:szCs w:val="24"/>
                        </w:rPr>
                        <w:t xml:space="preserve">. Profilaktinių sveikatos tikrinimų kainos ir gydytojų specialistų, teikiančių profilaktinių sveikatos tikrinimų paslaugas, apmokamas iš privalomojo sveikatos draudimo fondo biudžeto, paslaugų kainos (18 priedas) </w:t>
                      </w:r>
                      <w:r>
                        <w:rPr>
                          <w:szCs w:val="24"/>
                          <w:lang w:eastAsia="lt-LT"/>
                        </w:rPr>
                        <w:t>patvirtintos Lietuvos Respublikos sveikatos apsaugos ministro 2000 m. gegužės 31 d. įsakymu Nr. 301 „Dėl profilaktinių sveikatos tikrinimų sveikatos priežiūros įstaigose“,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ir iš naujo tvirtinamos ministro įsakymu. Kainos gali būti indeksuojamos, kai koeficientas yra ne mažesnis kaip 1,2</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b999c697f7a2418a9cc2ea2c6af5b08a"/>
        <w:lock w:val="sdtLocked"/>
        <w:richText/>
      </w:sdtPr>
      <w:sdtContent>
        <w:p>
          <w:pPr>
            <w:tabs>
              <w:tab w:val="left" w:pos="6521"/>
            </w:tabs>
            <w:ind w:left="3888" w:firstLine="2633"/>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b999c697f7a2418a9cc2ea2c6af5b08a"/>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b999c697f7a2418a9cc2ea2c6af5b08a"/>
              <w:lock w:val="sdtLocked"/>
              <w:richText/>
            </w:sdtPr>
            <w:sdtContent>
              <w:r>
                <w:rPr>
                  <w:b/>
                  <w:caps/>
                  <w:color w:val="000000"/>
                  <w:szCs w:val="24"/>
                </w:rPr>
                <w:t>VAIKŲ SVEIKATOS TIKRINIMO TVARKOS APRAŠAS</w:t>
              </w:r>
            </w:sdtContent>
          </w:sdt>
        </w:p>
        <w:p>
          <w:pPr>
            <w:snapToGrid w:val="0"/>
            <w:jc w:val="center"/>
            <w:rPr>
              <w:color w:val="000000"/>
              <w:szCs w:val="24"/>
            </w:rPr>
          </w:pPr>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cc513f53c3da49a885e4bddf1993b60f"/>
                <w:lock w:val="sdtLocked"/>
                <w:richText/>
              </w:sdtPr>
              <w:sdtContent>
                <w:p>
                  <w:pPr>
                    <w:ind w:firstLine="851"/>
                    <w:jc w:val="both"/>
                    <w:rPr>
                      <w:szCs w:val="24"/>
                    </w:rPr>
                  </w:pPr>
                  <w:sdt>
                    <w:sdtPr>
                      <w:alias w:val="Numeris"/>
                      <w:tag w:val="nr_cc513f53c3da49a885e4bddf1993b60f"/>
                      <w:lock w:val="sdtLocked"/>
                      <w:richText/>
                    </w:sdtPr>
                    <w:sdtContent>
                      <w:r>
                        <w:rPr>
                          <w:color w:val="000000"/>
                          <w:szCs w:val="24"/>
                        </w:rPr>
                        <w:t>1</w:t>
                      </w:r>
                    </w:sdtContent>
                  </w:sdt>
                  <w:r>
                    <w:rPr>
                      <w:color w:val="000000"/>
                      <w:szCs w:val="24"/>
                    </w:rPr>
                    <w:t xml:space="preserve">. Vaikų sveikatos tikrinimo tvarkos aprašas (toliau – Aprašas) nustato </w:t>
                  </w:r>
                  <w:r>
                    <w:rPr>
                      <w:szCs w:val="24"/>
                    </w:rPr>
                    <w:t>privalomo profilaktinio vaikų sveikatos bei ankstyvojo amžiaus v</w:t>
                  </w:r>
                  <w:r>
                    <w:rPr>
                      <w:color w:val="000000"/>
                      <w:szCs w:val="24"/>
                    </w:rPr>
                    <w:t xml:space="preserve">aikų (iki 4 metų) psichomotorinės raidos tikrinimo </w:t>
                  </w:r>
                  <w:r>
                    <w:rPr>
                      <w:szCs w:val="24"/>
                    </w:rPr>
                    <w:t>reikalavimus,</w:t>
                  </w:r>
                  <w:r>
                    <w:rPr>
                      <w:color w:val="000000"/>
                      <w:szCs w:val="24"/>
                    </w:rPr>
                    <w:t xml:space="preserve"> šių paslaugų teikimo tvarką </w:t>
                  </w:r>
                  <w:r>
                    <w:rPr>
                      <w:szCs w:val="24"/>
                    </w:rPr>
                    <w:t xml:space="preserve">ir Vaiko sveikatos pažymėjimo, </w:t>
                  </w:r>
                  <w:r>
                    <w:rPr>
                      <w:color w:val="000000"/>
                      <w:szCs w:val="24"/>
                    </w:rPr>
                    <w:t>kurio forma patvirtinta Lietuvos Respublikos sveikatos apsaugos ministro 2004 m. gruodžio 24 d. įsakymu Nr. V-951 „Dėl statistinės apskaitos formos Nr. 027-1/a „Vaiko sveikatos pažymėjimas“ patvirtinimo“ (toliau – Vaiko sveikatos pažymėjimas),</w:t>
                  </w:r>
                  <w:r>
                    <w:rPr>
                      <w:szCs w:val="24"/>
                    </w:rPr>
                    <w:t xml:space="preserve"> išdavimo tvarką.</w:t>
                  </w:r>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33cefe65d2e548b0a2ddcb315e959d63"/>
                <w:lock w:val="sdtLocked"/>
                <w:richText/>
              </w:sdtPr>
              <w:sdtContent>
                <w:p>
                  <w:pPr>
                    <w:tabs>
                      <w:tab w:val="left" w:pos="851"/>
                    </w:tabs>
                    <w:ind w:firstLine="851"/>
                    <w:jc w:val="both"/>
                    <w:rPr>
                      <w:szCs w:val="24"/>
                    </w:rPr>
                  </w:pPr>
                  <w:sdt>
                    <w:sdtPr>
                      <w:alias w:val="Numeris"/>
                      <w:tag w:val="nr_33cefe65d2e548b0a2ddcb315e959d63"/>
                      <w:lock w:val="sdtLocked"/>
                      <w:richText/>
                    </w:sdtPr>
                    <w:sdtContent>
                      <w:r>
                        <w:rPr>
                          <w:szCs w:val="24"/>
                        </w:rPr>
                        <w:t>3</w:t>
                      </w:r>
                    </w:sdtContent>
                  </w:sdt>
                  <w:r>
                    <w:rPr>
                      <w:szCs w:val="24"/>
                    </w:rPr>
                    <w:t xml:space="preserve">. </w:t>
                  </w:r>
                  <w:r>
                    <w:rPr>
                      <w:color w:val="000000"/>
                      <w:szCs w:val="24"/>
                    </w:rPr>
                    <w:t>Apraše nustatyto profilaktinio vaikų s</w:t>
                  </w:r>
                  <w:r>
                    <w:rPr>
                      <w:szCs w:val="24"/>
                    </w:rPr>
                    <w:t xml:space="preserve">veikatos  tikrinimo tikslas – išaiškinti ir koreguoti rizikos sveikatai veiksnius, nustatyti, ar vaiko sveikatos būklė atitinka jo augimo ir brendimo pagal amžių ir lytį normatyvus, ar  dėl sveikatos būklės tikrinamas asmuo gali lankyti švietimo įstaigą ar  pan. </w:t>
                  </w:r>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f9fe4804e81541b98369ed5352b1fff9"/>
                <w:lock w:val="sdtLocked"/>
                <w:richText/>
              </w:sdtPr>
              <w:sdtContent>
                <w:p>
                  <w:pPr>
                    <w:tabs>
                      <w:tab w:val="left" w:pos="851"/>
                    </w:tabs>
                    <w:ind w:firstLine="851"/>
                    <w:jc w:val="both"/>
                    <w:rPr>
                      <w:color w:val="000000"/>
                      <w:szCs w:val="24"/>
                    </w:rPr>
                  </w:pPr>
                  <w:sdt>
                    <w:sdtPr>
                      <w:alias w:val="Numeris"/>
                      <w:tag w:val="nr_f9fe4804e81541b98369ed5352b1fff9"/>
                      <w:lock w:val="sdtLocked"/>
                      <w:richText/>
                    </w:sdtPr>
                    <w:sdtContent>
                      <w:r>
                        <w:rPr>
                          <w:szCs w:val="24"/>
                        </w:rPr>
                        <w:t>5</w:t>
                      </w:r>
                    </w:sdtContent>
                  </w:sdt>
                  <w:r>
                    <w:rPr>
                      <w:szCs w:val="24"/>
                    </w:rPr>
                    <w:t>.</w:t>
                  </w:r>
                  <w:r>
                    <w:rPr>
                      <w:bCs/>
                      <w:color w:val="000000"/>
                      <w:szCs w:val="24"/>
                    </w:rPr>
                    <w:t xml:space="preserve"> </w:t>
                  </w:r>
                  <w:r>
                    <w:rPr>
                      <w:color w:val="000000"/>
                      <w:szCs w:val="24"/>
                    </w:rPr>
                    <w:t xml:space="preserve">Vaikų </w:t>
                  </w:r>
                  <w:r>
                    <w:rPr>
                      <w:szCs w:val="24"/>
                    </w:rPr>
                    <w:t>sveikatos ir psichomotorinės raidos tikrinimas</w:t>
                  </w:r>
                  <w:r>
                    <w:rPr>
                      <w:color w:val="000000"/>
                      <w:szCs w:val="24"/>
                    </w:rPr>
                    <w:t xml:space="preserve"> </w:t>
                  </w:r>
                  <w:r>
                    <w:rPr>
                      <w:bCs/>
                      <w:color w:val="000000"/>
                      <w:szCs w:val="24"/>
                    </w:rPr>
                    <w:t>atliekamas įstaigoje, turinčioje licenciją teikti asmens sveikatos priežiūros paslaugas (toliau – ASPĮ),</w:t>
                  </w:r>
                  <w:r>
                    <w:rPr>
                      <w:color w:val="000000"/>
                      <w:szCs w:val="24"/>
                    </w:rPr>
                    <w:t xml:space="preserve"> kurioje vaikas yra prirašytas Lietuvos Respublikos sveikatos apsaugos ministro 2001 m. lapkričio 9 d. įsakymo Nr. 583 „Dėl gyventojų prisirašymo prie pirminės asmens sveikatos priežiūros įstaigų tvarkos“ nustatyta tvarka (toliau – prirašytas). Tikrinimą atlieka šeimos medicinos paslaugas teikiantis šeimos gydytojas ar vaikų ligų gydytojas, kurį pacientas (jo tėvai ar kiti atstovai pagal įstatymą) yra pasirinkęs. </w:t>
                  </w:r>
                </w:p>
              </w:sdtContent>
            </w:sdt>
            <w:sdt>
              <w:sdtPr>
                <w:alias w:val="3 pr. 6 p."/>
                <w:tag w:val="part_185bd53580d546b69fa6925ef0f94164"/>
                <w:lock w:val="sdtLocked"/>
                <w:richText/>
              </w:sdtPr>
              <w:sdtContent>
                <w:p>
                  <w:pPr>
                    <w:tabs>
                      <w:tab w:val="left" w:pos="851"/>
                    </w:tabs>
                    <w:ind w:firstLine="851"/>
                    <w:jc w:val="both"/>
                    <w:rPr>
                      <w:color w:val="000000"/>
                      <w:szCs w:val="24"/>
                    </w:rPr>
                  </w:pPr>
                  <w:sdt>
                    <w:sdtPr>
                      <w:alias w:val="Numeris"/>
                      <w:tag w:val="nr_185bd53580d546b69fa6925ef0f94164"/>
                      <w:lock w:val="sdtLocked"/>
                      <w:richText/>
                    </w:sdtPr>
                    <w:sdtContent>
                      <w:r>
                        <w:rPr>
                          <w:color w:val="000000"/>
                          <w:szCs w:val="24"/>
                        </w:rPr>
                        <w:t>6</w:t>
                      </w:r>
                    </w:sdtContent>
                  </w:sdt>
                  <w:r>
                    <w:rPr>
                      <w:color w:val="000000"/>
                      <w:szCs w:val="24"/>
                    </w:rPr>
                    <w:t>.</w:t>
                  </w:r>
                  <w:r>
                    <w:rPr>
                      <w:szCs w:val="24"/>
                    </w:rPr>
                    <w:t xml:space="preserve"> </w:t>
                  </w:r>
                  <w:r>
                    <w:rPr>
                      <w:color w:val="000000"/>
                      <w:szCs w:val="24"/>
                    </w:rPr>
                    <w:t xml:space="preserve">Vaikų dantų ir burnos higienos būklę pagal kompetenciją tikrina ir </w:t>
                  </w:r>
                  <w:r>
                    <w:rPr>
                      <w:szCs w:val="24"/>
                      <w:lang w:eastAsia="lt-LT"/>
                    </w:rPr>
                    <w:t xml:space="preserve">informavimo </w:t>
                  </w:r>
                  <w:r>
                    <w:rPr>
                      <w:color w:val="000000"/>
                      <w:szCs w:val="24"/>
                    </w:rPr>
                    <w:t xml:space="preserve">dantų ir burnos </w:t>
                  </w:r>
                  <w:r>
                    <w:rPr>
                      <w:szCs w:val="24"/>
                      <w:lang w:eastAsia="lt-LT"/>
                    </w:rPr>
                    <w:t>ligų profilaktikos klausimais</w:t>
                  </w:r>
                  <w:r>
                    <w:rPr>
                      <w:color w:val="000000"/>
                      <w:szCs w:val="24"/>
                    </w:rPr>
                    <w:t xml:space="preserve"> </w:t>
                  </w:r>
                  <w:r>
                    <w:rPr>
                      <w:szCs w:val="24"/>
                      <w:lang w:eastAsia="lt-LT"/>
                    </w:rPr>
                    <w:t>paslaugą</w:t>
                  </w:r>
                  <w:r>
                    <w:rPr>
                      <w:color w:val="000000"/>
                      <w:szCs w:val="24"/>
                    </w:rPr>
                    <w:t xml:space="preserve"> teikia gydytojas odontologas arba gydytojas odontologas specialistas, arba burnos higienistas </w:t>
                  </w:r>
                  <w:r>
                    <w:rPr>
                      <w:szCs w:val="24"/>
                    </w:rPr>
                    <w:t>ASPĮ, teikiančiose pirminės odontologinės sveikatos priežiūros paslaugas</w:t>
                  </w:r>
                  <w:r>
                    <w:rPr>
                      <w:color w:val="000000"/>
                      <w:szCs w:val="24"/>
                    </w:rPr>
                    <w:t xml:space="preserve">. </w:t>
                  </w:r>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d59f22e92b2f46e28799dfa133393fba"/>
            <w:lock w:val="sdtLocked"/>
            <w:richText/>
          </w:sdtPr>
          <w:sdtContent>
            <w:p>
              <w:pPr>
                <w:ind w:left="360"/>
                <w:jc w:val="center"/>
                <w:rPr>
                  <w:b/>
                  <w:caps/>
                  <w:color w:val="000000"/>
                  <w:szCs w:val="24"/>
                </w:rPr>
              </w:pPr>
              <w:sdt>
                <w:sdtPr>
                  <w:alias w:val="Numeris"/>
                  <w:tag w:val="nr_d59f22e92b2f46e28799dfa133393fba"/>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d59f22e92b2f46e28799dfa133393fba"/>
                  <w:lock w:val="sdtLocked"/>
                  <w:richText/>
                </w:sdtPr>
                <w:sdtContent>
                  <w:r>
                    <w:rPr>
                      <w:b/>
                      <w:caps/>
                      <w:szCs w:val="24"/>
                    </w:rPr>
                    <w:t xml:space="preserve">profilaktinio VAIKų sveikatos tikrinimo </w:t>
                  </w:r>
                  <w:r>
                    <w:rPr>
                      <w:b/>
                      <w:color w:val="000000"/>
                      <w:szCs w:val="24"/>
                    </w:rPr>
                    <w:t xml:space="preserve">REIKALAVIMAI IR TVARKA </w:t>
                  </w:r>
                </w:sdtContent>
              </w:sdt>
            </w:p>
            <w:p>
              <w:pPr>
                <w:ind w:left="360"/>
                <w:jc w:val="center"/>
                <w:rPr>
                  <w:b/>
                  <w:caps/>
                  <w:color w:val="000000"/>
                  <w:szCs w:val="24"/>
                </w:rPr>
              </w:pPr>
            </w:p>
            <w:sdt>
              <w:sdtPr>
                <w:alias w:val="3 pr. 8 p."/>
                <w:tag w:val="part_d8f9dd757e6f4d5c96b9063c3fb24197"/>
                <w:lock w:val="sdtLocked"/>
                <w:richText/>
              </w:sdtPr>
              <w:sdtContent>
                <w:p>
                  <w:pPr>
                    <w:tabs>
                      <w:tab w:val="left" w:pos="851"/>
                    </w:tabs>
                    <w:ind w:right="181" w:firstLine="851"/>
                    <w:jc w:val="both"/>
                    <w:rPr>
                      <w:szCs w:val="24"/>
                    </w:rPr>
                  </w:pPr>
                  <w:sdt>
                    <w:sdtPr>
                      <w:alias w:val="Numeris"/>
                      <w:tag w:val="nr_d8f9dd757e6f4d5c96b9063c3fb24197"/>
                      <w:lock w:val="sdtLocked"/>
                      <w:richText/>
                    </w:sdtPr>
                    <w:sdtContent>
                      <w:r>
                        <w:rPr>
                          <w:szCs w:val="24"/>
                        </w:rPr>
                        <w:t>8</w:t>
                      </w:r>
                    </w:sdtContent>
                  </w:sdt>
                  <w:r>
                    <w:rPr>
                      <w:szCs w:val="24"/>
                    </w:rPr>
                    <w:t>. Profilaktinio vaikų sveikatos tikrinimo reikalavimai taikomi sveikatos priežiūrai ir profilaktiniam sveikatos tikrinimui, nustatyti Aprašo 1 priede.</w:t>
                  </w:r>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50f14ce8da11470b8412136c5276bfb7"/>
                <w:lock w:val="sdtLocked"/>
                <w:richText/>
              </w:sdtPr>
              <w:sdtContent>
                <w:p>
                  <w:pPr>
                    <w:ind w:right="-1" w:firstLine="851"/>
                    <w:jc w:val="both"/>
                    <w:rPr>
                      <w:color w:val="000000"/>
                      <w:szCs w:val="24"/>
                    </w:rPr>
                  </w:pPr>
                  <w:sdt>
                    <w:sdtPr>
                      <w:alias w:val="Numeris"/>
                      <w:tag w:val="nr_50f14ce8da11470b8412136c5276bfb7"/>
                      <w:lock w:val="sdtLocked"/>
                      <w:richText/>
                    </w:sdtPr>
                    <w:sdtContent>
                      <w:r>
                        <w:rPr>
                          <w:color w:val="000000"/>
                          <w:szCs w:val="24"/>
                        </w:rPr>
                        <w:t>11</w:t>
                      </w:r>
                    </w:sdtContent>
                  </w:sdt>
                  <w:r>
                    <w:rPr>
                      <w:color w:val="000000"/>
                      <w:szCs w:val="24"/>
                    </w:rPr>
                    <w:t xml:space="preserve">. Fizinio pajėgumo grupė, kurioje vaikui rekomenduojama dalyvauti kūno kultūros pamokose, nustatoma vadovaujantis Lietuvos Respublikos švietimo ir mokslo ministerijos metodinėmis rekomendacijomis „Kūno kultūra silpnesnės sveikatos moksleiviams“ (1999 m., antrasis leidimas 2003 m). </w:t>
                  </w:r>
                </w:p>
              </w:sdtContent>
            </w:sdt>
            <w:sdt>
              <w:sdtPr>
                <w:alias w:val="3 pr. 12 p."/>
                <w:tag w:val="part_267899b61502415b87b0986c337f4761"/>
                <w:lock w:val="sdtLocked"/>
                <w:richText/>
              </w:sdtPr>
              <w:sdtContent>
                <w:p>
                  <w:pPr>
                    <w:ind w:firstLine="851"/>
                    <w:jc w:val="both"/>
                    <w:rPr>
                      <w:color w:val="000000"/>
                      <w:szCs w:val="24"/>
                    </w:rPr>
                  </w:pPr>
                  <w:sdt>
                    <w:sdtPr>
                      <w:alias w:val="Numeris"/>
                      <w:tag w:val="nr_267899b61502415b87b0986c337f4761"/>
                      <w:lock w:val="sdtLocked"/>
                      <w:richText/>
                    </w:sdtPr>
                    <w:sdtContent>
                      <w:r>
                        <w:rPr>
                          <w:color w:val="000000"/>
                          <w:szCs w:val="24"/>
                        </w:rPr>
                        <w:t>12</w:t>
                      </w:r>
                    </w:sdtContent>
                  </w:sdt>
                  <w:r>
                    <w:rPr>
                      <w:color w:val="000000"/>
                      <w:szCs w:val="24"/>
                    </w:rPr>
                    <w:t xml:space="preserve">. Vaikas, jo tėvai ar kiti atstovai pagal įstatymą </w:t>
                  </w:r>
                  <w:r>
                    <w:rPr>
                      <w:szCs w:val="24"/>
                    </w:rPr>
                    <w:t>ASPĮ</w:t>
                  </w:r>
                  <w:r>
                    <w:rPr>
                      <w:color w:val="000000"/>
                      <w:szCs w:val="24"/>
                    </w:rPr>
                    <w:t xml:space="preserve"> informuojami apie higienos įgūdžius, o švietimo ar kitą ugdymo įstaigą lankančio vaiko tėvai ar kiti atstovai pagal įstatymą informuojami, kaip nuolat prižiūrėti odą, nagus, plaukus, kaip tikrinti dėl utėlių ir niežų.</w:t>
                  </w:r>
                </w:p>
              </w:sdtContent>
            </w:sdt>
            <w:sdt>
              <w:sdtPr>
                <w:alias w:val="3 pr. 13 p."/>
                <w:tag w:val="part_43fadf72fcf74807acdb751e795d1db7"/>
                <w:lock w:val="sdtLocked"/>
                <w:richText/>
              </w:sdtPr>
              <w:sdtContent>
                <w:p>
                  <w:pPr>
                    <w:ind w:firstLine="851"/>
                    <w:jc w:val="both"/>
                    <w:rPr>
                      <w:color w:val="000000"/>
                      <w:szCs w:val="24"/>
                    </w:rPr>
                  </w:pPr>
                  <w:sdt>
                    <w:sdtPr>
                      <w:alias w:val="Numeris"/>
                      <w:tag w:val="nr_43fadf72fcf74807acdb751e795d1db7"/>
                      <w:lock w:val="sdtLocked"/>
                      <w:richText/>
                    </w:sdtPr>
                    <w:sdtContent>
                      <w:r>
                        <w:rPr>
                          <w:color w:val="000000"/>
                          <w:szCs w:val="24"/>
                        </w:rPr>
                        <w:t>13</w:t>
                      </w:r>
                    </w:sdtContent>
                  </w:sdt>
                  <w:r>
                    <w:rPr>
                      <w:color w:val="000000"/>
                      <w:szCs w:val="24"/>
                    </w:rPr>
                    <w:t>. Duomenis apie profilaktinį vaiko sveikatos tikrinimą Aprašo 5 ir 6 punktuose bei Aprašo 1 priede nurodyti specialistai įrašo į Vaiko sveikatos raidos istoriją, kurios forma patvirtinta Lietuvos Respublikos sveikatos apsaugos ministro 2014 m. sausio 27 d. įsakymu Nr. V-120 „Dėl privalomų sveikatos statistikos apskaitos ir kitų tipinių formų bei privalomų sveikatos statistikos ataskaitų formų patvirtinimo“ (toliau – forma Nr. 025-112/a), saugomą ASPĮ, kurioje tikrinama vaiko sveikata.</w:t>
                  </w:r>
                </w:p>
                <w:p>
                  <w:pPr>
                    <w:tabs>
                      <w:tab w:val="left" w:pos="600"/>
                    </w:tabs>
                    <w:jc w:val="both"/>
                    <w:rPr>
                      <w:color w:val="000000"/>
                      <w:szCs w:val="24"/>
                    </w:rPr>
                  </w:pPr>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23d5156f329448e2926c33d3cc40d922"/>
                <w:lock w:val="sdtLocked"/>
                <w:richText/>
              </w:sdtPr>
              <w:sdtContent>
                <w:p>
                  <w:pPr>
                    <w:ind w:right="-1" w:firstLine="851"/>
                    <w:jc w:val="both"/>
                    <w:rPr>
                      <w:color w:val="000000"/>
                      <w:szCs w:val="24"/>
                    </w:rPr>
                  </w:pPr>
                  <w:sdt>
                    <w:sdtPr>
                      <w:alias w:val="Numeris"/>
                      <w:tag w:val="nr_23d5156f329448e2926c33d3cc40d922"/>
                      <w:lock w:val="sdtLocked"/>
                      <w:richText/>
                    </w:sdtPr>
                    <w:sdtContent>
                      <w:r>
                        <w:rPr>
                          <w:color w:val="000000"/>
                          <w:szCs w:val="24"/>
                        </w:rPr>
                        <w:t>26</w:t>
                      </w:r>
                    </w:sdtContent>
                  </w:sdt>
                  <w:r>
                    <w:rPr>
                      <w:color w:val="000000"/>
                      <w:szCs w:val="24"/>
                    </w:rPr>
                    <w:t>. Atlikus profilaktinį vaiko, lankančio švietimo ar kitą ugdymo įstaigą, sveikatos tikrinimą, išrašomas Vaiko sveikatos pažymėjimas, kuriame įrašomi reikiami duomenys, išvados ir rekomendacijos švietimo ar kitai ugdymo įstaigai.</w:t>
                  </w:r>
                </w:p>
              </w:sdtContent>
            </w:sdt>
            <w:sdt>
              <w:sdtPr>
                <w:alias w:val="3 pr. 27 p."/>
                <w:tag w:val="part_53599fe325de4af1b77f62a759f11ca4"/>
                <w:lock w:val="sdtLocked"/>
                <w:richText/>
              </w:sdtPr>
              <w:sdtContent>
                <w:p>
                  <w:pPr>
                    <w:ind w:firstLine="851"/>
                    <w:jc w:val="both"/>
                    <w:rPr>
                      <w:color w:val="000000"/>
                      <w:szCs w:val="24"/>
                    </w:rPr>
                  </w:pPr>
                  <w:sdt>
                    <w:sdtPr>
                      <w:alias w:val="Numeris"/>
                      <w:tag w:val="nr_53599fe325de4af1b77f62a759f11ca4"/>
                      <w:lock w:val="sdtLocked"/>
                      <w:richText/>
                    </w:sdtPr>
                    <w:sdtContent>
                      <w:r>
                        <w:rPr>
                          <w:color w:val="000000"/>
                          <w:szCs w:val="24"/>
                        </w:rPr>
                        <w:t>27</w:t>
                      </w:r>
                    </w:sdtContent>
                  </w:sdt>
                  <w:r>
                    <w:rPr>
                      <w:color w:val="000000"/>
                      <w:szCs w:val="24"/>
                    </w:rPr>
                    <w:t>. Jei medicininės priežastys, dėl kurių vaikui buvo rekomenduoti apribojimai (pvz., fizinis pajėgumas), išlieka ilgiau nei nustatytas Vaiko sveikatos pažymėjimo galiojimo laikas, vaikas (jo tėvai arba kiti atstovai pagal įstatymą) kreipiasi dėl naujo Vaiko sveikatos pažymėjimo išdavimo Aprašo II skyriuje nustatyta tvarka.</w:t>
                  </w:r>
                </w:p>
              </w:sdtContent>
            </w:sdt>
            <w:sdt>
              <w:sdtPr>
                <w:alias w:val="3 pr. 28 p."/>
                <w:tag w:val="part_33a2757434604e09921264be5a46f61d"/>
                <w:lock w:val="sdtLocked"/>
                <w:richText/>
              </w:sdtPr>
              <w:sdtContent>
                <w:p>
                  <w:pPr>
                    <w:ind w:firstLine="851"/>
                    <w:jc w:val="both"/>
                    <w:rPr>
                      <w:color w:val="000000"/>
                      <w:szCs w:val="24"/>
                    </w:rPr>
                  </w:pPr>
                  <w:sdt>
                    <w:sdtPr>
                      <w:alias w:val="Numeris"/>
                      <w:tag w:val="nr_33a2757434604e09921264be5a46f61d"/>
                      <w:lock w:val="sdtLocked"/>
                      <w:richText/>
                    </w:sdtPr>
                    <w:sdtContent>
                      <w:r>
                        <w:rPr>
                          <w:color w:val="000000"/>
                          <w:szCs w:val="24"/>
                        </w:rPr>
                        <w:t>28</w:t>
                      </w:r>
                    </w:sdtContent>
                  </w:sdt>
                  <w:r>
                    <w:rPr>
                      <w:color w:val="000000"/>
                      <w:szCs w:val="24"/>
                    </w:rPr>
                    <w:t>. Atlikus privalomą profilaktinį sveikatos tikrinimą švietimo ar kitą ugdymo įstaigą lankančiam vaikui (jo tėvams arba kitiems atstovams pagal įstatymą), ASPĮ išduoda užpildytą ir ASPĮ užregistruotą Vaiko sveikatos pažymėjimą, kurį vaikas (jo tėvai arba kiti atstovai pagal įstatymą) pateikia švietimo ar kitai ugdymo įstaigai.</w:t>
                  </w:r>
                </w:p>
              </w:sdtContent>
            </w:sdt>
            <w:sdt>
              <w:sdtPr>
                <w:alias w:val="3 pr. 29 p."/>
                <w:tag w:val="part_e0f1b5465c2f4206a79de42df6fc0351"/>
                <w:lock w:val="sdtLocked"/>
                <w:richText/>
              </w:sdtPr>
              <w:sdtContent>
                <w:p>
                  <w:pPr>
                    <w:ind w:firstLine="851"/>
                    <w:jc w:val="both"/>
                    <w:rPr>
                      <w:color w:val="000000"/>
                      <w:szCs w:val="24"/>
                    </w:rPr>
                  </w:pPr>
                  <w:sdt>
                    <w:sdtPr>
                      <w:alias w:val="Numeris"/>
                      <w:tag w:val="nr_e0f1b5465c2f4206a79de42df6fc0351"/>
                      <w:lock w:val="sdtLocked"/>
                      <w:richText/>
                    </w:sdtPr>
                    <w:sdtContent>
                      <w:r>
                        <w:rPr>
                          <w:color w:val="000000"/>
                          <w:szCs w:val="24"/>
                        </w:rPr>
                        <w:t>29</w:t>
                      </w:r>
                    </w:sdtContent>
                  </w:sdt>
                  <w:r>
                    <w:rPr>
                      <w:color w:val="000000"/>
                      <w:szCs w:val="24"/>
                    </w:rPr>
                    <w:t>. Jei reikia, muzikos, dailės mokyklai, vaikų poilsio stovyklai ar kitai ugdymo įstaigai išduodama Vaiko sveikatos pažymėjimo teisės aktų nustatyta tvarka patvirtinta kopija.</w:t>
                  </w:r>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5260289d017a4e91806be6b1c8ee0398"/>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ind w:left="8640" w:right="-478"/>
            <w:rPr>
              <w:color w:val="000000"/>
              <w:szCs w:val="24"/>
            </w:rPr>
          </w:pPr>
          <w:r>
            <w:rPr>
              <w:color w:val="000000"/>
              <w:szCs w:val="24"/>
            </w:rPr>
            <w:t>Vaikų sveikatos tikrinimo tvarkos aprašo</w:t>
          </w:r>
        </w:p>
        <w:p>
          <w:pPr>
            <w:tabs>
              <w:tab w:val="left" w:pos="11057"/>
            </w:tabs>
            <w:ind w:left="8640"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5260289d017a4e91806be6b1c8ee0398"/>
            <w:lock w:val="sdtLocked"/>
            <w:richText/>
          </w:sdtPr>
          <w:sdtContent>
            <w:p>
              <w:pPr>
                <w:tabs>
                  <w:tab w:val="left" w:pos="945"/>
                  <w:tab w:val="center" w:pos="6979"/>
                </w:tabs>
                <w:jc w:val="center"/>
                <w:rPr>
                  <w:b/>
                  <w:color w:val="000000"/>
                  <w:szCs w:val="24"/>
                </w:rPr>
              </w:pPr>
              <w:r>
                <w:rPr>
                  <w:b/>
                  <w:szCs w:val="24"/>
                </w:rPr>
                <w:t xml:space="preserve">PROFILAKTINIO VAIKŲ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blPrEx>
              <w:tblCellMar>
                <w:left w:w="108" w:type="dxa"/>
                <w:right w:w="108" w:type="dxa"/>
              </w:tblCellMar>
            </w:tblPrEx>
            <w:trPr>
              <w:trHeight w:val="1405"/>
            </w:trPr>
            <w:tc>
              <w:tcPr>
                <w:tcW w:w="568" w:type="dxa"/>
                <w:vMerge w:val="restart"/>
              </w:tcPr>
              <w:p>
                <w:pPr>
                  <w:tabs>
                    <w:tab w:val="left" w:pos="600"/>
                  </w:tabs>
                  <w:jc w:val="both"/>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Pr>
              <w:p>
                <w:pPr>
                  <w:rPr>
                    <w:color w:val="000000"/>
                    <w:szCs w:val="24"/>
                  </w:rPr>
                </w:pPr>
                <w:r>
                  <w:rPr>
                    <w:color w:val="000000"/>
                    <w:szCs w:val="24"/>
                  </w:rPr>
                  <w:t>Paauglys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tc>
            <w:tc>
              <w:tcPr>
                <w:tcW w:w="2268" w:type="dxa"/>
                <w:tcBorders>
                  <w:top w:val="single" w:sz="4" w:space="0" w:color="auto"/>
                </w:tcBorders>
              </w:tcPr>
              <w:p>
                <w:pPr>
                  <w:widowControl w:val="0"/>
                  <w:rPr>
                    <w:color w:val="000000"/>
                    <w:szCs w:val="24"/>
                  </w:rPr>
                </w:pPr>
                <w:r>
                  <w:rPr>
                    <w:color w:val="000000"/>
                    <w:szCs w:val="24"/>
                  </w:rPr>
                  <w:t>Gydytojas</w:t>
                </w:r>
              </w:p>
              <w:p>
                <w:pPr>
                  <w:widowControl w:val="0"/>
                  <w:rPr>
                    <w:color w:val="000000"/>
                    <w:szCs w:val="24"/>
                  </w:rPr>
                </w:pPr>
              </w:p>
              <w:p>
                <w:pPr>
                  <w:widowControl w:val="0"/>
                  <w:rPr>
                    <w:color w:val="000000"/>
                    <w:szCs w:val="24"/>
                  </w:rPr>
                </w:pPr>
              </w:p>
            </w:tc>
            <w:tc>
              <w:tcPr>
                <w:tcW w:w="4536" w:type="dxa"/>
              </w:tcPr>
              <w:p>
                <w:pPr>
                  <w:rPr>
                    <w:color w:val="000000"/>
                    <w:szCs w:val="24"/>
                  </w:rPr>
                </w:pPr>
                <w:r>
                  <w:rPr>
                    <w:color w:val="000000"/>
                    <w:szCs w:val="24"/>
                  </w:rPr>
                  <w:t xml:space="preserve">5.1. Kiekvieno apsilankymo metu įvertinti paauglio sveikatos būklę, fizinę būklę, lytinį brendimą, augimą, nubrėžiant  asmenines ūgio ir svorio bei  svorio priklausomybės nuo ūgio kitimo kreives pagal lytį; įvertinti </w:t>
                </w:r>
                <w:r>
                  <w:rPr>
                    <w:color w:val="000000"/>
                    <w:szCs w:val="24"/>
                    <w:lang w:val="pl-PL"/>
                  </w:rPr>
                  <w:t xml:space="preserve">KMI, </w:t>
                </w:r>
                <w:r>
                  <w:rPr>
                    <w:color w:val="000000"/>
                    <w:szCs w:val="24"/>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tabs>
                    <w:tab w:val="left" w:pos="600"/>
                  </w:tabs>
                  <w:rPr>
                    <w:color w:val="000000"/>
                    <w:szCs w:val="24"/>
                  </w:rPr>
                </w:pPr>
                <w:r>
                  <w:rPr>
                    <w:color w:val="000000"/>
                    <w:szCs w:val="24"/>
                  </w:rPr>
                  <w:t xml:space="preserve">5.1.3. miego ir budrumo režimo; </w:t>
                </w:r>
              </w:p>
              <w:p>
                <w:pPr>
                  <w:tabs>
                    <w:tab w:val="left" w:pos="600"/>
                  </w:tabs>
                  <w:rPr>
                    <w:color w:val="000000"/>
                    <w:szCs w:val="24"/>
                  </w:rPr>
                </w:pPr>
                <w:r>
                  <w:rPr>
                    <w:color w:val="000000"/>
                    <w:szCs w:val="24"/>
                  </w:rPr>
                  <w:t>5.1.4. burnos sveikatos;</w:t>
                </w:r>
              </w:p>
              <w:p>
                <w:pPr>
                  <w:tabs>
                    <w:tab w:val="left" w:pos="600"/>
                  </w:tabs>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tabs>
                    <w:tab w:val="left" w:pos="851"/>
                  </w:tabs>
                  <w:rPr>
                    <w:color w:val="000000"/>
                    <w:szCs w:val="24"/>
                    <w:lang w:val="en-US"/>
                  </w:rPr>
                </w:pPr>
                <w:r>
                  <w:rPr>
                    <w:color w:val="000000"/>
                    <w:szCs w:val="24"/>
                  </w:rPr>
                  <w:t>5.1.9. atsparumo rizikingai sveikatai elgsenai;</w:t>
                </w:r>
              </w:p>
              <w:p>
                <w:pPr>
                  <w:tabs>
                    <w:tab w:val="left" w:pos="851"/>
                  </w:tabs>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blPrEx>
              <w:tblCellMar>
                <w:left w:w="108" w:type="dxa"/>
                <w:right w:w="108" w:type="dxa"/>
              </w:tblCellMar>
            </w:tblPrEx>
            <w:trPr>
              <w:trHeight w:val="5538"/>
            </w:trPr>
            <w:tc>
              <w:tcPr>
                <w:tcW w:w="568" w:type="dxa"/>
                <w:vMerge/>
              </w:tcPr>
              <w:p>
                <w:pPr>
                  <w:tabs>
                    <w:tab w:val="left" w:pos="600"/>
                  </w:tabs>
                  <w:jc w:val="both"/>
                  <w:rPr>
                    <w:color w:val="000000"/>
                    <w:szCs w:val="24"/>
                  </w:rPr>
                </w:pPr>
              </w:p>
            </w:tc>
            <w:tc>
              <w:tcPr>
                <w:tcW w:w="1276" w:type="dxa"/>
                <w:vMerge/>
              </w:tcPr>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 xml:space="preserve">1 kartą per 2 metus </w:t>
                </w:r>
              </w:p>
              <w:p>
                <w:pPr>
                  <w:tabs>
                    <w:tab w:val="left" w:pos="600"/>
                  </w:tabs>
                  <w:rPr>
                    <w:color w:val="000000"/>
                    <w:szCs w:val="24"/>
                  </w:rPr>
                </w:pPr>
              </w:p>
            </w:tc>
            <w:tc>
              <w:tcPr>
                <w:tcW w:w="2268" w:type="dxa"/>
              </w:tcPr>
              <w:p>
                <w:pPr>
                  <w:rPr>
                    <w:color w:val="000000"/>
                    <w:szCs w:val="24"/>
                  </w:rPr>
                </w:pPr>
                <w:r>
                  <w:rPr>
                    <w:color w:val="000000"/>
                    <w:szCs w:val="24"/>
                  </w:rPr>
                  <w:t xml:space="preserve">Gydytojas </w:t>
                </w:r>
              </w:p>
              <w:p>
                <w:pPr>
                  <w:widowControl w:val="0"/>
                  <w:rPr>
                    <w:color w:val="000000"/>
                    <w:szCs w:val="24"/>
                  </w:rPr>
                </w:pPr>
              </w:p>
            </w:tc>
            <w:tc>
              <w:tcPr>
                <w:tcW w:w="4536" w:type="dxa"/>
              </w:tcPr>
              <w:p>
                <w:pPr>
                  <w:tabs>
                    <w:tab w:val="left" w:pos="600"/>
                  </w:tabs>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vaikas sportuoja, gyvena blogomis socialinėmis sąlygomis, augimo spurto metu ir jei paauglys netenka kūno masės;</w:t>
                </w:r>
              </w:p>
              <w:p>
                <w:pPr>
                  <w:rPr>
                    <w:color w:val="000000"/>
                    <w:szCs w:val="24"/>
                  </w:rPr>
                </w:pPr>
                <w:r>
                  <w:rPr>
                    <w:color w:val="000000"/>
                    <w:szCs w:val="24"/>
                  </w:rPr>
                  <w:t xml:space="preserve">5.2.2. kapiliarinės glikemijos tyrimą, jei yra šie </w:t>
                </w:r>
                <w:r>
                  <w:rPr>
                    <w:bCs/>
                    <w:color w:val="000000"/>
                    <w:szCs w:val="24"/>
                  </w:rPr>
                  <w:t>klinikiniai simptomai:</w:t>
                </w:r>
                <w:r>
                  <w:rPr>
                    <w:b/>
                    <w:bCs/>
                    <w:color w:val="000000"/>
                    <w:szCs w:val="24"/>
                  </w:rPr>
                  <w:t xml:space="preserve"> </w:t>
                </w:r>
                <w:r>
                  <w:rPr>
                    <w:color w:val="000000"/>
                    <w:szCs w:val="24"/>
                  </w:rPr>
                  <w:t xml:space="preserve">poliurija, polidipsija, svorio kritimas, nuovargis; </w:t>
                </w:r>
                <w:r>
                  <w:rPr>
                    <w:bCs/>
                    <w:color w:val="000000"/>
                    <w:szCs w:val="24"/>
                  </w:rPr>
                  <w:t>nuo 10 metų arba prasidėjus lytiniam brendimui</w:t>
                </w:r>
                <w:r>
                  <w:rPr>
                    <w:color w:val="000000"/>
                    <w:szCs w:val="24"/>
                  </w:rPr>
                  <w:t>, kai KMI viršija 85 procentilę</w:t>
                </w:r>
                <w:r>
                  <w:rPr>
                    <w:b/>
                    <w:bCs/>
                    <w:color w:val="000000"/>
                    <w:szCs w:val="24"/>
                  </w:rPr>
                  <w:t xml:space="preserve"> </w:t>
                </w:r>
                <w:r>
                  <w:rPr>
                    <w:bCs/>
                    <w:color w:val="000000"/>
                    <w:szCs w:val="24"/>
                  </w:rPr>
                  <w:t>ir</w:t>
                </w:r>
                <w:r>
                  <w:rPr>
                    <w:color w:val="000000"/>
                    <w:szCs w:val="24"/>
                  </w:rPr>
                  <w:t xml:space="preserve"> </w:t>
                </w:r>
                <w:r>
                  <w:rPr>
                    <w:bCs/>
                    <w:color w:val="000000"/>
                    <w:szCs w:val="24"/>
                  </w:rPr>
                  <w:t>yra rizikos veiksnių</w:t>
                </w:r>
                <w:r>
                  <w:rPr>
                    <w:color w:val="000000"/>
                    <w:szCs w:val="24"/>
                  </w:rPr>
                  <w:t xml:space="preserve">,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lang w:val="en-US"/>
                  </w:rPr>
                  <w:t>visiems, kuri</w:t>
                </w:r>
                <w:r>
                  <w:rPr>
                    <w:color w:val="000000"/>
                    <w:szCs w:val="24"/>
                  </w:rPr>
                  <w:t xml:space="preserve">ų </w:t>
                </w:r>
                <w:r>
                  <w:rPr>
                    <w:color w:val="000000"/>
                    <w:szCs w:val="24"/>
                    <w:lang w:val="en-US"/>
                  </w:rPr>
                  <w:t>KMI viršija 95 procentilę pagal amžių ir lytį</w:t>
                </w:r>
                <w:r>
                  <w:rPr>
                    <w:color w:val="000000"/>
                    <w:szCs w:val="24"/>
                  </w:rPr>
                  <w:t>;</w:t>
                </w:r>
              </w:p>
              <w:p>
                <w:pPr>
                  <w:rPr>
                    <w:color w:val="000000"/>
                    <w:szCs w:val="24"/>
                  </w:rPr>
                </w:pPr>
                <w:r>
                  <w:rPr>
                    <w:color w:val="000000"/>
                    <w:szCs w:val="24"/>
                  </w:rPr>
                  <w:t>5.2.3. bendrą šlapimo tyrimą.</w:t>
                </w:r>
              </w:p>
            </w:tc>
            <w:tc>
              <w:tcPr>
                <w:tcW w:w="1701" w:type="dxa"/>
                <w:vMerge/>
              </w:tcPr>
              <w:p>
                <w:pPr>
                  <w:tabs>
                    <w:tab w:val="left" w:pos="600"/>
                  </w:tabs>
                  <w:rPr>
                    <w:color w:val="000000"/>
                    <w:szCs w:val="24"/>
                  </w:rPr>
                </w:pPr>
              </w:p>
            </w:tc>
            <w:tc>
              <w:tcPr>
                <w:tcW w:w="1559" w:type="dxa"/>
                <w:vMerge/>
              </w:tcPr>
              <w:p>
                <w:pPr>
                  <w:tabs>
                    <w:tab w:val="left" w:pos="600"/>
                  </w:tabs>
                  <w:jc w:val="center"/>
                  <w:rPr>
                    <w:color w:val="000000"/>
                    <w:szCs w:val="24"/>
                  </w:rPr>
                </w:pPr>
              </w:p>
            </w:tc>
            <w:tc>
              <w:tcPr>
                <w:tcW w:w="1701" w:type="dxa"/>
                <w:vMerge/>
              </w:tcPr>
              <w:p>
                <w:pPr>
                  <w:rPr>
                    <w:color w:val="000000"/>
                    <w:szCs w:val="24"/>
                  </w:rPr>
                </w:pPr>
              </w:p>
            </w:tc>
          </w:tr>
          <w:tr>
            <w:tblPrEx>
              <w:tblCellMar>
                <w:left w:w="108" w:type="dxa"/>
                <w:right w:w="108" w:type="dxa"/>
              </w:tblCellMar>
            </w:tblPrEx>
            <w:trPr>
              <w:trHeight w:val="92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tabs>
                    <w:tab w:val="left" w:pos="600"/>
                  </w:tabs>
                  <w:rPr>
                    <w:color w:val="000000"/>
                    <w:szCs w:val="24"/>
                  </w:rPr>
                </w:pPr>
                <w:r>
                  <w:rPr>
                    <w:color w:val="000000"/>
                    <w:szCs w:val="24"/>
                  </w:rPr>
                  <w:t>arba gydytojas odontologas specialistas</w:t>
                </w:r>
              </w:p>
            </w:tc>
            <w:tc>
              <w:tcPr>
                <w:tcW w:w="4536" w:type="dxa"/>
              </w:tcPr>
              <w:p>
                <w:pPr>
                  <w:tabs>
                    <w:tab w:val="left" w:pos="600"/>
                  </w:tabs>
                  <w:rPr>
                    <w:color w:val="000000"/>
                    <w:szCs w:val="24"/>
                  </w:rPr>
                </w:pPr>
                <w:r>
                  <w:rPr>
                    <w:color w:val="000000"/>
                    <w:szCs w:val="24"/>
                  </w:rPr>
                  <w:t xml:space="preserve">5.3. Atlikti dantų ėduonies diagnostiką, krūminių dantų silantavimą – priklausomai nuo dantų dygimo laiko, esant reikalui, pagydyti ar skirti gydymo laiką / siųsti gydyti. </w:t>
                </w:r>
              </w:p>
              <w:p>
                <w:pPr>
                  <w:tabs>
                    <w:tab w:val="left" w:pos="600"/>
                  </w:tabs>
                  <w:rPr>
                    <w:color w:val="000000"/>
                    <w:szCs w:val="24"/>
                  </w:rPr>
                </w:pPr>
                <w:r>
                  <w:rPr>
                    <w:color w:val="000000"/>
                    <w:szCs w:val="24"/>
                  </w:rPr>
                  <w:t xml:space="preserve">5.4. Įvertinti nuolatinių dantų sąkandį, nustatyti, ar nėra sąkandžio anomalijų, esant reikalui, pagydyti ar siųsti konsultacijos / gydyti.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198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rPr>
                    <w:color w:val="000000"/>
                    <w:szCs w:val="24"/>
                  </w:rPr>
                </w:pPr>
                <w:r>
                  <w:rPr>
                    <w:color w:val="000000"/>
                    <w:szCs w:val="24"/>
                  </w:rPr>
                  <w:t xml:space="preserve">arba gydytojas odontologas specialistas, </w:t>
                </w:r>
              </w:p>
              <w:p>
                <w:pPr>
                  <w:rPr>
                    <w:color w:val="000000"/>
                    <w:szCs w:val="24"/>
                  </w:rPr>
                </w:pPr>
                <w:r>
                  <w:rPr>
                    <w:color w:val="000000"/>
                    <w:szCs w:val="24"/>
                  </w:rPr>
                  <w:t xml:space="preserve">arba burnos higienistas </w:t>
                </w:r>
              </w:p>
            </w:tc>
            <w:tc>
              <w:tcPr>
                <w:tcW w:w="4536" w:type="dxa"/>
              </w:tcPr>
              <w:p>
                <w:pPr>
                  <w:spacing w:line="480" w:lineRule="auto"/>
                  <w:rPr>
                    <w:color w:val="000000"/>
                    <w:szCs w:val="24"/>
                  </w:rPr>
                </w:pPr>
                <w:r>
                  <w:rPr>
                    <w:color w:val="000000"/>
                    <w:szCs w:val="24"/>
                  </w:rPr>
                  <w:t xml:space="preserve">5.5. Atlikti dantų ėduonies profilaktiką. </w:t>
                </w:r>
              </w:p>
              <w:p>
                <w:pPr>
                  <w:rPr>
                    <w:sz w:val="10"/>
                    <w:szCs w:val="10"/>
                  </w:rPr>
                </w:pPr>
              </w:p>
              <w:p>
                <w:pPr>
                  <w:tabs>
                    <w:tab w:val="left" w:pos="600"/>
                  </w:tabs>
                  <w:rPr>
                    <w:color w:val="000000"/>
                    <w:szCs w:val="24"/>
                  </w:rPr>
                </w:pPr>
                <w:r>
                  <w:rPr>
                    <w:color w:val="000000"/>
                    <w:szCs w:val="24"/>
                  </w:rPr>
                  <w:t>5.6. Įvertinti burnos higienos būklę ir pamokyti burnos higienos ir racionalios mitybos pagrindų, informuoti apie deimantų ant dantų, auskarų liežuvyje žalą.</w:t>
                </w:r>
              </w:p>
              <w:p>
                <w:pPr>
                  <w:tabs>
                    <w:tab w:val="left" w:pos="600"/>
                  </w:tabs>
                  <w:rPr>
                    <w:color w:val="000000"/>
                    <w:szCs w:val="24"/>
                  </w:rPr>
                </w:pP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20"/>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rPr>
                    <w:color w:val="000000"/>
                    <w:szCs w:val="24"/>
                  </w:rPr>
                </w:pPr>
                <w:r>
                  <w:rPr>
                    <w:color w:val="000000"/>
                    <w:szCs w:val="24"/>
                  </w:rPr>
                  <w:t>1 kartą per metus</w:t>
                </w:r>
              </w:p>
              <w:p>
                <w:pPr>
                  <w:tabs>
                    <w:tab w:val="left" w:pos="600"/>
                  </w:tabs>
                  <w:rPr>
                    <w:color w:val="000000"/>
                    <w:szCs w:val="24"/>
                  </w:rPr>
                </w:pPr>
              </w:p>
            </w:tc>
            <w:tc>
              <w:tcPr>
                <w:tcW w:w="2268" w:type="dxa"/>
              </w:tcPr>
              <w:p>
                <w:pPr>
                  <w:widowControl w:val="0"/>
                  <w:rPr>
                    <w:color w:val="000000"/>
                    <w:szCs w:val="24"/>
                  </w:rPr>
                </w:pPr>
                <w:r>
                  <w:rPr>
                    <w:color w:val="000000"/>
                    <w:szCs w:val="24"/>
                  </w:rPr>
                  <w:t>Slaugytojas</w:t>
                </w:r>
              </w:p>
              <w:p>
                <w:pPr>
                  <w:widowControl w:val="0"/>
                  <w:rPr>
                    <w:color w:val="000000"/>
                    <w:szCs w:val="24"/>
                  </w:rPr>
                </w:pPr>
              </w:p>
            </w:tc>
            <w:tc>
              <w:tcPr>
                <w:tcW w:w="4536" w:type="dxa"/>
              </w:tcPr>
              <w:p>
                <w:pPr>
                  <w:tabs>
                    <w:tab w:val="left" w:pos="600"/>
                  </w:tabs>
                  <w:rPr>
                    <w:color w:val="000000"/>
                    <w:szCs w:val="24"/>
                  </w:rPr>
                </w:pPr>
                <w:r>
                  <w:rPr>
                    <w:color w:val="000000"/>
                    <w:szCs w:val="24"/>
                  </w:rPr>
                  <w:t xml:space="preserve">5.7. Kiekvieno apsilankymo metu pamatuoti paauglio AKS, ūgį bei svorį ir šiuos duomenis įrašyti į asmeninę svorio priklausomybės nuo ūgio kitimo diagramą pagal lytį, apskaičiuoti </w:t>
                </w:r>
                <w:r>
                  <w:rPr>
                    <w:color w:val="000000"/>
                    <w:szCs w:val="24"/>
                    <w:lang w:val="pl-PL"/>
                  </w:rPr>
                  <w:t>KMI.</w:t>
                </w:r>
              </w:p>
              <w:p>
                <w:pPr>
                  <w:tabs>
                    <w:tab w:val="left" w:pos="600"/>
                  </w:tabs>
                  <w:rPr>
                    <w:color w:val="000000"/>
                    <w:szCs w:val="24"/>
                  </w:rPr>
                </w:pPr>
                <w:r>
                  <w:rPr>
                    <w:color w:val="000000"/>
                    <w:szCs w:val="24"/>
                  </w:rPr>
                  <w:t>5.8. Pagal amžiaus ir lyties ypatumus padėti paaugliui susiformuoti racionalios mitybos, fizinio aktyvumo, sveiko gyvenimo būdo nuostatas.</w:t>
                </w:r>
              </w:p>
              <w:p>
                <w:pPr>
                  <w:tabs>
                    <w:tab w:val="left" w:pos="600"/>
                  </w:tabs>
                  <w:rPr>
                    <w:color w:val="000000"/>
                    <w:szCs w:val="24"/>
                  </w:rPr>
                </w:pPr>
                <w:r>
                  <w:rPr>
                    <w:color w:val="000000"/>
                    <w:szCs w:val="24"/>
                  </w:rPr>
                  <w:t xml:space="preserve">5.9. Informuoti apie sveiką gyvenimo būdą,  ligų ir žalingų sveikatai įpročių profilaktiką, imunoprofilaktiką, lytinės elgsenos saugumą.</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2 pr."/>
        <w:tag w:val="part_9058698f19e643bbb59cdea88626a26e"/>
        <w:lock w:val="sdtLocked"/>
        <w:richText/>
      </w:sdtPr>
      <w:sdtContent>
        <w:p>
          <w:pPr>
            <w:ind w:left="11907"/>
            <w:sectPr>
              <w:headerReference w:type="even" r:id="rId99"/>
              <w:headerReference w:type="default" r:id="rId100"/>
              <w:headerReference w:type="first" r:id="rId101"/>
              <w:pgSz w:w="16838" w:h="11906" w:orient="landscape" w:code="9"/>
              <w:pgMar w:top="539" w:right="1440" w:bottom="284" w:left="1134" w:header="284" w:footer="284" w:gutter="0"/>
              <w:pgNumType w:start="1"/>
              <w:cols w:space="708"/>
              <w:titlePg/>
              <w:docGrid w:linePitch="360"/>
            </w:sectPr>
          </w:pPr>
        </w:p>
        <w:p>
          <w:pPr>
            <w:ind w:left="11907"/>
            <w:rPr>
              <w:color w:val="000000"/>
              <w:szCs w:val="24"/>
            </w:rPr>
          </w:pPr>
          <w:r>
            <w:rPr>
              <w:color w:val="000000"/>
              <w:szCs w:val="24"/>
            </w:rPr>
            <w:t>Vaikų sveikatos</w:t>
          </w:r>
        </w:p>
        <w:p>
          <w:pPr>
            <w:ind w:left="11907" w:right="395"/>
            <w:rPr>
              <w:color w:val="000000"/>
              <w:szCs w:val="24"/>
            </w:rPr>
          </w:pPr>
          <w:r>
            <w:rPr>
              <w:color w:val="000000"/>
              <w:szCs w:val="24"/>
            </w:rPr>
            <w:t xml:space="preserve">tikrinimo tvarkos aprašo  </w:t>
          </w:r>
        </w:p>
        <w:p>
          <w:pPr>
            <w:ind w:left="11907"/>
            <w:rPr>
              <w:color w:val="000000"/>
              <w:szCs w:val="24"/>
            </w:rPr>
          </w:pPr>
          <w:sdt>
            <w:sdtPr>
              <w:alias w:val="Numeris"/>
              <w:tag w:val="nr_9058698f19e643bbb59cdea88626a26e"/>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9058698f19e643bbb59cdea88626a26e"/>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3"/>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4"/>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12"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5"/>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6"/>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15"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17"/>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16"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18"/>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17"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19"/>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1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0"/>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1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1"/>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2"/>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2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3"/>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2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4"/>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2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5"/>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2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6"/>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25"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7"/>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26"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28"/>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27"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29"/>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28"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0"/>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29"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1"/>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30"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2"/>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31"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3"/>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0"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1"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72919f7e342349a48cb6ddddebec8add"/>
        <w:lock w:val="sdtLocked"/>
        <w:richText/>
      </w:sdtPr>
      <w:sdtContent>
        <w:p>
          <w:pPr>
            <w:keepLines/>
            <w:widowControl w:val="0"/>
            <w:suppressAutoHyphens/>
            <w:ind w:left="5102"/>
            <w:sectPr>
              <w:headerReference w:type="even" r:id="rId42"/>
              <w:headerReference w:type="default" r:id="rId43"/>
              <w:footerReference w:type="even" r:id="rId44"/>
              <w:footerReference w:type="default" r:id="rId45"/>
              <w:headerReference w:type="first" r:id="rId46"/>
              <w:footerReference w:type="first" r:id="rId47"/>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72919f7e342349a48cb6ddddebec8add"/>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72919f7e342349a48cb6ddddebec8add"/>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3"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4"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3" w:tgtFrame="_blank" w:history="1">
                    <w:r>
                      <w:rPr>
                        <w:color w:val="0000FF" w:themeColor="hyperlink"/>
                        <w:u w:val="single"/>
                      </w:rPr>
                      <w:t>92-2883</w:t>
                    </w:r>
                  </w:hyperlink>
                  <w:r>
                    <w:t xml:space="preserve">; 2007, Nr. </w:t>
                  </w:r>
                  <w:hyperlink r:id="rId54"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5"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6" w:tgtFrame="_blank" w:history="1">
                    <w:r>
                      <w:rPr>
                        <w:color w:val="0000FF" w:themeColor="hyperlink"/>
                        <w:u w:val="single"/>
                      </w:rPr>
                      <w:t>13-308</w:t>
                    </w:r>
                  </w:hyperlink>
                  <w:r>
                    <w:t xml:space="preserve">; 2000, Nr. </w:t>
                  </w:r>
                  <w:hyperlink r:id="rId57"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5cddcb2c73dd41129de76002a5548a4f"/>
        <w:lock w:val="sdtLocked"/>
        <w:richText/>
      </w:sdtPr>
      <w:sdtContent>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29a5a304c97941f6b7e7be0996f68c44"/>
        <w:lock w:val="sdtLocked"/>
        <w:richText/>
      </w:sdtPr>
      <w:sdtContent>
        <w:p>
          <w:pPr>
            <w:jc w:val="right"/>
          </w:pPr>
          <w:sdt>
            <w:sdtPr>
              <w:alias w:val="Numeris"/>
              <w:tag w:val="nr_29a5a304c97941f6b7e7be0996f68c44"/>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29a5a304c97941f6b7e7be0996f68c44"/>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642dca636c05491e96c6de4391c2b9a5"/>
        <w:lock w:val="sdtLocked"/>
        <w:richText/>
      </w:sdtPr>
      <w:sdtContent>
        <w:p>
          <w:pPr>
            <w:jc w:val="right"/>
          </w:pPr>
          <w:sdt>
            <w:sdtPr>
              <w:alias w:val="Numeris"/>
              <w:tag w:val="nr_642dca636c05491e96c6de4391c2b9a5"/>
              <w:lock w:val="sdtLocked"/>
              <w:richText/>
            </w:sdtPr>
            <w:sdtContent>
              <w:r>
                <w:t>3</w:t>
              </w:r>
            </w:sdtContent>
          </w:sdt>
          <w:r>
            <w:t xml:space="preserve"> lentelė</w:t>
          </w:r>
        </w:p>
        <w:p>
          <w:pPr>
            <w:jc w:val="both"/>
            <w:rPr>
              <w:bCs/>
            </w:rPr>
          </w:pPr>
        </w:p>
        <w:p>
          <w:pPr>
            <w:jc w:val="center"/>
            <w:rPr>
              <w:b/>
              <w:bCs/>
            </w:rPr>
          </w:pPr>
          <w:sdt>
            <w:sdtPr>
              <w:alias w:val="Pavadinimas"/>
              <w:tag w:val="title_642dca636c05491e96c6de4391c2b9a5"/>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ASMENYS SU JUDĖJIMO SUTRIKIMAIS</w:t>
                </w:r>
              </w:p>
              <w:p>
                <w:pPr>
                  <w:rPr>
                    <w:sz w:val="22"/>
                    <w:szCs w:val="22"/>
                  </w:rPr>
                </w:pPr>
                <w:r>
                  <w:rPr>
                    <w:sz w:val="22"/>
                    <w:szCs w:val="22"/>
                  </w:rPr>
                  <w:t>Vairuotojo pažymėjimai neišduodami kandidatams į vairuotojus ar neatnaujinami vairuotojams, kurie skundžiasi judėjimo sistemos negalavimais ar sutrikimais, kurie kelia pavojų saugiam variklio varomos priemonės vairavimui.</w:t>
                </w:r>
              </w:p>
              <w:p>
                <w:pPr>
                  <w:rPr>
                    <w:sz w:val="22"/>
                    <w:szCs w:val="22"/>
                  </w:rPr>
                </w:pPr>
                <w:r>
                  <w:rPr>
                    <w:sz w:val="22"/>
                    <w:szCs w:val="22"/>
                  </w:rPr>
                  <w:t>1 grupė:</w:t>
                </w:r>
              </w:p>
              <w:p>
                <w:pPr>
                  <w:rPr>
                    <w:sz w:val="22"/>
                    <w:szCs w:val="22"/>
                  </w:rPr>
                </w:pPr>
                <w:r>
                  <w:rPr>
                    <w:sz w:val="22"/>
                    <w:szCs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szCs w:val="22"/>
                  </w:rPr>
                </w:pPr>
                <w:r>
                  <w:rPr>
                    <w:sz w:val="22"/>
                    <w:szCs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szCs w:val="22"/>
                  </w:rPr>
                </w:pPr>
                <w:r>
                  <w:rPr>
                    <w:sz w:val="22"/>
                    <w:szCs w:val="22"/>
                  </w:rPr>
                  <w:t>Kai negalia neprogresuoja, vairuotojo pažymėjimas gali būti išduotas ar atnaujintas nereikalaujant reguliarios medicininės apžiūros.</w:t>
                </w:r>
              </w:p>
              <w:p>
                <w:pPr>
                  <w:rPr>
                    <w:sz w:val="22"/>
                    <w:szCs w:val="22"/>
                  </w:rPr>
                </w:pPr>
                <w:r>
                  <w:rPr>
                    <w:sz w:val="22"/>
                    <w:szCs w:val="22"/>
                  </w:rPr>
                  <w:t>2 grupė:</w:t>
                </w:r>
              </w:p>
              <w:p>
                <w:pPr>
                  <w:rPr>
                    <w:sz w:val="22"/>
                    <w:szCs w:val="22"/>
                  </w:rPr>
                </w:pPr>
                <w:r>
                  <w:rPr>
                    <w:sz w:val="22"/>
                    <w:szCs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Rankos, kojos, plaštakos, pėdos ar abiejų plaštakų, pėdų trūkumas, žymios deformacijos su lokomotorinės funkcijos sutrikimu: Z89.1, Z 89.2, Z 89.3, Z 89.4, Z 89.5, Z 89.6, Z 89.7, Z 89.8, Z 89.9 </w:t>
                </w:r>
              </w:p>
              <w:p>
                <w:pPr>
                  <w:rPr>
                    <w:sz w:val="22"/>
                    <w:szCs w:val="22"/>
                  </w:rPr>
                </w:pPr>
                <w:r>
                  <w:rPr>
                    <w:b/>
                    <w:bCs/>
                    <w:sz w:val="22"/>
                    <w:szCs w:val="22"/>
                  </w:rPr>
                  <w:t xml:space="preserve">PASTABA: </w:t>
                </w:r>
                <w:r>
                  <w:rPr>
                    <w:sz w:val="22"/>
                    <w:szCs w:val="22"/>
                  </w:rPr>
                  <w:t>Tik individualiam transportui be teisės dirbti pagal darbo sutartis vairuotoju.</w:t>
                </w:r>
              </w:p>
              <w:p>
                <w:pPr>
                  <w:rPr>
                    <w:sz w:val="22"/>
                    <w:szCs w:val="22"/>
                  </w:rPr>
                </w:pPr>
                <w:r>
                  <w:rPr>
                    <w:sz w:val="22"/>
                    <w:szCs w:val="22"/>
                  </w:rPr>
                  <w:t>A; A1; A2; AM; B; B1 ir BE kategorijų vairuotojams turi būti nurodyta, kokia automobilio modifikacija reikalinga ir ar vairuotojui reikalingas ortopedinis įrenginys, kuriuo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taikant reikiamą apribojimą 03, 03.01, 03.02</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szCs w:val="22"/>
                  </w:rPr>
                </w:pPr>
                <w:r>
                  <w:rPr>
                    <w:b/>
                    <w:bCs/>
                    <w:sz w:val="22"/>
                    <w:szCs w:val="22"/>
                  </w:rPr>
                  <w:t>PASTABA:</w:t>
                </w:r>
              </w:p>
              <w:p>
                <w:pPr>
                  <w:rPr>
                    <w:sz w:val="22"/>
                    <w:szCs w:val="22"/>
                  </w:rPr>
                </w:pPr>
                <w:r>
                  <w:rPr>
                    <w:sz w:val="22"/>
                    <w:szCs w:val="22"/>
                  </w:rPr>
                  <w:t>A; A1; A2; AM; B; B1 ir BE kategorijų vairuotojams turi būti nurodytą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taikant reikiamą apribojimą 03, 03.01, 03.02</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20"/>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20"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20"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PASTABA: Psichozinio lygio sutrikimų atveju kokybiška remisija turėtų trukti ne trumpiau kaip 3 metus Nepsichozinio lygio psichikos sutrikimų atveju remisija turėtų trukti ne trumpiau kaip 1 metus Galima taikyti 68 apribojimą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ALKOHOLIS</w:t>
                </w:r>
              </w:p>
              <w:p>
                <w:pPr>
                  <w:rPr>
                    <w:sz w:val="22"/>
                    <w:szCs w:val="22"/>
                  </w:rPr>
                </w:pPr>
                <w:r>
                  <w:rPr>
                    <w:sz w:val="22"/>
                    <w:szCs w:val="22"/>
                  </w:rPr>
                  <w:t>Alkoholio vartojimas kelia didžiulį pavojų kelių eismo saugumui. Atsižvelgiant į problemos mastą, medikai turi būti ypač budrūs.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priklausomiems nuo alkoholio arba negalintiems susilaikyti negėrus ir nevairavus esant neblaiviems.</w:t>
                </w:r>
              </w:p>
              <w:p>
                <w:pPr>
                  <w:rPr>
                    <w:sz w:val="22"/>
                    <w:szCs w:val="22"/>
                  </w:rPr>
                </w:pPr>
                <w:r>
                  <w:rPr>
                    <w:sz w:val="22"/>
                    <w:szCs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Priklausomybės ligos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NARKOTIKAI IR VAISTAI</w:t>
                </w:r>
              </w:p>
              <w:p>
                <w:pPr>
                  <w:rPr>
                    <w:sz w:val="22"/>
                    <w:szCs w:val="22"/>
                  </w:rPr>
                </w:pPr>
                <w:r>
                  <w:rPr>
                    <w:sz w:val="22"/>
                    <w:szCs w:val="22"/>
                  </w:rPr>
                  <w:t>Piktnaudžiavimas:</w:t>
                </w:r>
              </w:p>
              <w:p>
                <w:pPr>
                  <w:rPr>
                    <w:sz w:val="22"/>
                    <w:szCs w:val="22"/>
                  </w:rPr>
                </w:pPr>
                <w:r>
                  <w:rPr>
                    <w:sz w:val="22"/>
                    <w:szCs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Piktnaudžiavimas narkotikais ir vaistais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 xml:space="preserve">Sergantiesiems priklausomybės liga turi būti ne trumpesnė kaip 3 metų remisija. </w:t>
                </w:r>
              </w:p>
              <w:p>
                <w:pPr>
                  <w:rPr>
                    <w:sz w:val="22"/>
                    <w:szCs w:val="22"/>
                  </w:rPr>
                </w:pPr>
                <w:r>
                  <w:rPr>
                    <w:sz w:val="22"/>
                    <w:szCs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f32eda7208c84da78ab3ca64c31169ff"/>
            <w:lock w:val="sdtLocked"/>
            <w:richText/>
          </w:sdtPr>
          <w:sdtContent>
            <w:p>
              <w:pPr>
                <w:jc w:val="both"/>
                <w:rPr>
                  <w:sz w:val="22"/>
                </w:rPr>
              </w:pPr>
              <w:r>
                <w:rPr>
                  <w:sz w:val="22"/>
                </w:rPr>
                <w:t>Pastabos:</w:t>
              </w:r>
            </w:p>
          </w:sdtContent>
        </w:sdt>
        <w:sdt>
          <w:sdtPr>
            <w:alias w:val="1 p."/>
            <w:tag w:val="part_c875c3deb3e8418fbe27e343afb3148b"/>
            <w:lock w:val="sdtLocked"/>
            <w:richText/>
          </w:sdtPr>
          <w:sdtContent>
            <w:p>
              <w:pPr>
                <w:jc w:val="both"/>
                <w:rPr>
                  <w:sz w:val="22"/>
                </w:rPr>
              </w:pPr>
              <w:sdt>
                <w:sdtPr>
                  <w:alias w:val="Numeris"/>
                  <w:tag w:val="nr_c875c3deb3e8418fbe27e343afb3148b"/>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8e3a2c32f2b7477fa624a33955d13421"/>
            <w:lock w:val="sdtLocked"/>
            <w:richText/>
          </w:sdtPr>
          <w:sdtContent>
            <w:p>
              <w:pPr>
                <w:jc w:val="both"/>
                <w:rPr>
                  <w:sz w:val="22"/>
                </w:rPr>
              </w:pPr>
              <w:sdt>
                <w:sdtPr>
                  <w:alias w:val="Numeris"/>
                  <w:tag w:val="nr_8e3a2c32f2b7477fa624a33955d13421"/>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07f6ee9be09248fb96e32e94ec1402f5"/>
            <w:lock w:val="sdtLocked"/>
            <w:richText/>
          </w:sdtPr>
          <w:sdtContent>
            <w:p>
              <w:pPr>
                <w:jc w:val="both"/>
              </w:pPr>
              <w:sdt>
                <w:sdtPr>
                  <w:alias w:val="Numeris"/>
                  <w:tag w:val="nr_07f6ee9be09248fb96e32e94ec1402f5"/>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40d41124f30a4b7382de1e69f8fe3f4b"/>
        <w:lock w:val="sdtLocked"/>
        <w:richText/>
      </w:sdtPr>
      <w:sdtContent>
        <w:p>
          <w:pPr>
            <w:ind w:firstLine="567"/>
            <w:jc w:val="right"/>
          </w:pPr>
          <w:r>
            <w:br w:type="page"/>
          </w:r>
          <w:sdt>
            <w:sdtPr>
              <w:alias w:val="Numeris"/>
              <w:tag w:val="nr_40d41124f30a4b7382de1e69f8fe3f4b"/>
              <w:lock w:val="sdtLocked"/>
              <w:richText/>
            </w:sdtPr>
            <w:sdtContent>
              <w:r>
                <w:t>5</w:t>
              </w:r>
            </w:sdtContent>
          </w:sdt>
          <w:r>
            <w:t xml:space="preserve"> lentelė</w:t>
          </w:r>
        </w:p>
        <w:p>
          <w:pPr>
            <w:jc w:val="both"/>
            <w:rPr>
              <w:bCs/>
            </w:rPr>
          </w:pPr>
        </w:p>
        <w:p>
          <w:pPr>
            <w:jc w:val="center"/>
            <w:rPr>
              <w:b/>
              <w:bCs/>
            </w:rPr>
          </w:pPr>
          <w:sdt>
            <w:sdtPr>
              <w:alias w:val="Pavadinimas"/>
              <w:tag w:val="title_40d41124f30a4b7382de1e69f8fe3f4b"/>
              <w:lock w:val="sdtLocked"/>
              <w:richText/>
            </w:sdtPr>
            <w:sdtContent>
              <w:r>
                <w:rPr>
                  <w:b/>
                  <w:bCs/>
                </w:rPr>
                <w:t>TAIKOMŲ APRIBOJIMŲ KODAI</w:t>
              </w:r>
            </w:sdtContent>
          </w:sdt>
        </w:p>
        <w:p>
          <w:pPr>
            <w:jc w:val="both"/>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945"/>
            <w:gridCol w:w="51"/>
            <w:gridCol w:w="8785"/>
          </w:tblGrid>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rPr>
                    <w:b/>
                  </w:rPr>
                </w:pPr>
                <w:r>
                  <w:rPr>
                    <w:b/>
                  </w:rPr>
                  <w:t>Kodas</w:t>
                </w:r>
              </w:p>
            </w:tc>
            <w:tc>
              <w:tcPr>
                <w:tcW w:w="4517" w:type="pct"/>
                <w:gridSpan w:val="2"/>
                <w:tcBorders>
                  <w:top w:val="single" w:sz="4" w:space="0" w:color="auto"/>
                  <w:left w:val="single" w:sz="4" w:space="0" w:color="auto"/>
                  <w:bottom w:val="single" w:sz="4" w:space="0" w:color="auto"/>
                  <w:right w:val="single" w:sz="4" w:space="0" w:color="auto"/>
                </w:tcBorders>
              </w:tcPr>
              <w:p>
                <w:pPr>
                  <w:jc w:val="center"/>
                  <w:rPr>
                    <w:b/>
                  </w:rPr>
                </w:pPr>
                <w:r>
                  <w:rPr>
                    <w:b/>
                  </w:rPr>
                  <w:t>Apribojimas</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Dėl medicininių priežasčių</w:t>
                </w:r>
              </w:p>
              <w:p>
                <w:pPr>
                  <w:jc w:val="center"/>
                  <w:rPr>
                    <w:b/>
                  </w:rPr>
                </w:pPr>
                <w:r>
                  <w:t>(kandidatui į vairuotojus ir vairuotojui – išvadą pateikia SPĮ)</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Regos korekcija ir (arba) apsauga</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Akiniai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Kontaktinis (-iai) lęšis (-iai)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01.05</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Akies raištis</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01.06</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Akiniai arba kontaktiniai lęšiai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01.07</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Speciali optinė pagalbinė priemonė</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 xml:space="preserve">Klausos ir susikalbėjimo pagalbinė priemonė </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Galūnių protezai arba korekcijos įtaisai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Viršutinės galūnės protezas arba korekcijos įtaisas</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Apatinės galūnės protezas arba korekcijos įtaisas</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Transporto priemonės pritaikymas</w:t>
                </w:r>
              </w:p>
            </w:tc>
          </w:tr>
          <w:tr>
            <w:trPr>
              <w:trHeight w:val="23"/>
            </w:trPr>
            <w:tc>
              <w:tcPr>
                <w:tcW w:w="509" w:type="pct"/>
                <w:gridSpan w:val="2"/>
                <w:tcBorders>
                  <w:top w:val="single" w:sz="4" w:space="0" w:color="auto"/>
                  <w:left w:val="single" w:sz="4" w:space="0" w:color="auto"/>
                  <w:bottom w:val="single" w:sz="4" w:space="0" w:color="auto"/>
                  <w:right w:val="single" w:sz="4" w:space="0" w:color="auto"/>
                </w:tcBorders>
              </w:tcPr>
              <w:p>
                <w:pPr>
                  <w:jc w:val="both"/>
                </w:pPr>
                <w:r>
                  <w:t>Nuo 10 iki 50</w:t>
                </w:r>
              </w:p>
            </w:tc>
            <w:tc>
              <w:tcPr>
                <w:tcW w:w="4491" w:type="pct"/>
                <w:tcBorders>
                  <w:top w:val="single" w:sz="4" w:space="0" w:color="auto"/>
                  <w:left w:val="single" w:sz="4" w:space="0" w:color="auto"/>
                  <w:bottom w:val="single" w:sz="4" w:space="0" w:color="auto"/>
                  <w:right w:val="single" w:sz="4" w:space="0" w:color="auto"/>
                </w:tcBorders>
              </w:tcPr>
              <w:p>
                <w:pPr>
                  <w:jc w:val="both"/>
                </w:pPr>
                <w:r>
                  <w:t>Transporto priemonės pritaikymas – išvadą pateikia protezinių ortopedijos gaminių ir techninių priemonių pritaikymo įstaigos (institucijos)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Transporto priemonės naudojimo ribojimo kodai</w:t>
                </w:r>
              </w:p>
            </w:tc>
          </w:tr>
          <w:tr>
            <w:trPr>
              <w:trHeight w:val="23"/>
            </w:trPr>
            <w:tc>
              <w:tcPr>
                <w:tcW w:w="509" w:type="pct"/>
                <w:gridSpan w:val="2"/>
                <w:tcBorders>
                  <w:top w:val="single" w:sz="4" w:space="0" w:color="auto"/>
                  <w:left w:val="single" w:sz="4" w:space="0" w:color="auto"/>
                  <w:bottom w:val="single" w:sz="4" w:space="0" w:color="auto"/>
                  <w:right w:val="single" w:sz="4" w:space="0" w:color="auto"/>
                </w:tcBorders>
              </w:tcPr>
              <w:p>
                <w:pPr>
                  <w:jc w:val="both"/>
                </w:pPr>
                <w:r>
                  <w:t>68</w:t>
                </w:r>
              </w:p>
            </w:tc>
            <w:tc>
              <w:tcPr>
                <w:tcW w:w="4491" w:type="pct"/>
                <w:tcBorders>
                  <w:top w:val="single" w:sz="4" w:space="0" w:color="auto"/>
                  <w:left w:val="single" w:sz="4" w:space="0" w:color="auto"/>
                  <w:bottom w:val="single" w:sz="4" w:space="0" w:color="auto"/>
                  <w:right w:val="single" w:sz="4" w:space="0" w:color="auto"/>
                </w:tcBorders>
              </w:tcPr>
              <w:p>
                <w:pPr>
                  <w:jc w:val="both"/>
                </w:pPr>
                <w:r>
                  <w:t>Draudžiama vairuoti išgėrus alkoholio</w:t>
                </w:r>
              </w:p>
            </w:tc>
          </w:tr>
        </w:tbl>
        <w:p>
          <w:pPr>
            <w:jc w:val="both"/>
          </w:pPr>
        </w:p>
        <w:sdt>
          <w:sdtPr>
            <w:alias w:val="pabaiga"/>
            <w:tag w:val="part_0a8183dfca4b435c9e19dd94a8901835"/>
            <w:lock w:val="sdtLocked"/>
            <w:richText/>
          </w:sdtPr>
          <w:sdtContent>
            <w:p>
              <w:pPr>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sdtContent>
    </w:sdt>
    <w:sdt>
      <w:sdtPr>
        <w:alias w:val="priedas"/>
        <w:tag w:val="part_16da7f4fb3ba4470b56907f57e40005b"/>
        <w:lock w:val="sdtLocked"/>
        <w:richText/>
      </w:sdtPr>
      <w:sdtContent>
        <w:p>
          <w:pPr>
            <w:spacing w:line="276" w:lineRule="auto"/>
            <w:sectPr>
              <w:pgSz w:w="11906" w:h="16838"/>
              <w:pgMar w:top="1134" w:right="1134" w:bottom="1134" w:left="1701" w:header="567" w:footer="567" w:gutter="0"/>
              <w:cols w:space="1296"/>
              <w:noEndnote/>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8"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9"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0"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1"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52"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c7c67b5a4c5042faa0a25dbf6aeea340"/>
                <w:lock w:val="sdtLocked"/>
                <w:richText/>
              </w:sdtPr>
              <w:sdtContent>
                <w:p>
                  <w:pPr>
                    <w:ind w:firstLine="709"/>
                    <w:jc w:val="both"/>
                    <w:rPr>
                      <w:color w:val="000000"/>
                      <w:szCs w:val="24"/>
                    </w:rPr>
                  </w:pPr>
                  <w:sdt>
                    <w:sdtPr>
                      <w:alias w:val="Numeris"/>
                      <w:tag w:val="nr_c7c67b5a4c5042faa0a25dbf6aeea340"/>
                      <w:lock w:val="sdtLocked"/>
                      <w:richText/>
                    </w:sdtPr>
                    <w:sdtContent>
                      <w:r>
                        <w:rPr>
                          <w:color w:val="000000"/>
                          <w:szCs w:val="24"/>
                        </w:rPr>
                        <w:t>22</w:t>
                      </w:r>
                    </w:sdtContent>
                  </w:sdt>
                  <w:r>
                    <w:rPr>
                      <w:color w:val="000000"/>
                      <w:szCs w:val="24"/>
                    </w:rPr>
                    <w:t>. Šio Aprašo 6 punkte nurodytų I, II, III profesinių grupių darbuotojai, kuriems yra pripažintas 55 proc. ar mažesnis darbingumo lygis, yra netinkami dirbti jūrų ir vidaus vandenų laivuose. IV profesinei grupei priskirtini asmenys, kuriems yra pripažintas 25 proc. ar mažesnis darbingumo lygis, negali užsiimti su laivyba susijusia veikla.</w:t>
                  </w:r>
                </w:p>
                <w:p>
                  <w:pPr>
                    <w:ind w:firstLine="709"/>
                    <w:jc w:val="both"/>
                    <w:rPr>
                      <w:color w:val="000000"/>
                      <w:szCs w:val="24"/>
                    </w:rPr>
                  </w:pPr>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9253baf6566c4702b675f21bb0b2d003"/>
        <w:lock w:val="sdtLocked"/>
        <w:richText/>
      </w:sdtPr>
      <w:sdtContent>
        <w:p>
          <w:pPr>
            <w:ind w:left="720" w:hanging="11"/>
            <w:jc w:val="center"/>
            <w:rPr>
              <w:szCs w:val="24"/>
            </w:rPr>
          </w:pPr>
        </w:p>
        <w:p>
          <w:pPr>
            <w:ind w:right="27"/>
            <w:jc w:val="both"/>
            <w:rPr>
              <w:sz w:val="20"/>
              <w:szCs w:val="24"/>
            </w:rPr>
            <w:sectPr>
              <w:headerReference w:type="even" r:id="rId95"/>
              <w:headerReference w:type="default" r:id="rId96"/>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9253baf6566c4702b675f21bb0b2d003"/>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3120aa7d6a4f438ba6ad5e48ecea4322"/>
        <w:lock w:val="sdtLocked"/>
        <w:richText/>
      </w:sdtPr>
      <w:sdtContent>
        <w:p>
          <w:pPr>
            <w:ind w:left="5184"/>
            <w:jc w:val="both"/>
            <w:sectPr>
              <w:headerReference w:type="even" r:id="rId97"/>
              <w:headerReference w:type="default" r:id="rId98"/>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3120aa7d6a4f438ba6ad5e48ecea4322"/>
              <w:lock w:val="sdtLocked"/>
              <w:richText/>
            </w:sdtPr>
            <w:sdtContent>
              <w:r>
                <w:rPr>
                  <w:szCs w:val="24"/>
                </w:rPr>
                <w:t>2</w:t>
              </w:r>
            </w:sdtContent>
          </w:sdt>
          <w:r>
            <w:rPr>
              <w:szCs w:val="24"/>
            </w:rPr>
            <w:t xml:space="preserve"> priedas</w:t>
          </w:r>
        </w:p>
        <w:p>
          <w:pPr>
            <w:jc w:val="center"/>
            <w:rPr>
              <w:b/>
              <w:szCs w:val="24"/>
            </w:rPr>
          </w:pPr>
        </w:p>
        <w:sdt>
          <w:sdtPr>
            <w:alias w:val="Pavadinimas"/>
            <w:tag w:val="title_3120aa7d6a4f438ba6ad5e48ecea4322"/>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nustatytas darbingumo lygis? / </w:t>
                </w:r>
                <w:r>
                  <w:rPr>
                    <w:i/>
                    <w:szCs w:val="24"/>
                  </w:rPr>
                  <w:t>Do you have confirmed disability?</w:t>
                </w:r>
                <w:r>
                  <w:rPr>
                    <w:szCs w:val="24"/>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8" w:tgtFrame="_blank" w:history="1">
                    <w:r>
                      <w:rPr>
                        <w:color w:val="0000FF" w:themeColor="hyperlink"/>
                        <w:u w:val="single"/>
                      </w:rPr>
                      <w:t>4-27</w:t>
                    </w:r>
                  </w:hyperlink>
                  <w:r>
                    <w:rPr>
                      <w:color w:val="000000"/>
                    </w:rPr>
                    <w:t xml:space="preserve">; 2006, Nr. </w:t>
                  </w:r>
                  <w:hyperlink r:id="rId59"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0" w:tgtFrame="_blank" w:history="1">
                    <w:r>
                      <w:rPr>
                        <w:color w:val="0000FF" w:themeColor="hyperlink"/>
                        <w:u w:val="single"/>
                      </w:rPr>
                      <w:t>47-1365</w:t>
                    </w:r>
                  </w:hyperlink>
                  <w:r>
                    <w:rPr>
                      <w:color w:val="000000"/>
                    </w:rPr>
                    <w:t xml:space="preserve">; 2009, Nr. </w:t>
                  </w:r>
                  <w:hyperlink r:id="rId61"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2"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3"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4"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5"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6"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7"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8"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69"/>
                          <w:footerReference w:type="default" r:id="rId70"/>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1"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2"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3"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4"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5"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6"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7"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8"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79"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0"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1"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2"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3"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4"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5"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6" w:tgtFrame="_blank" w:history="1">
                          <w:r>
                            <w:rPr>
                              <w:color w:val="0000FF" w:themeColor="hyperlink"/>
                              <w:sz w:val="18"/>
                              <w:szCs w:val="18"/>
                              <w:u w:val="single"/>
                            </w:rPr>
                            <w:t>47-1365</w:t>
                          </w:r>
                        </w:hyperlink>
                        <w:r>
                          <w:rPr>
                            <w:sz w:val="18"/>
                            <w:szCs w:val="18"/>
                          </w:rPr>
                          <w:t xml:space="preserve">; 2005, Nr. </w:t>
                        </w:r>
                        <w:hyperlink r:id="rId87" w:tgtFrame="_blank" w:history="1">
                          <w:r>
                            <w:rPr>
                              <w:color w:val="0000FF" w:themeColor="hyperlink"/>
                              <w:sz w:val="18"/>
                              <w:szCs w:val="18"/>
                              <w:u w:val="single"/>
                            </w:rPr>
                            <w:t>128-4637</w:t>
                          </w:r>
                        </w:hyperlink>
                        <w:r>
                          <w:rPr>
                            <w:sz w:val="18"/>
                            <w:szCs w:val="18"/>
                          </w:rPr>
                          <w:t xml:space="preserve">; 2008, Nr. </w:t>
                        </w:r>
                        <w:hyperlink r:id="rId88"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89" w:tgtFrame="_blank" w:history="1">
                          <w:r>
                            <w:rPr>
                              <w:color w:val="0000FF" w:themeColor="hyperlink"/>
                              <w:sz w:val="18"/>
                              <w:szCs w:val="18"/>
                              <w:u w:val="single"/>
                            </w:rPr>
                            <w:t>47-1365</w:t>
                          </w:r>
                        </w:hyperlink>
                        <w:r>
                          <w:rPr>
                            <w:sz w:val="18"/>
                            <w:szCs w:val="18"/>
                          </w:rPr>
                          <w:t xml:space="preserve">; 2005, Nr. </w:t>
                        </w:r>
                        <w:hyperlink r:id="rId90" w:tgtFrame="_blank" w:history="1">
                          <w:r>
                            <w:rPr>
                              <w:color w:val="0000FF" w:themeColor="hyperlink"/>
                              <w:sz w:val="18"/>
                              <w:szCs w:val="18"/>
                              <w:u w:val="single"/>
                            </w:rPr>
                            <w:t>128-4637</w:t>
                          </w:r>
                        </w:hyperlink>
                        <w:r>
                          <w:rPr>
                            <w:sz w:val="18"/>
                            <w:szCs w:val="18"/>
                          </w:rPr>
                          <w:t xml:space="preserve">; 2008, Nr. </w:t>
                        </w:r>
                        <w:hyperlink r:id="rId91"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2"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7d2ca2b7defa43b59404d8ac053e44bc"/>
            <w:lock w:val="sdtLocked"/>
            <w:richText/>
          </w:sdtPr>
          <w:sdtContent>
            <w:p>
              <w:pPr>
                <w:jc w:val="center"/>
                <w:rPr>
                  <w:b/>
                  <w:szCs w:val="24"/>
                </w:rPr>
              </w:pPr>
              <w:sdt>
                <w:sdtPr>
                  <w:alias w:val="Numeris"/>
                  <w:tag w:val="nr_7d2ca2b7defa43b59404d8ac053e44bc"/>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7d2ca2b7defa43b59404d8ac053e44bc"/>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8"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c>
                  <w:tcPr>
                    <w:tcW w:w="1008"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1</w:t>
                    </w:r>
                  </w:p>
                </w:tc>
                <w:tc>
                  <w:tcPr>
                    <w:tcW w:w="600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2</w:t>
                    </w:r>
                  </w:p>
                </w:tc>
                <w:tc>
                  <w:tcPr>
                    <w:tcW w:w="263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3</w:t>
                    </w:r>
                  </w:p>
                </w:tc>
              </w:tr>
              <w:tr>
                <w:trPr>
                  <w:trHeight w:val="428"/>
                </w:trPr>
                <w:tc>
                  <w:tcPr>
                    <w:tcW w:w="1008"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szCs w:val="24"/>
                      </w:rPr>
                    </w:pPr>
                    <w:r>
                      <w:rPr>
                        <w:szCs w:val="24"/>
                      </w:rPr>
                      <w:t>1.</w:t>
                    </w:r>
                  </w:p>
                </w:tc>
                <w:tc>
                  <w:tcPr>
                    <w:tcW w:w="600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rPr>
                        <w:szCs w:val="24"/>
                      </w:rPr>
                    </w:pPr>
                    <w:r>
                      <w:rPr>
                        <w:szCs w:val="24"/>
                      </w:rPr>
                      <w:t>Gydytojo specialisto</w:t>
                    </w:r>
                  </w:p>
                </w:tc>
                <w:tc>
                  <w:tcPr>
                    <w:tcW w:w="263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szCs w:val="24"/>
                      </w:rPr>
                    </w:pPr>
                    <w:r>
                      <w:rPr>
                        <w:szCs w:val="24"/>
                      </w:rPr>
                      <w:t>8,30</w:t>
                    </w:r>
                  </w:p>
                </w:tc>
              </w:tr>
            </w:tbl>
            <w:p>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3b540529011e7846ef01bfffb9b64">
                <w:r w:rsidRPr="00532B9F">
                  <w:rPr>
                    <w:rFonts w:ascii="Times New Roman" w:eastAsia="MS Mincho" w:hAnsi="Times New Roman"/>
                    <w:sz w:val="20"/>
                    <w:i/>
                    <w:iCs/>
                    <w:color w:val="0000FF" w:themeColor="hyperlink"/>
                    <w:u w:val="single"/>
                  </w:rPr>
                  <w:t>V-715</w:t>
                </w:r>
              </w:fldSimple>
              <w:r>
                <w:rPr>
                  <w:rFonts w:ascii="Times New Roman" w:eastAsia="MS Mincho" w:hAnsi="Times New Roman"/>
                  <w:sz w:val="20"/>
                  <w:i/>
                  <w:iCs/>
                </w:rPr>
                <w:t>,
2017-06-14,
paskelbta TAR 2017-06-19, i. k. 2017-10169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27960447e11e8ad2f97b2a095557a">
                <w:r w:rsidRPr="00532B9F">
                  <w:rPr>
                    <w:rFonts w:ascii="Times New Roman" w:eastAsia="MS Mincho" w:hAnsi="Times New Roman"/>
                    <w:sz w:val="20"/>
                    <w:i/>
                    <w:iCs/>
                    <w:color w:val="0000FF" w:themeColor="hyperlink"/>
                    <w:u w:val="single"/>
                  </w:rPr>
                  <w:t>V-458</w:t>
                </w:r>
              </w:fldSimple>
              <w:r>
                <w:rPr>
                  <w:rFonts w:ascii="Times New Roman" w:eastAsia="MS Mincho" w:hAnsi="Times New Roman"/>
                  <w:sz w:val="20"/>
                  <w:i/>
                  <w:iCs/>
                </w:rPr>
                <w:t>,
2018-04-19,
paskelbta TAR 2018-04-20, i. k. 2018-06362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3249"/>
    <o:shapelayout v:ext="edit">
      <o:idmap v:ext="edit" data="1"/>
    </o:shapelayout>
  </w:shapeDefaults>
  <w:decimalSymbol w:val=","/>
  <w:listSeparator w:val=";"/>
  <w14:docId w14:val="0C2213F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00" Type="http://schemas.openxmlformats.org/officeDocument/2006/relationships/header" Target="header190.xml"/>
  <Relationship Id="rId101" Type="http://schemas.openxmlformats.org/officeDocument/2006/relationships/header" Target="header191.xml"/>
  <Relationship Id="rId102" Type="http://schemas.openxmlformats.org/officeDocument/2006/relationships/image" Target="media/image33.png"/>
  <Relationship Id="rId103" Type="http://schemas.openxmlformats.org/officeDocument/2006/relationships/image" Target="media/image34.png"/>
  <Relationship Id="rId104" Type="http://schemas.openxmlformats.org/officeDocument/2006/relationships/image" Target="media/image35.png"/>
  <Relationship Id="rId105" Type="http://schemas.openxmlformats.org/officeDocument/2006/relationships/image" Target="media/image36.png"/>
  <Relationship Id="rId106" Type="http://schemas.openxmlformats.org/officeDocument/2006/relationships/image" Target="media/image37.png"/>
  <Relationship Id="rId107" Type="http://schemas.openxmlformats.org/officeDocument/2006/relationships/image" Target="media/image38.png"/>
  <Relationship Id="rId108" Type="http://schemas.openxmlformats.org/officeDocument/2006/relationships/image" Target="media/image39.png"/>
  <Relationship Id="rId109" Type="http://schemas.openxmlformats.org/officeDocument/2006/relationships/image" Target="media/image40.png"/>
  <Relationship Id="rId11" Type="http://schemas.openxmlformats.org/officeDocument/2006/relationships/hyperlink" TargetMode="External" Target="https://www.e-tar.lt/portal/lt/legalAct/TAR.95C79D036AA4"/>
  <Relationship Id="rId110" Type="http://schemas.openxmlformats.org/officeDocument/2006/relationships/image" Target="media/image41.png"/>
  <Relationship Id="rId111" Type="http://schemas.openxmlformats.org/officeDocument/2006/relationships/image" Target="media/image42.png"/>
  <Relationship Id="rId112" Type="http://schemas.openxmlformats.org/officeDocument/2006/relationships/image" Target="media/image43.png"/>
  <Relationship Id="rId113" Type="http://schemas.openxmlformats.org/officeDocument/2006/relationships/image" Target="media/image44.png"/>
  <Relationship Id="rId114" Type="http://schemas.openxmlformats.org/officeDocument/2006/relationships/image" Target="media/image45.png"/>
  <Relationship Id="rId115" Type="http://schemas.openxmlformats.org/officeDocument/2006/relationships/image" Target="media/image46.png"/>
  <Relationship Id="rId116" Type="http://schemas.openxmlformats.org/officeDocument/2006/relationships/image" Target="media/image47.png"/>
  <Relationship Id="rId117" Type="http://schemas.openxmlformats.org/officeDocument/2006/relationships/image" Target="media/image48.png"/>
  <Relationship Id="rId118" Type="http://schemas.openxmlformats.org/officeDocument/2006/relationships/image" Target="media/image49.png"/>
  <Relationship Id="rId119" Type="http://schemas.openxmlformats.org/officeDocument/2006/relationships/image" Target="media/image50.png"/>
  <Relationship Id="rId12" Type="http://schemas.openxmlformats.org/officeDocument/2006/relationships/hyperlink" TargetMode="External" Target="https://www.e-tar.lt/portal/lt/legalAct/TAR.E2B2957B9182"/>
  <Relationship Id="rId120" Type="http://schemas.openxmlformats.org/officeDocument/2006/relationships/image" Target="media/image51.png"/>
  <Relationship Id="rId121" Type="http://schemas.openxmlformats.org/officeDocument/2006/relationships/image" Target="media/image52.png"/>
  <Relationship Id="rId122" Type="http://schemas.openxmlformats.org/officeDocument/2006/relationships/image" Target="media/image53.png"/>
  <Relationship Id="rId123" Type="http://schemas.openxmlformats.org/officeDocument/2006/relationships/image" Target="media/image54.png"/>
  <Relationship Id="rId124" Type="http://schemas.openxmlformats.org/officeDocument/2006/relationships/image" Target="media/image55.png"/>
  <Relationship Id="rId125" Type="http://schemas.openxmlformats.org/officeDocument/2006/relationships/image" Target="media/image56.png"/>
  <Relationship Id="rId126" Type="http://schemas.openxmlformats.org/officeDocument/2006/relationships/image" Target="media/image57.png"/>
  <Relationship Id="rId127" Type="http://schemas.openxmlformats.org/officeDocument/2006/relationships/image" Target="media/image58.png"/>
  <Relationship Id="rId128" Type="http://schemas.openxmlformats.org/officeDocument/2006/relationships/image" Target="media/image59.png"/>
  <Relationship Id="rId129" Type="http://schemas.openxmlformats.org/officeDocument/2006/relationships/image" Target="media/image60.png"/>
  <Relationship Id="rId13" Type="http://schemas.openxmlformats.org/officeDocument/2006/relationships/hyperlink" TargetMode="External" Target="https://www.e-tar.lt/portal/lt/legalAct/TAR.E964CE7A637A"/>
  <Relationship Id="rId130" Type="http://schemas.openxmlformats.org/officeDocument/2006/relationships/image" Target="media/image61.png"/>
  <Relationship Id="rId131" Type="http://schemas.openxmlformats.org/officeDocument/2006/relationships/image" Target="media/image62.png"/>
  <Relationship Id="rId132" Type="http://schemas.openxmlformats.org/officeDocument/2006/relationships/image" Target="media/image63.png"/>
  <Relationship Id="rId133" Type="http://schemas.openxmlformats.org/officeDocument/2006/relationships/image" Target="media/image64.png"/>
  <Relationship Id="rId134" Type="http://schemas.openxmlformats.org/officeDocument/2006/relationships/customXml" Target="../customXml/item1.xml"/>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69.xml"/>
  <Relationship Id="rId23" Type="http://schemas.openxmlformats.org/officeDocument/2006/relationships/header" Target="header70.xml"/>
  <Relationship Id="rId24" Type="http://schemas.openxmlformats.org/officeDocument/2006/relationships/footer" Target="footer67.xml"/>
  <Relationship Id="rId25" Type="http://schemas.openxmlformats.org/officeDocument/2006/relationships/footer" Target="footer68.xml"/>
  <Relationship Id="rId26" Type="http://schemas.openxmlformats.org/officeDocument/2006/relationships/header" Target="header71.xml"/>
  <Relationship Id="rId27" Type="http://schemas.openxmlformats.org/officeDocument/2006/relationships/footer" Target="footer69.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eader" Target="header81.xml"/>
  <Relationship Id="rId35" Type="http://schemas.openxmlformats.org/officeDocument/2006/relationships/header" Target="header82.xml"/>
  <Relationship Id="rId36" Type="http://schemas.openxmlformats.org/officeDocument/2006/relationships/footer" Target="footer79.xml"/>
  <Relationship Id="rId37" Type="http://schemas.openxmlformats.org/officeDocument/2006/relationships/footer" Target="footer80.xml"/>
  <Relationship Id="rId38" Type="http://schemas.openxmlformats.org/officeDocument/2006/relationships/header" Target="header83.xml"/>
  <Relationship Id="rId39" Type="http://schemas.openxmlformats.org/officeDocument/2006/relationships/footer" Target="footer81.xml"/>
  <Relationship Id="rId4" Type="http://schemas.openxmlformats.org/officeDocument/2006/relationships/settings" Target="settings.xml"/>
  <Relationship Id="rId40" Type="http://schemas.openxmlformats.org/officeDocument/2006/relationships/hyperlink" TargetMode="External" Target="https://www.e-tar.lt/portal/lt/legalAct/TAR.FC348F73C47A"/>
  <Relationship Id="rId41" Type="http://schemas.openxmlformats.org/officeDocument/2006/relationships/hyperlink" TargetMode="External" Target="https://www.e-tar.lt/portal/lt/legalAct/TAR.FC348F73C47A"/>
  <Relationship Id="rId42" Type="http://schemas.openxmlformats.org/officeDocument/2006/relationships/header" Target="header141.xml"/>
  <Relationship Id="rId43" Type="http://schemas.openxmlformats.org/officeDocument/2006/relationships/header" Target="header142.xml"/>
  <Relationship Id="rId44" Type="http://schemas.openxmlformats.org/officeDocument/2006/relationships/footer" Target="footer139.xml"/>
  <Relationship Id="rId45" Type="http://schemas.openxmlformats.org/officeDocument/2006/relationships/footer" Target="footer140.xml"/>
  <Relationship Id="rId46" Type="http://schemas.openxmlformats.org/officeDocument/2006/relationships/header" Target="header143.xml"/>
  <Relationship Id="rId47" Type="http://schemas.openxmlformats.org/officeDocument/2006/relationships/footer" Target="footer141.xml"/>
  <Relationship Id="rId48" Type="http://schemas.openxmlformats.org/officeDocument/2006/relationships/hyperlink" TargetMode="External" Target="https://www.e-tar.lt/portal/lt/legalAct/TAR.3394CBFC359C"/>
  <Relationship Id="rId49" Type="http://schemas.openxmlformats.org/officeDocument/2006/relationships/hyperlink" TargetMode="External" Target="http://www3.lrs.lt/cgi-bin/preps2?a=51605&amp;b="/>
  <Relationship Id="rId5" Type="http://schemas.openxmlformats.org/officeDocument/2006/relationships/styles" Target="styles.xml"/>
  <Relationship Id="rId50" Type="http://schemas.openxmlformats.org/officeDocument/2006/relationships/hyperlink" TargetMode="External" Target="https://www.e-tar.lt/portal/lt/legalAct/TAR.B7D7BAACDE6B"/>
  <Relationship Id="rId51" Type="http://schemas.openxmlformats.org/officeDocument/2006/relationships/hyperlink" TargetMode="External" Target="http://www3.lrs.lt/cgi-bin/preps2?a=69596&amp;b="/>
  <Relationship Id="rId52" Type="http://schemas.openxmlformats.org/officeDocument/2006/relationships/hyperlink" TargetMode="External" Target="https://www.e-tar.lt/portal/lt/legalAct/TAR.501193BA5D7C"/>
  <Relationship Id="rId53" Type="http://schemas.openxmlformats.org/officeDocument/2006/relationships/hyperlink" TargetMode="External" Target="https://www.e-tar.lt/portal/lt/legalAct/TAR.5DC1759E42CB"/>
  <Relationship Id="rId54" Type="http://schemas.openxmlformats.org/officeDocument/2006/relationships/hyperlink" TargetMode="External" Target="https://www.e-tar.lt/portal/lt/legalAct/TAR.8D97CD7E1857"/>
  <Relationship Id="rId55" Type="http://schemas.openxmlformats.org/officeDocument/2006/relationships/hyperlink" TargetMode="External" Target="https://www.e-tar.lt/portal/lt/legalAct/TAR.DC61D74561C5"/>
  <Relationship Id="rId56" Type="http://schemas.openxmlformats.org/officeDocument/2006/relationships/hyperlink" TargetMode="External" Target="https://www.e-tar.lt/portal/lt/legalAct/TAR.67B5099C5848"/>
  <Relationship Id="rId57" Type="http://schemas.openxmlformats.org/officeDocument/2006/relationships/hyperlink" TargetMode="External" Target="https://www.e-tar.lt/portal/lt/legalAct/TAR.78FAC7B20AD8"/>
  <Relationship Id="rId58" Type="http://schemas.openxmlformats.org/officeDocument/2006/relationships/hyperlink" TargetMode="External" Target="https://www.e-tar.lt/portal/lt/legalAct/TAR.C7A984833333"/>
  <Relationship Id="rId59" Type="http://schemas.openxmlformats.org/officeDocument/2006/relationships/hyperlink" TargetMode="External" Target="https://www.e-tar.lt/portal/lt/legalAct/TAR.33907EA7C2DC"/>
  <Relationship Id="rId6" Type="http://schemas.microsoft.com/office/2007/relationships/stylesWithEffects" Target="stylesWithEffects.xml"/>
  <Relationship Id="rId60" Type="http://schemas.openxmlformats.org/officeDocument/2006/relationships/hyperlink" TargetMode="External" Target="https://www.e-tar.lt/portal/lt/legalAct/TAR.DC61D74561C5"/>
  <Relationship Id="rId61" Type="http://schemas.openxmlformats.org/officeDocument/2006/relationships/hyperlink" TargetMode="External" Target="https://www.e-tar.lt/portal/lt/legalAct/TAR.723F49D02CD8"/>
  <Relationship Id="rId62" Type="http://schemas.openxmlformats.org/officeDocument/2006/relationships/hyperlink" TargetMode="External" Target="https://www.e-tar.lt/portal/lt/legalAct/TAR.6A8A7A3BBCDC"/>
  <Relationship Id="rId63" Type="http://schemas.openxmlformats.org/officeDocument/2006/relationships/hyperlink" TargetMode="External" Target="https://www.e-tar.lt/portal/lt/legalAct/TAR.F1D86F455636"/>
  <Relationship Id="rId64" Type="http://schemas.openxmlformats.org/officeDocument/2006/relationships/hyperlink" TargetMode="External" Target="https://www.e-tar.lt/portal/lt/legalAct/TAR.5E3842DF67F8"/>
  <Relationship Id="rId65" Type="http://schemas.openxmlformats.org/officeDocument/2006/relationships/hyperlink" TargetMode="External" Target="https://www.e-tar.lt/portal/lt/legalAct/TAR.668CEF058FF8"/>
  <Relationship Id="rId66" Type="http://schemas.openxmlformats.org/officeDocument/2006/relationships/hyperlink" TargetMode="External" Target="https://www.e-tar.lt/portal/lt/legalAct/TAR.DC61D74561C5"/>
  <Relationship Id="rId67" Type="http://schemas.openxmlformats.org/officeDocument/2006/relationships/hyperlink" TargetMode="External" Target="https://www.e-tar.lt/portal/lt/legalAct/TAR.C6E4170DB704"/>
  <Relationship Id="rId68" Type="http://schemas.openxmlformats.org/officeDocument/2006/relationships/hyperlink" TargetMode="External" Target="https://www.e-tar.lt/portal/lt/legalAct/TAR.668CEF058FF8"/>
  <Relationship Id="rId69" Type="http://schemas.openxmlformats.org/officeDocument/2006/relationships/header" Target="header168.xml"/>
  <Relationship Id="rId7" Type="http://schemas.openxmlformats.org/officeDocument/2006/relationships/theme" Target="theme/theme1.xml"/>
  <Relationship Id="rId70" Type="http://schemas.openxmlformats.org/officeDocument/2006/relationships/footer" Target="footer166.xml"/>
  <Relationship Id="rId71" Type="http://schemas.openxmlformats.org/officeDocument/2006/relationships/hyperlink" TargetMode="External" Target="https://www.e-tar.lt/portal/lt/legalAct/TAR.1B50A305B56B"/>
  <Relationship Id="rId72" Type="http://schemas.openxmlformats.org/officeDocument/2006/relationships/hyperlink" TargetMode="External" Target="https://www.e-tar.lt/portal/lt/legalAct/TAR.A36A799DD928"/>
  <Relationship Id="rId73" Type="http://schemas.openxmlformats.org/officeDocument/2006/relationships/hyperlink" TargetMode="External" Target="https://www.e-tar.lt/portal/lt/legalAct/TAR.7083DB116A2E"/>
  <Relationship Id="rId74" Type="http://schemas.openxmlformats.org/officeDocument/2006/relationships/hyperlink" TargetMode="External" Target="https://www.e-tar.lt/portal/lt/legalAct/TAR.6A8A7A3BBCDC"/>
  <Relationship Id="rId75" Type="http://schemas.openxmlformats.org/officeDocument/2006/relationships/hyperlink" TargetMode="External" Target="https://www.e-tar.lt/portal/lt/legalAct/TAR.F1D86F455636"/>
  <Relationship Id="rId76" Type="http://schemas.openxmlformats.org/officeDocument/2006/relationships/hyperlink" TargetMode="External" Target="https://www.e-tar.lt/portal/lt/legalAct/TAR.751B6F8BF451"/>
  <Relationship Id="rId77" Type="http://schemas.openxmlformats.org/officeDocument/2006/relationships/hyperlink" TargetMode="External" Target="https://www.e-tar.lt/portal/lt/legalAct/TAR.313208361D5D"/>
  <Relationship Id="rId78" Type="http://schemas.openxmlformats.org/officeDocument/2006/relationships/hyperlink" TargetMode="External" Target="https://www.e-tar.lt/portal/lt/legalAct/TAR.64EB889A3B24"/>
  <Relationship Id="rId79" Type="http://schemas.openxmlformats.org/officeDocument/2006/relationships/hyperlink" TargetMode="External" Target="https://www.e-tar.lt/portal/lt/legalAct/TAR.5ED52629C3C4"/>
  <Relationship Id="rId8" Type="http://schemas.openxmlformats.org/officeDocument/2006/relationships/webSettings" Target="webSettings.xml"/>
  <Relationship Id="rId80" Type="http://schemas.openxmlformats.org/officeDocument/2006/relationships/hyperlink" TargetMode="External" Target="https://www.e-tar.lt/portal/lt/legalAct/TAR.0630DF325F2F"/>
  <Relationship Id="rId81" Type="http://schemas.openxmlformats.org/officeDocument/2006/relationships/hyperlink" TargetMode="External" Target="https://www.e-tar.lt/portal/lt/legalAct/TAR.A57CA999DD08"/>
  <Relationship Id="rId82" Type="http://schemas.openxmlformats.org/officeDocument/2006/relationships/hyperlink" TargetMode="External" Target="https://www.e-tar.lt/portal/lt/legalAct/TAR.668CEF058FF8"/>
  <Relationship Id="rId83" Type="http://schemas.openxmlformats.org/officeDocument/2006/relationships/hyperlink" TargetMode="External" Target="https://www.e-tar.lt/portal/lt/legalAct/TAR.04551A50A76D"/>
  <Relationship Id="rId84" Type="http://schemas.openxmlformats.org/officeDocument/2006/relationships/hyperlink" TargetMode="External" Target="https://www.e-tar.lt/portal/lt/legalAct/TAR.C6E4170DB704"/>
  <Relationship Id="rId85" Type="http://schemas.openxmlformats.org/officeDocument/2006/relationships/hyperlink" TargetMode="External" Target="https://www.e-tar.lt/portal/lt/legalAct/TAR.DC61D74561C5"/>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9A2A80746DED"/>
  <Relationship Id="rId88" Type="http://schemas.openxmlformats.org/officeDocument/2006/relationships/hyperlink" TargetMode="External" Target="https://www.e-tar.lt/portal/lt/legalAct/TAR.F7E759DF5DFE"/>
  <Relationship Id="rId89" Type="http://schemas.openxmlformats.org/officeDocument/2006/relationships/hyperlink" TargetMode="External" Target="https://www.e-tar.lt/portal/lt/legalAct/TAR.DC61D74561C5"/>
  <Relationship Id="rId9" Type="http://schemas.openxmlformats.org/officeDocument/2006/relationships/image" Target="media/image3.wmf"/>
  <Relationship Id="rId90" Type="http://schemas.openxmlformats.org/officeDocument/2006/relationships/hyperlink" TargetMode="External" Target="https://www.e-tar.lt/portal/lt/legalAct/TAR.9A2A80746DED"/>
  <Relationship Id="rId91" Type="http://schemas.openxmlformats.org/officeDocument/2006/relationships/hyperlink" TargetMode="External" Target="https://www.e-tar.lt/portal/lt/legalAct/TAR.F7E759DF5DFE"/>
  <Relationship Id="rId92" Type="http://schemas.openxmlformats.org/officeDocument/2006/relationships/hyperlink" TargetMode="External" Target="https://www.e-tar.lt/portal/lt/legalAct/TAR.C6E4170DB704"/>
  <Relationship Id="rId93" Type="http://schemas.openxmlformats.org/officeDocument/2006/relationships/hyperlink" TargetMode="External" Target="https://www.e-tar.lt/portal/lt/legalAct/TAR.6CFC2AC8617C"/>
  <Relationship Id="rId94" Type="http://schemas.openxmlformats.org/officeDocument/2006/relationships/hyperlink" TargetMode="External" Target="https://www.e-tar.lt/portal/lt/legalAct/TAR.9BB254501DB8"/>
  <Relationship Id="rId95" Type="http://schemas.openxmlformats.org/officeDocument/2006/relationships/header" Target="header174.xml"/>
  <Relationship Id="rId96" Type="http://schemas.openxmlformats.org/officeDocument/2006/relationships/header" Target="header175.xml"/>
  <Relationship Id="rId97" Type="http://schemas.openxmlformats.org/officeDocument/2006/relationships/header" Target="header182.xml"/>
  <Relationship Id="rId98" Type="http://schemas.openxmlformats.org/officeDocument/2006/relationships/header" Target="header183.xml"/>
  <Relationship Id="rId99" Type="http://schemas.openxmlformats.org/officeDocument/2006/relationships/header" Target="header189.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df3f94c76e574a73a302e745485559a0"/>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55634dd1d6a4430997190d93fb1415a8">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700d9c8174d24f52b0626b1e2c6e94be"/>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OS APRAŠAS" DocPartId="957f1ca1d35843c095d59efb3391897b" PartId="b999c697f7a2418a9cc2ea2c6af5b08a">
    <Part Type="skyrius" Nr="1" Title="BENDROSIOS NUOSTATOS" DocPartId="b1bd943a9cb3438cbcffec59d8a908c3" PartId="fb9892e1576644058c6853638be99e39">
      <Part Type="punktas" Nr="1" Abbr="3 pr. 1 p." DocPartId="f47ec5286eab443f84402d759a9f973b" PartId="cc513f53c3da49a885e4bddf1993b60f"/>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33cefe65d2e548b0a2ddcb315e959d63"/>
      <Part Type="punktas" Nr="4" Abbr="3 pr. 4 p." DocPartId="031fdee77b464e4480325b643f0ebb6f" PartId="7767116a6d7b474bb402dd02a0a65f23"/>
      <Part Type="punktas" Nr="5" Abbr="3 pr. 5 p." DocPartId="f3fa9def604b4067bc8299f983298f97" PartId="f9fe4804e81541b98369ed5352b1fff9"/>
      <Part Type="punktas" Nr="6" Abbr="3 pr. 6 p." DocPartId="a29a76e1d0b749a6b0405e1e09c8d3a3" PartId="185bd53580d546b69fa6925ef0f94164"/>
      <Part Type="punktas" Nr="7" Abbr="3 pr. 7 p." DocPartId="f870ea9c504548d18718fc91a1123db2" PartId="5c4cbf7f3d07488aa9be70f64d1e484f"/>
    </Part>
    <Part Type="skyrius" Nr="2" Title="PROFILAKTINIO VAIKŲ SVEIKATOS TIKRINIMO REIKALAVIMAI IR TVARKA" DocPartId="39ef3160c86f43a9b5140602e0089922" PartId="d59f22e92b2f46e28799dfa133393fba">
      <Part Type="punktas" Nr="8" Abbr="3 pr. 8 p." DocPartId="748a56fcbb6d45359c1e487dd69d3244" PartId="d8f9dd757e6f4d5c96b9063c3fb24197"/>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50f14ce8da11470b8412136c5276bfb7"/>
      <Part Type="punktas" Nr="12" Abbr="3 pr. 12 p." DocPartId="bbc759109d7449e18efb7fbf89762723" PartId="267899b61502415b87b0986c337f4761"/>
      <Part Type="punktas" Nr="13" Abbr="3 pr. 13 p." DocPartId="0ed9939918314609bb405e4c20dfb5b4" PartId="43fadf72fcf74807acdb751e795d1db7"/>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23d5156f329448e2926c33d3cc40d922"/>
      <Part Type="punktas" Nr="27" Abbr="3 pr. 27 p." DocPartId="194eeefd93fb41cfae08eacb28b1763b" PartId="53599fe325de4af1b77f62a759f11ca4"/>
      <Part Type="punktas" Nr="28" Abbr="3 pr. 28 p." DocPartId="63d2abdaaaf2445aa96a8c379b2c2efe" PartId="33a2757434604e09921264be5a46f61d"/>
      <Part Type="punktas" Nr="29" Abbr="3 pr. 29 p." DocPartId="37097c65c0b940e39b6a8fb07d4cdca6" PartId="e0f1b5465c2f4206a79de42df6fc0351"/>
      <Part Type="punktas" Nr="30" Abbr="3 pr. 30 p." DocPartId="0804394be4c641a3947b3e529b317296" PartId="fbfc8fe1fcff4eda8a8b2a87b2d3d1e5"/>
    </Part>
  </Part>
  <Part Type="priedas" Nr="1" Abbr="1 pr." Title="PROFILAKTINIO VAIKŲ SVEIKATOS TIKRINIMO REIKALAVIMAI" DocPartId="ac2b2da24049474eae9a2f50226f9ad7" PartId="5260289d017a4e91806be6b1c8ee0398"/>
  <Part Type="priedas" Nr="2" Abbr="2 pr." Title="VAIKO PSICHOMOTORINĖS RAIDOS TIKRINIMO LAPAS (KŪDIKIS)" DocPartId="c8665e5b69ff4dceac89b89c0be3ac6c" PartId="9058698f19e643bbb59cdea88626a26e"/>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72919f7e342349a48cb6ddddebec8add">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5cddcb2c73dd41129de76002a5548a4f"/>
  <Part Type="lentele" Nr="2" Title="TRANSPORTO PRIEMONIŲ KATEGORIJOS, MINIMALUS VAIRUOTOJŲ AMŽIUS" DocPartId="36fd42b018aa4aae9c5fe82f72c4dc0e" PartId="29a5a304c97941f6b7e7be0996f68c44"/>
  <Part Type="lentele" Nr="3" Title="MINIMALIOS FIZINIO IR PSICHIKOS TINKAMUMO NORMOS, TAIKOMOS ASMENIMS, VAIRUOJANTIEMS VARIKLIO VAROMĄ TRANSPORTO PRIEMONĘ" DocPartId="4f0a5ac065614e669245fb31f1e590cc" PartId="642dca636c05491e96c6de4391c2b9a5">
    <Part Type="pastraipa" DocPartId="ef36966e5e6649d98146c9e1974b37bf" PartId="f32eda7208c84da78ab3ca64c31169ff"/>
    <Part Type="punktas" Nr="1" Abbr="1 p." DocPartId="7c2d8a091b214d68a5e4caf9e49d33d6" PartId="c875c3deb3e8418fbe27e343afb3148b"/>
    <Part Type="punktas" Nr="2" Abbr="2 p." DocPartId="b48b738a07ee48038688e1bc34b9a154" PartId="8e3a2c32f2b7477fa624a33955d13421"/>
    <Part Type="punktas" Nr="3" Abbr="3 p." DocPartId="0c32730856cf47f48b462a85d4acae91" PartId="07f6ee9be09248fb96e32e94ec1402f5"/>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40d41124f30a4b7382de1e69f8fe3f4b">
    <Part Type="pabaiga" DocPartId="1d093a989b004ebe9ea84882ba75d812" PartId="0a8183dfca4b435c9e19dd94a8901835"/>
  </Part>
  <Part Type="priedas" DocPartId="9e4d5731f64e4611b658ef00b9e5bb43" PartId="16da7f4fb3ba4470b56907f57e40005b"/>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c7c67b5a4c5042faa0a25dbf6aeea340"/>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9253baf6566c4702b675f21bb0b2d003"/>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3120aa7d6a4f438ba6ad5e48ecea4322"/>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7d2ca2b7defa43b59404d8ac053e44bc"/>
  </Part>
</Parts>
</file>

<file path=customXml/itemProps1.xml><?xml version="1.0" encoding="utf-8"?>
<ds:datastoreItem xmlns:ds="http://schemas.openxmlformats.org/officeDocument/2006/customXml" ds:itemID="{52D08494-822D-4F56-862C-6018A8D20A65}">
  <ds:schemaRefs>
    <ds:schemaRef ds:uri="http://lrs.lt/TAIS/DocParts"/>
  </ds:schemaRefs>
</ds:datastoreItem>
</file>

<file path=docProps/app.xml><?xml version="1.0" encoding="utf-8"?>
<Properties xmlns="http://schemas.openxmlformats.org/officeDocument/2006/extended-properties">
  <Template>Normal.dotm</Template>
  <TotalTime>130</TotalTime>
  <Pages>235</Pages>
  <Words>298628</Words>
  <Characters>170218</Characters>
  <Application>Microsoft Office Word</Application>
  <DocSecurity>0</DocSecurity>
  <Lines>1418</Lines>
  <Paragraphs>935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467911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2018-06-26T11:40:00Z</dcterms:modified>
  <revision>96</revision>
</coreProperties>
</file>