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2020-07-09 iki 2020-09-04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b31b47089825415abd49b95f4dd3da77"/>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b31b47089825415abd49b95f4dd3da7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b31b47089825415abd49b95f4dd3da7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ca7a93b731ba4db6b5a98275787d8727"/>
                    <w:lock w:val="sdtLocked"/>
                    <w:richText/>
                  </w:sdtPr>
                  <w:sdtContent>
                    <w:p>
                      <w:pPr>
                        <w:ind w:firstLine="720"/>
                        <w:jc w:val="both"/>
                        <w:rPr>
                          <w:color w:val="000000"/>
                        </w:rPr>
                      </w:pPr>
                      <w:sdt>
                        <w:sdtPr>
                          <w:alias w:val="Numeris"/>
                          <w:tag w:val="nr_ca7a93b731ba4db6b5a98275787d8727"/>
                          <w:lock w:val="sdtLocked"/>
                          <w:richText/>
                        </w:sdtPr>
                        <w:sdtContent>
                          <w:r>
                            <w:rPr>
                              <w:szCs w:val="24"/>
                              <w:lang w:eastAsia="lt-LT"/>
                            </w:rPr>
                            <w:t>5.3</w:t>
                          </w:r>
                        </w:sdtContent>
                      </w:sdt>
                      <w:r>
                        <w:rPr>
                          <w:szCs w:val="24"/>
                          <w:lang w:eastAsia="lt-LT"/>
                        </w:rPr>
                        <w:t>. Profilaktinių sveikatos tikrinimų kainos ir gydytojų specialistų, teikiančių profilaktinių sveikatos tikrinimų paslaugas, apmokamas iš Privalomojo sveikatos draudimo fondo biudžeto, paslaugų kainos (18 priedas) nurodytos Lietuvos Respublikos sveikatos apsaugos ministro 2000 m. gegužės 31 d. įsakymo Nr. 301 „Dėl profilaktinių sveikatos tikrinimų sveikatos priežiūros įstaigose“ I skyriuje „Profilaktinių sveikatos tikrinimų, už kuriuos moka pats darbuotojas, darbdavys ar kiti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Kainos gali būti indeksuojamos, kai koeficientas yra ne mažesnis kaip 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39cece644767478f90ad06e76ea063b0"/>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39cece644767478f90ad06e76ea063b0"/>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39cece644767478f90ad06e76ea063b0"/>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a049b2d0aaf94017b371316a52daa436"/>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a049b2d0aaf94017b371316a52daa436"/>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 xml:space="preserve">elektroninės sveikatos paslaugų ir bendradarbiavimo infrastruktūros informacinėje sistemoje (toliau – ESPBI IS) užpildoma </w:t>
                  </w:r>
                  <w:r>
                    <w:rPr>
                      <w:szCs w:val="24"/>
                    </w:rPr>
                    <w:t xml:space="preserve">elektroninės statistinės apskaitos forma Nr. E027-1 „Mokinio sveikatos pažymėjimas“, patvirtinta </w:t>
                  </w:r>
                  <w:r>
                    <w:rPr>
                      <w:szCs w:val="24"/>
                      <w:lang w:eastAsia="lt-LT"/>
                    </w:rPr>
                    <w:t>Lietuvos Respublikos sveikatos apsaugos ministro 2004 m. gruodžio 24 d. įsakymu Nr. V-951 „Dėl e</w:t>
                  </w:r>
                  <w:r>
                    <w:rPr>
                      <w:szCs w:val="24"/>
                    </w:rPr>
                    <w:t>lektroninės statistinės apskaitos formos Nr. E027-1 „Mokinio sveikatos pažymėjimas“</w:t>
                  </w:r>
                  <w:r>
                    <w:rPr>
                      <w:szCs w:val="24"/>
                      <w:lang w:eastAsia="lt-LT"/>
                    </w:rPr>
                    <w:t xml:space="preserve"> patvirtinimo“ (toliau – forma E027-1), kurioje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abfed02ba411eabe008ea93139d588">
                    <w:r w:rsidRPr="00532B9F">
                      <w:rPr>
                        <w:rFonts w:ascii="Times New Roman" w:eastAsia="MS Mincho" w:hAnsi="Times New Roman"/>
                        <w:sz w:val="20"/>
                        <w:i/>
                        <w:iCs/>
                        <w:color w:val="0000FF" w:themeColor="hyperlink"/>
                        <w:u w:val="single"/>
                      </w:rPr>
                      <w:t>V-1535</w:t>
                    </w:r>
                  </w:fldSimple>
                  <w:r>
                    <w:rPr>
                      <w:rFonts w:ascii="Times New Roman" w:eastAsia="MS Mincho" w:hAnsi="Times New Roman"/>
                      <w:sz w:val="20"/>
                      <w:i/>
                      <w:iCs/>
                    </w:rPr>
                    <w:t>,
2019-12-30,
paskelbta TAR 2019-12-31, i. k. 2019-21774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9-1 p."/>
                <w:tag w:val="part_0351775175ec4b8b867f6171dceea24d"/>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351775175ec4b8b867f6171dceea24d"/>
                      <w:lock w:val="sdtLocked"/>
                      <w:richText/>
                    </w:sdtPr>
                    <w:sdtContent>
                      <w:r>
                        <w:rPr>
                          <w:color w:val="000000"/>
                          <w:szCs w:val="24"/>
                          <w:lang w:eastAsia="lt-LT"/>
                        </w:rPr>
                        <w:t>29</w:t>
                      </w:r>
                      <w:r>
                        <w:rPr>
                          <w:color w:val="000000"/>
                          <w:szCs w:val="24"/>
                          <w:vertAlign w:val="superscript"/>
                          <w:lang w:eastAsia="lt-LT"/>
                        </w:rPr>
                        <w:t>1</w:t>
                      </w:r>
                    </w:sdtContent>
                  </w:sdt>
                  <w:r>
                    <w:rPr>
                      <w:color w:val="000000"/>
                      <w:szCs w:val="24"/>
                      <w:lang w:eastAsia="lt-LT"/>
                    </w:rPr>
                    <w:t xml:space="preserve">. Jei </w:t>
                  </w:r>
                  <w:r>
                    <w:rPr>
                      <w:szCs w:val="24"/>
                    </w:rPr>
                    <w:t xml:space="preserve">Lietuvos Respublikos Vyriausybei paskelbus valstybės lygio ekstremaliąją situaciją ir (ar) karantiną visos Lietuvos Respublikos mastu </w:t>
                  </w:r>
                  <w:r>
                    <w:rPr>
                      <w:color w:val="000000"/>
                      <w:szCs w:val="24"/>
                      <w:lang w:eastAsia="lt-LT"/>
                    </w:rPr>
                    <w:t>sustabdomas arba apribojamas vaikų profilaktinio patikrinimo paslaugų teikimas, iki karantino ir (ar) ekstremaliosios situacijos paskelbimo dienos paskutinė išduota forma Nr. E027-1 laikoma galiojančia iki einamųjų metų pabaigos toliau nurodytas sąlygas atitinkantiems pilnamečiams mokiniams ir vaikams, lankantiems švietimo ar kitą ugdymo įstaigą:</w:t>
                  </w:r>
                </w:p>
                <w:sdt>
                  <w:sdtPr>
                    <w:alias w:val="29-1.1 pp."/>
                    <w:tag w:val="part_0ba28f4b4291473a96ab136c685fb4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ba28f4b4291473a96ab136c685fb4a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.1</w:t>
                          </w:r>
                        </w:sdtContent>
                      </w:sdt>
                      <w:r>
                        <w:rPr>
                          <w:color w:val="000000"/>
                          <w:szCs w:val="24"/>
                          <w:lang w:eastAsia="lt-LT"/>
                        </w:rPr>
                        <w:t>.</w:t>
                      </w:r>
                      <w:r>
                        <w:rPr>
                          <w:color w:val="000000"/>
                          <w:szCs w:val="24"/>
                          <w:vertAlign w:val="superscript"/>
                          <w:lang w:eastAsia="lt-LT"/>
                        </w:rPr>
                        <w:t xml:space="preserve"> </w:t>
                      </w:r>
                      <w:r>
                        <w:rPr>
                          <w:color w:val="000000"/>
                          <w:szCs w:val="24"/>
                          <w:lang w:eastAsia="lt-LT"/>
                        </w:rPr>
                        <w:t>kurių ugdymas naujais mokslo metais bus tęsiamas toje pačioje švietimo įstaigoje arba toje pačioje ugdymo įstaigoje;</w:t>
                      </w:r>
                    </w:p>
                  </w:sdtContent>
                </w:sdt>
                <w:sdt>
                  <w:sdtPr>
                    <w:alias w:val="29-1.2 pp."/>
                    <w:tag w:val="part_e1965469061a46bfa9f804aac3de40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e1965469061a46bfa9f804aac3de40f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.2</w:t>
                          </w:r>
                        </w:sdtContent>
                      </w:sdt>
                      <w:r>
                        <w:rPr>
                          <w:color w:val="000000"/>
                          <w:szCs w:val="24"/>
                          <w:lang w:eastAsia="lt-LT"/>
                        </w:rPr>
                        <w:t>. kurių sveikatos būklė nuo paskutinio privalomo profilaktinio sveikatos tikrinimo nepasikeitė taip, kad reikėtų keisti jų fizinio ugdymo grupę, arba neatsirado naujų bendrų arba specialių rekomendacijų, kurių turi būti laikomasi jiems dalyvaujant ugdymo veikloje.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0118e110bc114001937696f02abc728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shd w:val="clear" w:color="auto" w:fill="FFFFFF"/>
            <w:tabs>
              <w:tab w:val="left" w:pos="5812"/>
            </w:tabs>
            <w:ind w:left="7655"/>
            <w:rPr>
              <w:bCs/>
              <w:szCs w:val="24"/>
            </w:rPr>
          </w:pPr>
          <w:r>
            <w:rPr>
              <w:szCs w:val="24"/>
            </w:rPr>
            <w:t xml:space="preserve">Vaikų </w:t>
          </w:r>
          <w:r>
            <w:rPr>
              <w:bCs/>
              <w:szCs w:val="24"/>
            </w:rPr>
            <w:t xml:space="preserve">ir pilnamečių mokinių, ugdomų </w:t>
          </w:r>
        </w:p>
        <w:p>
          <w:pPr>
            <w:shd w:val="clear" w:color="auto" w:fill="FFFFFF"/>
            <w:tabs>
              <w:tab w:val="left" w:pos="5812"/>
            </w:tabs>
            <w:ind w:left="7655"/>
            <w:rPr>
              <w:szCs w:val="24"/>
            </w:rPr>
          </w:pPr>
          <w:r>
            <w:rPr>
              <w:bCs/>
              <w:szCs w:val="24"/>
            </w:rPr>
            <w:t>pagal bendrojo ugdymo programas,</w:t>
          </w:r>
          <w:r>
            <w:rPr>
              <w:szCs w:val="24"/>
            </w:rPr>
            <w:t xml:space="preserve"> </w:t>
          </w:r>
        </w:p>
        <w:p>
          <w:pPr>
            <w:shd w:val="clear" w:color="auto" w:fill="FFFFFF"/>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0118e110bc114001937696f02abc728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szCs w:val="24"/>
                    <w:lang w:eastAsia="lt-LT"/>
                  </w:rPr>
                </w:pPr>
                <w:r>
                  <w:rPr>
                    <w:szCs w:val="24"/>
                    <w:lang w:eastAsia="lt-LT"/>
                  </w:rPr>
                  <w:t>Paauglys, pilnametis mokinys</w:t>
                </w:r>
              </w:p>
              <w:p>
                <w:pPr>
                  <w:ind w:firstLine="62"/>
                  <w:rPr>
                    <w:szCs w:val="24"/>
                    <w:lang w:eastAsia="lt-LT"/>
                  </w:rPr>
                </w:pPr>
              </w:p>
              <w:p>
                <w:pPr>
                  <w:rPr>
                    <w:szCs w:val="24"/>
                    <w:lang w:eastAsia="lt-LT"/>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rPr>
                    <w:szCs w:val="24"/>
                    <w:lang w:eastAsia="lt-LT"/>
                  </w:rPr>
                </w:pPr>
              </w:p>
              <w:p>
                <w:pPr>
                  <w:ind w:firstLine="62"/>
                  <w:rPr>
                    <w:szCs w:val="24"/>
                    <w:lang w:eastAsia="lt-LT"/>
                  </w:rPr>
                </w:pPr>
              </w:p>
            </w:tc>
            <w:tc>
              <w:tcPr>
                <w:tcW w:w="4536" w:type="dxa"/>
              </w:tcPr>
              <w:p>
                <w:pPr>
                  <w:rPr>
                    <w:szCs w:val="24"/>
                    <w:lang w:eastAsia="lt-LT"/>
                  </w:rPr>
                </w:pPr>
                <w:r>
                  <w:rPr>
                    <w:szCs w:val="24"/>
                    <w:lang w:eastAsia="lt-LT"/>
                  </w:rPr>
                  <w:t xml:space="preserve">5.1. Kiekvieno apsilankymo metu įvertinti paciento sveikatos būklę, fizinę būklę, lytinį brendimą, augimą, nubrėžiant  asmenines ūgio ir svorio bei  svorio priklausomybės nuo ūgio kitimo kreives pagal lytį; įvertinti </w:t>
                </w:r>
                <w:r>
                  <w:rPr>
                    <w:szCs w:val="24"/>
                    <w:lang w:val="pl-PL" w:eastAsia="lt-LT"/>
                  </w:rPr>
                  <w:t xml:space="preserve">KMI, </w:t>
                </w:r>
                <w:r>
                  <w:rPr>
                    <w:szCs w:val="24"/>
                    <w:lang w:eastAsia="lt-LT"/>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szCs w:val="24"/>
                    <w:lang w:eastAsia="lt-LT"/>
                  </w:rPr>
                </w:pPr>
                <w:r>
                  <w:rPr>
                    <w:szCs w:val="24"/>
                    <w:lang w:eastAsia="lt-LT"/>
                  </w:rPr>
                  <w:t>5.1.1. asmens higienos;</w:t>
                </w:r>
              </w:p>
              <w:p>
                <w:pPr>
                  <w:rPr>
                    <w:szCs w:val="24"/>
                    <w:lang w:eastAsia="lt-LT"/>
                  </w:rPr>
                </w:pPr>
                <w:r>
                  <w:rPr>
                    <w:szCs w:val="24"/>
                    <w:lang w:eastAsia="lt-LT"/>
                  </w:rPr>
                  <w:t>5.1.2. racionalios mitybos;</w:t>
                </w:r>
              </w:p>
              <w:p>
                <w:pPr>
                  <w:rPr>
                    <w:szCs w:val="24"/>
                    <w:lang w:eastAsia="lt-LT"/>
                  </w:rPr>
                </w:pPr>
                <w:r>
                  <w:rPr>
                    <w:szCs w:val="24"/>
                    <w:lang w:eastAsia="lt-LT"/>
                  </w:rPr>
                  <w:t xml:space="preserve">5.1.3. miego ir budrumo režimo; </w:t>
                </w:r>
              </w:p>
              <w:p>
                <w:pPr>
                  <w:rPr>
                    <w:szCs w:val="24"/>
                    <w:lang w:eastAsia="lt-LT"/>
                  </w:rPr>
                </w:pPr>
                <w:r>
                  <w:rPr>
                    <w:szCs w:val="24"/>
                    <w:lang w:eastAsia="lt-LT"/>
                  </w:rPr>
                  <w:t>5.1.4. burnos sveikatos;</w:t>
                </w:r>
              </w:p>
              <w:p>
                <w:pPr>
                  <w:rPr>
                    <w:szCs w:val="24"/>
                    <w:lang w:eastAsia="lt-LT"/>
                  </w:rPr>
                </w:pPr>
                <w:r>
                  <w:rPr>
                    <w:szCs w:val="24"/>
                    <w:lang w:eastAsia="lt-LT"/>
                  </w:rPr>
                  <w:t>5.1.5. fizinio aktyvumo (rekomenduotina ne mažiau kaip 1 val. kasdien) lauke, ir sveiko gyvenimo būdo;</w:t>
                </w:r>
              </w:p>
              <w:p>
                <w:pPr>
                  <w:rPr>
                    <w:szCs w:val="24"/>
                    <w:lang w:eastAsia="lt-LT"/>
                  </w:rPr>
                </w:pPr>
                <w:r>
                  <w:rPr>
                    <w:szCs w:val="24"/>
                    <w:lang w:eastAsia="lt-LT"/>
                  </w:rPr>
                  <w:t>5.1.6. regėjimo sutrikimų, sukeliamų darbo su videoterminalais, profilaktikos, taisyklingos laikysenos sėdint prie kompiuterio, darbo ir poilsio režimo;</w:t>
                </w:r>
              </w:p>
              <w:p>
                <w:pPr>
                  <w:rPr>
                    <w:szCs w:val="24"/>
                    <w:lang w:eastAsia="lt-LT"/>
                  </w:rPr>
                </w:pPr>
                <w:r>
                  <w:rPr>
                    <w:szCs w:val="24"/>
                    <w:lang w:eastAsia="lt-LT"/>
                  </w:rPr>
                  <w:t>5.1.7. traumų, prievartos, uždusimo, paskendimo, apsinuodijimų, nudegimų ir kitų nelaimingų atsitikimų, saugaus elgesio kelyje ir kitoje aplinkoje profilaktiką, imunoprofilaktiką;</w:t>
                </w:r>
              </w:p>
              <w:p>
                <w:pPr>
                  <w:rPr>
                    <w:szCs w:val="24"/>
                    <w:lang w:eastAsia="lt-LT"/>
                  </w:rPr>
                </w:pPr>
                <w:r>
                  <w:rPr>
                    <w:szCs w:val="24"/>
                    <w:lang w:eastAsia="lt-LT"/>
                  </w:rPr>
                  <w:t xml:space="preserve">5.1.8. žalingų sveikatai įpročių (alkoholio, nikotino ir narkotinių medžiagų vartojimo); </w:t>
                </w:r>
              </w:p>
              <w:p>
                <w:pPr>
                  <w:rPr>
                    <w:szCs w:val="24"/>
                    <w:lang w:eastAsia="lt-LT"/>
                  </w:rPr>
                </w:pPr>
                <w:r>
                  <w:rPr>
                    <w:szCs w:val="24"/>
                    <w:lang w:eastAsia="lt-LT"/>
                  </w:rPr>
                  <w:t>5.1.9. atsparumo rizikingai sveikatai elgsenai;</w:t>
                </w:r>
              </w:p>
              <w:p>
                <w:pPr>
                  <w:rPr>
                    <w:szCs w:val="24"/>
                    <w:lang w:eastAsia="lt-LT"/>
                  </w:rPr>
                </w:pPr>
                <w:r>
                  <w:rPr>
                    <w:szCs w:val="24"/>
                    <w:lang w:eastAsia="lt-LT"/>
                  </w:rPr>
                  <w:t>5.1.10. lytinės elgsenos saugumo;</w:t>
                </w:r>
              </w:p>
              <w:p>
                <w:pPr>
                  <w:rPr>
                    <w:szCs w:val="24"/>
                    <w:lang w:eastAsia="lt-LT"/>
                  </w:rPr>
                </w:pPr>
                <w:r>
                  <w:rPr>
                    <w:szCs w:val="24"/>
                    <w:lang w:eastAsia="lt-LT"/>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ind w:firstLine="62"/>
                  <w:rPr>
                    <w:szCs w:val="24"/>
                    <w:lang w:eastAsia="lt-LT"/>
                  </w:rPr>
                </w:pPr>
              </w:p>
            </w:tc>
            <w:tc>
              <w:tcPr>
                <w:tcW w:w="4536" w:type="dxa"/>
              </w:tcPr>
              <w:p>
                <w:pPr>
                  <w:rPr>
                    <w:szCs w:val="24"/>
                    <w:lang w:eastAsia="lt-LT"/>
                  </w:rPr>
                </w:pPr>
                <w:r>
                  <w:rPr>
                    <w:szCs w:val="24"/>
                    <w:lang w:eastAsia="lt-LT"/>
                  </w:rPr>
                  <w:t>5.2. Atlikti ir įvertinti:</w:t>
                </w:r>
              </w:p>
              <w:p>
                <w:pPr>
                  <w:rPr>
                    <w:szCs w:val="24"/>
                    <w:lang w:eastAsia="lt-LT"/>
                  </w:rPr>
                </w:pPr>
                <w:r>
                  <w:rPr>
                    <w:szCs w:val="24"/>
                    <w:lang w:eastAsia="lt-LT"/>
                  </w:rPr>
                  <w:t>5.2.1. bendrą kraujo tyrimą, jei yra šie rizikos veiksniai: neracionali mityba (ypač – vegetarams), gausios menstruacijos, pacientas sportuoja, gyvena blogomis socialinėmis sąlygomis, augimo spurto metu ir jei paauglys netenka kūno masės;</w:t>
                </w:r>
              </w:p>
              <w:p>
                <w:pPr>
                  <w:rPr>
                    <w:szCs w:val="24"/>
                    <w:lang w:eastAsia="lt-LT"/>
                  </w:rPr>
                </w:pPr>
                <w:r>
                  <w:rPr>
                    <w:szCs w:val="24"/>
                    <w:lang w:eastAsia="lt-LT"/>
                  </w:rPr>
                  <w:t>5.2.2. kapiliarinės glikemijos tyrimą, jei yra šie klinikiniai simptomai:</w:t>
                </w:r>
                <w:r>
                  <w:rPr>
                    <w:b/>
                    <w:bCs/>
                    <w:szCs w:val="24"/>
                    <w:lang w:eastAsia="lt-LT"/>
                  </w:rPr>
                  <w:t xml:space="preserve"> </w:t>
                </w:r>
                <w:r>
                  <w:rPr>
                    <w:szCs w:val="24"/>
                    <w:lang w:eastAsia="lt-LT"/>
                  </w:rPr>
                  <w:t>poliurija, polidipsija, svorio kritimas, nuovargis; nuo 10 metų arba prasidėjus lytiniam brendimui, kai KMI viršija 85 procentilę</w:t>
                </w:r>
                <w:r>
                  <w:rPr>
                    <w:b/>
                    <w:bCs/>
                    <w:szCs w:val="24"/>
                    <w:lang w:eastAsia="lt-LT"/>
                  </w:rPr>
                  <w:t xml:space="preserve"> </w:t>
                </w:r>
                <w:r>
                  <w:rPr>
                    <w:szCs w:val="24"/>
                    <w:lang w:eastAsia="lt-LT"/>
                  </w:rPr>
                  <w:t>ir yra rizikos veiksnių, tokių kaip cukrinis diabetas ir (ar) širdies kraujagyslių ligos šeimoje,  atsparumo insulinui požymių (juodoji akantozė, dislipidemija, hipertenzija, policistinių kiaušidžių sindromas);</w:t>
                </w:r>
              </w:p>
              <w:p>
                <w:pPr>
                  <w:rPr>
                    <w:szCs w:val="24"/>
                    <w:lang w:eastAsia="lt-LT"/>
                  </w:rPr>
                </w:pPr>
                <w:r>
                  <w:rPr>
                    <w:szCs w:val="24"/>
                    <w:lang w:eastAsia="lt-LT"/>
                  </w:rPr>
                  <w:t>visiems, kurių KMI viršija 95 procentilę pagal amžių ir lytį;</w:t>
                </w:r>
              </w:p>
              <w:p>
                <w:pPr>
                  <w:rPr>
                    <w:szCs w:val="24"/>
                    <w:lang w:eastAsia="lt-LT"/>
                  </w:rPr>
                </w:pPr>
                <w:r>
                  <w:rPr>
                    <w:szCs w:val="24"/>
                    <w:lang w:eastAsia="lt-LT"/>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arba gydytojas odontologas specialistas</w:t>
                </w:r>
              </w:p>
            </w:tc>
            <w:tc>
              <w:tcPr>
                <w:tcW w:w="4536" w:type="dxa"/>
              </w:tcPr>
              <w:p>
                <w:pPr>
                  <w:rPr>
                    <w:szCs w:val="24"/>
                    <w:lang w:eastAsia="lt-LT"/>
                  </w:rPr>
                </w:pPr>
                <w:r>
                  <w:rPr>
                    <w:szCs w:val="24"/>
                    <w:lang w:eastAsia="lt-LT"/>
                  </w:rPr>
                  <w:t xml:space="preserve">5.3. Atlikti dantų ėduonies diagnostiką, krūminių dantų silantavimą – priklausomai nuo dantų dygimo laiko, jei reikia, pagydyti ar skirti gydymo laiką / siųsti gydyti. </w:t>
                </w:r>
              </w:p>
              <w:p>
                <w:pPr>
                  <w:rPr>
                    <w:szCs w:val="24"/>
                    <w:lang w:eastAsia="lt-LT"/>
                  </w:rPr>
                </w:pPr>
                <w:r>
                  <w:rPr>
                    <w:szCs w:val="24"/>
                    <w:lang w:eastAsia="lt-LT"/>
                  </w:rPr>
                  <w:t xml:space="preserve">5.4. Įvertinti nuolatinių dantų sąkandį, nustatyti, ar nėra sąkandžio anomalijų, jei reikia,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 xml:space="preserve">arba gydytojas odontologas specialistas, </w:t>
                </w:r>
              </w:p>
              <w:p>
                <w:pPr>
                  <w:rPr>
                    <w:szCs w:val="24"/>
                    <w:lang w:eastAsia="lt-LT"/>
                  </w:rPr>
                </w:pPr>
                <w:r>
                  <w:rPr>
                    <w:szCs w:val="24"/>
                    <w:lang w:eastAsia="lt-LT"/>
                  </w:rPr>
                  <w:t xml:space="preserve">arba burnos higienistas </w:t>
                </w:r>
              </w:p>
            </w:tc>
            <w:tc>
              <w:tcPr>
                <w:tcW w:w="4536" w:type="dxa"/>
              </w:tcPr>
              <w:p>
                <w:pPr>
                  <w:rPr>
                    <w:szCs w:val="24"/>
                    <w:lang w:eastAsia="lt-LT"/>
                  </w:rPr>
                </w:pPr>
                <w:r>
                  <w:rPr>
                    <w:szCs w:val="24"/>
                    <w:lang w:eastAsia="lt-LT"/>
                  </w:rPr>
                  <w:t xml:space="preserve">5.5. Atlikti dantų ėduonies profilaktiką. </w:t>
                </w:r>
                <w:r>
                  <w:rPr>
                    <w:sz w:val="10"/>
                    <w:szCs w:val="10"/>
                    <w:lang w:eastAsia="lt-LT"/>
                  </w:rPr>
                  <w:t> </w:t>
                </w:r>
              </w:p>
              <w:p>
                <w:pPr>
                  <w:rPr>
                    <w:szCs w:val="24"/>
                    <w:lang w:eastAsia="lt-LT"/>
                  </w:rPr>
                </w:pPr>
                <w:r>
                  <w:rPr>
                    <w:szCs w:val="24"/>
                    <w:lang w:eastAsia="lt-LT"/>
                  </w:rPr>
                  <w:t>5.6. Įvertinti burnos higienos būklę ir pamokyti burnos higienos ir racionalios mitybos pagrindų, informuoti apie deimantų ant dantų, auskarų liežuvyje žalą.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rPr>
                    <w:szCs w:val="24"/>
                    <w:lang w:eastAsia="lt-LT"/>
                  </w:rPr>
                </w:pPr>
                <w:r>
                  <w:rPr>
                    <w:szCs w:val="24"/>
                    <w:lang w:eastAsia="lt-LT"/>
                  </w:rPr>
                  <w:t xml:space="preserve">5.7. Kiekvieno apsilankymo metu pamatuoti paciento AKS, ūgį bei svorį ir šiuos duomenis įrašyti į asmeninę svorio priklausomybės nuo ūgio kitimo diagramą pagal lytį, apskaičiuoti </w:t>
                </w:r>
                <w:r>
                  <w:rPr>
                    <w:szCs w:val="24"/>
                    <w:lang w:val="pl-PL" w:eastAsia="lt-LT"/>
                  </w:rPr>
                  <w:t>KMI.</w:t>
                </w:r>
              </w:p>
              <w:p>
                <w:pPr>
                  <w:rPr>
                    <w:szCs w:val="24"/>
                    <w:lang w:eastAsia="lt-LT"/>
                  </w:rPr>
                </w:pPr>
                <w:r>
                  <w:rPr>
                    <w:szCs w:val="24"/>
                    <w:lang w:eastAsia="lt-LT"/>
                  </w:rPr>
                  <w:t>5.8. Pagal amžiaus ir lyties ypatumus padėti pacientui susiformuoti racionalios mitybos, fizinio aktyvumo, sveiko gyvenimo būdo nuostatas.</w:t>
                </w:r>
              </w:p>
              <w:p>
                <w:pPr>
                  <w:rPr>
                    <w:szCs w:val="24"/>
                    <w:lang w:eastAsia="lt-LT"/>
                  </w:rPr>
                </w:pPr>
                <w:r>
                  <w:rPr>
                    <w:szCs w:val="24"/>
                    <w:lang w:eastAsia="lt-LT"/>
                  </w:rPr>
                  <w:t>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 pr."/>
        <w:tag w:val="part_7bf9660fd8584eef935ed014ecc3f288"/>
        <w:lock w:val="sdtLocked"/>
        <w:richText/>
      </w:sdtPr>
      <w:sdtContent>
        <w:p>
          <w:pPr>
            <w:ind w:left="11907"/>
            <w:sectPr>
              <w:headerReference w:type="even" r:id="rId100"/>
              <w:headerReference w:type="default" r:id="rId101"/>
              <w:headerReference w:type="first" r:id="rId102"/>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7bf9660fd8584eef935ed014ecc3f288"/>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7bf9660fd8584eef935ed014ecc3f288"/>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1"/>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3"/>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336be216cb14c47a44eec0993201d0f"/>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336be216cb14c47a44eec0993201d0f"/>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336be216cb14c47a44eec0993201d0f"/>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4"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5"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8" w:tgtFrame="_blank" w:history="1">
                    <w:r>
                      <w:rPr>
                        <w:color w:val="0000FF" w:themeColor="hyperlink"/>
                        <w:u w:val="single"/>
                      </w:rPr>
                      <w:t>92-2883</w:t>
                    </w:r>
                  </w:hyperlink>
                  <w:r>
                    <w:t xml:space="preserve">; 2007, Nr. </w:t>
                  </w:r>
                  <w:hyperlink r:id="rId59"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0"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1" w:tgtFrame="_blank" w:history="1">
                    <w:r>
                      <w:rPr>
                        <w:color w:val="0000FF" w:themeColor="hyperlink"/>
                        <w:u w:val="single"/>
                      </w:rPr>
                      <w:t>13-308</w:t>
                    </w:r>
                  </w:hyperlink>
                  <w:r>
                    <w:t xml:space="preserve">; 2000, Nr. </w:t>
                  </w:r>
                  <w:hyperlink r:id="rId62"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950408d9c76469d9e0c98fd7189996e"/>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950408d9c76469d9e0c98fd7189996e"/>
              <w:lock w:val="sdtLocked"/>
              <w:richText/>
            </w:sdtPr>
            <w:sdtContent>
              <w:r>
                <w:t>3</w:t>
              </w:r>
            </w:sdtContent>
          </w:sdt>
          <w:r>
            <w:t xml:space="preserve"> lentelė</w:t>
          </w:r>
        </w:p>
        <w:p>
          <w:pPr>
            <w:jc w:val="both"/>
            <w:rPr>
              <w:bCs/>
            </w:rPr>
          </w:pPr>
        </w:p>
        <w:p>
          <w:pPr>
            <w:jc w:val="center"/>
            <w:rPr>
              <w:b/>
              <w:bCs/>
            </w:rPr>
          </w:pPr>
          <w:sdt>
            <w:sdtPr>
              <w:alias w:val="Pavadinimas"/>
              <w:tag w:val="title_e950408d9c76469d9e0c98fd7189996e"/>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09"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2a5cc77725464ab3061b5460210de5"/>
            <w:lock w:val="sdtLocked"/>
            <w:richText/>
          </w:sdtPr>
          <w:sdtContent>
            <w:p>
              <w:pPr>
                <w:jc w:val="both"/>
                <w:rPr>
                  <w:sz w:val="22"/>
                </w:rPr>
              </w:pPr>
              <w:r>
                <w:rPr>
                  <w:sz w:val="22"/>
                </w:rPr>
                <w:t>Pastabos:</w:t>
              </w:r>
            </w:p>
          </w:sdtContent>
        </w:sdt>
        <w:sdt>
          <w:sdtPr>
            <w:alias w:val="1 p."/>
            <w:tag w:val="part_91f7c691844a4270896e1adf8e1ddf81"/>
            <w:lock w:val="sdtLocked"/>
            <w:richText/>
          </w:sdtPr>
          <w:sdtContent>
            <w:p>
              <w:pPr>
                <w:jc w:val="both"/>
                <w:rPr>
                  <w:sz w:val="22"/>
                </w:rPr>
              </w:pPr>
              <w:sdt>
                <w:sdtPr>
                  <w:alias w:val="Numeris"/>
                  <w:tag w:val="nr_91f7c691844a4270896e1adf8e1ddf81"/>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5dab9f62a8746c5b88ee15bc28813f8"/>
            <w:lock w:val="sdtLocked"/>
            <w:richText/>
          </w:sdtPr>
          <w:sdtContent>
            <w:p>
              <w:pPr>
                <w:jc w:val="both"/>
                <w:rPr>
                  <w:sz w:val="22"/>
                </w:rPr>
              </w:pPr>
              <w:sdt>
                <w:sdtPr>
                  <w:alias w:val="Numeris"/>
                  <w:tag w:val="nr_95dab9f62a8746c5b88ee15bc28813f8"/>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91c0a009624d44db9eaeb52843343851"/>
            <w:lock w:val="sdtLocked"/>
            <w:richText/>
          </w:sdtPr>
          <w:sdtContent>
            <w:p>
              <w:pPr>
                <w:jc w:val="both"/>
              </w:pPr>
              <w:sdt>
                <w:sdtPr>
                  <w:alias w:val="Numeris"/>
                  <w:tag w:val="nr_91c0a009624d44db9eaeb52843343851"/>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52"/>
              <w:headerReference w:type="default" r:id="rId53"/>
              <w:footerReference w:type="even" r:id="rId54"/>
              <w:footerReference w:type="default" r:id="rId55"/>
              <w:headerReference w:type="first" r:id="rId56"/>
              <w:footerReference w:type="first" r:id="rId57"/>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96"/>
              <w:headerReference w:type="default" r:id="rId97"/>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69c648ae066e43b0b2b53615d01ec87a"/>
        <w:lock w:val="sdtLocked"/>
        <w:richText/>
      </w:sdtPr>
      <w:sdtContent>
        <w:p>
          <w:pPr>
            <w:ind w:left="5184"/>
            <w:jc w:val="both"/>
            <w:sectPr>
              <w:headerReference w:type="even" r:id="rId98"/>
              <w:headerReference w:type="default" r:id="rId99"/>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69c648ae066e43b0b2b53615d01ec87a"/>
              <w:lock w:val="sdtLocked"/>
              <w:richText/>
            </w:sdtPr>
            <w:sdtContent>
              <w:r>
                <w:rPr>
                  <w:szCs w:val="24"/>
                </w:rPr>
                <w:t>2</w:t>
              </w:r>
            </w:sdtContent>
          </w:sdt>
          <w:r>
            <w:rPr>
              <w:szCs w:val="24"/>
            </w:rPr>
            <w:t xml:space="preserve"> priedas</w:t>
          </w:r>
        </w:p>
        <w:p>
          <w:pPr>
            <w:jc w:val="center"/>
            <w:rPr>
              <w:b/>
              <w:szCs w:val="24"/>
            </w:rPr>
          </w:pPr>
        </w:p>
        <w:sdt>
          <w:sdtPr>
            <w:alias w:val="Pavadinimas"/>
            <w:tag w:val="title_69c648ae066e43b0b2b53615d01ec87a"/>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3" w:tgtFrame="_blank" w:history="1">
                    <w:r>
                      <w:rPr>
                        <w:color w:val="0000FF" w:themeColor="hyperlink"/>
                        <w:u w:val="single"/>
                      </w:rPr>
                      <w:t>4-27</w:t>
                    </w:r>
                  </w:hyperlink>
                  <w:r>
                    <w:rPr>
                      <w:color w:val="000000"/>
                    </w:rPr>
                    <w:t xml:space="preserve">; 2006, Nr. </w:t>
                  </w:r>
                  <w:hyperlink r:id="rId64"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5" w:tgtFrame="_blank" w:history="1">
                    <w:r>
                      <w:rPr>
                        <w:color w:val="0000FF" w:themeColor="hyperlink"/>
                        <w:u w:val="single"/>
                      </w:rPr>
                      <w:t>47-1365</w:t>
                    </w:r>
                  </w:hyperlink>
                  <w:r>
                    <w:rPr>
                      <w:color w:val="000000"/>
                    </w:rPr>
                    <w:t xml:space="preserve">; 2009, Nr. </w:t>
                  </w:r>
                  <w:hyperlink r:id="rId66"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7"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8"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9"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0"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1"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2"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3"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4"/>
                          <w:footerReference w:type="default" r:id="rId75"/>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cdff958ff76f44e9a2f2b5d9532b319d"/>
                <w:lock w:val="sdtLocked"/>
                <w:richText/>
              </w:sdtPr>
              <w:sdtContent>
                <w:p>
                  <w:pPr>
                    <w:ind w:firstLine="567"/>
                    <w:jc w:val="both"/>
                    <w:rPr>
                      <w:color w:val="000000"/>
                    </w:rPr>
                  </w:pPr>
                  <w:sdt>
                    <w:sdtPr>
                      <w:alias w:val="Numeris"/>
                      <w:tag w:val="nr_cdff958ff76f44e9a2f2b5d9532b319d"/>
                      <w:lock w:val="sdtLocked"/>
                      <w:richText/>
                    </w:sdtPr>
                    <w:sdtContent>
                      <w:r>
                        <w:rPr>
                          <w:color w:val="000000"/>
                          <w:szCs w:val="24"/>
                        </w:rPr>
                        <w:t>2</w:t>
                      </w:r>
                    </w:sdtContent>
                  </w:sdt>
                  <w:r>
                    <w:rPr>
                      <w:color w:val="000000"/>
                      <w:szCs w:val="24"/>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arba darbo aplinkoje, kurioje įvertinus riziką, atsižvelgiant į Profesinės rizikos vertinimo bendruosius nuostatus, patvirtintus Lietuvos Respublikos socialinės apsaugos ir darbo ministro ir Lietuvos Respublikos sveikatos apsaugos ministro 2012 m. spalio 25 d. įsakymu Nr. </w:t>
                  </w:r>
                  <w:r>
                    <w:rPr>
                      <w:color w:val="000000"/>
                      <w:szCs w:val="24"/>
                      <w:lang w:eastAsia="lt-LT"/>
                    </w:rPr>
                    <w:t>A1-457/V-961</w:t>
                  </w:r>
                  <w:r>
                    <w:rPr>
                      <w:color w:val="000000"/>
                      <w:szCs w:val="24"/>
                    </w:rPr>
                    <w:t xml:space="preserve"> „Dėl Profesinės rizikos vertinimo bendrųjų nuostatų patvirtinimo“,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įforminimo ir kontrolės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6"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7"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3562d08dfbb54e9486a29c900fdd3cb3"/>
                <w:lock w:val="sdtLocked"/>
                <w:richText/>
              </w:sdtPr>
              <w:sdtContent>
                <w:p>
                  <w:pPr>
                    <w:ind w:firstLine="567"/>
                    <w:jc w:val="both"/>
                    <w:rPr>
                      <w:color w:val="000000"/>
                    </w:rPr>
                  </w:pPr>
                  <w:sdt>
                    <w:sdtPr>
                      <w:alias w:val="Numeris"/>
                      <w:tag w:val="nr_3562d08dfbb54e9486a29c900fdd3cb3"/>
                      <w:lock w:val="sdtLocked"/>
                      <w:richText/>
                    </w:sdtPr>
                    <w:sdtContent>
                      <w:r>
                        <w:rPr>
                          <w:szCs w:val="24"/>
                          <w:lang w:eastAsia="lt-LT"/>
                        </w:rPr>
                        <w:t>4</w:t>
                      </w:r>
                    </w:sdtContent>
                  </w:sdt>
                  <w:r>
                    <w:rPr>
                      <w:szCs w:val="24"/>
                      <w:lang w:eastAsia="lt-LT"/>
                    </w:rPr>
                    <w:t>.</w:t>
                  </w:r>
                  <w:r>
                    <w:rPr>
                      <w:color w:val="000000"/>
                      <w:szCs w:val="24"/>
                      <w:lang w:eastAsia="lt-LT"/>
                    </w:rPr>
                    <w:t xml:space="preserve"> Aprašu nustatyta tvarka taikoma atsižvelgiant į konkretų pavojingą darbą ir (ar) kenksmingą veiksnį.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 išskyrus kai Lietuvos Respublikos Vyriausybei paskelbus valstybės lygio ekstremaliąją situaciją ir (ar) karantiną visos Lietuvos Respublikos mastu sustabdomas arba apribojamas darbuotojų</w:t>
                  </w:r>
                  <w:r>
                    <w:rPr>
                      <w:szCs w:val="24"/>
                      <w:lang w:eastAsia="lt-LT"/>
                    </w:rPr>
                    <w:t xml:space="preserve"> sveikatos patikrinimo paslaugų teikimas – šiuo atveju Aprašo 1 ir 2 lentelėse nurodytas darbuotojų sveikatos tikrinimo periodiškumas netaikomas ir darbuotojams išduotos F Nr. 047/a ir F Nr. 048/a, kurių galiojimas baigėsi ne anksčiau kaip prieš vieną mėnesį iki ekstremaliosios situacijos ir (ar) karantino visos Lietuvos Respublikos mastu paskelbimo dienos arba paskelbimo metu, laikomos galiojančiomis </w:t>
                  </w:r>
                  <w:r>
                    <w:rPr>
                      <w:color w:val="000000"/>
                      <w:szCs w:val="24"/>
                      <w:lang w:eastAsia="lt-LT"/>
                    </w:rPr>
                    <w:t>darbuotojų</w:t>
                  </w:r>
                  <w:r>
                    <w:rPr>
                      <w:szCs w:val="24"/>
                      <w:lang w:eastAsia="lt-LT"/>
                    </w:rPr>
                    <w:t xml:space="preserve"> sveikatos patikrinimo paslaugų teikimo apribojimo ar sustabdymo laikotarpiu ir 3 mėnesius po šio apribojimo ar sustabdymo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8"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9"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2529ba8d4c5d4cfdba2ff4d9ff535b70"/>
                    <w:lock w:val="sdtLocked"/>
                    <w:richText/>
                  </w:sdtPr>
                  <w:sdtContent>
                    <w:p>
                      <w:pPr>
                        <w:widowControl w:val="0"/>
                        <w:suppressAutoHyphens/>
                        <w:ind w:firstLine="567"/>
                        <w:jc w:val="both"/>
                      </w:pPr>
                      <w:sdt>
                        <w:sdtPr>
                          <w:alias w:val="Numeris"/>
                          <w:tag w:val="nr_2529ba8d4c5d4cfdba2ff4d9ff535b70"/>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
                  <w:sdtPr>
                    <w:alias w:val="9.5 pp."/>
                    <w:tag w:val="part_ecd90fb37b19407e839b28c2474140b8"/>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ecd90fb37b19407e839b28c2474140b8"/>
                          <w:lock w:val="sdtLocked"/>
                          <w:richText/>
                        </w:sdtPr>
                        <w:sdtContent>
                          <w:r>
                            <w:rPr>
                              <w:szCs w:val="24"/>
                              <w:lang w:eastAsia="lt-LT"/>
                            </w:rPr>
                            <w:t>9.5</w:t>
                          </w:r>
                        </w:sdtContent>
                      </w:sdt>
                      <w:r>
                        <w:rPr>
                          <w:szCs w:val="24"/>
                          <w:lang w:eastAsia="lt-LT"/>
                        </w:rPr>
                        <w:t xml:space="preserve">. jeigu reikalinga gydytojo </w:t>
                      </w:r>
                      <w:r>
                        <w:rPr>
                          <w:szCs w:val="24"/>
                        </w:rPr>
                        <w:t xml:space="preserve">išvada dėl sunkų ar vidutinį neįgalumo lygį ar 40 procentų neviršijantį darbingumo lygį </w:t>
                      </w:r>
                      <w:r>
                        <w:rPr>
                          <w:szCs w:val="24"/>
                          <w:lang w:eastAsia="lt-LT"/>
                        </w:rPr>
                        <w:t xml:space="preserve">arba didelių ar vidutinių specialiųjų poreikių lygį </w:t>
                      </w:r>
                      <w:r>
                        <w:rPr>
                          <w:szCs w:val="24"/>
                        </w:rPr>
                        <w:t xml:space="preserve">turinčių darbuotojų negalios pobūdžio, darbo funkcijos socialinėje įmonėje, kurios neįgalus darbuotojas negali atlikti be asistento pagalbos </w:t>
                      </w:r>
                      <w:r>
                        <w:rPr>
                          <w:color w:val="000000"/>
                          <w:szCs w:val="24"/>
                        </w:rPr>
                        <w:t>–</w:t>
                      </w:r>
                      <w:r>
                        <w:rPr>
                          <w:szCs w:val="24"/>
                        </w:rPr>
                        <w:t xml:space="preserve"> darbdaviui atstovaujančio ar jo įgalioto asmens raštą, kuriame išvardytos tos darbuotojo funkcijos, dėl kurių prašoma gydytojo išvados.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0"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1"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2"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3"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a3d877e0cd114ec892d3b01867b1eae1"/>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lang w:eastAsia="lt-LT"/>
                    </w:rPr>
                  </w:pPr>
                  <w:sdt>
                    <w:sdtPr>
                      <w:alias w:val="Numeris"/>
                      <w:tag w:val="nr_a3d877e0cd114ec892d3b01867b1eae1"/>
                      <w:lock w:val="sdtLocked"/>
                      <w:richText/>
                    </w:sdtPr>
                    <w:sdtContent>
                      <w:r>
                        <w:rPr>
                          <w:szCs w:val="24"/>
                        </w:rPr>
                        <w:t>19</w:t>
                      </w:r>
                    </w:sdtContent>
                  </w:sdt>
                  <w:r>
                    <w:rPr>
                      <w:szCs w:val="24"/>
                    </w:rPr>
                    <w:t xml:space="preserve">. </w:t>
                  </w:r>
                  <w:r>
                    <w:rPr>
                      <w:color w:val="000000"/>
                      <w:szCs w:val="24"/>
                      <w:lang w:eastAsia="lt-LT"/>
                    </w:rPr>
                    <w:t>Asmenų iki aštuoniolikos metų, nėščių, neseniai pagimdžiusių ar krūtimi maitinančių darbuotojų, neįgaliųjų ir asmenų, kuriems nustatytas sumažėjęs darbingumo lygis, privalomi sveikatos tikrinimai:</w:t>
                  </w:r>
                </w:p>
                <w:sdt>
                  <w:sdtPr>
                    <w:alias w:val="19.1 pp."/>
                    <w:tag w:val="part_cb8ee80f82084bbdb61b058855fd2eb7"/>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cb8ee80f82084bbdb61b058855fd2eb7"/>
                          <w:lock w:val="sdtLocked"/>
                          <w:richText/>
                        </w:sdtPr>
                        <w:sdtContent>
                          <w:r>
                            <w:rPr>
                              <w:color w:val="000000"/>
                              <w:szCs w:val="24"/>
                            </w:rPr>
                            <w:t>19.1</w:t>
                          </w:r>
                        </w:sdtContent>
                      </w:sdt>
                      <w:r>
                        <w:rPr>
                          <w:color w:val="000000"/>
                          <w:szCs w:val="24"/>
                        </w:rPr>
                        <w:t xml:space="preserve">. tikrinant asmenų iki 18 metų amžiaus sveikatą vadovaujamasi </w:t>
                      </w:r>
                      <w:r>
                        <w:rPr>
                          <w:szCs w:val="24"/>
                        </w:rPr>
                        <w:t>Asmenų iki aštuoniolikos metų įdarbinimo, darbo ir profesinio parengimo organizavimo tvarkos, vaikų įdarbinimo sąlygų aprašu, patvirtintu Lietuvos Respublikos Vyriausybės 2017 m. birželio 28 d. nutarimu Nr. 518 „Dėl Asmenų iki aštuoniolikos metų įdarbinimo, darbo ir profesinio parengimo organizavimo tvarkos, vaikų įdarbinimo sąlygų aprašo patvirtinimo“;</w:t>
                      </w:r>
                    </w:p>
                  </w:sdtContent>
                </w:sdt>
                <w:sdt>
                  <w:sdtPr>
                    <w:alias w:val="19.2 pp."/>
                    <w:tag w:val="part_9bcbc80f0fb3408590d5644c6802337a"/>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9bcbc80f0fb3408590d5644c6802337a"/>
                          <w:lock w:val="sdtLocked"/>
                          <w:richText/>
                        </w:sdtPr>
                        <w:sdtContent>
                          <w:r>
                            <w:rPr>
                              <w:color w:val="000000"/>
                              <w:szCs w:val="24"/>
                            </w:rPr>
                            <w:t>19.2</w:t>
                          </w:r>
                        </w:sdtContent>
                      </w:sdt>
                      <w:r>
                        <w:rPr>
                          <w:color w:val="000000"/>
                          <w:szCs w:val="24"/>
                        </w:rPr>
                        <w:t xml:space="preserve">. tikrinant nėščiųjų, neseniai pagimdžiusių ar krūtimi maitinančių darbuotojų sveikatą vadovaujamasi </w:t>
                      </w:r>
                      <w:r>
                        <w:rPr>
                          <w:szCs w:val="24"/>
                        </w:rPr>
                        <w:t>Nėščių, neseniai pagimdžiusių, krūtimi maitinančių darbuotojų darbo sąlygų aprašu, patvirtintu Lietuvos Respublikos Vyriausybės 2017 m. birželio 21 d. nutarimu Nr. 469 „Dėl Nėščių, neseniai pagimdžiusių, krūtimi maitinančių darbuotojų darbo sąlygų aprašo patvirtinimo“;</w:t>
                      </w:r>
                    </w:p>
                  </w:sdtContent>
                </w:sdt>
                <w:sdt>
                  <w:sdtPr>
                    <w:alias w:val="19.3 pp."/>
                    <w:tag w:val="part_edf1b7aac38647e38f2f74d57fc0cfde"/>
                    <w:lock w:val="sdtLocked"/>
                    <w:richText/>
                  </w:sdtPr>
                  <w:sdtContent>
                    <w:p>
                      <w:pPr>
                        <w:ind w:firstLine="567"/>
                        <w:jc w:val="both"/>
                        <w:rPr>
                          <w:color w:val="000000"/>
                        </w:rPr>
                      </w:pPr>
                      <w:sdt>
                        <w:sdtPr>
                          <w:alias w:val="Numeris"/>
                          <w:tag w:val="nr_edf1b7aac38647e38f2f74d57fc0cfde"/>
                          <w:lock w:val="sdtLocked"/>
                          <w:richText/>
                        </w:sdtPr>
                        <w:sdtContent>
                          <w:r>
                            <w:rPr>
                              <w:color w:val="000000"/>
                              <w:szCs w:val="24"/>
                              <w:lang w:eastAsia="lt-LT"/>
                            </w:rPr>
                            <w:t>19.3</w:t>
                          </w:r>
                        </w:sdtContent>
                      </w:sdt>
                      <w:r>
                        <w:rPr>
                          <w:color w:val="000000"/>
                          <w:szCs w:val="24"/>
                          <w:lang w:eastAsia="lt-LT"/>
                        </w:rPr>
                        <w:t xml:space="preserve">. dėl neįgaliųjų asmenų ar asmenų, netekusių dalies darbingumo, galimybės dirbti konkretų darbą sprendžia Aprašo 10.4 papunktyje nurodytas gydytojas, gavęs Neįgalumo ir darbingumo nustatymo tarnybos prie Socialinės apsaugos ir darbo ministerijos rekomendacijas ir atitinkamos profesinės kvalifikacijos gydytojo išvadą. Jeigu buvo pateiktas Aprašo 9.5 papunktyje nurodytas </w:t>
                      </w:r>
                      <w:r>
                        <w:rPr>
                          <w:szCs w:val="24"/>
                        </w:rPr>
                        <w:t>darbdaviui atstovaujančio ar jo įgalioto asmens raštas, Aprašo 10.4 papunktyje nurodytas gydytojas F Nr. 047/a arba F Nr. 048/a papildomai įrašo išvadą dėl darbo funkcijos (-ų), kurios (-ių) darbuotojas dėl savo negalios pobūdžio negali atlikti be asistento pagalbos.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9-1 p."/>
                <w:tag w:val="part_e186288a75384c44be0e92e8c774ce25"/>
                <w:lock w:val="sdtLocked"/>
                <w:richText/>
              </w:sdtPr>
              <w:sdtContent>
                <w:p>
                  <w:pPr>
                    <w:tabs>
                      <w:tab w:val="left" w:pos="1134"/>
                    </w:tabs>
                    <w:ind w:firstLine="567"/>
                    <w:jc w:val="both"/>
                    <w:rPr>
                      <w:color w:val="000000"/>
                    </w:rPr>
                  </w:pPr>
                  <w:sdt>
                    <w:sdtPr>
                      <w:alias w:val="Numeris"/>
                      <w:tag w:val="nr_e186288a75384c44be0e92e8c774ce25"/>
                      <w:lock w:val="sdtLocked"/>
                      <w:richText/>
                    </w:sdtPr>
                    <w:sdtContent>
                      <w:r>
                        <w:rPr>
                          <w:szCs w:val="24"/>
                        </w:rPr>
                        <w:t>19</w:t>
                      </w:r>
                      <w:r>
                        <w:rPr>
                          <w:szCs w:val="24"/>
                          <w:vertAlign w:val="superscript"/>
                        </w:rPr>
                        <w:t>1</w:t>
                      </w:r>
                    </w:sdtContent>
                  </w:sdt>
                  <w:r>
                    <w:rPr>
                      <w:szCs w:val="24"/>
                    </w:rPr>
                    <w:t xml:space="preserve">. Tikrinant asmenų, siekiančių verstis ar besiverčiančių bendrosios slaugos praktika, akušerijos praktika ar medicinos praktika sveikatą, papildomai vadovautis Ligų, trukdančių verstis bendrosios slaugos praktika, akušerijos praktika ar medicinos praktika sąrašu, patvirtintu Lietuvos Respublikos sveikatos apsaugos ministro 2010 m. </w:t>
                  </w:r>
                  <w:r>
                    <w:rPr>
                      <w:bCs/>
                      <w:szCs w:val="24"/>
                    </w:rPr>
                    <w:t xml:space="preserve">rugpjūčio 12 </w:t>
                  </w:r>
                  <w:r>
                    <w:rPr>
                      <w:szCs w:val="24"/>
                    </w:rPr>
                    <w:t>d. įsakymu Nr. V-720 „Dėl Ligų, trukdančių verstis bendrosios slaugos praktika, akušerijos praktika ar medicinos praktika, sąrašo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4"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5"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6"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7" w:tgtFrame="_blank" w:history="1">
                          <w:r>
                            <w:rPr>
                              <w:color w:val="0000FF" w:themeColor="hyperlink"/>
                              <w:sz w:val="18"/>
                              <w:szCs w:val="18"/>
                              <w:u w:val="single"/>
                            </w:rPr>
                            <w:t>47-1365</w:t>
                          </w:r>
                        </w:hyperlink>
                        <w:r>
                          <w:rPr>
                            <w:sz w:val="18"/>
                            <w:szCs w:val="18"/>
                          </w:rPr>
                          <w:t xml:space="preserve">; 2005, Nr. </w:t>
                        </w:r>
                        <w:hyperlink r:id="rId88" w:tgtFrame="_blank" w:history="1">
                          <w:r>
                            <w:rPr>
                              <w:color w:val="0000FF" w:themeColor="hyperlink"/>
                              <w:sz w:val="18"/>
                              <w:szCs w:val="18"/>
                              <w:u w:val="single"/>
                            </w:rPr>
                            <w:t>128-4637</w:t>
                          </w:r>
                        </w:hyperlink>
                        <w:r>
                          <w:rPr>
                            <w:sz w:val="18"/>
                            <w:szCs w:val="18"/>
                          </w:rPr>
                          <w:t xml:space="preserve">; 2008, Nr. </w:t>
                        </w:r>
                        <w:hyperlink r:id="rId89"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0" w:tgtFrame="_blank" w:history="1">
                          <w:r>
                            <w:rPr>
                              <w:color w:val="0000FF" w:themeColor="hyperlink"/>
                              <w:sz w:val="18"/>
                              <w:szCs w:val="18"/>
                              <w:u w:val="single"/>
                            </w:rPr>
                            <w:t>47-1365</w:t>
                          </w:r>
                        </w:hyperlink>
                        <w:r>
                          <w:rPr>
                            <w:sz w:val="18"/>
                            <w:szCs w:val="18"/>
                          </w:rPr>
                          <w:t xml:space="preserve">; 2005, Nr. </w:t>
                        </w:r>
                        <w:hyperlink r:id="rId91" w:tgtFrame="_blank" w:history="1">
                          <w:r>
                            <w:rPr>
                              <w:color w:val="0000FF" w:themeColor="hyperlink"/>
                              <w:sz w:val="18"/>
                              <w:szCs w:val="18"/>
                              <w:u w:val="single"/>
                            </w:rPr>
                            <w:t>128-4637</w:t>
                          </w:r>
                        </w:hyperlink>
                        <w:r>
                          <w:rPr>
                            <w:sz w:val="18"/>
                            <w:szCs w:val="18"/>
                          </w:rPr>
                          <w:t xml:space="preserve">; 2008, Nr. </w:t>
                        </w:r>
                        <w:hyperlink r:id="rId92"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3"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fe74421a0e5406a99443c2f7d4f5184"/>
            <w:lock w:val="sdtLocked"/>
            <w:richText/>
          </w:sdtPr>
          <w:sdtContent>
            <w:p>
              <w:pPr>
                <w:jc w:val="center"/>
                <w:rPr>
                  <w:b/>
                  <w:szCs w:val="24"/>
                </w:rPr>
              </w:pPr>
              <w:sdt>
                <w:sdtPr>
                  <w:alias w:val="Numeris"/>
                  <w:tag w:val="nr_4fe74421a0e5406a99443c2f7d4f5184"/>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fe74421a0e5406a99443c2f7d4f5184"/>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31b102b1511eabe008ea93139d588">
            <w:r w:rsidRPr="00532B9F">
              <w:rPr>
                <w:rFonts w:ascii="Times New Roman" w:eastAsia="MS Mincho" w:hAnsi="Times New Roman"/>
                <w:sz w:val="20"/>
                <w:iCs/>
                <w:color w:val="0000FF" w:themeColor="hyperlink"/>
                <w:u w:val="single"/>
              </w:rPr>
              <w:t>V-1512</w:t>
            </w:r>
          </w:fldSimple>
          <w:r>
            <w:rPr>
              <w:rFonts w:ascii="Times New Roman" w:eastAsia="MS Mincho" w:hAnsi="Times New Roman"/>
              <w:sz w:val="20"/>
              <w:iCs/>
            </w:rPr>
            <w:t>,
2019-12-30,
paskelbta TAR 2019-12-31, i. k. 2019-21686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e619f0322711eabe008ea93139d588">
            <w:r w:rsidRPr="00532B9F">
              <w:rPr>
                <w:rFonts w:ascii="Times New Roman" w:eastAsia="MS Mincho" w:hAnsi="Times New Roman"/>
                <w:sz w:val="20"/>
                <w:iCs/>
                <w:color w:val="0000FF" w:themeColor="hyperlink"/>
                <w:u w:val="single"/>
              </w:rPr>
              <w:t>V-20</w:t>
            </w:r>
          </w:fldSimple>
          <w:r>
            <w:rPr>
              <w:rFonts w:ascii="Times New Roman" w:eastAsia="MS Mincho" w:hAnsi="Times New Roman"/>
              <w:sz w:val="20"/>
              <w:iCs/>
            </w:rPr>
            <w:t>,
2020-01-07,
paskelbta TAR 2020-01-09, i. k. 2020-00251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babfed02ba411eabe008ea93139d588">
            <w:r w:rsidRPr="00532B9F">
              <w:rPr>
                <w:rFonts w:ascii="Times New Roman" w:eastAsia="MS Mincho" w:hAnsi="Times New Roman"/>
                <w:sz w:val="20"/>
                <w:iCs/>
                <w:color w:val="0000FF" w:themeColor="hyperlink"/>
                <w:u w:val="single"/>
              </w:rPr>
              <w:t>V-1535</w:t>
            </w:r>
          </w:fldSimple>
          <w:r>
            <w:rPr>
              <w:rFonts w:ascii="Times New Roman" w:eastAsia="MS Mincho" w:hAnsi="Times New Roman"/>
              <w:sz w:val="20"/>
              <w:iCs/>
            </w:rPr>
            <w:t>,
2019-12-30,
paskelbta TAR 2019-12-31, i. k. 2019-21774                </w:t>
          </w:r>
        </w:p>
        <w:p>
          <w:pPr>
            <w:jc w:val="both"/>
            <w:rPr>
              <w:rFonts w:ascii="Times New Roman" w:hAnsi="Times New Roman"/>
            </w:rPr>
          </w:pPr>
          <w:r>
            <w:rPr>
              <w:rFonts w:ascii="Times New Roman" w:hAnsi="Times New Roman"/>
              <w:sz w:val="20"/>
            </w:rPr>
            <w:t>Dėl Lietuvos Respublikos sveikatos apsaugos ministro 2019 m. gegužės 14 d. įsakymo Nr. V-566 "Dėl Lietuvos Respublikos sveikatos apsaugos ministro 2000 m. gegužės 31 d. įsakymo Nr. 301 „Dėl profilaktinių sveikatos tikrinimų sveikatos priežiūros įstaigose“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fc9970c0f011ea9815f635b9c0dcef">
            <w:r w:rsidRPr="00532B9F">
              <w:rPr>
                <w:rFonts w:ascii="Times New Roman" w:eastAsia="MS Mincho" w:hAnsi="Times New Roman"/>
                <w:sz w:val="20"/>
                <w:iCs/>
                <w:color w:val="0000FF" w:themeColor="hyperlink"/>
                <w:u w:val="single"/>
              </w:rPr>
              <w:t>V-1615</w:t>
            </w:r>
          </w:fldSimple>
          <w:r>
            <w:rPr>
              <w:rFonts w:ascii="Times New Roman" w:eastAsia="MS Mincho" w:hAnsi="Times New Roman"/>
              <w:sz w:val="20"/>
              <w:iCs/>
            </w:rPr>
            <w:t>,
2020-07-07,
paskelbta TAR 2020-07-08, i. k. 2020-15197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36</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34</w:t>
    </w:r>
    <w: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5</w:t>
    </w:r>
    <w:r>
      <w:fldChar w:fldCharType="end"/>
    </w:r>
  </w:p>
  <w:p>
    <w:pPr>
      <w:tabs>
        <w:tab w:val="center" w:pos="4153"/>
        <w:tab w:val="right" w:pos="8306"/>
      </w:tabs>
      <w:rPr>
        <w:lang w:eastAsia="lt-LT"/>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80"/>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5777"/>
    <o:shapelayout v:ext="edit">
      <o:idmap v:ext="edit" data="1"/>
    </o:shapelayout>
  </w:shapeDefaults>
  <w:decimalSymbol w:val=","/>
  <w:listSeparator w:val=";"/>
  <w14:docId w14:val="02BC0C9F"/>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300.xml"/>
  <Relationship Id="rId101" Type="http://schemas.openxmlformats.org/officeDocument/2006/relationships/header" Target="header301.xml"/>
  <Relationship Id="rId102" Type="http://schemas.openxmlformats.org/officeDocument/2006/relationships/header" Target="header302.xml"/>
  <Relationship Id="rId103" Type="http://schemas.openxmlformats.org/officeDocument/2006/relationships/image" Target="media/image225.png"/>
  <Relationship Id="rId104" Type="http://schemas.openxmlformats.org/officeDocument/2006/relationships/image" Target="media/image226.png"/>
  <Relationship Id="rId105" Type="http://schemas.openxmlformats.org/officeDocument/2006/relationships/image" Target="media/image227.png"/>
  <Relationship Id="rId106" Type="http://schemas.openxmlformats.org/officeDocument/2006/relationships/image" Target="media/image228.png"/>
  <Relationship Id="rId107" Type="http://schemas.openxmlformats.org/officeDocument/2006/relationships/image" Target="media/image229.png"/>
  <Relationship Id="rId108" Type="http://schemas.openxmlformats.org/officeDocument/2006/relationships/image" Target="media/image230.png"/>
  <Relationship Id="rId109" Type="http://schemas.openxmlformats.org/officeDocument/2006/relationships/image" Target="media/image231.png"/>
  <Relationship Id="rId11" Type="http://schemas.openxmlformats.org/officeDocument/2006/relationships/hyperlink" TargetMode="External" Target="https://www.e-tar.lt/portal/lt/legalAct/TAR.95C79D036AA4"/>
  <Relationship Id="rId110" Type="http://schemas.openxmlformats.org/officeDocument/2006/relationships/image" Target="media/image232.png"/>
  <Relationship Id="rId111" Type="http://schemas.openxmlformats.org/officeDocument/2006/relationships/image" Target="media/image233.png"/>
  <Relationship Id="rId112" Type="http://schemas.openxmlformats.org/officeDocument/2006/relationships/image" Target="media/image234.png"/>
  <Relationship Id="rId113" Type="http://schemas.openxmlformats.org/officeDocument/2006/relationships/image" Target="media/image235.png"/>
  <Relationship Id="rId114" Type="http://schemas.openxmlformats.org/officeDocument/2006/relationships/image" Target="media/image236.png"/>
  <Relationship Id="rId115" Type="http://schemas.openxmlformats.org/officeDocument/2006/relationships/image" Target="media/image237.png"/>
  <Relationship Id="rId116" Type="http://schemas.openxmlformats.org/officeDocument/2006/relationships/image" Target="media/image238.png"/>
  <Relationship Id="rId117" Type="http://schemas.openxmlformats.org/officeDocument/2006/relationships/image" Target="media/image239.png"/>
  <Relationship Id="rId118" Type="http://schemas.openxmlformats.org/officeDocument/2006/relationships/image" Target="media/image240.png"/>
  <Relationship Id="rId119" Type="http://schemas.openxmlformats.org/officeDocument/2006/relationships/image" Target="media/image241.png"/>
  <Relationship Id="rId12" Type="http://schemas.openxmlformats.org/officeDocument/2006/relationships/hyperlink" TargetMode="External" Target="https://www.e-tar.lt/portal/lt/legalAct/TAR.E2B2957B9182"/>
  <Relationship Id="rId120" Type="http://schemas.openxmlformats.org/officeDocument/2006/relationships/image" Target="media/image242.png"/>
  <Relationship Id="rId121" Type="http://schemas.openxmlformats.org/officeDocument/2006/relationships/image" Target="media/image243.png"/>
  <Relationship Id="rId122" Type="http://schemas.openxmlformats.org/officeDocument/2006/relationships/image" Target="media/image244.png"/>
  <Relationship Id="rId123" Type="http://schemas.openxmlformats.org/officeDocument/2006/relationships/image" Target="media/image245.png"/>
  <Relationship Id="rId124" Type="http://schemas.openxmlformats.org/officeDocument/2006/relationships/image" Target="media/image246.png"/>
  <Relationship Id="rId125" Type="http://schemas.openxmlformats.org/officeDocument/2006/relationships/image" Target="media/image247.png"/>
  <Relationship Id="rId126" Type="http://schemas.openxmlformats.org/officeDocument/2006/relationships/image" Target="media/image248.png"/>
  <Relationship Id="rId127" Type="http://schemas.openxmlformats.org/officeDocument/2006/relationships/image" Target="media/image249.png"/>
  <Relationship Id="rId128" Type="http://schemas.openxmlformats.org/officeDocument/2006/relationships/image" Target="media/image250.png"/>
  <Relationship Id="rId129" Type="http://schemas.openxmlformats.org/officeDocument/2006/relationships/image" Target="media/image251.png"/>
  <Relationship Id="rId13" Type="http://schemas.openxmlformats.org/officeDocument/2006/relationships/hyperlink" TargetMode="External" Target="https://www.e-tar.lt/portal/lt/legalAct/TAR.E964CE7A637A"/>
  <Relationship Id="rId130" Type="http://schemas.openxmlformats.org/officeDocument/2006/relationships/image" Target="media/image252.png"/>
  <Relationship Id="rId131" Type="http://schemas.openxmlformats.org/officeDocument/2006/relationships/image" Target="media/image253.png"/>
  <Relationship Id="rId132" Type="http://schemas.openxmlformats.org/officeDocument/2006/relationships/image" Target="media/image254.png"/>
  <Relationship Id="rId133" Type="http://schemas.openxmlformats.org/officeDocument/2006/relationships/image" Target="media/image255.png"/>
  <Relationship Id="rId134" Type="http://schemas.openxmlformats.org/officeDocument/2006/relationships/image" Target="media/image256.png"/>
  <Relationship Id="rId135"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81.xml"/>
  <Relationship Id="rId23" Type="http://schemas.openxmlformats.org/officeDocument/2006/relationships/header" Target="header82.xml"/>
  <Relationship Id="rId24" Type="http://schemas.openxmlformats.org/officeDocument/2006/relationships/footer" Target="footer76.xml"/>
  <Relationship Id="rId25" Type="http://schemas.openxmlformats.org/officeDocument/2006/relationships/footer" Target="footer77.xml"/>
  <Relationship Id="rId26" Type="http://schemas.openxmlformats.org/officeDocument/2006/relationships/header" Target="header83.xml"/>
  <Relationship Id="rId27" Type="http://schemas.openxmlformats.org/officeDocument/2006/relationships/footer" Target="footer78.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111.xml"/>
  <Relationship Id="rId35" Type="http://schemas.openxmlformats.org/officeDocument/2006/relationships/header" Target="header112.xml"/>
  <Relationship Id="rId36" Type="http://schemas.openxmlformats.org/officeDocument/2006/relationships/footer" Target="footer106.xml"/>
  <Relationship Id="rId37" Type="http://schemas.openxmlformats.org/officeDocument/2006/relationships/footer" Target="footer107.xml"/>
  <Relationship Id="rId38" Type="http://schemas.openxmlformats.org/officeDocument/2006/relationships/header" Target="header113.xml"/>
  <Relationship Id="rId39" Type="http://schemas.openxmlformats.org/officeDocument/2006/relationships/footer" Target="footer108.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204.xml"/>
  <Relationship Id="rId43" Type="http://schemas.openxmlformats.org/officeDocument/2006/relationships/header" Target="header205.xml"/>
  <Relationship Id="rId44" Type="http://schemas.openxmlformats.org/officeDocument/2006/relationships/footer" Target="footer199.xml"/>
  <Relationship Id="rId45" Type="http://schemas.openxmlformats.org/officeDocument/2006/relationships/footer" Target="footer200.xml"/>
  <Relationship Id="rId46" Type="http://schemas.openxmlformats.org/officeDocument/2006/relationships/header" Target="header206.xml"/>
  <Relationship Id="rId47" Type="http://schemas.openxmlformats.org/officeDocument/2006/relationships/footer" Target="footer201.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eader" Target="header210.xml"/>
  <Relationship Id="rId53" Type="http://schemas.openxmlformats.org/officeDocument/2006/relationships/header" Target="header211.xml"/>
  <Relationship Id="rId54" Type="http://schemas.openxmlformats.org/officeDocument/2006/relationships/footer" Target="footer205.xml"/>
  <Relationship Id="rId55" Type="http://schemas.openxmlformats.org/officeDocument/2006/relationships/footer" Target="footer206.xml"/>
  <Relationship Id="rId56" Type="http://schemas.openxmlformats.org/officeDocument/2006/relationships/header" Target="header212.xml"/>
  <Relationship Id="rId57" Type="http://schemas.openxmlformats.org/officeDocument/2006/relationships/footer" Target="footer207.xml"/>
  <Relationship Id="rId58" Type="http://schemas.openxmlformats.org/officeDocument/2006/relationships/hyperlink" TargetMode="External" Target="https://www.e-tar.lt/portal/lt/legalAct/TAR.5DC1759E42CB"/>
  <Relationship Id="rId59" Type="http://schemas.openxmlformats.org/officeDocument/2006/relationships/hyperlink" TargetMode="External" Target="https://www.e-tar.lt/portal/lt/legalAct/TAR.8D97CD7E1857"/>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67B5099C5848"/>
  <Relationship Id="rId62" Type="http://schemas.openxmlformats.org/officeDocument/2006/relationships/hyperlink" TargetMode="External" Target="https://www.e-tar.lt/portal/lt/legalAct/TAR.78FAC7B20AD8"/>
  <Relationship Id="rId63" Type="http://schemas.openxmlformats.org/officeDocument/2006/relationships/hyperlink" TargetMode="External" Target="https://www.e-tar.lt/portal/lt/legalAct/TAR.C7A984833333"/>
  <Relationship Id="rId64" Type="http://schemas.openxmlformats.org/officeDocument/2006/relationships/hyperlink" TargetMode="External" Target="https://www.e-tar.lt/portal/lt/legalAct/TAR.33907EA7C2DC"/>
  <Relationship Id="rId65" Type="http://schemas.openxmlformats.org/officeDocument/2006/relationships/hyperlink" TargetMode="External" Target="https://www.e-tar.lt/portal/lt/legalAct/TAR.DC61D74561C5"/>
  <Relationship Id="rId66" Type="http://schemas.openxmlformats.org/officeDocument/2006/relationships/hyperlink" TargetMode="External" Target="https://www.e-tar.lt/portal/lt/legalAct/TAR.723F49D02CD8"/>
  <Relationship Id="rId67" Type="http://schemas.openxmlformats.org/officeDocument/2006/relationships/hyperlink" TargetMode="External" Target="https://www.e-tar.lt/portal/lt/legalAct/TAR.6A8A7A3BBCDC"/>
  <Relationship Id="rId68" Type="http://schemas.openxmlformats.org/officeDocument/2006/relationships/hyperlink" TargetMode="External" Target="https://www.e-tar.lt/portal/lt/legalAct/TAR.F1D86F455636"/>
  <Relationship Id="rId69" Type="http://schemas.openxmlformats.org/officeDocument/2006/relationships/hyperlink" TargetMode="External" Target="https://www.e-tar.lt/portal/lt/legalAct/TAR.5E3842DF67F8"/>
  <Relationship Id="rId7" Type="http://schemas.openxmlformats.org/officeDocument/2006/relationships/theme" Target="theme/theme1.xml"/>
  <Relationship Id="rId70" Type="http://schemas.openxmlformats.org/officeDocument/2006/relationships/hyperlink" TargetMode="External" Target="https://www.e-tar.lt/portal/lt/legalAct/TAR.668CEF058FF8"/>
  <Relationship Id="rId71" Type="http://schemas.openxmlformats.org/officeDocument/2006/relationships/hyperlink" TargetMode="External" Target="https://www.e-tar.lt/portal/lt/legalAct/TAR.DC61D74561C5"/>
  <Relationship Id="rId72" Type="http://schemas.openxmlformats.org/officeDocument/2006/relationships/hyperlink" TargetMode="External" Target="https://www.e-tar.lt/portal/lt/legalAct/TAR.C6E4170DB704"/>
  <Relationship Id="rId73" Type="http://schemas.openxmlformats.org/officeDocument/2006/relationships/hyperlink" TargetMode="External" Target="https://www.e-tar.lt/portal/lt/legalAct/TAR.668CEF058FF8"/>
  <Relationship Id="rId74" Type="http://schemas.openxmlformats.org/officeDocument/2006/relationships/header" Target="header237.xml"/>
  <Relationship Id="rId75" Type="http://schemas.openxmlformats.org/officeDocument/2006/relationships/footer" Target="footer232.xml"/>
  <Relationship Id="rId76" Type="http://schemas.openxmlformats.org/officeDocument/2006/relationships/hyperlink" TargetMode="External" Target="https://www.e-tar.lt/portal/lt/legalAct/TAR.7083DB116A2E"/>
  <Relationship Id="rId77" Type="http://schemas.openxmlformats.org/officeDocument/2006/relationships/hyperlink" TargetMode="External" Target="https://www.e-tar.lt/portal/lt/legalAct/TAR.6A8A7A3BBCDC"/>
  <Relationship Id="rId78" Type="http://schemas.openxmlformats.org/officeDocument/2006/relationships/hyperlink" TargetMode="External" Target="https://www.e-tar.lt/portal/lt/legalAct/TAR.F1D86F455636"/>
  <Relationship Id="rId79" Type="http://schemas.openxmlformats.org/officeDocument/2006/relationships/hyperlink" TargetMode="External" Target="https://www.e-tar.lt/portal/lt/legalAct/TAR.751B6F8BF451"/>
  <Relationship Id="rId8" Type="http://schemas.openxmlformats.org/officeDocument/2006/relationships/webSettings" Target="webSettings.xml"/>
  <Relationship Id="rId80" Type="http://schemas.openxmlformats.org/officeDocument/2006/relationships/hyperlink" TargetMode="External" Target="https://www.e-tar.lt/portal/lt/legalAct/TAR.313208361D5D"/>
  <Relationship Id="rId81" Type="http://schemas.openxmlformats.org/officeDocument/2006/relationships/hyperlink" TargetMode="External" Target="https://www.e-tar.lt/portal/lt/legalAct/TAR.64EB889A3B24"/>
  <Relationship Id="rId82" Type="http://schemas.openxmlformats.org/officeDocument/2006/relationships/hyperlink" TargetMode="External" Target="https://www.e-tar.lt/portal/lt/legalAct/TAR.5ED52629C3C4"/>
  <Relationship Id="rId83" Type="http://schemas.openxmlformats.org/officeDocument/2006/relationships/hyperlink" TargetMode="External" Target="https://www.e-tar.lt/portal/lt/legalAct/TAR.0630DF325F2F"/>
  <Relationship Id="rId84" Type="http://schemas.openxmlformats.org/officeDocument/2006/relationships/hyperlink" TargetMode="External" Target="https://www.e-tar.lt/portal/lt/legalAct/TAR.04551A50A76D"/>
  <Relationship Id="rId85" Type="http://schemas.openxmlformats.org/officeDocument/2006/relationships/hyperlink" TargetMode="External" Target="https://www.e-tar.lt/portal/lt/legalAct/TAR.C6E4170DB704"/>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DC61D74561C5"/>
  <Relationship Id="rId88" Type="http://schemas.openxmlformats.org/officeDocument/2006/relationships/hyperlink" TargetMode="External" Target="https://www.e-tar.lt/portal/lt/legalAct/TAR.9A2A80746DED"/>
  <Relationship Id="rId89" Type="http://schemas.openxmlformats.org/officeDocument/2006/relationships/hyperlink" TargetMode="External" Target="https://www.e-tar.lt/portal/lt/legalAct/TAR.F7E759DF5DFE"/>
  <Relationship Id="rId9" Type="http://schemas.openxmlformats.org/officeDocument/2006/relationships/image" Target="media/image3.wmf"/>
  <Relationship Id="rId90" Type="http://schemas.openxmlformats.org/officeDocument/2006/relationships/hyperlink" TargetMode="External" Target="https://www.e-tar.lt/portal/lt/legalAct/TAR.DC61D74561C5"/>
  <Relationship Id="rId91" Type="http://schemas.openxmlformats.org/officeDocument/2006/relationships/hyperlink" TargetMode="External" Target="https://www.e-tar.lt/portal/lt/legalAct/TAR.9A2A80746DED"/>
  <Relationship Id="rId92" Type="http://schemas.openxmlformats.org/officeDocument/2006/relationships/hyperlink" TargetMode="External" Target="https://www.e-tar.lt/portal/lt/legalAct/TAR.F7E759DF5DFE"/>
  <Relationship Id="rId93" Type="http://schemas.openxmlformats.org/officeDocument/2006/relationships/hyperlink" TargetMode="External" Target="https://www.e-tar.lt/portal/lt/legalAct/TAR.C6E4170DB704"/>
  <Relationship Id="rId94" Type="http://schemas.openxmlformats.org/officeDocument/2006/relationships/hyperlink" TargetMode="External" Target="https://www.e-tar.lt/portal/lt/legalAct/TAR.6CFC2AC8617C"/>
  <Relationship Id="rId95" Type="http://schemas.openxmlformats.org/officeDocument/2006/relationships/hyperlink" TargetMode="External" Target="https://www.e-tar.lt/portal/lt/legalAct/TAR.9BB254501DB8"/>
  <Relationship Id="rId96" Type="http://schemas.openxmlformats.org/officeDocument/2006/relationships/header" Target="header247.xml"/>
  <Relationship Id="rId97" Type="http://schemas.openxmlformats.org/officeDocument/2006/relationships/header" Target="header248.xml"/>
  <Relationship Id="rId98" Type="http://schemas.openxmlformats.org/officeDocument/2006/relationships/header" Target="header277.xml"/>
  <Relationship Id="rId99" Type="http://schemas.openxmlformats.org/officeDocument/2006/relationships/header" Target="header278.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b31b47089825415abd49b95f4dd3da7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ca7a93b731ba4db6b5a98275787d8727"/>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39cece644767478f90ad06e76ea063b0">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a049b2d0aaf94017b371316a52daa436"/>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29-1" Abbr="29-1 p." DocPartId="03c91cb296fc48319543d83ce24eaa13" PartId="0351775175ec4b8b867f6171dceea24d">
        <Part Type="papunktis" Nr="29-1.1" Abbr="29-1.1 pp." DocPartId="3681ec2d956a4b1d989e7b29280b8dcb" PartId="0ba28f4b4291473a96ab136c685fb4ae"/>
        <Part Type="papunktis" Nr="29-1.2" Abbr="29-1.2 pp." DocPartId="dcd6e34307e64f568d512cedf4420ba3" PartId="e1965469061a46bfa9f804aac3de40fe"/>
      </Part>
      <Part Type="punktas" Nr="30" Abbr="3 pr. 30 p." DocPartId="0804394be4c641a3947b3e529b317296" PartId="fbfc8fe1fcff4eda8a8b2a87b2d3d1e5"/>
    </Part>
  </Part>
  <Part Type="priedas" Nr="1" Abbr="1 pr." Title="PROFILAKTINIO VAIKŲ SVEIKATOS TIKRINIMO REIKALAVIMAI" DocPartId="ac2b2da24049474eae9a2f50226f9ad7" PartId="0118e110bc114001937696f02abc728d"/>
  <Part Type="priedas" Nr="2" Abbr="2 pr." Title="VAIKO PSICHOMOTORINĖS RAIDOS TIKRINIMO LAPAS (KŪDIKIS)" DocPartId="c8665e5b69ff4dceac89b89c0be3ac6c" PartId="7bf9660fd8584eef935ed014ecc3f288"/>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336be216cb14c47a44eec0993201d0f">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950408d9c76469d9e0c98fd7189996e">
    <Part Type="pastraipa" DocPartId="557567d3ded24cc8a831a99680be6b7b" PartId="a12a5cc77725464ab3061b5460210de5"/>
    <Part Type="punktas" Nr="1" Abbr="1 p." DocPartId="11f675b1e99f4a58bc0fcdd411f2f896" PartId="91f7c691844a4270896e1adf8e1ddf81"/>
    <Part Type="punktas" Nr="2" Abbr="2 p." DocPartId="5ecaa926b6444e0fbb5b5057a7e87da3" PartId="95dab9f62a8746c5b88ee15bc28813f8"/>
    <Part Type="punktas" Nr="3" Abbr="3 p." DocPartId="15e15844b787420c998fe34c2343d55f" PartId="91c0a009624d44db9eaeb52843343851"/>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69c648ae066e43b0b2b53615d01ec87a"/>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cdff958ff76f44e9a2f2b5d9532b319d"/>
      <Part Type="punktas" Nr="3" Abbr="13 pr. 3 p." DocPartId="40a1ed09eca046bba1c0f685505a2e47" PartId="4db38ee772db42ae86a8bfcee7342396"/>
      <Part Type="punktas" Nr="4" Abbr="13 pr. 4 p." DocPartId="81492ac278ab438eaabbc3fcbf432f90" PartId="3562d08dfbb54e9486a29c900fdd3cb3"/>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2529ba8d4c5d4cfdba2ff4d9ff535b70"/>
        <Part Type="papunktis" Nr="9.5" Abbr="9.5 pp." DocPartId="eb8fcbc1df6d47f585396b858e119f3f" PartId="ecd90fb37b19407e839b28c2474140b8"/>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a3d877e0cd114ec892d3b01867b1eae1">
        <Part Type="papunktis" Nr="19.1" Abbr="19.1 pp." DocPartId="9edb485ad67c42398f80f78422ba7f67" PartId="cb8ee80f82084bbdb61b058855fd2eb7"/>
        <Part Type="papunktis" Nr="19.2" Abbr="19.2 pp." DocPartId="d9d6907d6ab44feba4e3c6224f380d13" PartId="9bcbc80f0fb3408590d5644c6802337a"/>
        <Part Type="papunktis" Nr="19.3" Abbr="19.3 pp." DocPartId="ea82319a690b40ac824144f9602bd27b" PartId="edf1b7aac38647e38f2f74d57fc0cfde"/>
      </Part>
      <Part Type="punktas" Nr="19-1" Abbr="19-1 p." DocPartId="53fe2a66ed2546f7878ae649522397c8" PartId="e186288a75384c44be0e92e8c774ce25"/>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fe74421a0e5406a99443c2f7d4f5184"/>
  </Part>
</Parts>
</file>

<file path=customXml/itemProps1.xml><?xml version="1.0" encoding="utf-8"?>
<ds:datastoreItem xmlns:ds="http://schemas.openxmlformats.org/officeDocument/2006/customXml" ds:itemID="{DBD71E85-AAFB-4BB1-BD70-DEBA73F89714}">
  <ds:schemaRefs>
    <ds:schemaRef ds:uri="http://lrs.lt/TAIS/DocParts"/>
  </ds:schemaRefs>
</ds:datastoreItem>
</file>

<file path=docProps/app.xml><?xml version="1.0" encoding="utf-8"?>
<Properties xmlns="http://schemas.openxmlformats.org/officeDocument/2006/extended-properties">
  <Template>Normal.dotm</Template>
  <TotalTime>185</TotalTime>
  <Pages>233</Pages>
  <Words>301859</Words>
  <Characters>172060</Characters>
  <Application>Microsoft Office Word</Application>
  <DocSecurity>0</DocSecurity>
  <Lines>1433</Lines>
  <Paragraphs>945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472974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TAMALIŪNIENĖ Vilija</lastModifiedBy>
  <dcterms:modified xsi:type="dcterms:W3CDTF">2020-07-09T13:18:00Z</dcterms:modified>
  <revision>118</revision>
</coreProperties>
</file>