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27ad856cc549d587fab83a631f3e41"/>
        <w:lock w:val="sdtLocked"/>
        <w:richText/>
      </w:sdtPr>
      <w:sdtContent>
        <w:p>
          <w:pPr>
            <w:jc w:val="both"/>
            <w:rPr>
              <w:rFonts w:ascii="Times New Roman" w:hAnsi="Times New Roman"/>
            </w:rPr>
          </w:pPr>
          <w:r>
            <w:rPr>
              <w:rFonts w:ascii="Times New Roman" w:hAnsi="Times New Roman"/>
              <w:b/>
              <w:i/>
            </w:rPr>
            <w:t>Suvestinė redakcija nuo 2002-01-27 iki 2002-05-10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5e1fd12ac5cc40f3baf257abac856b87"/>
                <w:lock w:val="sdtLocked"/>
                <w:richText/>
              </w:sdtPr>
              <w:sdtContent>
                <w:p>
                  <w:pPr>
                    <w:widowControl w:val="0"/>
                    <w:ind w:firstLine="720"/>
                    <w:jc w:val="both"/>
                    <w:rPr>
                      <w:color w:val="000000"/>
                    </w:rPr>
                  </w:pPr>
                  <w:sdt>
                    <w:sdtPr>
                      <w:alias w:val="Numeris"/>
                      <w:tag w:val="nr_5e1fd12ac5cc40f3baf257abac856b87"/>
                      <w:lock w:val="sdtLocked"/>
                      <w:richText/>
                    </w:sdtPr>
                    <w:sdtContent>
                      <w:r>
                        <w:rPr>
                          <w:color w:val="000000"/>
                        </w:rPr>
                        <w:t>1.14</w:t>
                      </w:r>
                    </w:sdtContent>
                  </w:sdt>
                  <w:r>
                    <w:rPr>
                      <w:color w:val="000000"/>
                    </w:rPr>
                    <w:t>. Asmenų, kuriems leidžiama dirbti tik iš anksto pasitikrinus ir vėliau periodiškai besitikrinantiems sveikatą dėl užkrečiamųjų ligų, sveikatos tikrinimo tvarką (14 priedas);</w:t>
                  </w:r>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90cef88259c540c5ad462f3c1cd67009"/>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044896b101f24f66860c871c1636d456"/>
            <w:lock w:val="sdtLocked"/>
            <w:richText/>
          </w:sdtPr>
          <w:sdtContent>
            <w:p>
              <w:pPr>
                <w:jc w:val="center"/>
              </w:pPr>
              <w:sdt>
                <w:sdtPr>
                  <w:alias w:val="Numeris"/>
                  <w:tag w:val="nr_044896b101f24f66860c871c1636d456"/>
                  <w:lock w:val="sdtLocked"/>
                  <w:richText/>
                </w:sdtPr>
                <w:sdtContent>
                  <w:r>
                    <w:rPr>
                      <w:b/>
                      <w:caps/>
                      <w:color w:val="000000"/>
                    </w:rPr>
                    <w:t>IV</w:t>
                  </w:r>
                </w:sdtContent>
              </w:sdt>
              <w:r>
                <w:rPr>
                  <w:b/>
                  <w:caps/>
                  <w:color w:val="000000"/>
                </w:rPr>
                <w:t xml:space="preserve">. </w:t>
              </w:r>
              <w:sdt>
                <w:sdtPr>
                  <w:alias w:val="Pavadinimas"/>
                  <w:tag w:val="title_044896b101f24f66860c871c1636d456"/>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
                <w:tag w:val="part_73d0ec67064848369030b3ae376cdb5a"/>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sz w:val="14"/>
                          </w:rPr>
                        </w:pPr>
                        <w:r>
                          <w:rPr>
                            <w:sz w:val="14"/>
                          </w:rPr>
                          <w:t xml:space="preserve">Išvaržos, fistulės, tiesiosios žarnos iškritimas, hemorojus, kiaušinėlio ar sėklinio maišelio vandenė ir kiti susirgimai, trukdantys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kojoms judėti ar judant sukeliantys skausmą</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sz w:val="14"/>
                          </w:rPr>
                        </w:pPr>
                        <w:r>
                          <w:rPr>
                            <w:sz w:val="14"/>
                          </w:rPr>
                          <w:t xml:space="preserve">Gimdos ir makšties iškritimai, rektovaginalinės ir cistovaginalinės fistulės (tarpvietės plyšimai su tiesiosios žarnos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sfinkterio pakenkimu)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sėkmingo chirurginio gydymo dėl teisės vairuoti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51115b707a7a48f39a427f8e8079992a"/>
            <w:lock w:val="sdtLocked"/>
            <w:richText/>
          </w:sdtPr>
          <w:sdtContent>
            <w:p>
              <w:pPr>
                <w:jc w:val="center"/>
                <w:rPr>
                  <w:b/>
                  <w:caps/>
                  <w:color w:val="000000"/>
                </w:rPr>
              </w:pPr>
              <w:sdt>
                <w:sdtPr>
                  <w:alias w:val="Numeris"/>
                  <w:tag w:val="nr_51115b707a7a48f39a427f8e8079992a"/>
                  <w:lock w:val="sdtLocked"/>
                  <w:richText/>
                </w:sdtPr>
                <w:sdtContent>
                  <w:r>
                    <w:rPr>
                      <w:b/>
                      <w:caps/>
                      <w:color w:val="000000"/>
                    </w:rPr>
                    <w:t>II</w:t>
                  </w:r>
                </w:sdtContent>
              </w:sdt>
              <w:r>
                <w:rPr>
                  <w:b/>
                  <w:caps/>
                  <w:color w:val="000000"/>
                </w:rPr>
                <w:t xml:space="preserve">. </w:t>
              </w:r>
              <w:sdt>
                <w:sdtPr>
                  <w:alias w:val="Pavadinimas"/>
                  <w:tag w:val="title_51115b707a7a48f39a427f8e8079992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eda1737abb7c4f09836a519e5ba9278e"/>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r>
            <w:rPr>
              <w:color w:val="000000"/>
            </w:rPr>
            <w:t>2000 m.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da1737abb7c4f09836a519e5ba9278e"/>
              <w:lock w:val="sdtLocked"/>
              <w:richText/>
            </w:sdtPr>
            <w:sdtContent>
              <w:r>
                <w:rPr>
                  <w:color w:val="000000"/>
                </w:rPr>
                <w:t>14</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da1737abb7c4f09836a519e5ba9278e"/>
              <w:lock w:val="sdtLocked"/>
              <w:richText/>
            </w:sdtPr>
            <w:sdtContent>
              <w:r>
                <w:rPr>
                  <w:b/>
                  <w:caps/>
                  <w:color w:val="000000"/>
                </w:rPr>
                <w:t>ASMENŲ, KURIEMS LEIDŽIAMA DIRBTI TIK IŠ ANKSTO PASITIKRINUS IR VĖLIAU PERIODIŠKAI BESITIKRINANTIEMS SVEIKATĄ DĖL UŽKREČIAMŲJŲ LIGŲ, SVEIKATOS TIKRINIMO TVARKA</w:t>
              </w:r>
            </w:sdtContent>
          </w:sdt>
        </w:p>
        <w:p>
          <w:pPr>
            <w:widowControl w:val="0"/>
            <w:tabs>
              <w:tab w:val="left" w:pos="3855"/>
              <w:tab w:val="left" w:pos="4649"/>
              <w:tab w:val="left" w:pos="5896"/>
              <w:tab w:val="left" w:pos="7200"/>
              <w:tab w:val="left" w:pos="8504"/>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1522"/>
            <w:gridCol w:w="1429"/>
            <w:gridCol w:w="1400"/>
            <w:gridCol w:w="1608"/>
            <w:gridCol w:w="1815"/>
          </w:tblGrid>
          <w:tr>
            <w:trPr>
              <w:trHeight w:val="230"/>
              <w:tblHeader/>
            </w:trPr>
            <w:tc>
              <w:tcPr>
                <w:tcW w:w="1865" w:type="dxa"/>
                <w:vMerge w:val="restart"/>
                <w:shd w:val="clear" w:color="auto" w:fill="auto"/>
              </w:tcPr>
              <w:p>
                <w:pPr>
                  <w:widowControl w:val="0"/>
                  <w:ind w:left="360"/>
                  <w:jc w:val="center"/>
                  <w:rPr>
                    <w:sz w:val="14"/>
                  </w:rPr>
                </w:pPr>
                <w:r>
                  <w:rPr>
                    <w:sz w:val="14"/>
                  </w:rPr>
                  <w:t>Darbo ir veiklos srities pavadinimas</w:t>
                </w:r>
              </w:p>
            </w:tc>
            <w:tc>
              <w:tcPr>
                <w:tcW w:w="1522" w:type="dxa"/>
                <w:vMerge w:val="restart"/>
                <w:shd w:val="clear" w:color="auto" w:fill="auto"/>
              </w:tcPr>
              <w:p>
                <w:pPr>
                  <w:widowControl w:val="0"/>
                  <w:ind w:left="360"/>
                  <w:jc w:val="center"/>
                  <w:rPr>
                    <w:sz w:val="14"/>
                  </w:rPr>
                </w:pPr>
                <w:r>
                  <w:rPr>
                    <w:sz w:val="14"/>
                  </w:rPr>
                  <w:t>Tikrinimų periodiškumas</w:t>
                </w:r>
              </w:p>
            </w:tc>
            <w:tc>
              <w:tcPr>
                <w:tcW w:w="2829" w:type="dxa"/>
                <w:gridSpan w:val="2"/>
                <w:vMerge w:val="restart"/>
                <w:shd w:val="clear" w:color="auto" w:fill="auto"/>
              </w:tcPr>
              <w:p>
                <w:pPr>
                  <w:widowControl w:val="0"/>
                  <w:ind w:left="360"/>
                  <w:jc w:val="center"/>
                  <w:rPr>
                    <w:sz w:val="14"/>
                  </w:rPr>
                </w:pPr>
                <w:r>
                  <w:rPr>
                    <w:sz w:val="14"/>
                  </w:rPr>
                  <w:t>Tikrina specialistai</w:t>
                </w:r>
              </w:p>
            </w:tc>
            <w:tc>
              <w:tcPr>
                <w:tcW w:w="1608" w:type="dxa"/>
                <w:vMerge w:val="restart"/>
                <w:shd w:val="clear" w:color="auto" w:fill="auto"/>
              </w:tcPr>
              <w:p>
                <w:pPr>
                  <w:widowControl w:val="0"/>
                  <w:ind w:left="360"/>
                  <w:jc w:val="center"/>
                  <w:rPr>
                    <w:sz w:val="14"/>
                  </w:rPr>
                </w:pPr>
                <w:r>
                  <w:rPr>
                    <w:sz w:val="14"/>
                  </w:rPr>
                  <w:t>Tyrimai</w:t>
                </w:r>
              </w:p>
            </w:tc>
            <w:tc>
              <w:tcPr>
                <w:tcW w:w="1815" w:type="dxa"/>
                <w:vMerge w:val="restart"/>
                <w:shd w:val="clear" w:color="auto" w:fill="auto"/>
              </w:tcPr>
              <w:p>
                <w:pPr>
                  <w:widowControl w:val="0"/>
                  <w:ind w:left="360"/>
                  <w:jc w:val="center"/>
                  <w:rPr>
                    <w:sz w:val="14"/>
                  </w:rPr>
                </w:pPr>
                <w:r>
                  <w:rPr>
                    <w:sz w:val="14"/>
                  </w:rPr>
                  <w:t>Kontraindikacijos</w:t>
                </w: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2829" w:type="dxa"/>
                <w:gridSpan w:val="2"/>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val="restart"/>
                <w:shd w:val="clear" w:color="auto" w:fill="auto"/>
              </w:tcPr>
              <w:p>
                <w:pPr>
                  <w:widowControl w:val="0"/>
                  <w:ind w:left="360"/>
                  <w:jc w:val="center"/>
                  <w:rPr>
                    <w:sz w:val="14"/>
                  </w:rPr>
                </w:pPr>
                <w:r>
                  <w:rPr>
                    <w:sz w:val="14"/>
                  </w:rPr>
                  <w:t>Pirminio lygio asmens sveikatos priežiūros gydytojai</w:t>
                </w:r>
              </w:p>
            </w:tc>
            <w:tc>
              <w:tcPr>
                <w:tcW w:w="1400" w:type="dxa"/>
                <w:vMerge w:val="restart"/>
                <w:shd w:val="clear" w:color="auto" w:fill="auto"/>
              </w:tcPr>
              <w:p>
                <w:pPr>
                  <w:widowControl w:val="0"/>
                  <w:ind w:left="360"/>
                  <w:jc w:val="center"/>
                  <w:rPr>
                    <w:sz w:val="14"/>
                  </w:rPr>
                </w:pPr>
                <w:r>
                  <w:rPr>
                    <w:sz w:val="14"/>
                  </w:rPr>
                  <w:t>Antrinio lygio gydytojų specialistų konsultacijos</w:t>
                </w: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rPr>
            <w:tc>
              <w:tcPr>
                <w:tcW w:w="1865" w:type="dxa"/>
                <w:vMerge w:val="restart"/>
                <w:shd w:val="clear" w:color="auto" w:fill="auto"/>
              </w:tcPr>
              <w:p>
                <w:pPr>
                  <w:widowControl w:val="0"/>
                  <w:ind w:left="360"/>
                  <w:rPr>
                    <w:sz w:val="14"/>
                  </w:rPr>
                </w:pPr>
                <w:r>
                  <w:rPr>
                    <w:sz w:val="14"/>
                  </w:rPr>
                  <w:t>I. VISOS MAISTO GAMYBOS IR REALIZAVIMO SRITYS, IŠSKYRUS DRUSKOS, CUKRAUS IR SPIRITO GAMYBĄ</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 arba terapeutas,</w:t>
                </w:r>
              </w:p>
              <w:p>
                <w:pPr>
                  <w:widowControl w:val="0"/>
                  <w:ind w:left="360"/>
                  <w:rPr>
                    <w:sz w:val="14"/>
                  </w:rPr>
                </w:pPr>
                <w:r>
                  <w:rPr>
                    <w:sz w:val="14"/>
                  </w:rPr>
                  <w:t>akušeris ginekologas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Plaučių rentgenologinis ištyrimas įsidarbinant, vėliau – pagal indikacijas</w:t>
                </w:r>
              </w:p>
            </w:tc>
            <w:tc>
              <w:tcPr>
                <w:tcW w:w="1815" w:type="dxa"/>
                <w:vMerge w:val="restart"/>
                <w:shd w:val="clear" w:color="auto" w:fill="auto"/>
              </w:tcPr>
              <w:p>
                <w:pPr>
                  <w:widowControl w:val="0"/>
                  <w:ind w:left="360"/>
                  <w:rPr>
                    <w:sz w:val="14"/>
                  </w:rPr>
                </w:pPr>
                <w:r>
                  <w:rPr>
                    <w:sz w:val="14"/>
                  </w:rPr>
                  <w:t>1. Aktyvi tuberkuliozė</w:t>
                </w: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 Maisto pusgaminių, produktų ir patiekalų gamyba</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2. Maisto pusgaminių, produktų ir patiekalų saugojimas </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(sandėliavimas)</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3. Maisto pusgaminių, produktų ir patiekalų transportavimas,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taip pat jų krovimas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4. Maisto pusgaminių, produktų ir patiekalų realizavimas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(didmeninė ir mažmeninė prekyba)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5. Žmonių maitinimas viešose vietose ar uždarose įmonėse,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įstaigose ir organizacijose, taip pat transporto priemonėse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6. Maisto pusgaminių, produktų ir patiekalų įpakavimo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medžiagų ir taros gamyba, kai tos medžiagos ir tara vėliau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tiesiogiai liečiasi su maisto produktais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7. Maisto produktų gamybai ir realizavimui naudojamų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įrengimų, inventoriaus ir indų (talpyklų) techninė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remontas ir plovimas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II. SVEIKATOS PRIEŽIŪROS VEIKLA IR DARBAI</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 arba terapeutas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 ištyrimas įsidarbinant</w:t>
                </w:r>
              </w:p>
            </w:tc>
            <w:tc>
              <w:tcPr>
                <w:tcW w:w="1815" w:type="dxa"/>
                <w:shd w:val="clear" w:color="auto" w:fill="auto"/>
              </w:tcPr>
              <w:p>
                <w:pPr>
                  <w:widowControl w:val="0"/>
                  <w:ind w:left="360"/>
                  <w:rPr>
                    <w:sz w:val="14"/>
                  </w:rPr>
                </w:pPr>
                <w:r>
                  <w:rPr>
                    <w:sz w:val="14"/>
                  </w:rPr>
                  <w:t>1. Aktyvi tuberkuliozė</w:t>
                </w:r>
              </w:p>
              <w:p>
                <w:pPr>
                  <w:widowControl w:val="0"/>
                  <w:ind w:left="360"/>
                  <w:rPr>
                    <w:sz w:val="14"/>
                  </w:rPr>
                </w:pPr>
                <w:r>
                  <w:rPr>
                    <w:sz w:val="14"/>
                  </w:rPr>
                  <w:t>2. Užkrečiamos venerinės ligos iki 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8. Akušerinė pagalba, gimdyvių, naujagimių ir vaikų slaugymas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bei priežiūra asmens sveikatos priežiūros įstaigose ir namuose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1 kartą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9. Reanimacijos, intensyviosios terapijos, chirurginė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per metus, tyri-</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ir stomatologinė pagalba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b/>
                    <w:sz w:val="14"/>
                    <w:u w:val="single"/>
                  </w:rPr>
                </w:pPr>
                <w:r>
                  <w:rPr>
                    <w:sz w:val="14"/>
                  </w:rPr>
                  <w:t>mai dėl veneri-</w:t>
                </w:r>
              </w:p>
            </w:tc>
            <w:tc>
              <w:tcPr>
                <w:tcW w:w="1815" w:type="dxa"/>
                <w:shd w:val="clear" w:color="auto" w:fill="auto"/>
              </w:tcPr>
              <w:p>
                <w:pPr>
                  <w:widowControl w:val="0"/>
                  <w:ind w:left="360"/>
                  <w:rPr>
                    <w:b/>
                    <w:sz w:val="14"/>
                    <w:u w:val="single"/>
                  </w:rPr>
                </w:pPr>
              </w:p>
            </w:tc>
          </w:tr>
          <w:tr>
            <w:tc>
              <w:tcPr>
                <w:tcW w:w="1865" w:type="dxa"/>
                <w:shd w:val="clear" w:color="auto" w:fill="auto"/>
              </w:tcPr>
              <w:p>
                <w:pPr>
                  <w:widowControl w:val="0"/>
                  <w:ind w:left="360"/>
                  <w:rPr>
                    <w:sz w:val="14"/>
                  </w:rPr>
                </w:pPr>
                <w:r>
                  <w:rPr>
                    <w:sz w:val="14"/>
                  </w:rPr>
                  <w:t xml:space="preserve">10. Kitų medicinos darbuotojų veikla, susijusi su tiesioginiu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nių 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pacientų aptarnavimu</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III. VAIKŲ IR JAUNUOLIŲ MOKYMAS, AUKLĖJIMAS IR </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JIEMS SKIRTOS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venerinės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11. Vaikų ir jaunuolių (iki 18 metų) mokymas, ugdymas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auklėjimas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val="restart"/>
                <w:shd w:val="clear" w:color="auto" w:fill="auto"/>
              </w:tcPr>
              <w:p>
                <w:pPr>
                  <w:widowControl w:val="0"/>
                  <w:ind w:left="360"/>
                  <w:rPr>
                    <w:sz w:val="14"/>
                  </w:rPr>
                </w:pPr>
                <w:r>
                  <w:rPr>
                    <w:sz w:val="14"/>
                  </w:rPr>
                  <w:t>indikacijas, tyrimai dėl venerinių ligų 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12. Žaislų vaikams gamyba ir pardavimas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parodymus,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odos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grybelinių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IV. PASLAUGOS GYVENTOJAMS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r>
                  <w:rPr>
                    <w:sz w:val="14"/>
                  </w:rPr>
                  <w:t xml:space="preserve">13. Žmonių laikinose gyvenamosiose vietose, globos namuose,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vėliau -</w:t>
                </w:r>
              </w:p>
            </w:tc>
            <w:tc>
              <w:tcPr>
                <w:tcW w:w="1815" w:type="dxa"/>
                <w:shd w:val="clear" w:color="auto" w:fill="auto"/>
              </w:tcPr>
              <w:p>
                <w:pPr>
                  <w:widowControl w:val="0"/>
                  <w:ind w:left="360"/>
                  <w:rPr>
                    <w:sz w:val="14"/>
                  </w:rPr>
                </w:pPr>
                <w:r>
                  <w:rPr>
                    <w:sz w:val="14"/>
                  </w:rPr>
                  <w:t xml:space="preserve">grybelinės ir venerinės </w:t>
                </w:r>
              </w:p>
            </w:tc>
          </w:tr>
          <w:tr>
            <w:tc>
              <w:tcPr>
                <w:tcW w:w="1865" w:type="dxa"/>
                <w:shd w:val="clear" w:color="auto" w:fill="auto"/>
              </w:tcPr>
              <w:p>
                <w:pPr>
                  <w:widowControl w:val="0"/>
                  <w:ind w:left="360"/>
                  <w:rPr>
                    <w:sz w:val="14"/>
                  </w:rPr>
                </w:pPr>
                <w:r>
                  <w:rPr>
                    <w:sz w:val="14"/>
                  </w:rPr>
                  <w:t xml:space="preserve">prieglaudose, nakvynės namuose, pensionuose, bendrabučiuose,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parody-</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sanatorijose, poilsio namuose, reabilitacijos įstaigose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mus, 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gydyklose, viešbučiuose, moteliuose, keleiviniuose laivuose,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traukiniuose ir autobusuose aptarnavimas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ir venerinių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14. Pirčių, saunų, baseinų, maudyklų ir soliariumų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15. Kirpimo, skutimo, manikiūro, pedikiūro ir kūno </w:t>
                </w:r>
              </w:p>
            </w:tc>
            <w:tc>
              <w:tcPr>
                <w:tcW w:w="1522" w:type="dxa"/>
                <w:shd w:val="clear" w:color="auto" w:fill="auto"/>
              </w:tcPr>
              <w:p>
                <w:pPr>
                  <w:widowControl w:val="0"/>
                  <w:ind w:left="360"/>
                  <w:rPr>
                    <w:sz w:val="14"/>
                  </w:rPr>
                </w:pPr>
                <w:r>
                  <w:rPr>
                    <w:sz w:val="14"/>
                  </w:rPr>
                  <w:t xml:space="preserve">1 kartą per </w:t>
                </w:r>
              </w:p>
            </w:tc>
            <w:tc>
              <w:tcPr>
                <w:tcW w:w="1429" w:type="dxa"/>
                <w:vMerge w:val="restart"/>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kosmetinės paslaugos</w:t>
                </w:r>
              </w:p>
            </w:tc>
            <w:tc>
              <w:tcPr>
                <w:tcW w:w="1522" w:type="dxa"/>
                <w:shd w:val="clear" w:color="auto" w:fill="auto"/>
              </w:tcPr>
              <w:p>
                <w:pPr>
                  <w:widowControl w:val="0"/>
                  <w:ind w:left="360"/>
                  <w:rPr>
                    <w:sz w:val="14"/>
                  </w:rPr>
                </w:pPr>
                <w:r>
                  <w:rPr>
                    <w:sz w:val="14"/>
                  </w:rPr>
                  <w:t>metus</w:t>
                </w:r>
              </w:p>
            </w:tc>
            <w:tc>
              <w:tcPr>
                <w:tcW w:w="1429" w:type="dxa"/>
                <w:vMerge/>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nant, vėliau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V. KITOS VEIKLOS SRITYS</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 xml:space="preserve">Plaučių rentgenologinis ištyrimas </w:t>
                </w:r>
              </w:p>
            </w:tc>
            <w:tc>
              <w:tcPr>
                <w:tcW w:w="1815" w:type="dxa"/>
                <w:shd w:val="clear" w:color="auto" w:fill="auto"/>
              </w:tcPr>
              <w:p>
                <w:pPr>
                  <w:widowControl w:val="0"/>
                  <w:ind w:left="360"/>
                  <w:rPr>
                    <w:sz w:val="14"/>
                  </w:rPr>
                </w:pPr>
                <w:r>
                  <w:rPr>
                    <w:sz w:val="14"/>
                  </w:rPr>
                  <w:t>Aktyvi tuberkuliozė</w:t>
                </w:r>
              </w:p>
            </w:tc>
          </w:tr>
          <w:tr>
            <w:tc>
              <w:tcPr>
                <w:tcW w:w="1865" w:type="dxa"/>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16. Visų rūšių galvijų, auginamų mėsai ar pienui,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melžimas ir pieno tiekimas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17. Paukščių priežiūra paukštynuose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bl>
        <w:p>
          <w:pPr>
            <w:widowControl w:val="0"/>
            <w:tabs>
              <w:tab w:val="left" w:pos="3855"/>
              <w:tab w:val="left" w:pos="4649"/>
              <w:tab w:val="left" w:pos="5896"/>
              <w:tab w:val="left" w:pos="7200"/>
              <w:tab w:val="left" w:pos="8504"/>
            </w:tabs>
            <w:ind w:left="1069"/>
            <w:rPr>
              <w:color w:val="000000"/>
            </w:rPr>
          </w:pPr>
        </w:p>
        <w:p>
          <w:pPr>
            <w:widowControl w:val="0"/>
            <w:ind w:firstLine="720"/>
            <w:jc w:val="both"/>
            <w:rPr>
              <w:color w:val="000000"/>
            </w:rPr>
          </w:pPr>
          <w:r>
            <w:rPr>
              <w:color w:val="000000"/>
            </w:rPr>
            <w:t>Ši tvarka reglamentuoja asmenų, kuriems leidžiama dirbti tik iš anksto pasitikrinusiems ir vėliau periodiškai besitikrinantiems sveikatą dėl užkrečiamų ligų tikrinimo, medicininius kontraindikacijas.</w:t>
          </w:r>
        </w:p>
        <w:sdt>
          <w:sdtPr>
            <w:alias w:val="14 pr. 1 p."/>
            <w:tag w:val="part_ce309ed5e7db4e5088fd430eb2783dab"/>
            <w:lock w:val="sdtLocked"/>
            <w:richText/>
          </w:sdtPr>
          <w:sdtContent>
            <w:p>
              <w:pPr>
                <w:widowControl w:val="0"/>
                <w:ind w:firstLine="720"/>
                <w:jc w:val="both"/>
                <w:rPr>
                  <w:color w:val="000000"/>
                </w:rPr>
              </w:pPr>
              <w:sdt>
                <w:sdtPr>
                  <w:alias w:val="Numeris"/>
                  <w:tag w:val="nr_ce309ed5e7db4e5088fd430eb2783dab"/>
                  <w:lock w:val="sdtLocked"/>
                  <w:richText/>
                </w:sdtPr>
                <w:sdtContent>
                  <w:r>
                    <w:rPr>
                      <w:color w:val="000000"/>
                    </w:rPr>
                    <w:t>1</w:t>
                  </w:r>
                </w:sdtContent>
              </w:sdt>
              <w:r>
                <w:rPr>
                  <w:color w:val="000000"/>
                </w:rPr>
                <w:t>. Jeigu nuo paskutinio rentgenologinio tyrimo dar nepraėjo vieneri metai, jei nėra medicininių indikacijų, galima jo nekartoti.</w:t>
              </w:r>
            </w:p>
          </w:sdtContent>
        </w:sdt>
        <w:sdt>
          <w:sdtPr>
            <w:alias w:val="14 pr. 2 p."/>
            <w:tag w:val="part_9fa5a39136444a0f99458adb6a0a83da"/>
            <w:lock w:val="sdtLocked"/>
            <w:richText/>
          </w:sdtPr>
          <w:sdtContent>
            <w:p>
              <w:pPr>
                <w:widowControl w:val="0"/>
                <w:ind w:firstLine="720"/>
                <w:jc w:val="both"/>
                <w:rPr>
                  <w:color w:val="000000"/>
                </w:rPr>
              </w:pPr>
              <w:sdt>
                <w:sdtPr>
                  <w:alias w:val="Numeris"/>
                  <w:tag w:val="nr_9fa5a39136444a0f99458adb6a0a83da"/>
                  <w:lock w:val="sdtLocked"/>
                  <w:richText/>
                </w:sdtPr>
                <w:sdtContent>
                  <w:r>
                    <w:rPr>
                      <w:color w:val="000000"/>
                    </w:rPr>
                    <w:t>2</w:t>
                  </w:r>
                </w:sdtContent>
              </w:sdt>
              <w:r>
                <w:rPr>
                  <w:color w:val="000000"/>
                </w:rPr>
                <w:t>. Asmenims, kontaktuojantiems su sergančiais aktyvia tuberkulioze, sergančių AIDS ar ŽIV nešiotojų, rentgenologinis ištyrimas atliekamas kartą per metus.</w:t>
              </w:r>
            </w:p>
          </w:sdtContent>
        </w:sdt>
        <w:sdt>
          <w:sdtPr>
            <w:alias w:val="14 pr. 3 p."/>
            <w:tag w:val="part_ae90452b73d44bbb8231551af925da01"/>
            <w:lock w:val="sdtLocked"/>
            <w:richText/>
          </w:sdtPr>
          <w:sdtContent>
            <w:p>
              <w:pPr>
                <w:widowControl w:val="0"/>
                <w:ind w:firstLine="720"/>
                <w:jc w:val="both"/>
                <w:rPr>
                  <w:color w:val="000000"/>
                </w:rPr>
              </w:pPr>
              <w:sdt>
                <w:sdtPr>
                  <w:alias w:val="Numeris"/>
                  <w:tag w:val="nr_ae90452b73d44bbb8231551af925da01"/>
                  <w:lock w:val="sdtLocked"/>
                  <w:richText/>
                </w:sdtPr>
                <w:sdtContent>
                  <w:r>
                    <w:rPr>
                      <w:color w:val="000000"/>
                    </w:rPr>
                    <w:t>3</w:t>
                  </w:r>
                </w:sdtContent>
              </w:sdt>
              <w:r>
                <w:rPr>
                  <w:color w:val="000000"/>
                </w:rPr>
                <w:t>. Sergantieji aktyvia tuberkulioze yra asmenys, kuriems tuberkuliozė yra naujai išaiškinta ir jiems reikalingas gydymas specifiniais prieštuberkulioziniais vaistais, bei asmenys, sergantieji lėtine tuberkulioze ir skiriantys mikobakterijas.</w:t>
              </w:r>
            </w:p>
          </w:sdtContent>
        </w:sdt>
        <w:sdt>
          <w:sdtPr>
            <w:alias w:val="14 pr. 4 p."/>
            <w:tag w:val="part_53b77c22d6674b0bb849e18b00df2d64"/>
            <w:lock w:val="sdtLocked"/>
            <w:richText/>
          </w:sdtPr>
          <w:sdtContent>
            <w:p>
              <w:pPr>
                <w:widowControl w:val="0"/>
                <w:ind w:firstLine="720"/>
                <w:jc w:val="both"/>
                <w:rPr>
                  <w:color w:val="000000"/>
                </w:rPr>
              </w:pPr>
              <w:sdt>
                <w:sdtPr>
                  <w:alias w:val="Numeris"/>
                  <w:tag w:val="nr_53b77c22d6674b0bb849e18b00df2d64"/>
                  <w:lock w:val="sdtLocked"/>
                  <w:richText/>
                </w:sdtPr>
                <w:sdtContent>
                  <w:r>
                    <w:rPr>
                      <w:color w:val="000000"/>
                    </w:rPr>
                    <w:t>4</w:t>
                  </w:r>
                </w:sdtContent>
              </w:sdt>
              <w:r>
                <w:rPr>
                  <w:color w:val="000000"/>
                </w:rPr>
                <w:t>. Asmenų, dirbančių šio sąrašo I, II, ir IV skyriuose nurodytus darbus, sveikata gali būti tikrinama papildomai (atliekamas neeilinis tikrinimas), jeigu yra epidemiologiškai būtina. Sprendimą dėl papildomo neeilinio sveikatos tikrinimo priima savivaldybės taryba, suderinusi su apskrities vyriausiuoju valstybiniu gydytoju higienistu.</w:t>
              </w:r>
            </w:p>
          </w:sdtContent>
        </w:sdt>
        <w:sdt>
          <w:sdtPr>
            <w:alias w:val="14 pr. 5 p."/>
            <w:tag w:val="part_068fca8ec58148d5ad1f9b835f7786a9"/>
            <w:lock w:val="sdtLocked"/>
            <w:richText/>
          </w:sdtPr>
          <w:sdtContent>
            <w:p>
              <w:pPr>
                <w:widowControl w:val="0"/>
                <w:ind w:firstLine="720"/>
                <w:jc w:val="both"/>
                <w:rPr>
                  <w:color w:val="000000"/>
                </w:rPr>
              </w:pPr>
              <w:sdt>
                <w:sdtPr>
                  <w:alias w:val="Numeris"/>
                  <w:tag w:val="nr_068fca8ec58148d5ad1f9b835f7786a9"/>
                  <w:lock w:val="sdtLocked"/>
                  <w:richText/>
                </w:sdtPr>
                <w:sdtContent>
                  <w:r>
                    <w:rPr>
                      <w:color w:val="000000"/>
                    </w:rPr>
                    <w:t>5</w:t>
                  </w:r>
                </w:sdtContent>
              </w:sdt>
              <w:r>
                <w:rPr>
                  <w:color w:val="000000"/>
                </w:rPr>
                <w:t>. Apie tai, ar asmenis, dirbančius šio sąrašo I ir II skyriuose nurodytus darbus, reikia dėl užkrečiamųjų ligų tirti laboratoriškai, ar būtina konsultuotis su specialistais, sprendžia sveikatą tikrinantis bendrosios praktikos gydytojas ar apylinkės terapeutas, įvertinęs medicininių ir epidemiologinių tyrimų rezultatus.</w:t>
              </w:r>
            </w:p>
          </w:sdtContent>
        </w:sdt>
        <w:sdt>
          <w:sdtPr>
            <w:alias w:val="14 pr. 6 p."/>
            <w:tag w:val="part_6f211c7cb4234ad1b8a06149b05484ce"/>
            <w:lock w:val="sdtLocked"/>
            <w:richText/>
          </w:sdtPr>
          <w:sdtContent>
            <w:p>
              <w:pPr>
                <w:widowControl w:val="0"/>
                <w:ind w:firstLine="720"/>
                <w:jc w:val="both"/>
                <w:rPr>
                  <w:color w:val="000000"/>
                </w:rPr>
              </w:pPr>
              <w:sdt>
                <w:sdtPr>
                  <w:alias w:val="Numeris"/>
                  <w:tag w:val="nr_6f211c7cb4234ad1b8a06149b05484ce"/>
                  <w:lock w:val="sdtLocked"/>
                  <w:richText/>
                </w:sdtPr>
                <w:sdtContent>
                  <w:r>
                    <w:rPr>
                      <w:color w:val="000000"/>
                    </w:rPr>
                    <w:t>6</w:t>
                  </w:r>
                </w:sdtContent>
              </w:sdt>
              <w:r>
                <w:rPr>
                  <w:color w:val="000000"/>
                </w:rPr>
                <w:t>. Vadovaudamasis savo, konsultantų ir laboratorinių tyrimų duomenimis, gydytojas sprendžia, ar pacientas gali dirbti tam tikrą darbą, užsiimti tam tikra veikla, ir apie tai įrašo paciento asmens medicininėje knygelėje (F 048/a), patvirtindamas įrašą asmeniniu antspaudu.</w:t>
              </w:r>
            </w:p>
          </w:sdtContent>
        </w:sdt>
        <w:sdt>
          <w:sdtPr>
            <w:alias w:val="14 pr. 7 p."/>
            <w:tag w:val="part_1d3e960b677446b7801cc9df10d04db7"/>
            <w:lock w:val="sdtLocked"/>
            <w:richText/>
          </w:sdtPr>
          <w:sdtContent>
            <w:p>
              <w:pPr>
                <w:widowControl w:val="0"/>
                <w:ind w:firstLine="720"/>
                <w:jc w:val="both"/>
                <w:rPr>
                  <w:color w:val="000000"/>
                </w:rPr>
              </w:pPr>
              <w:sdt>
                <w:sdtPr>
                  <w:alias w:val="Numeris"/>
                  <w:tag w:val="nr_1d3e960b677446b7801cc9df10d04db7"/>
                  <w:lock w:val="sdtLocked"/>
                  <w:richText/>
                </w:sdtPr>
                <w:sdtContent>
                  <w:r>
                    <w:rPr>
                      <w:color w:val="000000"/>
                    </w:rPr>
                    <w:t>7</w:t>
                  </w:r>
                </w:sdtContent>
              </w:sdt>
              <w:r>
                <w:rPr>
                  <w:color w:val="000000"/>
                </w:rPr>
                <w:t>. Sveikatos tikrinimo ir tyrimų duomenys įrašomi paciento ambulatorinėje kortelėje (F 025/a), kuri saugoma nustatyta tvarka. Pacientas turi įsigyti Sveikatos apsaugos ministerijos patvirtinto pavyzdžio asmens medicininę knygelę (F 048/a). Joje įrašus apie leidimą dirbti daro tik bendrosios praktikos gydytojas ar apylinkės terapeutas. Asmens medicininės knygelės įrašus turi teisę tikrinti darbdavys (ar jo įgaliotas asmuo) ir Valstybinės visuomenės sveikatos priežiūros tarnybos pareigūnai.</w:t>
              </w:r>
            </w:p>
          </w:sdtContent>
        </w:sdt>
        <w:sdt>
          <w:sdtPr>
            <w:alias w:val="14 pr. 8 p."/>
            <w:tag w:val="part_2d86304337ce4c1da6452a9b15896d29"/>
            <w:lock w:val="sdtLocked"/>
            <w:richText/>
          </w:sdtPr>
          <w:sdtContent>
            <w:p>
              <w:pPr>
                <w:widowControl w:val="0"/>
                <w:ind w:firstLine="720"/>
                <w:jc w:val="both"/>
                <w:rPr>
                  <w:color w:val="000000"/>
                </w:rPr>
              </w:pPr>
              <w:sdt>
                <w:sdtPr>
                  <w:alias w:val="Numeris"/>
                  <w:tag w:val="nr_2d86304337ce4c1da6452a9b15896d29"/>
                  <w:lock w:val="sdtLocked"/>
                  <w:richText/>
                </w:sdtPr>
                <w:sdtContent>
                  <w:r>
                    <w:rPr>
                      <w:color w:val="000000"/>
                    </w:rPr>
                    <w:t>8</w:t>
                  </w:r>
                </w:sdtContent>
              </w:sdt>
              <w:r>
                <w:rPr>
                  <w:color w:val="000000"/>
                </w:rPr>
                <w:t>. Valstybinės visuomenės sveikatos priežiūros tarnybos pareigūnai, peržiūrėdami įmonių darbuotojų asmens medicininės knygelės įrašus, kontroliuoja, kaip tikrinama jų sveikata. Darbdavys privalo užtikrinti, kad įmonėje dirbtų tik laiku sveikatą pasitikrinę asmenys.</w:t>
              </w:r>
            </w:p>
            <w:p>
              <w:pPr>
                <w:jc w:val="center"/>
                <w:rPr>
                  <w:color w:val="000000"/>
                </w:rPr>
              </w:pPr>
              <w:r>
                <w:rPr>
                  <w:color w:val="000000"/>
                </w:rPr>
                <w:t>______________</w:t>
              </w:r>
            </w:p>
          </w:sdtContent>
        </w:sdt>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254d55d873084593b05ea43dba45b760"/>
            <w:lock w:val="sdtLocked"/>
            <w:richText/>
          </w:sdtPr>
          <w:sdtContent>
            <w:p>
              <w:pPr>
                <w:jc w:val="center"/>
                <w:rPr>
                  <w:b/>
                  <w:caps/>
                  <w:color w:val="000000"/>
                </w:rPr>
              </w:pPr>
              <w:sdt>
                <w:sdtPr>
                  <w:alias w:val="Numeris"/>
                  <w:tag w:val="nr_254d55d873084593b05ea43dba45b760"/>
                  <w:lock w:val="sdtLocked"/>
                  <w:richText/>
                </w:sdtPr>
                <w:sdtContent>
                  <w:r>
                    <w:rPr>
                      <w:b/>
                      <w:caps/>
                      <w:color w:val="000000"/>
                    </w:rPr>
                    <w:t>2</w:t>
                  </w:r>
                </w:sdtContent>
              </w:sdt>
              <w:r>
                <w:rPr>
                  <w:b/>
                  <w:caps/>
                  <w:color w:val="000000"/>
                </w:rPr>
                <w:t xml:space="preserve">. </w:t>
              </w:r>
              <w:sdt>
                <w:sdtPr>
                  <w:alias w:val="Pavadinimas"/>
                  <w:tag w:val="title_254d55d873084593b05ea43dba45b760"/>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BA6F1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5.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4.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5.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6.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4827ad856cc549d587fab83a631f3e41">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5e1fd12ac5cc40f3baf257abac856b87"/>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90cef88259c540c5ad462f3c1cd67009"/>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044896b101f24f66860c871c1636d456">
      <Part Type="lentele" Nr="3" Abbr="" Title="" DocPartId="ddc694568a1940428ddf8d14efe6974a" PartId="73d0ec67064848369030b3ae376cdb5a"/>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51115b707a7a48f39a427f8e8079992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eda1737abb7c4f09836a519e5ba9278e">
    <Part Type="punktas" Nr="1" Abbr="14 pr. 1 p." DocPartId="975be06f0ce748d28830da7fab01b083" PartId="ce309ed5e7db4e5088fd430eb2783dab"/>
    <Part Type="punktas" Nr="2" Abbr="14 pr. 2 p." DocPartId="79799b9f856e41ea85daccc8e71462cd" PartId="9fa5a39136444a0f99458adb6a0a83da"/>
    <Part Type="punktas" Nr="3" Abbr="14 pr. 3 p." DocPartId="e522b50eb58d49048c58252717006051" PartId="ae90452b73d44bbb8231551af925da01"/>
    <Part Type="punktas" Nr="4" Abbr="14 pr. 4 p." DocPartId="b6f8a677623943a6a5dbc7a280d5b9f4" PartId="53b77c22d6674b0bb849e18b00df2d64"/>
    <Part Type="punktas" Nr="5" Abbr="14 pr. 5 p." DocPartId="45e9bc25a50643eca9bca8e4479266b3" PartId="068fca8ec58148d5ad1f9b835f7786a9"/>
    <Part Type="punktas" Nr="6" Abbr="14 pr. 6 p." DocPartId="25eaf7b467f746a8ac02b2374e1d096c" PartId="6f211c7cb4234ad1b8a06149b05484ce"/>
    <Part Type="punktas" Nr="7" Abbr="14 pr. 7 p." DocPartId="f9d582b3208646faaf2d571a3e8b65be" PartId="1d3e960b677446b7801cc9df10d04db7"/>
    <Part Type="punktas" Nr="8" Abbr="14 pr. 8 p." DocPartId="e85ebb9e765a4a3ea4f02b2817c73453" PartId="2d86304337ce4c1da6452a9b15896d29"/>
  </Part>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254d55d873084593b05ea43dba45b760"/>
  </Part>
</Parts>
</file>

<file path=customXml/itemProps1.xml><?xml version="1.0" encoding="utf-8"?>
<ds:datastoreItem xmlns:ds="http://schemas.openxmlformats.org/officeDocument/2006/customXml" ds:itemID="{67143242-FD33-4FC5-8BDB-EBE1E09F9F54}">
  <ds:schemaRefs>
    <ds:schemaRef ds:uri="http://lrs.lt/TAIS/DocParts"/>
  </ds:schemaRefs>
</ds:datastoreItem>
</file>

<file path=docProps/app.xml><?xml version="1.0" encoding="utf-8"?>
<Properties xmlns="http://schemas.openxmlformats.org/officeDocument/2006/extended-properties">
  <Template>Normal.dotm</Template>
  <TotalTime>12</TotalTime>
  <Pages>107</Pages>
  <Words>159090</Words>
  <Characters>90682</Characters>
  <Application>Microsoft Office Word</Application>
  <DocSecurity>0</DocSecurity>
  <Lines>755</Lines>
  <Paragraphs>498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249274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2016-05-04T11:01:00Z</dcterms:modified>
  <revision>7</revision>
</coreProperties>
</file>