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2020-09-29 iki 2020-10-06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f6987f9e6be345c2a9f6a00489068d9a"/>
            <w:lock w:val="sdtLocked"/>
            <w:richText/>
          </w:sdtPr>
          <w:sdtContent>
            <w:p>
              <w:pPr>
                <w:widowControl w:val="0"/>
                <w:suppressAutoHyphens/>
                <w:ind w:firstLine="709"/>
                <w:jc w:val="both"/>
                <w:rPr>
                  <w:color w:val="000000"/>
                </w:rPr>
              </w:pPr>
              <w:r>
                <w:rPr>
                  <w:color w:val="000000"/>
                </w:rPr>
                <w:t xml:space="preserve">Siekdamas reglamentuoti profilaktinių sveikatos tikrinimų vykdymą ir kokybę bei apmokėjimo už juos tvarką ir vykdydamas Lietuvos Respublikos darbo kodekso (Žin., 2002, Nr. </w:t>
              </w:r>
              <w:r>
                <w:fldChar w:fldCharType="begin"/>
              </w:r>
              <w:r>
                <w:instrText xml:space="preserve"> HYPERLINK "https://www.e-tar.lt/portal/lt/legalAct/TAR.31185A622C9F" \t "_blank" </w:instrText>
              </w:r>
              <w:r>
                <w:fldChar w:fldCharType="separate"/>
              </w:r>
              <w:r>
                <w:rPr>
                  <w:color w:val="0000FF" w:themeColor="hyperlink"/>
                  <w:u w:val="single"/>
                </w:rPr>
                <w:t>64-2569</w:t>
              </w:r>
              <w:r>
                <w:rPr>
                  <w:color w:val="0000FF" w:themeColor="hyperlink"/>
                  <w:u w:val="single"/>
                </w:rPr>
                <w:fldChar w:fldCharType="end"/>
              </w:r>
              <w:r>
                <w:rPr>
                  <w:color w:val="000000"/>
                </w:rPr>
                <w:t xml:space="preserve">), Lietuvos Respublikos darbuotojų saugos ir sveikatos įstatymo (Žin., 2003, Nr. </w:t>
              </w:r>
              <w:r>
                <w:fldChar w:fldCharType="begin"/>
              </w:r>
              <w:r>
                <w:instrText xml:space="preserve"> HYPERLINK "https://www.e-tar.lt/portal/lt/legalAct/TAR.95C79D036AA4" \t "_blank" </w:instrText>
              </w:r>
              <w:r>
                <w:fldChar w:fldCharType="separate"/>
              </w:r>
              <w:r>
                <w:rPr>
                  <w:color w:val="0000FF" w:themeColor="hyperlink"/>
                  <w:u w:val="single"/>
                </w:rPr>
                <w:t>70-3170</w:t>
              </w:r>
              <w:r>
                <w:rPr>
                  <w:color w:val="0000FF" w:themeColor="hyperlink"/>
                  <w:u w:val="single"/>
                </w:rPr>
                <w:fldChar w:fldCharType="end"/>
              </w:r>
              <w:r>
                <w:rPr>
                  <w:color w:val="000000"/>
                </w:rPr>
                <w:t xml:space="preserve">), Lietuvos Respublikos sveikatos sistemos įstatymo (Žin., 1994, Nr. </w:t>
              </w:r>
              <w:r>
                <w:fldChar w:fldCharType="begin"/>
              </w:r>
              <w:r>
                <w:instrText xml:space="preserve"> HYP</w:instrText>
              </w:r>
              <w:r>
                <w:instrText xml:space="preserve">ERLINK "https://www.e-tar.lt/portal/lt/legalAct/TAR.E2B2957B9182" \t "_blank" </w:instrText>
              </w:r>
              <w:r>
                <w:fldChar w:fldCharType="separate"/>
              </w:r>
              <w:r>
                <w:rPr>
                  <w:color w:val="0000FF" w:themeColor="hyperlink"/>
                  <w:u w:val="single"/>
                </w:rPr>
                <w:t>63-1231</w:t>
              </w:r>
              <w:r>
                <w:rPr>
                  <w:color w:val="0000FF" w:themeColor="hyperlink"/>
                  <w:u w:val="single"/>
                </w:rPr>
                <w:fldChar w:fldCharType="end"/>
              </w:r>
              <w:r>
                <w:rPr>
                  <w:color w:val="000000"/>
                </w:rPr>
                <w:t xml:space="preserve">; 1998, Nr. </w:t>
              </w:r>
              <w:r>
                <w:fldChar w:fldCharType="begin"/>
              </w:r>
              <w:r>
                <w:instrText xml:space="preserve"> HYPERLINK "https://www.e-tar.lt/portal/lt/legalAct/TAR.E964CE7A637A" \t "_blank" </w:instrText>
              </w:r>
              <w:r>
                <w:fldChar w:fldCharType="separate"/>
              </w:r>
              <w:r>
                <w:rPr>
                  <w:color w:val="0000FF" w:themeColor="hyperlink"/>
                  <w:u w:val="single"/>
                </w:rPr>
                <w:t>112-3099</w:t>
              </w:r>
              <w:r>
                <w:rPr>
                  <w:color w:val="0000FF" w:themeColor="hyperlink"/>
                  <w:u w:val="single"/>
                </w:rPr>
                <w:fldChar w:fldCharType="end"/>
              </w:r>
              <w:r>
                <w:rPr>
                  <w:color w:val="000000"/>
                </w:rPr>
                <w:t xml:space="preserve">), Lietuvos Respublikos radiacinės saugos įstatymo (Žin., 1999, Nr. </w:t>
              </w:r>
              <w:r>
                <w:fldChar w:fldCharType="begin"/>
              </w:r>
              <w:r>
                <w:instrText xml:space="preserve"> HYPERLINK "https://www.e-tar.lt/portal/lt/legalAct/TAR.7083DB116A2E" \t "_blank" </w:instrText>
              </w:r>
              <w:r>
                <w:fldChar w:fldCharType="separate"/>
              </w:r>
              <w:r>
                <w:rPr>
                  <w:color w:val="0000FF" w:themeColor="hyperlink"/>
                  <w:u w:val="single"/>
                </w:rPr>
                <w:t>11-239</w:t>
              </w:r>
              <w:r>
                <w:rPr>
                  <w:color w:val="0000FF" w:themeColor="hyperlink"/>
                  <w:u w:val="single"/>
                </w:rPr>
                <w:fldChar w:fldCharType="end"/>
              </w:r>
              <w:r>
                <w:rPr>
                  <w:color w:val="000000"/>
                </w:rPr>
                <w:t xml:space="preserve">),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r>
                <w:fldChar w:fldCharType="begin"/>
              </w:r>
              <w:r>
                <w:instrText xml:space="preserve"> HYPERLINK "https://www.e-tar.lt/portal/lt/legalAct/TAR.6A8A7A3BBCDC" \t "_bla</w:instrText>
              </w:r>
              <w:r>
                <w:instrText xml:space="preserve">nk" </w:instrText>
              </w:r>
              <w:r>
                <w:fldChar w:fldCharType="separate"/>
              </w:r>
              <w:r>
                <w:rPr>
                  <w:color w:val="0000FF" w:themeColor="hyperlink"/>
                  <w:u w:val="single"/>
                </w:rPr>
                <w:t>41-1294</w:t>
              </w:r>
              <w:r>
                <w:rPr>
                  <w:color w:val="0000FF" w:themeColor="hyperlink"/>
                  <w:u w:val="single"/>
                </w:rPr>
                <w:fldChar w:fldCharType="end"/>
              </w:r>
              <w:r>
                <w:rPr>
                  <w:color w:val="000000"/>
                </w:rPr>
                <w:t>; 2002, Nr. 73-3127)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858ccc378d1b4def9d5409f053bb13f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858ccc378d1b4def9d5409f053bb13fe"/>
                      <w:lock w:val="sdtLocked"/>
                      <w:richText/>
                    </w:sdtPr>
                    <w:sdtContent>
                      <w:r>
                        <w:rPr>
                          <w:bCs/>
                          <w:szCs w:val="24"/>
                        </w:rPr>
                        <w:t>1.3</w:t>
                      </w:r>
                    </w:sdtContent>
                  </w:sdt>
                  <w:r>
                    <w:rPr>
                      <w:bCs/>
                      <w:szCs w:val="24"/>
                    </w:rPr>
                    <w:t>. Vaikų ir pilnamečių mokinių, ugdomų pagal bendrojo ugdymo programas, sveikatos tikrinimo tvarkos aprašą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1.4 p."/>
                <w:tag w:val="part_780c9e0493b44986922e8dd2013d598c"/>
                <w:lock w:val="sdtLocked"/>
                <w:richText/>
              </w:sdtPr>
              <w:sdtContent>
                <w:p>
                  <w:pPr>
                    <w:widowControl w:val="0"/>
                    <w:ind w:firstLine="720"/>
                    <w:jc w:val="both"/>
                    <w:rPr>
                      <w:color w:val="000000"/>
                    </w:rPr>
                  </w:pPr>
                  <w:sdt>
                    <w:sdtPr>
                      <w:alias w:val="Numeris"/>
                      <w:tag w:val="nr_780c9e0493b44986922e8dd2013d598c"/>
                      <w:lock w:val="sdtLocked"/>
                      <w:richText/>
                    </w:sdtPr>
                    <w:sdtContent>
                      <w:r>
                        <w:rPr>
                          <w:color w:val="000000"/>
                        </w:rPr>
                        <w:t>1.4</w:t>
                      </w:r>
                    </w:sdtContent>
                  </w:sdt>
                  <w:r>
                    <w:rPr>
                      <w:color w:val="000000"/>
                    </w:rPr>
                    <w:t>. Stojančiųjų į profesinio mokymo mokyklas ir įdarbinamų nepilnamečių sveikatos tikrinimo tvarką (4 priedas);</w:t>
                  </w:r>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d74a264081fe45bfae0f930a375f505a"/>
                <w:lock w:val="sdtLocked"/>
                <w:richText/>
              </w:sdtPr>
              <w:sdtContent>
                <w:p>
                  <w:pPr>
                    <w:ind w:firstLine="709"/>
                    <w:jc w:val="both"/>
                    <w:rPr>
                      <w:color w:val="000000"/>
                    </w:rPr>
                  </w:pPr>
                  <w:sdt>
                    <w:sdtPr>
                      <w:alias w:val="Numeris"/>
                      <w:tag w:val="nr_d74a264081fe45bfae0f930a375f505a"/>
                      <w:lock w:val="sdtLocked"/>
                      <w:richText/>
                    </w:sdtPr>
                    <w:sdtContent>
                      <w:r>
                        <w:t>1.7</w:t>
                      </w:r>
                    </w:sdtContent>
                  </w:sdt>
                  <w:r>
                    <w:t xml:space="preserve">. Vairuotojų sveikatos tikrinimo reikalavimų ir tvarkos aprašą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306b40940c344cb2af846af3419640ab"/>
                <w:lock w:val="sdtLocked"/>
                <w:richText/>
              </w:sdtPr>
              <w:sdtContent>
                <w:p>
                  <w:pPr>
                    <w:ind w:firstLine="709"/>
                    <w:jc w:val="both"/>
                    <w:rPr>
                      <w:color w:val="000000"/>
                    </w:rPr>
                  </w:pPr>
                  <w:sdt>
                    <w:sdtPr>
                      <w:alias w:val="Numeris"/>
                      <w:tag w:val="nr_306b40940c344cb2af846af3419640ab"/>
                      <w:lock w:val="sdtLocked"/>
                      <w:richText/>
                    </w:sdtPr>
                    <w:sdtContent>
                      <w:r>
                        <w:t>1.10</w:t>
                      </w:r>
                    </w:sdtContent>
                  </w:sdt>
                  <w:r>
                    <w:t xml:space="preserve">. Licencijuojamų civilinės aviacijos specialistų sveikatos būklės tikrinimo tvarkos aprašą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1 p."/>
                <w:tag w:val="part_c66e60e394684e7591f1478415e27b1b"/>
                <w:lock w:val="sdtLocked"/>
                <w:richText/>
              </w:sdtPr>
              <w:sdtContent>
                <w:p>
                  <w:pPr>
                    <w:tabs>
                      <w:tab w:val="left" w:pos="709"/>
                    </w:tabs>
                    <w:ind w:firstLine="709"/>
                    <w:jc w:val="both"/>
                    <w:rPr>
                      <w:color w:val="000000"/>
                    </w:rPr>
                  </w:pPr>
                  <w:sdt>
                    <w:sdtPr>
                      <w:alias w:val="Numeris"/>
                      <w:tag w:val="nr_c66e60e394684e7591f1478415e27b1b"/>
                      <w:lock w:val="sdtLocked"/>
                      <w:richText/>
                    </w:sdtPr>
                    <w:sdtContent>
                      <w:r>
                        <w:rPr>
                          <w:szCs w:val="24"/>
                          <w:lang w:eastAsia="lt-LT"/>
                        </w:rPr>
                        <w:t>1.11</w:t>
                      </w:r>
                    </w:sdtContent>
                  </w:sdt>
                  <w:r>
                    <w:rPr>
                      <w:szCs w:val="24"/>
                      <w:lang w:eastAsia="lt-LT"/>
                    </w:rPr>
                    <w:t>. Jūrininkų ir vidaus vandenų transporto specialistų bei motorinių pramoginių laivų ir kitų motorinių plaukiojimo priemonių laivavedžių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12 p."/>
                <w:tag w:val="part_4043fd5da3184d69b5e2538c87d5800c"/>
                <w:lock w:val="sdtLocked"/>
                <w:richText/>
              </w:sdtPr>
              <w:sdtContent>
                <w:p>
                  <w:pPr>
                    <w:widowControl w:val="0"/>
                    <w:suppressAutoHyphens/>
                    <w:ind w:firstLine="709"/>
                    <w:jc w:val="both"/>
                    <w:rPr>
                      <w:color w:val="000000"/>
                    </w:rPr>
                  </w:pPr>
                  <w:sdt>
                    <w:sdtPr>
                      <w:alias w:val="Numeris"/>
                      <w:tag w:val="nr_4043fd5da3184d69b5e2538c87d5800c"/>
                      <w:lock w:val="sdtLocked"/>
                      <w:richText/>
                    </w:sdtPr>
                    <w:sdtContent>
                      <w:r>
                        <w:rPr>
                          <w:color w:val="000000"/>
                        </w:rPr>
                        <w:t>1.12</w:t>
                      </w:r>
                    </w:sdtContent>
                  </w:sdt>
                  <w:r>
                    <w:rPr>
                      <w:color w:val="000000"/>
                    </w:rPr>
                    <w:t>. „Traukinio mašinistų ir darbuotojų, kurių darbas susijęs su geležinkelių transporto eismu, sveikatos tikrinimo reikalavimų ir tvarkos aprašą (12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13 p."/>
                <w:tag w:val="part_730ce55f0bc04f6dbf8fc38d74c8ff50"/>
                <w:lock w:val="sdtLocked"/>
                <w:richText/>
              </w:sdtPr>
              <w:sdtContent>
                <w:p>
                  <w:pPr>
                    <w:widowControl w:val="0"/>
                    <w:suppressAutoHyphens/>
                    <w:ind w:firstLine="709"/>
                    <w:jc w:val="both"/>
                    <w:rPr>
                      <w:color w:val="000000"/>
                    </w:rPr>
                  </w:pPr>
                  <w:sdt>
                    <w:sdtPr>
                      <w:alias w:val="Numeris"/>
                      <w:tag w:val="nr_730ce55f0bc04f6dbf8fc38d74c8ff50"/>
                      <w:lock w:val="sdtLocked"/>
                      <w:richText/>
                    </w:sdtPr>
                    <w:sdtContent>
                      <w:r>
                        <w:rPr>
                          <w:color w:val="000000"/>
                        </w:rPr>
                        <w:t>1.13</w:t>
                      </w:r>
                    </w:sdtContent>
                  </w:sdt>
                  <w:r>
                    <w:rPr>
                      <w:color w:val="000000"/>
                    </w:rPr>
                    <w:t>. Asmenų, dirbančių darbo aplinkoje, kurioje galima profesinė rizika (kenksmingų veiksnių poveikis ir (ar) pavojingas darbas), privalomo sveikatos tikrinimo tvarkos aprašą (13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106860d84ddd458ba855cf35a66128ab"/>
                <w:lock w:val="sdtLocked"/>
                <w:richText/>
              </w:sdtPr>
              <w:sdtContent>
                <w:p>
                  <w:pPr>
                    <w:pStyle w:val="PlainText"/>
                    <w:ind w:firstLine="567"/>
                    <w:jc w:val="both"/>
                    <w:rPr>
                      <w:rFonts w:ascii="Times New Roman" w:hAnsi="Times New Roman"/>
                      <w:b/>
                      <w:bCs/>
                      <w:sz w:val="22"/>
                    </w:rPr>
                  </w:pPr>
                  <w:r>
                    <w:rPr>
                      <w:rFonts w:ascii="Times New Roman" w:hAnsi="Times New Roman"/>
                      <w:sz w:val="22"/>
                    </w:rPr>
                    <w:t>1.15</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16 p."/>
                <w:tag w:val="part_bbf3e6bbc6ec42dbb00074080dd2082a"/>
                <w:lock w:val="sdtLocked"/>
                <w:richText/>
              </w:sdtPr>
              <w:sdtContent>
                <w:p>
                  <w:pPr>
                    <w:pStyle w:val="PlainText"/>
                    <w:ind w:firstLine="567"/>
                    <w:jc w:val="both"/>
                    <w:rPr>
                      <w:rFonts w:ascii="Times New Roman" w:hAnsi="Times New Roman"/>
                      <w:b/>
                      <w:bCs/>
                      <w:sz w:val="22"/>
                    </w:rPr>
                  </w:pPr>
                  <w:r>
                    <w:rPr>
                      <w:rFonts w:ascii="Times New Roman" w:hAnsi="Times New Roman"/>
                      <w:sz w:val="22"/>
                    </w:rPr>
                    <w:t>1.16</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68723a4904474b729d4a20aeafe20cf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68723a4904474b729d4a20aeafe20cf8"/>
                      <w:lock w:val="sdtLocked"/>
                      <w:richText/>
                    </w:sdtPr>
                    <w:sdtContent>
                      <w:r>
                        <w:rPr>
                          <w:szCs w:val="24"/>
                        </w:rPr>
                        <w:t>1.18</w:t>
                      </w:r>
                    </w:sdtContent>
                  </w:sdt>
                  <w:r>
                    <w:rPr>
                      <w:szCs w:val="24"/>
                    </w:rPr>
                    <w:t>. Profilaktinių sveikatos tikrinimų kainas ir gydytojų specialistų, teikiančių profilaktinių sveikatos tikrinimų paslaugas, apmokamas iš privalomojo sveikatos draudimo fondo biudžeto, paslaugų kainas (18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ccf28d5ff538449b80667513f8037149"/>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d88df120cfb94bdb9f70620382ea6f4e"/>
                <w:lock w:val="sdtLocked"/>
                <w:richText/>
              </w:sdtPr>
              <w:sdtContent>
                <w:p>
                  <w:pPr>
                    <w:widowControl w:val="0"/>
                    <w:ind w:firstLine="720"/>
                    <w:jc w:val="both"/>
                    <w:rPr>
                      <w:color w:val="000000"/>
                    </w:rPr>
                  </w:pPr>
                  <w:sdt>
                    <w:sdtPr>
                      <w:alias w:val="Numeris"/>
                      <w:tag w:val="nr_d88df120cfb94bdb9f70620382ea6f4e"/>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r>
                    <w:fldChar w:fldCharType="begin"/>
                  </w:r>
                  <w:r>
                    <w:instrText xml:space="preserve"> HYPERLINK "https://www.e-tar.lt/porta</w:instrText>
                  </w:r>
                  <w:r>
                    <w:instrText xml:space="preserve">l/lt/legalAct/TAR.C337D779A343" \t "_blank" </w:instrText>
                  </w:r>
                  <w:r>
                    <w:fldChar w:fldCharType="separate"/>
                  </w:r>
                  <w:r>
                    <w:rPr>
                      <w:color w:val="0000FF" w:themeColor="hyperlink"/>
                      <w:u w:val="single"/>
                    </w:rPr>
                    <w:t>99-1992</w:t>
                  </w:r>
                  <w:r>
                    <w:rPr>
                      <w:color w:val="0000FF" w:themeColor="hyperlink"/>
                      <w:u w:val="single"/>
                    </w:rPr>
                    <w:fldChar w:fldCharType="end"/>
                  </w:r>
                  <w:r>
                    <w:rPr>
                      <w:color w:val="000000"/>
                    </w:rPr>
                    <w:t>);</w:t>
                  </w:r>
                </w:p>
              </w:sdtContent>
            </w:sdt>
            <w:sdt>
              <w:sdtPr>
                <w:alias w:val="3.3 p."/>
                <w:tag w:val="part_a1b0510f9a844e1fbf7f6f5e26a28998"/>
                <w:lock w:val="sdtLocked"/>
                <w:richText/>
              </w:sdtPr>
              <w:sdtContent>
                <w:p>
                  <w:pPr>
                    <w:widowControl w:val="0"/>
                    <w:ind w:firstLine="720"/>
                    <w:jc w:val="both"/>
                    <w:rPr>
                      <w:color w:val="000000"/>
                    </w:rPr>
                  </w:pPr>
                  <w:sdt>
                    <w:sdtPr>
                      <w:alias w:val="Numeris"/>
                      <w:tag w:val="nr_a1b0510f9a844e1fbf7f6f5e26a28998"/>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r>
                    <w:fldChar w:fldCharType="begin"/>
                  </w:r>
                  <w:r>
                    <w:instrText xml:space="preserve"> HYPERLINK "https://www.e-tar.lt/portal/lt/legalAct/TAR.A92EEEEF018C" \t "_blank" </w:instrText>
                  </w:r>
                  <w:r>
                    <w:fldChar w:fldCharType="separate"/>
                  </w:r>
                  <w:r>
                    <w:rPr>
                      <w:color w:val="0000FF" w:themeColor="hyperlink"/>
                      <w:u w:val="single"/>
                    </w:rPr>
                    <w:t>23-613</w:t>
                  </w:r>
                  <w:r>
                    <w:rPr>
                      <w:color w:val="0000FF" w:themeColor="hyperlink"/>
                      <w:u w:val="single"/>
                    </w:rPr>
                    <w:fldChar w:fldCharType="end"/>
                  </w:r>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b225dbdd71854b7ca19ab6cc9d1c7f1f"/>
                <w:lock w:val="sdtLocked"/>
                <w:richText/>
              </w:sdtPr>
              <w:sdtContent>
                <w:p>
                  <w:pPr>
                    <w:widowControl w:val="0"/>
                    <w:ind w:firstLine="720"/>
                    <w:jc w:val="both"/>
                    <w:rPr>
                      <w:color w:val="000000"/>
                    </w:rPr>
                  </w:pPr>
                  <w:sdt>
                    <w:sdtPr>
                      <w:alias w:val="Numeris"/>
                      <w:tag w:val="nr_b225dbdd71854b7ca19ab6cc9d1c7f1f"/>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r>
                    <w:fldChar w:fldCharType="begin"/>
                  </w:r>
                  <w:r>
                    <w:instrText xml:space="preserve"> HYPERLINK "https://www.e-</w:instrText>
                  </w:r>
                  <w:r>
                    <w:instrText xml:space="preserve">tar.lt/portal/lt/legalAct/TAR.0BBFE299C915" \t "_blank" </w:instrText>
                  </w:r>
                  <w:r>
                    <w:fldChar w:fldCharType="separate"/>
                  </w:r>
                  <w:r>
                    <w:rPr>
                      <w:color w:val="0000FF" w:themeColor="hyperlink"/>
                      <w:u w:val="single"/>
                    </w:rPr>
                    <w:t>57-1368</w:t>
                  </w:r>
                  <w:r>
                    <w:rPr>
                      <w:color w:val="0000FF" w:themeColor="hyperlink"/>
                      <w:u w:val="single"/>
                    </w:rPr>
                    <w:fldChar w:fldCharType="end"/>
                  </w:r>
                  <w:r>
                    <w:rPr>
                      <w:color w:val="000000"/>
                    </w:rPr>
                    <w:t>);</w:t>
                  </w:r>
                </w:p>
              </w:sdtContent>
            </w:sdt>
            <w:sdt>
              <w:sdtPr>
                <w:alias w:val="3.6 p."/>
                <w:tag w:val="part_8b9c2352c5124d958d646667d624d5a0"/>
                <w:lock w:val="sdtLocked"/>
                <w:richText/>
              </w:sdtPr>
              <w:sdtContent>
                <w:p>
                  <w:pPr>
                    <w:widowControl w:val="0"/>
                    <w:ind w:firstLine="720"/>
                    <w:jc w:val="both"/>
                    <w:rPr>
                      <w:color w:val="000000"/>
                    </w:rPr>
                  </w:pPr>
                  <w:sdt>
                    <w:sdtPr>
                      <w:alias w:val="Numeris"/>
                      <w:tag w:val="nr_8b9c2352c5124d958d646667d624d5a0"/>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r>
                    <w:fldChar w:fldCharType="begin"/>
                  </w:r>
                  <w:r>
                    <w:instrText xml:space="preserve"> HYPERLINK "https://www.e-tar.lt/portal/lt/legalAct/TAR.C925EFE595C1" \t "_blank" </w:instrText>
                  </w:r>
                  <w:r>
                    <w:fldChar w:fldCharType="separate"/>
                  </w:r>
                  <w:r>
                    <w:rPr>
                      <w:color w:val="0000FF" w:themeColor="hyperlink"/>
                      <w:u w:val="single"/>
                    </w:rPr>
                    <w:t>109-2493</w:t>
                  </w:r>
                  <w:r>
                    <w:rPr>
                      <w:color w:val="0000FF" w:themeColor="hyperlink"/>
                      <w:u w:val="single"/>
                    </w:rPr>
                    <w:fldChar w:fldCharType="end"/>
                  </w:r>
                  <w:r>
                    <w:rPr>
                      <w:color w:val="000000"/>
                    </w:rPr>
                    <w:t>);</w:t>
                  </w:r>
                </w:p>
              </w:sdtContent>
            </w:sdt>
            <w:sdt>
              <w:sdtPr>
                <w:alias w:val="3.7 p."/>
                <w:tag w:val="part_af0aea58b4924319b212d82e37de8cd1"/>
                <w:lock w:val="sdtLocked"/>
                <w:richText/>
              </w:sdtPr>
              <w:sdtContent>
                <w:p>
                  <w:pPr>
                    <w:widowControl w:val="0"/>
                    <w:ind w:firstLine="720"/>
                    <w:jc w:val="both"/>
                    <w:rPr>
                      <w:color w:val="000000"/>
                    </w:rPr>
                  </w:pPr>
                  <w:sdt>
                    <w:sdtPr>
                      <w:alias w:val="Numeris"/>
                      <w:tag w:val="nr_af0aea58b4924319b212d82e37de8cd1"/>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r>
                    <w:fldChar w:fldCharType="begin"/>
                  </w:r>
                  <w:r>
                    <w:instrText xml:space="preserve"> HYPERLINK "https://www.e-tar.lt/portal/lt/legalAct/TAR.E572CC3872E1" \t "_blank" </w:instrText>
                  </w:r>
                  <w:r>
                    <w:fldChar w:fldCharType="separate"/>
                  </w:r>
                  <w:r>
                    <w:rPr>
                      <w:color w:val="0000FF" w:themeColor="hyperlink"/>
                      <w:u w:val="single"/>
                    </w:rPr>
                    <w:t>109-2494</w:t>
                  </w:r>
                  <w:r>
                    <w:rPr>
                      <w:color w:val="0000FF" w:themeColor="hyperlink"/>
                      <w:u w:val="single"/>
                    </w:rPr>
                    <w:fldChar w:fldCharType="end"/>
                  </w:r>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3c4d598a453b46248a412ae55590eedc"/>
                <w:lock w:val="sdtLocked"/>
                <w:richText/>
              </w:sdtPr>
              <w:sdtContent>
                <w:p>
                  <w:pPr>
                    <w:widowControl w:val="0"/>
                    <w:ind w:firstLine="720"/>
                    <w:jc w:val="both"/>
                    <w:rPr>
                      <w:color w:val="000000"/>
                    </w:rPr>
                  </w:pPr>
                  <w:sdt>
                    <w:sdtPr>
                      <w:alias w:val="Numeris"/>
                      <w:tag w:val="nr_3c4d598a453b46248a412ae55590eedc"/>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r>
                    <w:fldChar w:fldCharType="begin"/>
                  </w:r>
                  <w:r>
                    <w:instrText xml:space="preserve"> HYPERLINK "https://www.e-tar.lt/portal/lt/legalAct/TAR.AB76E5928C64" \t "_blank" </w:instrText>
                  </w:r>
                  <w:r>
                    <w:fldChar w:fldCharType="separate"/>
                  </w:r>
                  <w:r>
                    <w:rPr>
                      <w:color w:val="0000FF" w:themeColor="hyperlink"/>
                      <w:u w:val="single"/>
                    </w:rPr>
                    <w:t>20-526</w:t>
                  </w:r>
                  <w:r>
                    <w:rPr>
                      <w:color w:val="0000FF" w:themeColor="hyperlink"/>
                      <w:u w:val="single"/>
                    </w:rPr>
                    <w:fldChar w:fldCharType="end"/>
                  </w:r>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8c79cbd4d6cc4ea99bb9f2812157b427"/>
            <w:lock w:val="sdtLocked"/>
            <w:richText/>
          </w:sdtPr>
          <w:sdtContent>
            <w:p>
              <w:pPr>
                <w:widowControl w:val="0"/>
                <w:suppressAutoHyphens/>
                <w:ind w:firstLine="709"/>
                <w:jc w:val="both"/>
                <w:rPr>
                  <w:color w:val="000000"/>
                </w:rPr>
              </w:pPr>
              <w:sdt>
                <w:sdtPr>
                  <w:alias w:val="Numeris"/>
                  <w:tag w:val="nr_8c79cbd4d6cc4ea99bb9f2812157b427"/>
                  <w:lock w:val="sdtLocked"/>
                  <w:richText/>
                </w:sdtPr>
                <w:sdtContent>
                  <w:r>
                    <w:rPr>
                      <w:color w:val="000000"/>
                    </w:rPr>
                    <w:t>4</w:t>
                  </w:r>
                </w:sdtContent>
              </w:sdt>
              <w:r>
                <w:rPr>
                  <w:color w:val="000000"/>
                </w:rPr>
                <w:t>. P a v e d u įsakymo vykdymą kontroliuoti viceministrui pagal administruojamą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ebabd85eeadd427fb1f3ccc26a0e7153"/>
        <w:lock w:val="sdtLocked"/>
        <w:richText/>
      </w:sdtPr>
      <w:sdtContent>
        <w:p>
          <w:pPr>
            <w:tabs>
              <w:tab w:val="left" w:pos="1304"/>
              <w:tab w:val="left" w:pos="1457"/>
              <w:tab w:val="left" w:pos="1604"/>
              <w:tab w:val="left" w:pos="1757"/>
            </w:tabs>
            <w:ind w:left="5102"/>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1134" w:bottom="1134" w:left="1701" w:header="709" w:footer="709" w:gutter="0"/>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ebabd85eeadd427fb1f3ccc26a0e7153"/>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ebabd85eeadd427fb1f3ccc26a0e7153"/>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682b3a33a62a41e7970732757e845b61"/>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682b3a33a62a41e7970732757e845b61"/>
                          <w:lock w:val="sdtLocked"/>
                          <w:richText/>
                        </w:sdtPr>
                        <w:sdtContent>
                          <w:r>
                            <w:rPr>
                              <w:color w:val="000000"/>
                              <w:szCs w:val="24"/>
                              <w:lang w:eastAsia="lt-LT"/>
                            </w:rPr>
                            <w:t>1.2</w:t>
                          </w:r>
                        </w:sdtContent>
                      </w:sdt>
                      <w:r>
                        <w:rPr>
                          <w:color w:val="000000"/>
                          <w:szCs w:val="24"/>
                          <w:lang w:eastAsia="lt-LT"/>
                        </w:rPr>
                        <w:t xml:space="preserve"> vaikų </w:t>
                      </w:r>
                      <w:r>
                        <w:rPr>
                          <w:bCs/>
                          <w:szCs w:val="24"/>
                        </w:rPr>
                        <w:t>ir pilnamečių mokinių, ugdomų pagal bendrojo ugdymo programas</w:t>
                      </w:r>
                      <w:r>
                        <w:rPr>
                          <w:color w:val="000000"/>
                          <w:szCs w:val="24"/>
                          <w:lang w:eastAsia="lt-LT"/>
                        </w:rPr>
                        <w:t xml:space="preserve">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99763f4e1b2c494e96ae42a3f382b710"/>
                    <w:lock w:val="sdtLocked"/>
                    <w:richText/>
                  </w:sdtPr>
                  <w:sdtContent>
                    <w:p>
                      <w:pPr>
                        <w:ind w:firstLine="709"/>
                        <w:jc w:val="both"/>
                        <w:rPr>
                          <w:color w:val="000000"/>
                        </w:rPr>
                      </w:pPr>
                      <w:sdt>
                        <w:sdtPr>
                          <w:alias w:val="Numeris"/>
                          <w:tag w:val="nr_99763f4e1b2c494e96ae42a3f382b710"/>
                          <w:lock w:val="sdtLocked"/>
                          <w:richText/>
                        </w:sdtPr>
                        <w:sdtContent>
                          <w:r>
                            <w:t>1.8</w:t>
                          </w:r>
                        </w:sdtContent>
                      </w:sdt>
                      <w:r>
                        <w:t xml:space="preserve">. Vairuotojų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74cd2b489515417982a9fe95637b5e2f"/>
                    <w:lock w:val="sdtLocked"/>
                    <w:richText/>
                  </w:sdtPr>
                  <w:sdtContent>
                    <w:p>
                      <w:pPr>
                        <w:ind w:firstLine="709"/>
                        <w:jc w:val="both"/>
                        <w:rPr>
                          <w:color w:val="000000"/>
                        </w:rPr>
                      </w:pPr>
                      <w:sdt>
                        <w:sdtPr>
                          <w:alias w:val="Numeris"/>
                          <w:tag w:val="nr_74cd2b489515417982a9fe95637b5e2f"/>
                          <w:lock w:val="sdtLocked"/>
                          <w:richText/>
                        </w:sdtPr>
                        <w:sdtContent>
                          <w:r>
                            <w:t>1.11</w:t>
                          </w:r>
                        </w:sdtContent>
                      </w:sdt>
                      <w:r>
                        <w:t xml:space="preserve">. Licencijuojamų civilinės aviacijos specialistų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3d159bc1e251465db4619acfb17e702b"/>
                        <w:lock w:val="sdtLocked"/>
                        <w:richText/>
                      </w:sdtPr>
                      <w:sdtContent>
                        <w:p>
                          <w:pPr>
                            <w:ind w:firstLine="709"/>
                            <w:jc w:val="both"/>
                            <w:rPr>
                              <w:color w:val="000000"/>
                            </w:rPr>
                          </w:pPr>
                          <w:sdt>
                            <w:sdtPr>
                              <w:alias w:val="Numeris"/>
                              <w:tag w:val="nr_3d159bc1e251465db4619acfb17e702b"/>
                              <w:lock w:val="sdtLocked"/>
                              <w:richText/>
                            </w:sdtPr>
                            <w:sdtContent>
                              <w:r>
                                <w:rPr>
                                  <w:lang w:eastAsia="lt-LT"/>
                                </w:rPr>
                                <w:t>1.12.1</w:t>
                              </w:r>
                            </w:sdtContent>
                          </w:sdt>
                          <w:r>
                            <w:rPr>
                              <w:lang w:eastAsia="lt-LT"/>
                            </w:rPr>
                            <w:t xml:space="preserve">. </w:t>
                          </w:r>
                          <w:r>
                            <w:rPr>
                              <w:szCs w:val="24"/>
                              <w:lang w:eastAsia="lt-LT"/>
                            </w:rPr>
                            <w:t>Jūrininkų ir vidaus vandenų transporto specialistų bei motorinių pramoginių laivų ir kitų motorinių plaukiojimo priemonių laivavedžių</w:t>
                          </w:r>
                          <w:r>
                            <w:rPr>
                              <w:lang w:eastAsia="lt-LT"/>
                            </w:rPr>
                            <w:t xml:space="preserve">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1.12.2 p."/>
                        <w:tag w:val="part_568afb2ce3e4451e94e7eb2b714084c2"/>
                        <w:lock w:val="sdtLocked"/>
                        <w:richText/>
                      </w:sdtPr>
                      <w:sdtContent>
                        <w:p>
                          <w:pPr>
                            <w:widowControl w:val="0"/>
                            <w:suppressAutoHyphens/>
                            <w:ind w:firstLine="709"/>
                            <w:jc w:val="both"/>
                            <w:rPr>
                              <w:color w:val="000000"/>
                            </w:rPr>
                          </w:pPr>
                          <w:r>
                            <w:rPr>
                              <w:color w:val="000000"/>
                            </w:rPr>
                            <w:t>1.12.2. Traukinio mašinistų ir darbuotojų, kurių darbas susijęs su geležinkelių transporto eismu, sveikatos tikrinimo reikalavimų bei tvarkos aprašą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c169f7137627447d93b57edc2be163d3"/>
                        <w:lock w:val="sdtLocked"/>
                        <w:richText/>
                      </w:sdtPr>
                      <w:sdtContent>
                        <w:p>
                          <w:pPr>
                            <w:widowControl w:val="0"/>
                            <w:ind w:firstLine="720"/>
                            <w:jc w:val="both"/>
                            <w:rPr>
                              <w:color w:val="000000"/>
                            </w:rPr>
                          </w:pPr>
                          <w:sdt>
                            <w:sdtPr>
                              <w:alias w:val="Numeris"/>
                              <w:tag w:val="nr_c169f7137627447d93b57edc2be163d3"/>
                              <w:lock w:val="sdtLocked"/>
                              <w:richText/>
                            </w:sdtPr>
                            <w:sdtContent>
                              <w:r>
                                <w:rPr>
                                  <w:color w:val="000000"/>
                                </w:rPr>
                                <w:t>1.12.6</w:t>
                              </w:r>
                            </w:sdtContent>
                          </w:sdt>
                          <w:r>
                            <w:rPr>
                              <w:color w:val="000000"/>
                            </w:rPr>
                            <w:t>. darbų ir veiklos sričių, kuriose įsidarbinant ir dirbant privaloma profilaktiškai tikrintis sveikatą dėl užkrečiamųjų ligų (14 priedas);</w:t>
                          </w:r>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fcac63615b3346b898c32020472318bc"/>
                        <w:lock w:val="sdtLocked"/>
                        <w:richText/>
                      </w:sdtPr>
                      <w:sdtContent>
                        <w:p>
                          <w:pPr>
                            <w:tabs>
                              <w:tab w:val="left" w:pos="142"/>
                              <w:tab w:val="left" w:pos="851"/>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fcac63615b3346b898c32020472318bc"/>
                              <w:lock w:val="sdtLocked"/>
                              <w:richText/>
                            </w:sdtPr>
                            <w:sdtContent>
                              <w:r>
                                <w:rPr>
                                  <w:szCs w:val="24"/>
                                </w:rPr>
                                <w:t>1.13.1</w:t>
                              </w:r>
                            </w:sdtContent>
                          </w:sdt>
                          <w:r>
                            <w:rPr>
                              <w:szCs w:val="24"/>
                            </w:rPr>
                            <w:t>. gydytojų, norinčių gauti medicinos praktikos licenciją (15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 pr. 1.13.2 p."/>
                        <w:tag w:val="part_8eb6fa25fc39415896db9c48e1f9d629"/>
                        <w:lock w:val="sdtLocked"/>
                        <w:richText/>
                      </w:sdtPr>
                      <w:sdtContent>
                        <w:p>
                          <w:pPr>
                            <w:pStyle w:val="PlainText"/>
                            <w:ind w:firstLine="567"/>
                            <w:jc w:val="both"/>
                            <w:rPr>
                              <w:rFonts w:ascii="Times New Roman" w:hAnsi="Times New Roman"/>
                              <w:b/>
                              <w:bCs/>
                              <w:sz w:val="22"/>
                            </w:rPr>
                          </w:pPr>
                          <w:r>
                            <w:rPr>
                              <w:rFonts w:ascii="Times New Roman" w:hAnsi="Times New Roman"/>
                              <w:sz w:val="22"/>
                            </w:rPr>
                            <w:t>1.13.2</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07e8ee926c814645863b769717a19734"/>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2015-08-20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905037600ef4d558c80a2dcca2b3814"/>
                <w:lock w:val="sdtLocked"/>
                <w:richText/>
              </w:sdtPr>
              <w:sdtContent>
                <w:p>
                  <w:pPr>
                    <w:widowControl w:val="0"/>
                    <w:ind w:firstLine="720"/>
                    <w:jc w:val="both"/>
                    <w:rPr>
                      <w:color w:val="000000"/>
                    </w:rPr>
                  </w:pPr>
                  <w:sdt>
                    <w:sdtPr>
                      <w:alias w:val="Numeris"/>
                      <w:tag w:val="nr_a905037600ef4d558c80a2dcca2b3814"/>
                      <w:lock w:val="sdtLocked"/>
                      <w:richText/>
                    </w:sdtPr>
                    <w:sdtContent>
                      <w:r>
                        <w:rPr>
                          <w:color w:val="000000"/>
                        </w:rPr>
                        <w:t>2</w:t>
                      </w:r>
                    </w:sdtContent>
                  </w:sdt>
                  <w:r>
                    <w:rPr>
                      <w:color w:val="000000"/>
                    </w:rPr>
                    <w:t xml:space="preserve">. Pirminės ir antrinės sveikatos priežiūros paslaugos, teikiamos atliekant profilaktinius sveikatos tikrinimus, nurodytus 1.1–1.3 ir 1.5–1.7 ir 1.13 punktuose, apdraustiesiems privalomuoju sveikatos draudimu (toliau vadinami – apdraustaisiais), apmokamos iš Privalomojo sveikatos draudimo fondo biudžeto lėšų. Pirminės sveikatos priežiūros paslaugos – iš nustatytos metinės vieno gyventojo pirminės sveikatos priežiūros bazinės kainos, specialistų konsultacijos, reglamentuojamos šiuo įsakymu – pagal specialistų profilaktinio tikrinimo kainą, patvirtintą šiuo įsakymu. Jeigu specialistų, nesant bendrosios praktikos gydytojo (BPG), konsultacijos suteikiamos pagal Lietuvos medicinos normoje MN 14:1999 „Bendrosios praktikos gydytojas. Teisės, pareigos, kompetencija ir atsakomybė“ (Žin., 1999, Nr. </w:t>
                  </w:r>
                  <w:hyperlink r:id="rId16" w:tgtFrame="_blank" w:history="1">
                    <w:r>
                      <w:rPr>
                        <w:color w:val="0000FF" w:themeColor="hyperlink"/>
                        <w:u w:val="single"/>
                      </w:rPr>
                      <w:t>109-3196</w:t>
                    </w:r>
                  </w:hyperlink>
                  <w:r>
                    <w:rPr>
                      <w:color w:val="000000"/>
                    </w:rPr>
                    <w:t>) nurodytą kompetenciją, jos apmokamos iš Privalomojo sveikatos draudimo fondo biudžeto lėšų (pirminės sveikatos priežiūros metinės vieno gyventojo bazinės kainos).</w:t>
                  </w:r>
                </w:p>
                <w:p>
                  <w:pPr>
                    <w:widowControl w:val="0"/>
                    <w:ind w:firstLine="720"/>
                    <w:jc w:val="both"/>
                    <w:rPr>
                      <w:color w:val="000000"/>
                    </w:rPr>
                  </w:pPr>
                  <w:r>
                    <w:rPr>
                      <w:color w:val="000000"/>
                    </w:rPr>
                    <w:t>Sporto medicinos centruose profilaktiniai sveikatos tikrinimai atliekami pagal šio įsakymo 5 priedą „Sportuojančių asmenų sveikatos tikrinimas“, ir tokių tikrinimų išlaidos dengiamos iš lėšų, skirtų šiems centrams išlaikyti.</w:t>
                  </w:r>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17"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785c553c20474aa5b480c315cdddc5"/>
                    <w:lock w:val="sdtLocked"/>
                    <w:richText/>
                  </w:sdtPr>
                  <w:sdtContent>
                    <w:p>
                      <w:pPr>
                        <w:widowControl w:val="0"/>
                        <w:ind w:firstLine="720"/>
                        <w:jc w:val="both"/>
                        <w:rPr>
                          <w:color w:val="000000"/>
                        </w:rPr>
                      </w:pPr>
                      <w:sdt>
                        <w:sdtPr>
                          <w:alias w:val="Numeris"/>
                          <w:tag w:val="nr_92785c553c20474aa5b480c315cdddc5"/>
                          <w:lock w:val="sdtLocked"/>
                          <w:richText/>
                        </w:sdtPr>
                        <w:sdtContent>
                          <w:r>
                            <w:rPr>
                              <w:color w:val="000000"/>
                            </w:rPr>
                            <w:t>5.1</w:t>
                          </w:r>
                        </w:sdtContent>
                      </w:sdt>
                      <w:r>
                        <w:rPr>
                          <w:color w:val="000000"/>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w:t>
                      </w:r>
                    </w:p>
                    <w:sdt>
                      <w:sdtPr>
                        <w:alias w:val="1 pr. 1.12 p."/>
                        <w:tag w:val="part_1933d85f5abe406ca4949d97f3cff664"/>
                        <w:lock w:val="sdtLocked"/>
                        <w:richText/>
                      </w:sdtPr>
                      <w:sdtContent>
                        <w:p>
                          <w:pPr>
                            <w:widowControl w:val="0"/>
                            <w:ind w:firstLine="720"/>
                            <w:jc w:val="both"/>
                            <w:rPr>
                              <w:color w:val="000000"/>
                            </w:rPr>
                          </w:pPr>
                          <w:sdt>
                            <w:sdtPr>
                              <w:alias w:val="Numeris"/>
                              <w:tag w:val="nr_1933d85f5abe406ca4949d97f3cff664"/>
                              <w:lock w:val="sdtLocked"/>
                              <w:richText/>
                            </w:sdtPr>
                            <w:sdtContent>
                              <w:r>
                                <w:rPr>
                                  <w:color w:val="000000"/>
                                </w:rPr>
                                <w:t>1.12.</w:t>
                              </w:r>
                            </w:sdtContent>
                          </w:sdt>
                          <w:r>
                            <w:rPr>
                              <w:color w:val="000000"/>
                            </w:rPr>
                            <w:t xml:space="preserve"> 6 papunktyje nurodytų sveikatos tikrinimų (darbų ir veiklos sričių, kuriems privaloma profilaktiškai tikrintis sveikatą dėl užkrečiamųjų ligų) antrinės sveikatos priežiūros paslaugas apmoka pats pacientas arba už jį moka kiti fiziniai ar juridiniai asmenys pagal šiuo įsakymu patvirtintą profilaktinio tikrinimo kainą;</w:t>
                          </w:r>
                        </w:p>
                      </w:sdtContent>
                    </w:sdt>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
                  <w:sdtPr>
                    <w:alias w:val="1 pr. 5.3 p."/>
                    <w:tag w:val="part_ca7a93b731ba4db6b5a98275787d8727"/>
                    <w:lock w:val="sdtLocked"/>
                    <w:richText/>
                  </w:sdtPr>
                  <w:sdtContent>
                    <w:p>
                      <w:pPr>
                        <w:ind w:firstLine="720"/>
                        <w:jc w:val="both"/>
                        <w:rPr>
                          <w:color w:val="000000"/>
                        </w:rPr>
                      </w:pPr>
                      <w:sdt>
                        <w:sdtPr>
                          <w:alias w:val="Numeris"/>
                          <w:tag w:val="nr_ca7a93b731ba4db6b5a98275787d8727"/>
                          <w:lock w:val="sdtLocked"/>
                          <w:richText/>
                        </w:sdtPr>
                        <w:sdtContent>
                          <w:r>
                            <w:rPr>
                              <w:szCs w:val="24"/>
                              <w:lang w:eastAsia="lt-LT"/>
                            </w:rPr>
                            <w:t>5.3</w:t>
                          </w:r>
                        </w:sdtContent>
                      </w:sdt>
                      <w:r>
                        <w:rPr>
                          <w:szCs w:val="24"/>
                          <w:lang w:eastAsia="lt-LT"/>
                        </w:rPr>
                        <w:t>. Profilaktinių sveikatos tikrinimų kainos ir gydytojų specialistų, teikiančių profilaktinių sveikatos tikrinimų paslaugas, apmokamas iš Privalomojo sveikatos draudimo fondo biudžeto, paslaugų kainos (18 priedas) nurodytos Lietuvos Respublikos sveikatos apsaugos ministro 2000 m. gegužės 31 d. įsakymo Nr. 301 „Dėl profilaktinių sveikatos tikrinimų sveikatos priežiūros įstaigose“ I skyriuje „Profilaktinių sveikatos tikrinimų, už kuriuos moka pats darbuotojas, darbdavys ar kiti asmenys, kainos“, gali būti indeksuojamos Mokamų asmens sveikatos priežiūros paslaugų kainų nustatymo ir jų indeksavimo tvarkos, patvirtintos Lietuvos Respublikos sveikatos apsaugos ministro 1999 m. liepos 30 d. įsakymu Nr. 357 „Dėl Mokamų asmens sveikatos priežiūros paslaugų sąrašo, kainų nustatymo ir jų indeksavimo tvarkos bei šių paslaugų teikimo ir apmokėjimo tvarkos“, 2 punkte nustatyta tvarka apskaičiuotu koeficientu. Kainos gali būti indeksuojamos, kai koeficientas yra ne mažesnis kaip 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F677B2B031">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2011-05-19,
Žin., 2011, Nr.
63-3002 (2011-05-26), i. k. 1112250ISAK000V-481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331b102b1511eabe008ea93139d588">
                        <w:r w:rsidRPr="00532B9F">
                          <w:rPr>
                            <w:rFonts w:ascii="Times New Roman" w:eastAsia="MS Mincho" w:hAnsi="Times New Roman"/>
                            <w:sz w:val="20"/>
                            <w:i/>
                            <w:iCs/>
                            <w:color w:val="0000FF" w:themeColor="hyperlink"/>
                            <w:u w:val="single"/>
                          </w:rPr>
                          <w:t>V-1512</w:t>
                        </w:r>
                      </w:fldSimple>
                      <w:r>
                        <w:rPr>
                          <w:rFonts w:ascii="Times New Roman" w:eastAsia="MS Mincho" w:hAnsi="Times New Roman"/>
                          <w:sz w:val="20"/>
                          <w:i/>
                          <w:iCs/>
                        </w:rPr>
                        <w:t>,
2019-12-30,
paskelbta TAR 2019-12-31, i. k. 2019-21686            </w:t>
                      </w:r>
                    </w:p>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18"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8ae6e116f4634be680858dabb08f7081"/>
        <w:lock w:val="sdtLocked"/>
        <w:richText/>
      </w:sdtPr>
      <w:sdtContent>
        <w:p>
          <w:pPr>
            <w:tabs>
              <w:tab w:val="left" w:pos="1304"/>
              <w:tab w:val="left" w:pos="1457"/>
              <w:tab w:val="left" w:pos="1604"/>
              <w:tab w:val="left" w:pos="1757"/>
            </w:tabs>
            <w:ind w:left="5102"/>
            <w:sectPr>
              <w:pgSz w:w="11907" w:h="16840" w:code="9"/>
              <w:pgMar w:top="1134" w:right="1134" w:bottom="1134" w:left="1701" w:header="709" w:footer="709" w:gutter="0"/>
              <w:pgNumType w:start="1"/>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8ae6e116f4634be680858dabb08f7081"/>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8ae6e116f4634be680858dabb08f7081"/>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19"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20"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21" w:history="1">
                  <w:r>
                    <w:rPr>
                      <w:sz w:val="14"/>
                    </w:rPr>
                    <w:t>28-811</w:t>
                  </w:r>
                </w:hyperlink>
                <w:r>
                  <w:rPr>
                    <w:sz w:val="14"/>
                  </w:rPr>
                  <w:t>)</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3 pr."/>
        <w:tag w:val="part_a52819735df449e1a3ed7dab559d9460"/>
        <w:lock w:val="sdtLocked"/>
        <w:richText/>
      </w:sdtPr>
      <w:sdtContent>
        <w:p>
          <w:pPr>
            <w:tabs>
              <w:tab w:val="left" w:pos="6521"/>
            </w:tabs>
            <w:ind w:left="3888" w:firstLine="2633"/>
            <w:sectPr>
              <w:headerReference w:type="even" r:id="rId22"/>
              <w:headerReference w:type="default" r:id="rId23"/>
              <w:footerReference w:type="even" r:id="rId24"/>
              <w:footerReference w:type="default" r:id="rId25"/>
              <w:headerReference w:type="first" r:id="rId26"/>
              <w:footerReference w:type="first" r:id="rId27"/>
              <w:pgSz w:w="11906" w:h="16838" w:code="9"/>
              <w:pgMar w:top="1134" w:right="567" w:bottom="1134" w:left="1701" w:header="1134" w:footer="1134" w:gutter="0"/>
              <w:cols w:space="720"/>
              <w:titlePg/>
            </w:sectPr>
          </w:pPr>
        </w:p>
        <w:p>
          <w:pPr>
            <w:tabs>
              <w:tab w:val="left" w:pos="6521"/>
            </w:tabs>
            <w:ind w:left="3894" w:firstLine="1776"/>
            <w:rPr>
              <w:szCs w:val="24"/>
            </w:rPr>
          </w:pPr>
          <w:r>
            <w:rPr>
              <w:szCs w:val="24"/>
            </w:rPr>
            <w:t>PATVIRTINTA</w:t>
          </w:r>
        </w:p>
        <w:p>
          <w:pPr>
            <w:ind w:left="3894" w:firstLine="1776"/>
            <w:jc w:val="both"/>
            <w:rPr>
              <w:szCs w:val="24"/>
            </w:rPr>
          </w:pPr>
          <w:r>
            <w:rPr>
              <w:szCs w:val="24"/>
            </w:rPr>
            <w:t xml:space="preserve">Lietuvos Respublikos </w:t>
          </w:r>
        </w:p>
        <w:p>
          <w:pPr>
            <w:ind w:left="3894" w:firstLine="1776"/>
            <w:jc w:val="both"/>
            <w:rPr>
              <w:szCs w:val="24"/>
            </w:rPr>
          </w:pPr>
          <w:r>
            <w:rPr>
              <w:szCs w:val="24"/>
            </w:rPr>
            <w:t xml:space="preserve">sveikatos apsaugos ministro </w:t>
          </w:r>
        </w:p>
        <w:p>
          <w:pPr>
            <w:ind w:left="3894" w:firstLine="1776"/>
            <w:jc w:val="both"/>
            <w:rPr>
              <w:szCs w:val="24"/>
            </w:rPr>
          </w:pPr>
          <w:r>
            <w:rPr>
              <w:szCs w:val="24"/>
            </w:rPr>
            <w:t xml:space="preserve">2000 m. gegužės 31 d. įsakymu Nr. 301 </w:t>
          </w:r>
        </w:p>
        <w:p>
          <w:pPr>
            <w:ind w:left="3894" w:firstLine="1776"/>
            <w:jc w:val="both"/>
            <w:rPr>
              <w:szCs w:val="24"/>
            </w:rPr>
          </w:pPr>
          <w:r>
            <w:rPr>
              <w:szCs w:val="24"/>
            </w:rPr>
            <w:t xml:space="preserve">(Lietuvos Respublikos </w:t>
          </w:r>
        </w:p>
        <w:p>
          <w:pPr>
            <w:ind w:left="3894" w:firstLine="1776"/>
            <w:jc w:val="both"/>
            <w:rPr>
              <w:szCs w:val="24"/>
            </w:rPr>
          </w:pPr>
          <w:r>
            <w:rPr>
              <w:szCs w:val="24"/>
            </w:rPr>
            <w:t xml:space="preserve">sveikatos apsaugos ministro </w:t>
          </w:r>
        </w:p>
        <w:p>
          <w:pPr>
            <w:ind w:left="5670"/>
            <w:jc w:val="both"/>
            <w:rPr>
              <w:szCs w:val="24"/>
            </w:rPr>
          </w:pPr>
          <w:r>
            <w:rPr>
              <w:szCs w:val="24"/>
            </w:rPr>
            <w:t>2015 m. kovo 23 d. įsakymo</w:t>
          </w:r>
        </w:p>
        <w:p>
          <w:pPr>
            <w:ind w:left="5670"/>
            <w:jc w:val="both"/>
            <w:rPr>
              <w:szCs w:val="24"/>
            </w:rPr>
          </w:pPr>
          <w:r>
            <w:rPr>
              <w:szCs w:val="24"/>
            </w:rPr>
            <w:t>Nr. V-383 redakcija)</w:t>
          </w:r>
        </w:p>
        <w:p>
          <w:pPr>
            <w:ind w:left="5670"/>
            <w:jc w:val="both"/>
            <w:rPr>
              <w:szCs w:val="24"/>
            </w:rPr>
          </w:pPr>
          <w:sdt>
            <w:sdtPr>
              <w:alias w:val="Numeris"/>
              <w:tag w:val="nr_a52819735df449e1a3ed7dab559d9460"/>
              <w:lock w:val="sdtLocked"/>
              <w:richText/>
            </w:sdtPr>
            <w:sdtContent>
              <w:r>
                <w:rPr>
                  <w:szCs w:val="24"/>
                </w:rPr>
                <w:t>3</w:t>
              </w:r>
            </w:sdtContent>
          </w:sdt>
          <w:r>
            <w:rPr>
              <w:szCs w:val="24"/>
            </w:rPr>
            <w:t xml:space="preserve"> priedas</w:t>
          </w:r>
        </w:p>
        <w:p>
          <w:pPr>
            <w:jc w:val="center"/>
            <w:rPr>
              <w:b/>
              <w:caps/>
              <w:color w:val="000000"/>
              <w:szCs w:val="24"/>
            </w:rPr>
          </w:pPr>
        </w:p>
        <w:p>
          <w:pPr>
            <w:jc w:val="center"/>
            <w:rPr>
              <w:b/>
              <w:caps/>
              <w:color w:val="000000"/>
              <w:szCs w:val="24"/>
            </w:rPr>
          </w:pPr>
        </w:p>
        <w:p>
          <w:pPr>
            <w:jc w:val="center"/>
            <w:rPr>
              <w:b/>
              <w:caps/>
              <w:color w:val="000000"/>
              <w:szCs w:val="24"/>
            </w:rPr>
          </w:pPr>
          <w:sdt>
            <w:sdtPr>
              <w:alias w:val="Pavadinimas"/>
              <w:tag w:val="title_a52819735df449e1a3ed7dab559d9460"/>
              <w:lock w:val="sdtLocked"/>
              <w:richText/>
            </w:sdtPr>
            <w:sdtContent>
              <w:r>
                <w:rPr>
                  <w:b/>
                  <w:caps/>
                  <w:color w:val="000000"/>
                  <w:szCs w:val="24"/>
                </w:rPr>
                <w:t xml:space="preserve">VAIKŲ IR PILNAMEČIŲ MOKINIŲ, UGDOMŲ PAGAL BENDROJO UGDYMO PROGRAMAS, SVEIKATOS TIKRINIMO TVARKOS APRAŠAS </w:t>
              </w:r>
            </w:sdtContent>
          </w:sdt>
        </w:p>
        <w:p>
          <w:pPr>
            <w:snapToGrid w:val="0"/>
            <w:jc w:val="center"/>
            <w:rPr>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
          <w:sdtPr>
            <w:alias w:val="skyrius"/>
            <w:tag w:val="part_fb9892e1576644058c6853638be99e39"/>
            <w:lock w:val="sdtLocked"/>
            <w:richText/>
          </w:sdtPr>
          <w:sdtContent>
            <w:p>
              <w:pPr>
                <w:ind w:left="360"/>
                <w:jc w:val="center"/>
                <w:rPr>
                  <w:b/>
                  <w:caps/>
                  <w:color w:val="000000"/>
                  <w:szCs w:val="24"/>
                </w:rPr>
              </w:pPr>
              <w:sdt>
                <w:sdtPr>
                  <w:alias w:val="Numeris"/>
                  <w:tag w:val="nr_fb9892e1576644058c6853638be99e39"/>
                  <w:lock w:val="sdtLocked"/>
                  <w:richText/>
                </w:sdtPr>
                <w:sdtContent>
                  <w:r>
                    <w:rPr>
                      <w:b/>
                      <w:caps/>
                      <w:color w:val="000000"/>
                      <w:szCs w:val="24"/>
                    </w:rPr>
                    <w:t>I</w:t>
                  </w:r>
                </w:sdtContent>
              </w:sdt>
              <w:r>
                <w:rPr>
                  <w:b/>
                  <w:caps/>
                  <w:color w:val="000000"/>
                  <w:szCs w:val="24"/>
                </w:rPr>
                <w:t xml:space="preserve"> SKYRIUS</w:t>
              </w:r>
            </w:p>
            <w:p>
              <w:pPr>
                <w:ind w:left="360"/>
                <w:jc w:val="center"/>
                <w:rPr>
                  <w:b/>
                  <w:caps/>
                  <w:color w:val="000000"/>
                  <w:szCs w:val="24"/>
                </w:rPr>
              </w:pPr>
              <w:sdt>
                <w:sdtPr>
                  <w:alias w:val="Pavadinimas"/>
                  <w:tag w:val="title_fb9892e1576644058c6853638be99e39"/>
                  <w:lock w:val="sdtLocked"/>
                  <w:richText/>
                </w:sdtPr>
                <w:sdtContent>
                  <w:r>
                    <w:rPr>
                      <w:b/>
                      <w:caps/>
                      <w:color w:val="000000"/>
                      <w:szCs w:val="24"/>
                    </w:rPr>
                    <w:t>BENDROSIOS NUOSTATOS</w:t>
                  </w:r>
                </w:sdtContent>
              </w:sdt>
            </w:p>
            <w:p>
              <w:pPr>
                <w:ind w:left="360"/>
                <w:jc w:val="center"/>
                <w:rPr>
                  <w:b/>
                  <w:caps/>
                  <w:color w:val="000000"/>
                  <w:szCs w:val="24"/>
                </w:rPr>
              </w:pPr>
            </w:p>
            <w:sdt>
              <w:sdtPr>
                <w:alias w:val="3 pr. 1 p."/>
                <w:tag w:val="part_e590613e73de43299d891ecef0c98105"/>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e590613e73de43299d891ecef0c98105"/>
                      <w:lock w:val="sdtLocked"/>
                      <w:richText/>
                    </w:sdtPr>
                    <w:sdtContent>
                      <w:r>
                        <w:rPr>
                          <w:szCs w:val="24"/>
                          <w:lang w:eastAsia="lt-LT"/>
                        </w:rPr>
                        <w:t>1</w:t>
                      </w:r>
                    </w:sdtContent>
                  </w:sdt>
                  <w:r>
                    <w:rPr>
                      <w:szCs w:val="24"/>
                      <w:lang w:eastAsia="lt-LT"/>
                    </w:rPr>
                    <w:t xml:space="preserve">. Vaikų </w:t>
                  </w:r>
                  <w:r>
                    <w:rPr>
                      <w:bCs/>
                      <w:szCs w:val="24"/>
                    </w:rPr>
                    <w:t>ir pilnamečių mokinių, ugdomų pagal bendrojo ugdymo programas,</w:t>
                  </w:r>
                  <w:r>
                    <w:rPr>
                      <w:color w:val="000000"/>
                      <w:szCs w:val="24"/>
                      <w:lang w:eastAsia="lt-LT"/>
                    </w:rPr>
                    <w:t xml:space="preserve"> </w:t>
                  </w:r>
                  <w:r>
                    <w:rPr>
                      <w:szCs w:val="24"/>
                      <w:lang w:eastAsia="lt-LT"/>
                    </w:rPr>
                    <w:t xml:space="preserve">sveikatos tikrinimo tvarkos aprašas (toliau – Aprašas) nustato privalomo profilaktinio vaikų, Lietuvos Respublikos sveikatos draudimo įstatymo 6 straipsnio 4 dalies 7 punkte nurodytų 18 metų ir vyresnių mokinių, kurie mokosi Lietuvos Respublikos mokyklose pagal bendrojo ugdymo programas,      (toliau – pilnamečių mokinių) sveikatos bei ankstyvojo amžiaus vaikų (iki 4 metų) psichomotorinės raidos tikrinimo reikalavimus, šių paslaugų teikimo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 p."/>
                <w:tag w:val="part_bcc4d858d3d54ca784b9c03b4d23281a"/>
                <w:lock w:val="sdtLocked"/>
                <w:richText/>
              </w:sdtPr>
              <w:sdtContent>
                <w:p>
                  <w:pPr>
                    <w:tabs>
                      <w:tab w:val="left" w:pos="851"/>
                    </w:tabs>
                    <w:ind w:firstLine="851"/>
                    <w:jc w:val="both"/>
                    <w:rPr>
                      <w:szCs w:val="24"/>
                    </w:rPr>
                  </w:pPr>
                  <w:sdt>
                    <w:sdtPr>
                      <w:alias w:val="Numeris"/>
                      <w:tag w:val="nr_bcc4d858d3d54ca784b9c03b4d23281a"/>
                      <w:lock w:val="sdtLocked"/>
                      <w:richText/>
                    </w:sdtPr>
                    <w:sdtContent>
                      <w:r>
                        <w:rPr>
                          <w:szCs w:val="24"/>
                        </w:rPr>
                        <w:t>2</w:t>
                      </w:r>
                    </w:sdtContent>
                  </w:sdt>
                  <w:r>
                    <w:rPr>
                      <w:szCs w:val="24"/>
                    </w:rPr>
                    <w:t>. Vaiko amžiaus tarpsniai:</w:t>
                  </w:r>
                </w:p>
                <w:sdt>
                  <w:sdtPr>
                    <w:alias w:val="3 pr. 2.1 pp."/>
                    <w:tag w:val="part_96ab6c074341447e9232b3dd63b28cb6"/>
                    <w:lock w:val="sdtLocked"/>
                    <w:richText/>
                  </w:sdtPr>
                  <w:sdtContent>
                    <w:p>
                      <w:pPr>
                        <w:tabs>
                          <w:tab w:val="left" w:pos="851"/>
                        </w:tabs>
                        <w:ind w:firstLine="851"/>
                        <w:jc w:val="both"/>
                        <w:rPr>
                          <w:bCs/>
                          <w:color w:val="000000"/>
                          <w:szCs w:val="24"/>
                        </w:rPr>
                      </w:pPr>
                      <w:sdt>
                        <w:sdtPr>
                          <w:alias w:val="Numeris"/>
                          <w:tag w:val="nr_96ab6c074341447e9232b3dd63b28cb6"/>
                          <w:lock w:val="sdtLocked"/>
                          <w:richText/>
                        </w:sdtPr>
                        <w:sdtContent>
                          <w:r>
                            <w:rPr>
                              <w:szCs w:val="24"/>
                            </w:rPr>
                            <w:t>2.1</w:t>
                          </w:r>
                        </w:sdtContent>
                      </w:sdt>
                      <w:r>
                        <w:rPr>
                          <w:szCs w:val="24"/>
                        </w:rPr>
                        <w:t xml:space="preserve">. </w:t>
                      </w:r>
                      <w:r>
                        <w:rPr>
                          <w:bCs/>
                          <w:color w:val="000000"/>
                          <w:szCs w:val="24"/>
                        </w:rPr>
                        <w:t>naujagimis</w:t>
                      </w:r>
                      <w:r>
                        <w:rPr>
                          <w:b/>
                          <w:bCs/>
                          <w:color w:val="000000"/>
                          <w:szCs w:val="24"/>
                        </w:rPr>
                        <w:t xml:space="preserve"> – </w:t>
                      </w:r>
                      <w:r>
                        <w:rPr>
                          <w:szCs w:val="24"/>
                        </w:rPr>
                        <w:t xml:space="preserve">nuo </w:t>
                      </w:r>
                      <w:r>
                        <w:rPr>
                          <w:bCs/>
                          <w:color w:val="000000"/>
                          <w:szCs w:val="24"/>
                        </w:rPr>
                        <w:t xml:space="preserve">gimimo iki 28 dienų </w:t>
                      </w:r>
                      <w:r>
                        <w:rPr>
                          <w:szCs w:val="24"/>
                        </w:rPr>
                        <w:t>amžiaus</w:t>
                      </w:r>
                      <w:r>
                        <w:rPr>
                          <w:bCs/>
                          <w:color w:val="000000"/>
                          <w:szCs w:val="24"/>
                        </w:rPr>
                        <w:t>;</w:t>
                      </w:r>
                    </w:p>
                  </w:sdtContent>
                </w:sdt>
                <w:sdt>
                  <w:sdtPr>
                    <w:alias w:val="3 pr. 2.2 pp."/>
                    <w:tag w:val="part_62d838a4d7fd4db58bec03c53a8fa33a"/>
                    <w:lock w:val="sdtLocked"/>
                    <w:richText/>
                  </w:sdtPr>
                  <w:sdtContent>
                    <w:p>
                      <w:pPr>
                        <w:tabs>
                          <w:tab w:val="left" w:pos="851"/>
                        </w:tabs>
                        <w:ind w:firstLine="851"/>
                        <w:jc w:val="both"/>
                        <w:rPr>
                          <w:color w:val="000000"/>
                          <w:szCs w:val="24"/>
                        </w:rPr>
                      </w:pPr>
                      <w:sdt>
                        <w:sdtPr>
                          <w:alias w:val="Numeris"/>
                          <w:tag w:val="nr_62d838a4d7fd4db58bec03c53a8fa33a"/>
                          <w:lock w:val="sdtLocked"/>
                          <w:richText/>
                        </w:sdtPr>
                        <w:sdtContent>
                          <w:r>
                            <w:rPr>
                              <w:bCs/>
                              <w:color w:val="000000"/>
                              <w:szCs w:val="24"/>
                            </w:rPr>
                            <w:t>2.2</w:t>
                          </w:r>
                        </w:sdtContent>
                      </w:sdt>
                      <w:r>
                        <w:rPr>
                          <w:bCs/>
                          <w:color w:val="000000"/>
                          <w:szCs w:val="24"/>
                        </w:rPr>
                        <w:t>. kūdikis</w:t>
                      </w:r>
                      <w:r>
                        <w:rPr>
                          <w:b/>
                          <w:bCs/>
                          <w:color w:val="000000"/>
                          <w:szCs w:val="24"/>
                        </w:rPr>
                        <w:t xml:space="preserve"> – </w:t>
                      </w:r>
                      <w:r>
                        <w:rPr>
                          <w:bCs/>
                          <w:color w:val="000000"/>
                          <w:szCs w:val="24"/>
                        </w:rPr>
                        <w:t xml:space="preserve">nuo gimimo iki 1 metų </w:t>
                      </w:r>
                      <w:r>
                        <w:rPr>
                          <w:szCs w:val="24"/>
                        </w:rPr>
                        <w:t>amžiaus</w:t>
                      </w:r>
                      <w:r>
                        <w:rPr>
                          <w:bCs/>
                          <w:color w:val="000000"/>
                          <w:szCs w:val="24"/>
                        </w:rPr>
                        <w:t>;</w:t>
                      </w:r>
                      <w:r>
                        <w:rPr>
                          <w:szCs w:val="24"/>
                        </w:rPr>
                        <w:tab/>
                      </w:r>
                    </w:p>
                  </w:sdtContent>
                </w:sdt>
                <w:sdt>
                  <w:sdtPr>
                    <w:alias w:val="3 pr. 2.3 pp."/>
                    <w:tag w:val="part_8aa77f118ab249ad85e9bf4b723c954f"/>
                    <w:lock w:val="sdtLocked"/>
                    <w:richText/>
                  </w:sdtPr>
                  <w:sdtContent>
                    <w:p>
                      <w:pPr>
                        <w:tabs>
                          <w:tab w:val="left" w:pos="851"/>
                        </w:tabs>
                        <w:ind w:firstLine="851"/>
                        <w:jc w:val="both"/>
                        <w:rPr>
                          <w:szCs w:val="24"/>
                        </w:rPr>
                      </w:pPr>
                      <w:sdt>
                        <w:sdtPr>
                          <w:alias w:val="Numeris"/>
                          <w:tag w:val="nr_8aa77f118ab249ad85e9bf4b723c954f"/>
                          <w:lock w:val="sdtLocked"/>
                          <w:richText/>
                        </w:sdtPr>
                        <w:sdtContent>
                          <w:r>
                            <w:rPr>
                              <w:szCs w:val="24"/>
                            </w:rPr>
                            <w:t>2.3</w:t>
                          </w:r>
                        </w:sdtContent>
                      </w:sdt>
                      <w:r>
                        <w:rPr>
                          <w:szCs w:val="24"/>
                        </w:rPr>
                        <w:t>.</w:t>
                      </w:r>
                      <w:r>
                        <w:rPr>
                          <w:b/>
                          <w:szCs w:val="24"/>
                        </w:rPr>
                        <w:t xml:space="preserve"> </w:t>
                      </w:r>
                      <w:r>
                        <w:rPr>
                          <w:szCs w:val="24"/>
                        </w:rPr>
                        <w:t>ankstyvojo amžiaus vaikas</w:t>
                      </w:r>
                      <w:r>
                        <w:rPr>
                          <w:b/>
                          <w:szCs w:val="24"/>
                        </w:rPr>
                        <w:t xml:space="preserve">  – </w:t>
                      </w:r>
                      <w:r>
                        <w:rPr>
                          <w:szCs w:val="24"/>
                        </w:rPr>
                        <w:t>nuo</w:t>
                      </w:r>
                      <w:r>
                        <w:rPr>
                          <w:b/>
                          <w:szCs w:val="24"/>
                        </w:rPr>
                        <w:t xml:space="preserve"> </w:t>
                      </w:r>
                      <w:r>
                        <w:rPr>
                          <w:bCs/>
                          <w:color w:val="000000"/>
                          <w:szCs w:val="24"/>
                        </w:rPr>
                        <w:t xml:space="preserve">1 iki 4 metų </w:t>
                      </w:r>
                      <w:r>
                        <w:rPr>
                          <w:szCs w:val="24"/>
                        </w:rPr>
                        <w:t>amžiaus;</w:t>
                      </w:r>
                    </w:p>
                  </w:sdtContent>
                </w:sdt>
                <w:sdt>
                  <w:sdtPr>
                    <w:alias w:val="3 pr. 2.4 pp."/>
                    <w:tag w:val="part_cd388879d08c48f3bb3c5a4bb5475a57"/>
                    <w:lock w:val="sdtLocked"/>
                    <w:richText/>
                  </w:sdtPr>
                  <w:sdtContent>
                    <w:p>
                      <w:pPr>
                        <w:tabs>
                          <w:tab w:val="left" w:pos="851"/>
                        </w:tabs>
                        <w:ind w:firstLine="851"/>
                        <w:jc w:val="both"/>
                        <w:rPr>
                          <w:b/>
                          <w:szCs w:val="24"/>
                        </w:rPr>
                      </w:pPr>
                      <w:sdt>
                        <w:sdtPr>
                          <w:alias w:val="Numeris"/>
                          <w:tag w:val="nr_cd388879d08c48f3bb3c5a4bb5475a57"/>
                          <w:lock w:val="sdtLocked"/>
                          <w:richText/>
                        </w:sdtPr>
                        <w:sdtContent>
                          <w:r>
                            <w:rPr>
                              <w:szCs w:val="24"/>
                            </w:rPr>
                            <w:t>2.4</w:t>
                          </w:r>
                        </w:sdtContent>
                      </w:sdt>
                      <w:r>
                        <w:rPr>
                          <w:szCs w:val="24"/>
                        </w:rPr>
                        <w:t>. viduriniojo amžiaus vaikas</w:t>
                      </w:r>
                      <w:r>
                        <w:rPr>
                          <w:b/>
                          <w:szCs w:val="24"/>
                        </w:rPr>
                        <w:t xml:space="preserve">  –</w:t>
                      </w:r>
                      <w:r>
                        <w:rPr>
                          <w:szCs w:val="24"/>
                        </w:rPr>
                        <w:t xml:space="preserve"> nuo 4 iki 10 metų amžiaus;</w:t>
                      </w:r>
                    </w:p>
                  </w:sdtContent>
                </w:sdt>
                <w:sdt>
                  <w:sdtPr>
                    <w:alias w:val="3 pr. 2.5 pp."/>
                    <w:tag w:val="part_8bf0c62b7fdb4da88d61293a845bd271"/>
                    <w:lock w:val="sdtLocked"/>
                    <w:richText/>
                  </w:sdtPr>
                  <w:sdtContent>
                    <w:p>
                      <w:pPr>
                        <w:tabs>
                          <w:tab w:val="left" w:pos="851"/>
                        </w:tabs>
                        <w:ind w:firstLine="851"/>
                        <w:jc w:val="both"/>
                        <w:rPr>
                          <w:szCs w:val="24"/>
                        </w:rPr>
                      </w:pPr>
                      <w:sdt>
                        <w:sdtPr>
                          <w:alias w:val="Numeris"/>
                          <w:tag w:val="nr_8bf0c62b7fdb4da88d61293a845bd271"/>
                          <w:lock w:val="sdtLocked"/>
                          <w:richText/>
                        </w:sdtPr>
                        <w:sdtContent>
                          <w:r>
                            <w:rPr>
                              <w:szCs w:val="24"/>
                            </w:rPr>
                            <w:t>2.5</w:t>
                          </w:r>
                        </w:sdtContent>
                      </w:sdt>
                      <w:r>
                        <w:rPr>
                          <w:szCs w:val="24"/>
                        </w:rPr>
                        <w:t>.</w:t>
                      </w:r>
                      <w:r>
                        <w:rPr>
                          <w:b/>
                          <w:szCs w:val="24"/>
                        </w:rPr>
                        <w:t xml:space="preserve"> </w:t>
                      </w:r>
                      <w:r>
                        <w:rPr>
                          <w:szCs w:val="24"/>
                        </w:rPr>
                        <w:t xml:space="preserve">paauglys </w:t>
                      </w:r>
                      <w:r>
                        <w:rPr>
                          <w:color w:val="000000"/>
                          <w:szCs w:val="24"/>
                        </w:rPr>
                        <w:t>–</w:t>
                      </w:r>
                      <w:r>
                        <w:rPr>
                          <w:bCs/>
                          <w:color w:val="000000"/>
                          <w:szCs w:val="24"/>
                        </w:rPr>
                        <w:t xml:space="preserve"> nuo </w:t>
                      </w:r>
                      <w:r>
                        <w:rPr>
                          <w:szCs w:val="24"/>
                        </w:rPr>
                        <w:t>10 iki 18 metų amžiaus.</w:t>
                        <w:tab/>
                      </w:r>
                    </w:p>
                  </w:sdtContent>
                </w:sdt>
              </w:sdtContent>
            </w:sdt>
            <w:sdt>
              <w:sdtPr>
                <w:alias w:val="3 pr. 3 p."/>
                <w:tag w:val="part_df2ce585f04e4a6f8a69076c298ca8a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df2ce585f04e4a6f8a69076c298ca8ae"/>
                      <w:lock w:val="sdtLocked"/>
                      <w:richText/>
                    </w:sdtPr>
                    <w:sdtContent>
                      <w:r>
                        <w:rPr>
                          <w:szCs w:val="24"/>
                          <w:lang w:eastAsia="lt-LT"/>
                        </w:rPr>
                        <w:t>3</w:t>
                      </w:r>
                    </w:sdtContent>
                  </w:sdt>
                  <w:r>
                    <w:rPr>
                      <w:szCs w:val="24"/>
                      <w:lang w:eastAsia="lt-LT"/>
                    </w:rPr>
                    <w:t xml:space="preserve">. </w:t>
                  </w:r>
                  <w:r>
                    <w:rPr>
                      <w:color w:val="000000"/>
                      <w:szCs w:val="24"/>
                      <w:lang w:eastAsia="lt-LT"/>
                    </w:rPr>
                    <w:t xml:space="preserve">Apraše nustatyto profilaktinio </w:t>
                  </w:r>
                  <w:r>
                    <w:rPr>
                      <w:szCs w:val="24"/>
                      <w:lang w:eastAsia="lt-LT"/>
                    </w:rPr>
                    <w:t xml:space="preserve">vaikų ir pilnamečių mokinių sveikatos  tikrinimo tikslas – išaiškinti ir koreguoti rizikos sveikatai veiksnius, nustatyti, ar tikrinamo asmens sveikatos būklė atitinka jo augimo ir brendimo pagal amžių ir lytį normatyvus, ar  dėl sveikatos būklės jis gali lankyti švietimo įstaigą ir  pan.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4 p."/>
                <w:tag w:val="part_7767116a6d7b474bb402dd02a0a65f23"/>
                <w:lock w:val="sdtLocked"/>
                <w:richText/>
              </w:sdtPr>
              <w:sdtContent>
                <w:p>
                  <w:pPr>
                    <w:ind w:firstLine="851"/>
                    <w:jc w:val="both"/>
                    <w:rPr>
                      <w:color w:val="000000"/>
                      <w:szCs w:val="24"/>
                    </w:rPr>
                  </w:pPr>
                  <w:sdt>
                    <w:sdtPr>
                      <w:alias w:val="Numeris"/>
                      <w:tag w:val="nr_7767116a6d7b474bb402dd02a0a65f23"/>
                      <w:lock w:val="sdtLocked"/>
                      <w:richText/>
                    </w:sdtPr>
                    <w:sdtContent>
                      <w:r>
                        <w:rPr>
                          <w:szCs w:val="24"/>
                        </w:rPr>
                        <w:t>4</w:t>
                      </w:r>
                    </w:sdtContent>
                  </w:sdt>
                  <w:r>
                    <w:rPr>
                      <w:szCs w:val="24"/>
                    </w:rPr>
                    <w:t xml:space="preserve">. </w:t>
                  </w:r>
                  <w:r>
                    <w:rPr>
                      <w:color w:val="000000"/>
                      <w:szCs w:val="24"/>
                    </w:rPr>
                    <w:t xml:space="preserve">Apraše nustatyto vaikų psichomotorinės raidos tikrinimo tikslas – ankstyvas vaikų, turinčių raidos sutrikimų riziką, išaiškinimas ir  siuntimas toliau tirti bei gydyti. </w:t>
                  </w:r>
                </w:p>
              </w:sdtContent>
            </w:sdt>
            <w:sdt>
              <w:sdtPr>
                <w:alias w:val="3 pr. 5 p."/>
                <w:tag w:val="part_3d3645cb4b694f6d91dc1f0ead9a636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3d3645cb4b694f6d91dc1f0ead9a6363"/>
                      <w:lock w:val="sdtLocked"/>
                      <w:richText/>
                    </w:sdtPr>
                    <w:sdtContent>
                      <w:r>
                        <w:rPr>
                          <w:szCs w:val="24"/>
                          <w:lang w:eastAsia="lt-LT"/>
                        </w:rPr>
                        <w:t>5</w:t>
                      </w:r>
                    </w:sdtContent>
                  </w:sdt>
                  <w:r>
                    <w:rPr>
                      <w:szCs w:val="24"/>
                      <w:lang w:eastAsia="lt-LT"/>
                    </w:rPr>
                    <w:t xml:space="preserve">. Vaikų, pilnamečių mokinių sveikatos ir vaikų psichomotorinės raidos tikrinimas atliekamas licenciją teikti asmens sveikatos priežiūros paslaugas turinčioje įstaigoje (toliau – ASPĮ), kurioje asmuo yra prirašytas Lietuvos Respublikos sveikatos apsaugos ministro 2001 m. lapkričio      9 d. įsakymo Nr. 583 „Dėl gyventojų prisirašymo prie pirminės asmens sveikatos priežiūros įstaigų tvarkos“ nustatyta tvarka (toliau – prirašytas). Vaikų sveikatos tikrinimą atlieka šeimos medicinos paslaugas teikiantis šeimos gydytojas ar vaikų ligų gydytojas, kurį pacientas (jo tėvai ar kiti atstovai pagal įstatymą) yra pasirinkęs. Pilnamečių mokinių sveikatos tikrinimą atlieka šeimos medicinos paslaugas teikiantis šeimos gydytojas ar vidaus ligų gydytojas, kurį pacientas yra pasirinkęs.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6 p."/>
                <w:tag w:val="part_5538dd5c1be44eb393b0a441d008c534"/>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5538dd5c1be44eb393b0a441d008c534"/>
                      <w:lock w:val="sdtLocked"/>
                      <w:richText/>
                    </w:sdtPr>
                    <w:sdtContent>
                      <w:r>
                        <w:rPr>
                          <w:color w:val="000000"/>
                          <w:szCs w:val="24"/>
                          <w:lang w:eastAsia="lt-LT"/>
                        </w:rPr>
                        <w:t>6</w:t>
                      </w:r>
                    </w:sdtContent>
                  </w:sdt>
                  <w:r>
                    <w:rPr>
                      <w:color w:val="000000"/>
                      <w:szCs w:val="24"/>
                      <w:lang w:eastAsia="lt-LT"/>
                    </w:rPr>
                    <w:t>.</w:t>
                  </w:r>
                  <w:r>
                    <w:rPr>
                      <w:szCs w:val="24"/>
                      <w:lang w:eastAsia="lt-LT"/>
                    </w:rPr>
                    <w:t xml:space="preserve"> Vaikų ir pilnamečių mokinių dantų ir burnos higienos būklę pagal kompetenciją tikrina ir informavimo dantų ir burnos ligų profilaktikos klausimais paslaugą teikia gydytojas odontologas arba gydytojas odontologas specialistas, arba burnos higienistas ASPĮ, teikiančiose pirminės odontologinės sveikatos priežiūros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7 p."/>
                <w:tag w:val="part_5c4cbf7f3d07488aa9be70f64d1e484f"/>
                <w:lock w:val="sdtLocked"/>
                <w:richText/>
              </w:sdtPr>
              <w:sdtContent>
                <w:p>
                  <w:pPr>
                    <w:tabs>
                      <w:tab w:val="left" w:pos="851"/>
                    </w:tabs>
                    <w:ind w:firstLine="851"/>
                    <w:jc w:val="both"/>
                    <w:rPr>
                      <w:szCs w:val="24"/>
                    </w:rPr>
                  </w:pPr>
                  <w:sdt>
                    <w:sdtPr>
                      <w:alias w:val="Numeris"/>
                      <w:tag w:val="nr_5c4cbf7f3d07488aa9be70f64d1e484f"/>
                      <w:lock w:val="sdtLocked"/>
                      <w:richText/>
                    </w:sdtPr>
                    <w:sdtContent>
                      <w:r>
                        <w:rPr>
                          <w:szCs w:val="24"/>
                        </w:rPr>
                        <w:t>7</w:t>
                      </w:r>
                    </w:sdtContent>
                  </w:sdt>
                  <w:r>
                    <w:rPr>
                      <w:szCs w:val="24"/>
                    </w:rPr>
                    <w:t xml:space="preserve">. Sveikatą tikrinantys specialistai, esant </w:t>
                  </w:r>
                  <w:r>
                    <w:rPr>
                      <w:color w:val="000000"/>
                      <w:szCs w:val="24"/>
                    </w:rPr>
                    <w:t>indikacijų ar poreikiui tikslinti diagnozę,</w:t>
                  </w:r>
                  <w:r>
                    <w:rPr>
                      <w:szCs w:val="24"/>
                    </w:rPr>
                    <w:t xml:space="preserve"> paskiria tyrimus, nustato jų dažnumą, siunčia kito reikiamos profesinės kvalifikacijos specialisto konsultacijos ar atlikti diagnostinių tyrimų, atsižvelgdami į </w:t>
                  </w:r>
                  <w:r>
                    <w:rPr>
                      <w:color w:val="000000"/>
                      <w:szCs w:val="24"/>
                    </w:rPr>
                    <w:t xml:space="preserve">Aprašo 1 ir 2 prieduose nustatytus vaiko amžiaus tarpsnius bei periodiškumą, vadovaudamiesi </w:t>
                  </w:r>
                  <w:r>
                    <w:rPr>
                      <w:szCs w:val="24"/>
                    </w:rPr>
                    <w:t>šiuo Aprašu bei kitais teisės aktais.</w:t>
                  </w:r>
                </w:p>
                <w:p>
                  <w:pPr>
                    <w:ind w:left="360"/>
                    <w:jc w:val="center"/>
                    <w:rPr>
                      <w:b/>
                      <w:caps/>
                      <w:color w:val="000000"/>
                      <w:szCs w:val="24"/>
                    </w:rPr>
                  </w:pPr>
                </w:p>
              </w:sdtContent>
            </w:sdt>
          </w:sdtContent>
        </w:sdt>
        <w:sdt>
          <w:sdtPr>
            <w:alias w:val="skyrius"/>
            <w:tag w:val="part_97c9cc681b0b45a7acdd644c2ea8af2b"/>
            <w:lock w:val="sdtLocked"/>
            <w:richText/>
          </w:sdtPr>
          <w:sdtContent>
            <w:p>
              <w:pPr>
                <w:ind w:left="360"/>
                <w:jc w:val="center"/>
                <w:rPr>
                  <w:b/>
                  <w:caps/>
                  <w:color w:val="000000"/>
                  <w:szCs w:val="24"/>
                </w:rPr>
              </w:pPr>
              <w:sdt>
                <w:sdtPr>
                  <w:alias w:val="Numeris"/>
                  <w:tag w:val="nr_97c9cc681b0b45a7acdd644c2ea8af2b"/>
                  <w:lock w:val="sdtLocked"/>
                  <w:richText/>
                </w:sdtPr>
                <w:sdtContent>
                  <w:r>
                    <w:rPr>
                      <w:b/>
                      <w:caps/>
                      <w:color w:val="000000"/>
                      <w:szCs w:val="24"/>
                    </w:rPr>
                    <w:t>II</w:t>
                  </w:r>
                </w:sdtContent>
              </w:sdt>
              <w:r>
                <w:rPr>
                  <w:b/>
                  <w:caps/>
                  <w:color w:val="000000"/>
                  <w:szCs w:val="24"/>
                </w:rPr>
                <w:t xml:space="preserve"> SKYRIUS</w:t>
              </w:r>
            </w:p>
            <w:p>
              <w:pPr>
                <w:ind w:left="360" w:firstLine="60"/>
                <w:jc w:val="center"/>
                <w:rPr>
                  <w:b/>
                  <w:color w:val="000000"/>
                  <w:szCs w:val="24"/>
                </w:rPr>
              </w:pPr>
              <w:sdt>
                <w:sdtPr>
                  <w:alias w:val="Pavadinimas"/>
                  <w:tag w:val="title_97c9cc681b0b45a7acdd644c2ea8af2b"/>
                  <w:lock w:val="sdtLocked"/>
                  <w:richText/>
                </w:sdtPr>
                <w:sdtContent>
                  <w:r>
                    <w:rPr>
                      <w:b/>
                      <w:caps/>
                      <w:szCs w:val="24"/>
                    </w:rPr>
                    <w:t xml:space="preserve">PROFILAKTINIO VAIKŲ IR PILNAMEČIŲ MOKINIŲ SVEIKATOS TIKRINIMO REIKALAVIMAI IR TVARKA </w:t>
                  </w:r>
                </w:sdtContent>
              </w:sdt>
            </w:p>
            <w:p>
              <w:pPr>
                <w:ind w:left="360"/>
                <w:jc w:val="center"/>
                <w:rPr>
                  <w:b/>
                  <w:caps/>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
              <w:sdtPr>
                <w:alias w:val="3 pr. 8 p."/>
                <w:tag w:val="part_80c2a14edf654891af57d9a15daf0c88"/>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80c2a14edf654891af57d9a15daf0c88"/>
                      <w:lock w:val="sdtLocked"/>
                      <w:richText/>
                    </w:sdtPr>
                    <w:sdtContent>
                      <w:r>
                        <w:rPr>
                          <w:szCs w:val="24"/>
                          <w:lang w:eastAsia="lt-LT"/>
                        </w:rPr>
                        <w:t>8</w:t>
                      </w:r>
                    </w:sdtContent>
                  </w:sdt>
                  <w:r>
                    <w:rPr>
                      <w:szCs w:val="24"/>
                      <w:lang w:eastAsia="lt-LT"/>
                    </w:rPr>
                    <w:t xml:space="preserve">. Profilaktinio vaikų ir pilnamečių mokinių sveikatos tikrinimo reikalavimai taikomi sveikatos priežiūrai ir profilaktiniam sveikatos tikrinimui, nustatyti Aprašo 1 priede.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9 p."/>
                <w:tag w:val="part_61e76c17f0fa4160a857bb8698e7eada"/>
                <w:lock w:val="sdtLocked"/>
                <w:richText/>
              </w:sdtPr>
              <w:sdtContent>
                <w:p>
                  <w:pPr>
                    <w:tabs>
                      <w:tab w:val="left" w:pos="851"/>
                    </w:tabs>
                    <w:ind w:firstLine="851"/>
                    <w:jc w:val="both"/>
                    <w:rPr>
                      <w:color w:val="000000"/>
                      <w:szCs w:val="24"/>
                    </w:rPr>
                  </w:pPr>
                  <w:sdt>
                    <w:sdtPr>
                      <w:alias w:val="Numeris"/>
                      <w:tag w:val="nr_61e76c17f0fa4160a857bb8698e7eada"/>
                      <w:lock w:val="sdtLocked"/>
                      <w:richText/>
                    </w:sdtPr>
                    <w:sdtContent>
                      <w:r>
                        <w:rPr>
                          <w:color w:val="000000"/>
                          <w:szCs w:val="24"/>
                        </w:rPr>
                        <w:t>9</w:t>
                      </w:r>
                    </w:sdtContent>
                  </w:sdt>
                  <w:r>
                    <w:rPr>
                      <w:color w:val="000000"/>
                      <w:szCs w:val="24"/>
                    </w:rPr>
                    <w:t>. Imunoprofilaktika atliekama pagal Lietuvos Respublikos vaikų profilaktinių skiepijimų kalendorių, patvirtintą Lietuvos Respublikos sveikatos apsaugos ministro 2014 m. vasario 27 d. įsakymu Nr. V-283 „Dėl Lietuvos Respublikos vaikų profilaktinių skiepijimų kalendoriaus patvirtinimo“.</w:t>
                  </w:r>
                </w:p>
              </w:sdtContent>
            </w:sdt>
            <w:sdt>
              <w:sdtPr>
                <w:alias w:val="3 pr. 10 p."/>
                <w:tag w:val="part_82ef7a84079c42aba69df3fff8caa0ff"/>
                <w:lock w:val="sdtLocked"/>
                <w:richText/>
              </w:sdtPr>
              <w:sdtContent>
                <w:p>
                  <w:pPr>
                    <w:ind w:firstLine="851"/>
                    <w:jc w:val="both"/>
                    <w:rPr>
                      <w:color w:val="000000"/>
                      <w:szCs w:val="24"/>
                    </w:rPr>
                  </w:pPr>
                  <w:sdt>
                    <w:sdtPr>
                      <w:alias w:val="Numeris"/>
                      <w:tag w:val="nr_82ef7a84079c42aba69df3fff8caa0ff"/>
                      <w:lock w:val="sdtLocked"/>
                      <w:richText/>
                    </w:sdtPr>
                    <w:sdtContent>
                      <w:r>
                        <w:rPr>
                          <w:szCs w:val="24"/>
                        </w:rPr>
                        <w:t>10</w:t>
                      </w:r>
                    </w:sdtContent>
                  </w:sdt>
                  <w:r>
                    <w:rPr>
                      <w:szCs w:val="24"/>
                    </w:rPr>
                    <w:t xml:space="preserve">. </w:t>
                  </w:r>
                  <w:r>
                    <w:rPr>
                      <w:color w:val="000000"/>
                      <w:szCs w:val="24"/>
                    </w:rPr>
                    <w:t xml:space="preserve">Prieš vaikui pradedant lankyti ikimokyklinio ar pradinio ugdymo įstaigą ir pereinant į kitą ikimokyklinio ar pradinio ugdymo įstaigą, profilaktiškai </w:t>
                  </w:r>
                  <w:r>
                    <w:rPr>
                      <w:szCs w:val="24"/>
                    </w:rPr>
                    <w:t>ASPĮ</w:t>
                  </w:r>
                  <w:r>
                    <w:rPr>
                      <w:color w:val="000000"/>
                      <w:szCs w:val="24"/>
                    </w:rPr>
                    <w:t xml:space="preserve"> atliekami nuograndų ir išmatų helmintologiniai tyrimai.</w:t>
                  </w:r>
                </w:p>
              </w:sdtContent>
            </w:sdt>
            <w:sdt>
              <w:sdtPr>
                <w:alias w:val="3 pr. 11 p."/>
                <w:tag w:val="part_78afa658c5ae46fcb2aff0d334850b90"/>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8afa658c5ae46fcb2aff0d334850b90"/>
                      <w:lock w:val="sdtLocked"/>
                      <w:richText/>
                    </w:sdtPr>
                    <w:sdtContent>
                      <w:r>
                        <w:rPr>
                          <w:color w:val="000000"/>
                          <w:szCs w:val="24"/>
                          <w:lang w:eastAsia="lt-LT"/>
                        </w:rPr>
                        <w:t>11</w:t>
                      </w:r>
                    </w:sdtContent>
                  </w:sdt>
                  <w:r>
                    <w:rPr>
                      <w:color w:val="000000"/>
                      <w:szCs w:val="24"/>
                      <w:lang w:eastAsia="lt-LT"/>
                    </w:rPr>
                    <w:t xml:space="preserve">. </w:t>
                  </w:r>
                  <w:r>
                    <w:rPr>
                      <w:szCs w:val="24"/>
                      <w:lang w:eastAsia="lt-LT"/>
                    </w:rPr>
                    <w:t>Fizinio ugdymo grupė</w:t>
                  </w:r>
                  <w:r>
                    <w:rPr>
                      <w:color w:val="000000"/>
                      <w:szCs w:val="24"/>
                      <w:lang w:eastAsia="lt-LT"/>
                    </w:rPr>
                    <w:t xml:space="preserve">, </w:t>
                  </w:r>
                  <w:r>
                    <w:rPr>
                      <w:szCs w:val="24"/>
                      <w:lang w:eastAsia="lt-LT"/>
                    </w:rPr>
                    <w:t>kurioje vaikui ar pilnamečiam mokiniui rekomenduojama dalyvauti kūno kultūros pamokose, nustatoma vadovaujantis Lietuvos Respublikos švietimo ir mokslo ministerijos metodinėmis rekomendacijomis „Kūno kultūra silpnesnės sveikatos moksleiviams“ (1999 m., antrasis leidimas, 2003 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12 p."/>
                <w:tag w:val="part_ac4b335ebf334e7f830d129ce14a415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ac4b335ebf334e7f830d129ce14a4153"/>
                      <w:lock w:val="sdtLocked"/>
                      <w:richText/>
                    </w:sdtPr>
                    <w:sdtContent>
                      <w:r>
                        <w:rPr>
                          <w:szCs w:val="24"/>
                          <w:lang w:eastAsia="lt-LT"/>
                        </w:rPr>
                        <w:t>12</w:t>
                      </w:r>
                    </w:sdtContent>
                  </w:sdt>
                  <w:r>
                    <w:rPr>
                      <w:szCs w:val="24"/>
                      <w:lang w:eastAsia="lt-LT"/>
                    </w:rPr>
                    <w:t>. Pilnametis mokinys, vaikas, jo tėvai ar kiti atstovai pagal įstatymą ASPĮ informuojami apie higienos įgūdžius, o švietimo ar kitą ugdymo įstaigą lankančio vaiko tėvai ar kiti atstovai pagal įstatymą informuojami</w:t>
                  </w:r>
                  <w:r>
                    <w:rPr>
                      <w:color w:val="000000"/>
                      <w:szCs w:val="24"/>
                      <w:lang w:eastAsia="lt-LT"/>
                    </w:rPr>
                    <w:t>, kaip nuolat prižiūrėti odą, nagus, plaukus, kaip tikrinti dėl utėlių ir niežų.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13 p."/>
                <w:tag w:val="part_81a3b019ba60423d9c4df432dbebe34b"/>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81a3b019ba60423d9c4df432dbebe34b"/>
                      <w:lock w:val="sdtLocked"/>
                      <w:richText/>
                    </w:sdtPr>
                    <w:sdtContent>
                      <w:r>
                        <w:rPr>
                          <w:color w:val="000000"/>
                          <w:szCs w:val="24"/>
                          <w:lang w:eastAsia="lt-LT"/>
                        </w:rPr>
                        <w:t>13</w:t>
                      </w:r>
                    </w:sdtContent>
                  </w:sdt>
                  <w:r>
                    <w:rPr>
                      <w:color w:val="000000"/>
                      <w:szCs w:val="24"/>
                      <w:lang w:eastAsia="lt-LT"/>
                    </w:rPr>
                    <w:t xml:space="preserve">. Duomenis apie profilaktinį sveikatos tikrinimą Aprašo 5 ir 6 punktuose bei Aprašo 1 priede </w:t>
                  </w:r>
                  <w:r>
                    <w:rPr>
                      <w:szCs w:val="24"/>
                      <w:lang w:eastAsia="lt-LT"/>
                    </w:rPr>
                    <w:t>nurodyti specialistai įrašo į:</w:t>
                  </w:r>
                </w:p>
                <w:sdt>
                  <w:sdtPr>
                    <w:alias w:val="13.1 pp."/>
                    <w:tag w:val="part_19a76c172fa24a5ca7fa7adf8f4781b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19a76c172fa24a5ca7fa7adf8f4781b3"/>
                          <w:lock w:val="sdtLocked"/>
                          <w:richText/>
                        </w:sdtPr>
                        <w:sdtContent>
                          <w:r>
                            <w:rPr>
                              <w:szCs w:val="24"/>
                              <w:lang w:eastAsia="lt-LT"/>
                            </w:rPr>
                            <w:t>13.1</w:t>
                          </w:r>
                        </w:sdtContent>
                      </w:sdt>
                      <w:r>
                        <w:rPr>
                          <w:szCs w:val="24"/>
                          <w:lang w:eastAsia="lt-LT"/>
                        </w:rPr>
                        <w:t>. formą Nr. 025-112/a „Vaiko sveikatos raidos istorija“, patvirtintą Lietuvos Respublikos sveikatos apsaugos ministro 2014 m. sausio 27 d. įsakymu Nr. V-120 „Dėl privalomų sveikatos statistikos apskaitos ir kitų tipinių formų bei privalomų sveikatos statistikos ataskaitų formų patvirtinimo“ (toliau – forma Nr. 025-112/a), jeigu buvo patikrinta vaiko sveikata;</w:t>
                      </w:r>
                    </w:p>
                  </w:sdtContent>
                </w:sdt>
                <w:sdt>
                  <w:sdtPr>
                    <w:alias w:val="13.2 pp."/>
                    <w:tag w:val="part_7d21c345854143d1a9f6a8c2364ed73f"/>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d21c345854143d1a9f6a8c2364ed73f"/>
                          <w:lock w:val="sdtLocked"/>
                          <w:richText/>
                        </w:sdtPr>
                        <w:sdtContent>
                          <w:r>
                            <w:rPr>
                              <w:szCs w:val="24"/>
                              <w:lang w:eastAsia="lt-LT"/>
                            </w:rPr>
                            <w:t>13.2</w:t>
                          </w:r>
                        </w:sdtContent>
                      </w:sdt>
                      <w:r>
                        <w:rPr>
                          <w:szCs w:val="24"/>
                          <w:lang w:eastAsia="lt-LT"/>
                        </w:rPr>
                        <w:t>. formą Nr. 025/a „Ambulatorinė asmens sveikatos istorija“, patvirtintą Lietuvos Respublikos sveikatos apsaugos ministro 2014 m. sausio 27 d. įsakymu Nr. V-120 „Dėl privalomų sveikatos statistikos apskaitos ir kitų tipinių formų bei privalomų sveikatos statistikos ataskaitų formų patvirtinimo“, jeigu buvo patikrinta pilnamečio mokinio sveikata.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Content>
        </w:sdt>
        <w:sdt>
          <w:sdtPr>
            <w:alias w:val="skyrius"/>
            <w:tag w:val="part_e2e676d223e4422baa4bb3f46ee397b7"/>
            <w:lock w:val="sdtLocked"/>
            <w:richText/>
          </w:sdtPr>
          <w:sdtContent>
            <w:p>
              <w:pPr>
                <w:ind w:left="360"/>
                <w:jc w:val="center"/>
                <w:rPr>
                  <w:b/>
                  <w:caps/>
                  <w:color w:val="000000"/>
                  <w:szCs w:val="24"/>
                </w:rPr>
              </w:pPr>
              <w:sdt>
                <w:sdtPr>
                  <w:alias w:val="Numeris"/>
                  <w:tag w:val="nr_e2e676d223e4422baa4bb3f46ee397b7"/>
                  <w:lock w:val="sdtLocked"/>
                  <w:richText/>
                </w:sdtPr>
                <w:sdtContent>
                  <w:r>
                    <w:rPr>
                      <w:b/>
                      <w:caps/>
                      <w:color w:val="000000"/>
                      <w:szCs w:val="24"/>
                    </w:rPr>
                    <w:t>III</w:t>
                  </w:r>
                </w:sdtContent>
              </w:sdt>
              <w:r>
                <w:rPr>
                  <w:b/>
                  <w:caps/>
                  <w:color w:val="000000"/>
                  <w:szCs w:val="24"/>
                </w:rPr>
                <w:t xml:space="preserve"> SKYRIUS</w:t>
              </w:r>
            </w:p>
            <w:p>
              <w:pPr>
                <w:ind w:left="360"/>
                <w:jc w:val="center"/>
                <w:rPr>
                  <w:b/>
                  <w:caps/>
                  <w:color w:val="000000"/>
                  <w:szCs w:val="24"/>
                </w:rPr>
              </w:pPr>
              <w:sdt>
                <w:sdtPr>
                  <w:alias w:val="Pavadinimas"/>
                  <w:tag w:val="title_e2e676d223e4422baa4bb3f46ee397b7"/>
                  <w:lock w:val="sdtLocked"/>
                  <w:richText/>
                </w:sdtPr>
                <w:sdtContent>
                  <w:r>
                    <w:rPr>
                      <w:b/>
                      <w:color w:val="000000"/>
                      <w:szCs w:val="24"/>
                    </w:rPr>
                    <w:t xml:space="preserve">VAIKŲ PSICHOMOTORINĖS RAIDOS TIKRINIMO REIKALAVIMAI IR TVARKA </w:t>
                  </w:r>
                </w:sdtContent>
              </w:sdt>
            </w:p>
            <w:p>
              <w:pPr>
                <w:ind w:left="360"/>
                <w:jc w:val="center"/>
                <w:rPr>
                  <w:b/>
                  <w:caps/>
                  <w:color w:val="000000"/>
                  <w:szCs w:val="24"/>
                </w:rPr>
              </w:pPr>
            </w:p>
            <w:sdt>
              <w:sdtPr>
                <w:alias w:val="3 pr. 14 p."/>
                <w:tag w:val="part_fb8acae386dc4c108fa353ac4282edf5"/>
                <w:lock w:val="sdtLocked"/>
                <w:richText/>
              </w:sdtPr>
              <w:sdtContent>
                <w:p>
                  <w:pPr>
                    <w:ind w:firstLine="851"/>
                    <w:jc w:val="both"/>
                    <w:rPr>
                      <w:color w:val="000000"/>
                      <w:szCs w:val="24"/>
                    </w:rPr>
                  </w:pPr>
                  <w:sdt>
                    <w:sdtPr>
                      <w:alias w:val="Numeris"/>
                      <w:tag w:val="nr_fb8acae386dc4c108fa353ac4282edf5"/>
                      <w:lock w:val="sdtLocked"/>
                      <w:richText/>
                    </w:sdtPr>
                    <w:sdtContent>
                      <w:r>
                        <w:rPr>
                          <w:color w:val="000000"/>
                          <w:szCs w:val="24"/>
                        </w:rPr>
                        <w:t>14</w:t>
                      </w:r>
                    </w:sdtContent>
                  </w:sdt>
                  <w:r>
                    <w:rPr>
                      <w:color w:val="000000"/>
                      <w:szCs w:val="24"/>
                    </w:rPr>
                    <w:t xml:space="preserve">. Vaiko psichomotorinės raidos tikrinimas </w:t>
                  </w:r>
                  <w:r>
                    <w:rPr>
                      <w:bCs/>
                      <w:color w:val="000000"/>
                      <w:szCs w:val="24"/>
                    </w:rPr>
                    <w:t>(toliau – raidos tikrinimas)</w:t>
                  </w:r>
                  <w:r>
                    <w:rPr>
                      <w:color w:val="000000"/>
                      <w:szCs w:val="24"/>
                    </w:rPr>
                    <w:t xml:space="preserve"> apima pagrindines vaiko raidos sritis: bendrąją motoriką, smulkiąją motoriką, pažinimą, kalbos supratimą, kalbos išraišką, savitvarką, socialinę emocinę raidą.</w:t>
                    <w:tab/>
                  </w:r>
                </w:p>
              </w:sdtContent>
            </w:sdt>
            <w:sdt>
              <w:sdtPr>
                <w:alias w:val="3 pr. 15 p."/>
                <w:tag w:val="part_fbb4c090c4074381bb572415f57b9603"/>
                <w:lock w:val="sdtLocked"/>
                <w:richText/>
              </w:sdtPr>
              <w:sdtContent>
                <w:p>
                  <w:pPr>
                    <w:ind w:firstLine="851"/>
                    <w:jc w:val="both"/>
                    <w:rPr>
                      <w:color w:val="000000"/>
                      <w:szCs w:val="24"/>
                    </w:rPr>
                  </w:pPr>
                  <w:sdt>
                    <w:sdtPr>
                      <w:alias w:val="Numeris"/>
                      <w:tag w:val="nr_fbb4c090c4074381bb572415f57b9603"/>
                      <w:lock w:val="sdtLocked"/>
                      <w:richText/>
                    </w:sdtPr>
                    <w:sdtContent>
                      <w:r>
                        <w:rPr>
                          <w:color w:val="000000"/>
                          <w:szCs w:val="24"/>
                        </w:rPr>
                        <w:t>15</w:t>
                      </w:r>
                    </w:sdtContent>
                  </w:sdt>
                  <w:r>
                    <w:rPr>
                      <w:color w:val="000000"/>
                      <w:szCs w:val="24"/>
                    </w:rPr>
                    <w:t xml:space="preserve">. Raida tikrinama Aprašo 1 priede nurodytais amžiaus tarpsniais ir periodiškumu. Neišnešiotų naujagimių raida tikrinama sulaukus 3, 6, 9 mėnesių koreguoto amžiaus,  o ankstyvojo amžiaus vaikų – 12, 18, 24 mėnesių koreguoto amžiaus bei 36 ir 48 mėnesių chronologinio</w:t>
                  </w:r>
                  <w:r>
                    <w:rPr>
                      <w:color w:val="FF0000"/>
                      <w:szCs w:val="24"/>
                    </w:rPr>
                    <w:t xml:space="preserve"> </w:t>
                  </w:r>
                  <w:r>
                    <w:rPr>
                      <w:color w:val="000000"/>
                      <w:szCs w:val="24"/>
                    </w:rPr>
                    <w:t>amžiaus. Leidžiamas tikrinimo laiko nukrypimas nuo nustatyto laiko – ne daugiau kaip 2 savaitės.</w:t>
                  </w:r>
                </w:p>
              </w:sdtContent>
            </w:sdt>
            <w:sdt>
              <w:sdtPr>
                <w:alias w:val="3 pr. 16 p."/>
                <w:tag w:val="part_acf7f5be067049e3938e6b56b4b51fc3"/>
                <w:lock w:val="sdtLocked"/>
                <w:richText/>
              </w:sdtPr>
              <w:sdtContent>
                <w:p>
                  <w:pPr>
                    <w:ind w:firstLine="851"/>
                    <w:jc w:val="both"/>
                    <w:rPr>
                      <w:color w:val="000000"/>
                      <w:szCs w:val="24"/>
                    </w:rPr>
                  </w:pPr>
                  <w:sdt>
                    <w:sdtPr>
                      <w:alias w:val="Numeris"/>
                      <w:tag w:val="nr_acf7f5be067049e3938e6b56b4b51fc3"/>
                      <w:lock w:val="sdtLocked"/>
                      <w:richText/>
                    </w:sdtPr>
                    <w:sdtContent>
                      <w:r>
                        <w:rPr>
                          <w:color w:val="000000"/>
                          <w:szCs w:val="24"/>
                        </w:rPr>
                        <w:t>16</w:t>
                      </w:r>
                    </w:sdtContent>
                  </w:sdt>
                  <w:r>
                    <w:rPr>
                      <w:color w:val="000000"/>
                      <w:szCs w:val="24"/>
                    </w:rPr>
                    <w:t xml:space="preserve">. Raidos tikrinimas pagal vaiko amžių ir įgūdžius nustatytas Vaiko psichomotorinės raidos tikrinimo lape (2 priedas). </w:t>
                  </w:r>
                </w:p>
              </w:sdtContent>
            </w:sdt>
            <w:sdt>
              <w:sdtPr>
                <w:alias w:val="3 pr. 17 p."/>
                <w:tag w:val="part_aee314df27454a0895ea5c441fdd42b0"/>
                <w:lock w:val="sdtLocked"/>
                <w:richText/>
              </w:sdtPr>
              <w:sdtContent>
                <w:p>
                  <w:pPr>
                    <w:ind w:firstLine="851"/>
                    <w:jc w:val="both"/>
                    <w:rPr>
                      <w:color w:val="000000"/>
                      <w:szCs w:val="24"/>
                    </w:rPr>
                  </w:pPr>
                  <w:sdt>
                    <w:sdtPr>
                      <w:alias w:val="Numeris"/>
                      <w:tag w:val="nr_aee314df27454a0895ea5c441fdd42b0"/>
                      <w:lock w:val="sdtLocked"/>
                      <w:richText/>
                    </w:sdtPr>
                    <w:sdtContent>
                      <w:r>
                        <w:rPr>
                          <w:color w:val="000000"/>
                          <w:szCs w:val="24"/>
                        </w:rPr>
                        <w:t>17</w:t>
                      </w:r>
                    </w:sdtContent>
                  </w:sdt>
                  <w:r>
                    <w:rPr>
                      <w:color w:val="000000"/>
                      <w:szCs w:val="24"/>
                    </w:rPr>
                    <w:t xml:space="preserve">. Tikrinant raidą naudojamos šios priemonės: barškutis ar varpelis, plastikinis puodelis arba analogiško dydžio dėžutė, kaladėlės, dėlionė: lenta su 3 pagrindinėmis formomis (trikampis, kvadratas, apskritimas) arba plastikinė dėžutė su atitinkamų formų angomis, knygutė su paveikslėliais, skirta 1–3 metų vaikams, lėlė,  popierius, vaikiškos piešimo kreidelės arba pieštukai.</w:t>
                  </w:r>
                </w:p>
              </w:sdtContent>
            </w:sdt>
            <w:sdt>
              <w:sdtPr>
                <w:alias w:val="3 pr. 18 p."/>
                <w:tag w:val="part_e83a7a7011d14455aeb332e8c655a75e"/>
                <w:lock w:val="sdtLocked"/>
                <w:richText/>
              </w:sdtPr>
              <w:sdtContent>
                <w:p>
                  <w:pPr>
                    <w:ind w:firstLine="851"/>
                    <w:jc w:val="both"/>
                    <w:rPr>
                      <w:color w:val="000000"/>
                      <w:szCs w:val="24"/>
                    </w:rPr>
                  </w:pPr>
                  <w:sdt>
                    <w:sdtPr>
                      <w:alias w:val="Numeris"/>
                      <w:tag w:val="nr_e83a7a7011d14455aeb332e8c655a75e"/>
                      <w:lock w:val="sdtLocked"/>
                      <w:richText/>
                    </w:sdtPr>
                    <w:sdtContent>
                      <w:r>
                        <w:rPr>
                          <w:color w:val="000000"/>
                          <w:szCs w:val="24"/>
                        </w:rPr>
                        <w:t>18</w:t>
                      </w:r>
                    </w:sdtContent>
                  </w:sdt>
                  <w:r>
                    <w:rPr>
                      <w:color w:val="000000"/>
                      <w:szCs w:val="24"/>
                    </w:rPr>
                    <w:t xml:space="preserve">. Atitinkamo amžiaus vaiko raidos  įgūdžius, nurodytus Aprašo 2 priede, galima tikrinti ne eilės tvarka.</w:t>
                  </w:r>
                </w:p>
              </w:sdtContent>
            </w:sdt>
            <w:sdt>
              <w:sdtPr>
                <w:alias w:val="3 pr. 19 p."/>
                <w:tag w:val="part_24227c835eb64439ba73fa26c66dce87"/>
                <w:lock w:val="sdtLocked"/>
                <w:richText/>
              </w:sdtPr>
              <w:sdtContent>
                <w:p>
                  <w:pPr>
                    <w:ind w:firstLine="851"/>
                    <w:jc w:val="both"/>
                    <w:rPr>
                      <w:color w:val="000000"/>
                      <w:szCs w:val="24"/>
                    </w:rPr>
                  </w:pPr>
                  <w:sdt>
                    <w:sdtPr>
                      <w:alias w:val="Numeris"/>
                      <w:tag w:val="nr_24227c835eb64439ba73fa26c66dce87"/>
                      <w:lock w:val="sdtLocked"/>
                      <w:richText/>
                    </w:sdtPr>
                    <w:sdtContent>
                      <w:r>
                        <w:rPr>
                          <w:color w:val="000000"/>
                          <w:szCs w:val="24"/>
                        </w:rPr>
                        <w:t>19</w:t>
                      </w:r>
                    </w:sdtContent>
                  </w:sdt>
                  <w:r>
                    <w:rPr>
                      <w:color w:val="000000"/>
                      <w:szCs w:val="24"/>
                    </w:rPr>
                    <w:t xml:space="preserve">. Raidos tikrinimas atliekamas tik pagal vaiko amžiaus tarpsnio užduotis. Svarbu atkreipti dėmesį ir įvertinti raidos sutrikimo riziką, kai tėvai pasako apie  anksčiau turėtų įgūdžių praradimą, t. y. vaikas nebesugeba atlikti to, ką anksčiau atliko gerai.</w:t>
                  </w:r>
                </w:p>
              </w:sdtContent>
            </w:sdt>
            <w:sdt>
              <w:sdtPr>
                <w:alias w:val="3 pr. 20 p."/>
                <w:tag w:val="part_d00eb34842824508a3c8349003bf643e"/>
                <w:lock w:val="sdtLocked"/>
                <w:richText/>
              </w:sdtPr>
              <w:sdtContent>
                <w:p>
                  <w:pPr>
                    <w:ind w:firstLine="851"/>
                    <w:jc w:val="both"/>
                    <w:rPr>
                      <w:color w:val="000000"/>
                      <w:szCs w:val="24"/>
                    </w:rPr>
                  </w:pPr>
                  <w:sdt>
                    <w:sdtPr>
                      <w:alias w:val="Numeris"/>
                      <w:tag w:val="nr_d00eb34842824508a3c8349003bf643e"/>
                      <w:lock w:val="sdtLocked"/>
                      <w:richText/>
                    </w:sdtPr>
                    <w:sdtContent>
                      <w:r>
                        <w:rPr>
                          <w:color w:val="000000"/>
                          <w:szCs w:val="24"/>
                        </w:rPr>
                        <w:t>20</w:t>
                      </w:r>
                    </w:sdtContent>
                  </w:sdt>
                  <w:r>
                    <w:rPr>
                      <w:color w:val="000000"/>
                      <w:szCs w:val="24"/>
                    </w:rPr>
                    <w:t>. Kiekvieno raidos tikrinimo metu Aprašo 5 punkte nurodytas gydytojas įvertina, kaip vaikas pagal savo amžių atlieka atitinkamas užduotis, ir užpildo Vaiko psichomotorinės raidos tikrinimo lapą (atitinkama Aprašo 2 priedo lentelė):</w:t>
                  </w:r>
                </w:p>
                <w:sdt>
                  <w:sdtPr>
                    <w:alias w:val="3 pr. 20.1 pp."/>
                    <w:tag w:val="part_0bbe62841cb24986afabed62b7aa31bf"/>
                    <w:lock w:val="sdtLocked"/>
                    <w:richText/>
                  </w:sdtPr>
                  <w:sdtContent>
                    <w:p>
                      <w:pPr>
                        <w:ind w:firstLine="851"/>
                        <w:jc w:val="both"/>
                        <w:rPr>
                          <w:color w:val="000000"/>
                          <w:szCs w:val="24"/>
                        </w:rPr>
                      </w:pPr>
                      <w:sdt>
                        <w:sdtPr>
                          <w:alias w:val="Numeris"/>
                          <w:tag w:val="nr_0bbe62841cb24986afabed62b7aa31bf"/>
                          <w:lock w:val="sdtLocked"/>
                          <w:richText/>
                        </w:sdtPr>
                        <w:sdtContent>
                          <w:r>
                            <w:rPr>
                              <w:color w:val="000000"/>
                              <w:szCs w:val="24"/>
                            </w:rPr>
                            <w:t>20.1</w:t>
                          </w:r>
                        </w:sdtContent>
                      </w:sdt>
                      <w:r>
                        <w:rPr>
                          <w:color w:val="000000"/>
                          <w:szCs w:val="24"/>
                        </w:rPr>
                        <w:t>. jeigu vaikas atlieka vertinamo amžiaus tarpsnio užduotis, įrašo išvadą „Normali raida“ ir tėvams pateikia kito laikotarpio vaiko įgūdžių lavinimo rekomendacijas, informuoja apie kito tikrinimo terminą;</w:t>
                      </w:r>
                    </w:p>
                  </w:sdtContent>
                </w:sdt>
                <w:sdt>
                  <w:sdtPr>
                    <w:alias w:val="3 pr. 20.2 pp."/>
                    <w:tag w:val="part_3f4b7a3eb7e340929876954df8c659bd"/>
                    <w:lock w:val="sdtLocked"/>
                    <w:richText/>
                  </w:sdtPr>
                  <w:sdtContent>
                    <w:p>
                      <w:pPr>
                        <w:ind w:firstLine="851"/>
                        <w:jc w:val="both"/>
                        <w:rPr>
                          <w:color w:val="000000"/>
                          <w:szCs w:val="24"/>
                        </w:rPr>
                      </w:pPr>
                      <w:sdt>
                        <w:sdtPr>
                          <w:alias w:val="Numeris"/>
                          <w:tag w:val="nr_3f4b7a3eb7e340929876954df8c659bd"/>
                          <w:lock w:val="sdtLocked"/>
                          <w:richText/>
                        </w:sdtPr>
                        <w:sdtContent>
                          <w:r>
                            <w:rPr>
                              <w:color w:val="000000"/>
                              <w:szCs w:val="24"/>
                            </w:rPr>
                            <w:t>20.2</w:t>
                          </w:r>
                        </w:sdtContent>
                      </w:sdt>
                      <w:r>
                        <w:rPr>
                          <w:color w:val="000000"/>
                          <w:szCs w:val="24"/>
                        </w:rPr>
                        <w:t>. jeigu vaikas neatlieka bent vienos iš vertinamo amžiaus tarpsnio užduočių, įrašo išvadą „Raidos sutrikimo rizika“.</w:t>
                      </w:r>
                    </w:p>
                  </w:sdtContent>
                </w:sdt>
              </w:sdtContent>
            </w:sdt>
            <w:sdt>
              <w:sdtPr>
                <w:alias w:val="3 pr. 21 p."/>
                <w:tag w:val="part_5c2bbb922ba54f07a3dc02dc969d4c13"/>
                <w:lock w:val="sdtLocked"/>
                <w:richText/>
              </w:sdtPr>
              <w:sdtContent>
                <w:p>
                  <w:pPr>
                    <w:ind w:firstLine="851"/>
                    <w:jc w:val="both"/>
                    <w:rPr>
                      <w:color w:val="000000"/>
                      <w:szCs w:val="24"/>
                    </w:rPr>
                  </w:pPr>
                  <w:sdt>
                    <w:sdtPr>
                      <w:alias w:val="Numeris"/>
                      <w:tag w:val="nr_5c2bbb922ba54f07a3dc02dc969d4c13"/>
                      <w:lock w:val="sdtLocked"/>
                      <w:richText/>
                    </w:sdtPr>
                    <w:sdtContent>
                      <w:r>
                        <w:rPr>
                          <w:color w:val="000000"/>
                          <w:szCs w:val="24"/>
                        </w:rPr>
                        <w:t>21</w:t>
                      </w:r>
                    </w:sdtContent>
                  </w:sdt>
                  <w:r>
                    <w:rPr>
                      <w:color w:val="000000"/>
                      <w:szCs w:val="24"/>
                    </w:rPr>
                    <w:t>. Vaiko psichomotorinės raidos tikrinimo lapai įklijuojami į Aprašo 5 punkte nurodyto gydytojo pildomą formą Nr. 025-112/a.</w:t>
                  </w:r>
                </w:p>
              </w:sdtContent>
            </w:sdt>
            <w:sdt>
              <w:sdtPr>
                <w:alias w:val="3 pr. 22 p."/>
                <w:tag w:val="part_d645e1d7c8cf4fe5a5c46a5c5b285e36"/>
                <w:lock w:val="sdtLocked"/>
                <w:richText/>
              </w:sdtPr>
              <w:sdtContent>
                <w:p>
                  <w:pPr>
                    <w:ind w:firstLine="851"/>
                    <w:jc w:val="both"/>
                    <w:rPr>
                      <w:color w:val="000000"/>
                      <w:szCs w:val="24"/>
                    </w:rPr>
                  </w:pPr>
                  <w:sdt>
                    <w:sdtPr>
                      <w:alias w:val="Numeris"/>
                      <w:tag w:val="nr_d645e1d7c8cf4fe5a5c46a5c5b285e36"/>
                      <w:lock w:val="sdtLocked"/>
                      <w:richText/>
                    </w:sdtPr>
                    <w:sdtContent>
                      <w:r>
                        <w:rPr>
                          <w:color w:val="000000"/>
                          <w:szCs w:val="24"/>
                        </w:rPr>
                        <w:t>22</w:t>
                      </w:r>
                    </w:sdtContent>
                  </w:sdt>
                  <w:r>
                    <w:rPr>
                      <w:color w:val="000000"/>
                      <w:szCs w:val="24"/>
                    </w:rPr>
                    <w:t>. Gydytojas su vaiko tėvais ar kitais vaiko atstovais pagal įstatymą aptaria kiekvieno raidos tikrinimo vertinimo rezultatus. Jei nustatoma raidos sutrikimo rizika, numatomas išsamesnis raidos vertinimas.</w:t>
                  </w:r>
                </w:p>
              </w:sdtContent>
            </w:sdt>
            <w:sdt>
              <w:sdtPr>
                <w:alias w:val="3 pr. 23 p."/>
                <w:tag w:val="part_1f08ee79734e4b21818ca4687a3905a8"/>
                <w:lock w:val="sdtLocked"/>
                <w:richText/>
              </w:sdtPr>
              <w:sdtContent>
                <w:p>
                  <w:pPr>
                    <w:ind w:firstLine="851"/>
                    <w:jc w:val="both"/>
                    <w:rPr>
                      <w:color w:val="000000"/>
                      <w:szCs w:val="24"/>
                    </w:rPr>
                  </w:pPr>
                  <w:sdt>
                    <w:sdtPr>
                      <w:alias w:val="Numeris"/>
                      <w:tag w:val="nr_1f08ee79734e4b21818ca4687a3905a8"/>
                      <w:lock w:val="sdtLocked"/>
                      <w:richText/>
                    </w:sdtPr>
                    <w:sdtContent>
                      <w:r>
                        <w:rPr>
                          <w:color w:val="000000"/>
                          <w:szCs w:val="24"/>
                        </w:rPr>
                        <w:t>23</w:t>
                      </w:r>
                    </w:sdtContent>
                  </w:sdt>
                  <w:r>
                    <w:rPr>
                      <w:color w:val="000000"/>
                      <w:szCs w:val="24"/>
                    </w:rPr>
                    <w:t>. Jeigu po raidos tikrinimo pacientas siunčiamas pas antrinio lygio sveikatos priežiūros paslaugas teikiantį specialistą atlikti išsamesnio raidos vertinimo ir vaikų raidos sutrikimų ankstyvosios reabilitacijos į antrinio lygio vaikų raidos sutrikimų ankstyvosios reabilitacijos paslaugas teikiančią ASPĮ, apie tai įrašoma formoje Nr. 025-112/a. Siunčiant išsamiau įvertinti psichomotorinės raidos, išrašo iš medicinos dokumentų formoje Nr. 027/a įrašoma, kurių raidos tikrinimo užduočių vaikas neatliko.</w:t>
                  </w:r>
                </w:p>
              </w:sdtContent>
            </w:sdt>
            <w:sdt>
              <w:sdtPr>
                <w:alias w:val="3 pr. 24 p."/>
                <w:tag w:val="part_339d2d45277e47c8a59d398b8053dd3b"/>
                <w:lock w:val="sdtLocked"/>
                <w:richText/>
              </w:sdtPr>
              <w:sdtContent>
                <w:p>
                  <w:pPr>
                    <w:ind w:firstLine="851"/>
                    <w:jc w:val="both"/>
                    <w:rPr>
                      <w:color w:val="000000"/>
                      <w:szCs w:val="24"/>
                    </w:rPr>
                  </w:pPr>
                  <w:sdt>
                    <w:sdtPr>
                      <w:alias w:val="Numeris"/>
                      <w:tag w:val="nr_339d2d45277e47c8a59d398b8053dd3b"/>
                      <w:lock w:val="sdtLocked"/>
                      <w:richText/>
                    </w:sdtPr>
                    <w:sdtContent>
                      <w:r>
                        <w:rPr>
                          <w:color w:val="000000"/>
                          <w:szCs w:val="24"/>
                        </w:rPr>
                        <w:t>24</w:t>
                      </w:r>
                    </w:sdtContent>
                  </w:sdt>
                  <w:r>
                    <w:rPr>
                      <w:color w:val="000000"/>
                      <w:szCs w:val="24"/>
                    </w:rPr>
                    <w:t xml:space="preserve">. Nesant galimybės pagal vaiko gyvenamąją vietą teikti antrinio lygio ambulatorinių vaiko raidos sutrikimų ankstyvosios reabilitacijos paslaugų, Aprašo 5 punkte nurodytas gydytojas vaiką siunčia vaikų ir paauglių psichiatro konsultacijos arba vaikų neurologo konsultacijos. </w:t>
                  </w:r>
                </w:p>
              </w:sdtContent>
            </w:sdt>
            <w:sdt>
              <w:sdtPr>
                <w:alias w:val="3 pr. 25 p."/>
                <w:tag w:val="part_b40990ce1a5c44549ca9f908d1b10599"/>
                <w:lock w:val="sdtLocked"/>
                <w:richText/>
              </w:sdtPr>
              <w:sdtContent>
                <w:p>
                  <w:pPr>
                    <w:ind w:firstLine="851"/>
                    <w:jc w:val="both"/>
                    <w:rPr>
                      <w:color w:val="000000"/>
                      <w:szCs w:val="24"/>
                    </w:rPr>
                  </w:pPr>
                  <w:sdt>
                    <w:sdtPr>
                      <w:alias w:val="Numeris"/>
                      <w:tag w:val="nr_b40990ce1a5c44549ca9f908d1b10599"/>
                      <w:lock w:val="sdtLocked"/>
                      <w:richText/>
                    </w:sdtPr>
                    <w:sdtContent>
                      <w:r>
                        <w:rPr>
                          <w:color w:val="000000"/>
                          <w:szCs w:val="24"/>
                        </w:rPr>
                        <w:t>25</w:t>
                      </w:r>
                    </w:sdtContent>
                  </w:sdt>
                  <w:r>
                    <w:rPr>
                      <w:color w:val="000000"/>
                      <w:szCs w:val="24"/>
                    </w:rPr>
                    <w:t>. Jei vaikas toliau stebimas ir gydomas vaikų raidos sutrikimų ankstyvosios reabilitacijos paslaugas teikiančioje ASPĮ dėl raidos sutrikimo, raidos tikrinimas pirminės ASPĮ nebeatliekamas ir Aprašo 5 punkte nurodytas gydytojas tai įrašo jo formoje Nr. 025-112/a.</w:t>
                  </w:r>
                </w:p>
                <w:p>
                  <w:pPr>
                    <w:jc w:val="both"/>
                    <w:rPr>
                      <w:color w:val="000000"/>
                      <w:szCs w:val="24"/>
                    </w:rPr>
                  </w:pPr>
                </w:p>
              </w:sdtContent>
            </w:sdt>
          </w:sdtContent>
        </w:sdt>
        <w:sdt>
          <w:sdtPr>
            <w:alias w:val="skyrius"/>
            <w:tag w:val="part_4eaab3b2a8fe47f183fc0aa0f01c44e3"/>
            <w:lock w:val="sdtLocked"/>
            <w:richText/>
          </w:sdtPr>
          <w:sdtContent>
            <w:p>
              <w:pPr>
                <w:ind w:left="360"/>
                <w:jc w:val="center"/>
                <w:rPr>
                  <w:caps/>
                  <w:color w:val="000000"/>
                  <w:szCs w:val="24"/>
                </w:rPr>
              </w:pPr>
              <w:sdt>
                <w:sdtPr>
                  <w:alias w:val="Numeris"/>
                  <w:tag w:val="nr_4eaab3b2a8fe47f183fc0aa0f01c44e3"/>
                  <w:lock w:val="sdtLocked"/>
                  <w:richText/>
                </w:sdtPr>
                <w:sdtContent>
                  <w:r>
                    <w:rPr>
                      <w:b/>
                      <w:caps/>
                      <w:color w:val="000000"/>
                      <w:szCs w:val="24"/>
                    </w:rPr>
                    <w:t>IV</w:t>
                  </w:r>
                </w:sdtContent>
              </w:sdt>
              <w:r>
                <w:rPr>
                  <w:b/>
                  <w:caps/>
                  <w:color w:val="000000"/>
                  <w:szCs w:val="24"/>
                </w:rPr>
                <w:t xml:space="preserve"> SKYRIUS </w:t>
              </w:r>
            </w:p>
            <w:p>
              <w:pPr>
                <w:ind w:left="360"/>
                <w:jc w:val="center"/>
                <w:rPr>
                  <w:b/>
                  <w:caps/>
                  <w:color w:val="000000"/>
                  <w:szCs w:val="24"/>
                </w:rPr>
              </w:pPr>
              <w:sdt>
                <w:sdtPr>
                  <w:alias w:val="Pavadinimas"/>
                  <w:tag w:val="title_4eaab3b2a8fe47f183fc0aa0f01c44e3"/>
                  <w:lock w:val="sdtLocked"/>
                  <w:richText/>
                </w:sdtPr>
                <w:sdtContent>
                  <w:r>
                    <w:rPr>
                      <w:b/>
                      <w:caps/>
                      <w:color w:val="000000"/>
                      <w:szCs w:val="24"/>
                    </w:rPr>
                    <w:t>BAIGIAMOSIOS NUOSTATOS</w:t>
                  </w:r>
                </w:sdtContent>
              </w:sdt>
            </w:p>
            <w:p>
              <w:pPr>
                <w:ind w:left="360"/>
                <w:jc w:val="center"/>
                <w:rPr>
                  <w:b/>
                  <w:caps/>
                  <w:color w:val="000000"/>
                  <w:szCs w:val="24"/>
                </w:rPr>
              </w:pPr>
            </w:p>
            <w:sdt>
              <w:sdtPr>
                <w:alias w:val="3 pr. 26 p."/>
                <w:tag w:val="part_a049b2d0aaf94017b371316a52daa436"/>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pPr>
                  <w:sdt>
                    <w:sdtPr>
                      <w:alias w:val="Numeris"/>
                      <w:tag w:val="nr_a049b2d0aaf94017b371316a52daa436"/>
                      <w:lock w:val="sdtLocked"/>
                      <w:richText/>
                    </w:sdtPr>
                    <w:sdtContent>
                      <w:r>
                        <w:rPr>
                          <w:color w:val="000000"/>
                          <w:szCs w:val="24"/>
                          <w:lang w:eastAsia="lt-LT"/>
                        </w:rPr>
                        <w:t>26</w:t>
                      </w:r>
                    </w:sdtContent>
                  </w:sdt>
                  <w:r>
                    <w:rPr>
                      <w:color w:val="000000"/>
                      <w:szCs w:val="24"/>
                      <w:lang w:eastAsia="lt-LT"/>
                    </w:rPr>
                    <w:t>. Atlikus privalomą profilaktinį</w:t>
                  </w:r>
                  <w:r>
                    <w:rPr>
                      <w:szCs w:val="24"/>
                      <w:lang w:eastAsia="lt-LT"/>
                    </w:rPr>
                    <w:t xml:space="preserve"> pilnamečio mokinio ar vaiko, lankančio švietimo ar kitą ugdymo įstaigą, sveikatos tikrinimą, </w:t>
                  </w:r>
                  <w:r>
                    <w:rPr>
                      <w:rFonts w:eastAsia="Calibri"/>
                      <w:szCs w:val="24"/>
                    </w:rPr>
                    <w:t xml:space="preserve">elektroninės sveikatos paslaugų ir bendradarbiavimo infrastruktūros informacinėje sistemoje (toliau – ESPBI IS) užpildoma </w:t>
                  </w:r>
                  <w:r>
                    <w:rPr>
                      <w:szCs w:val="24"/>
                    </w:rPr>
                    <w:t xml:space="preserve">elektroninės statistinės apskaitos forma Nr. E027-1 „Mokinio sveikatos pažymėjimas“, patvirtinta </w:t>
                  </w:r>
                  <w:r>
                    <w:rPr>
                      <w:szCs w:val="24"/>
                      <w:lang w:eastAsia="lt-LT"/>
                    </w:rPr>
                    <w:t>Lietuvos Respublikos sveikatos apsaugos ministro 2004 m. gruodžio 24 d. įsakymu Nr. V-951 „Dėl e</w:t>
                  </w:r>
                  <w:r>
                    <w:rPr>
                      <w:szCs w:val="24"/>
                    </w:rPr>
                    <w:t>lektroninės statistinės apskaitos formos Nr. E027-1 „Mokinio sveikatos pažymėjimas“</w:t>
                  </w:r>
                  <w:r>
                    <w:rPr>
                      <w:szCs w:val="24"/>
                      <w:lang w:eastAsia="lt-LT"/>
                    </w:rPr>
                    <w:t xml:space="preserve"> patvirtinimo“ (toliau – forma E027-1), kurioje įrašomi reikiami duomenys, išvados ir rekomendacijos švietimo ar kitai ugdymo įstaigai.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bfed02ba411eabe008ea93139d588">
                    <w:r w:rsidRPr="00532B9F">
                      <w:rPr>
                        <w:rFonts w:ascii="Times New Roman" w:eastAsia="MS Mincho" w:hAnsi="Times New Roman"/>
                        <w:sz w:val="20"/>
                        <w:i/>
                        <w:iCs/>
                        <w:color w:val="0000FF" w:themeColor="hyperlink"/>
                        <w:u w:val="single"/>
                      </w:rPr>
                      <w:t>V-1535</w:t>
                    </w:r>
                  </w:fldSimple>
                  <w:r>
                    <w:rPr>
                      <w:rFonts w:ascii="Times New Roman" w:eastAsia="MS Mincho" w:hAnsi="Times New Roman"/>
                      <w:sz w:val="20"/>
                      <w:i/>
                      <w:iCs/>
                    </w:rPr>
                    <w:t>,
2019-12-30,
paskelbta TAR 2019-12-31, i. k. 2019-21774            </w:t>
                  </w:r>
                </w:p>
                <w:p/>
              </w:sdtContent>
            </w:sdt>
            <w:sdt>
              <w:sdtPr>
                <w:alias w:val="26-1 p."/>
                <w:tag w:val="part_3a83b56652c443d19faa6fc3a71ad132"/>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3a83b56652c443d19faa6fc3a71ad132"/>
                      <w:lock w:val="sdtLocked"/>
                      <w:richText/>
                    </w:sdtPr>
                    <w:sdtContent>
                      <w:r>
                        <w:rPr>
                          <w:szCs w:val="24"/>
                          <w:lang w:eastAsia="lt-LT"/>
                        </w:rPr>
                        <w:t>26</w:t>
                      </w:r>
                      <w:r>
                        <w:rPr>
                          <w:szCs w:val="24"/>
                          <w:vertAlign w:val="superscript"/>
                          <w:lang w:eastAsia="lt-LT"/>
                        </w:rPr>
                        <w:t>1</w:t>
                      </w:r>
                    </w:sdtContent>
                  </w:sdt>
                  <w:r>
                    <w:rPr>
                      <w:szCs w:val="24"/>
                      <w:lang w:eastAsia="lt-LT"/>
                    </w:rPr>
                    <w:t xml:space="preserve">. </w:t>
                  </w:r>
                  <w:r>
                    <w:rPr>
                      <w:bCs/>
                      <w:szCs w:val="24"/>
                      <w:lang w:eastAsia="lt-LT"/>
                    </w:rPr>
                    <w:t>Esant ESPBI IS arba ASPĮ vidinių informacinės sistemos veikimo sutrikimų, forma E027-1 užpildoma atkūrus sistemos / sistemų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7 p."/>
                <w:tag w:val="part_8d2b7b70ce7c406ea672890a3bf6084a"/>
                <w:lock w:val="sdtLocked"/>
                <w:richText/>
              </w:sdtPr>
              <w:sdtContent>
                <w:p>
                  <w:pPr>
                    <w:ind w:firstLine="851"/>
                    <w:jc w:val="both"/>
                    <w:rPr>
                      <w:color w:val="000000"/>
                      <w:szCs w:val="24"/>
                    </w:rPr>
                  </w:pPr>
                  <w:sdt>
                    <w:sdtPr>
                      <w:alias w:val="Numeris"/>
                      <w:tag w:val="nr_8d2b7b70ce7c406ea672890a3bf6084a"/>
                      <w:lock w:val="sdtLocked"/>
                      <w:richText/>
                    </w:sdtPr>
                    <w:sdtContent>
                      <w:r>
                        <w:rPr>
                          <w:szCs w:val="24"/>
                          <w:lang w:eastAsia="lt-LT"/>
                        </w:rPr>
                        <w:t>27</w:t>
                      </w:r>
                    </w:sdtContent>
                  </w:sdt>
                  <w:r>
                    <w:rPr>
                      <w:szCs w:val="24"/>
                      <w:lang w:eastAsia="lt-LT"/>
                    </w:rPr>
                    <w:t xml:space="preserve">. Jeigu nepasibaigus formos Nr. </w:t>
                  </w:r>
                  <w:r>
                    <w:rPr>
                      <w:szCs w:val="24"/>
                    </w:rPr>
                    <w:t xml:space="preserve">E027-1 galiojimo laikui vaiko ar pilnamečio mokinio sveikatos būklė pasikeičia taip, kad turi būti keičiama jo fizinio ugdymo grupė arba atsiranda naujų bendrų arba specialių rekomendacijų, kurių turi būti laikomasi jam dalyvaujant ugdymo veikloje, ši informacija įrašoma į formą Nr. 046/a „Medicininis pažymėjimas“, </w:t>
                  </w:r>
                  <w:r>
                    <w:rPr>
                      <w:color w:val="000000"/>
                      <w:spacing w:val="-4"/>
                      <w:szCs w:val="24"/>
                      <w:lang w:eastAsia="lt-LT"/>
                    </w:rPr>
                    <w:t xml:space="preserve">patvirtintą Lietuvos Respublikos sveikatos apsaugos ministro 2014 m. sausio 27 d.  įsakymu Nr. V-120 „Dėl privalomų sveikatos statistikos apskaitos ir kitų tipinių formų bei privalomų sveikatos statistikos ataskaitų formų patvirtinimo“</w:t>
                  </w:r>
                  <w:r>
                    <w:rPr>
                      <w:szCs w:val="24"/>
                    </w:rPr>
                    <w:t>, kuri pateikiama</w:t>
                  </w:r>
                  <w:r>
                    <w:rPr>
                      <w:szCs w:val="24"/>
                      <w:lang w:eastAsia="lt-LT"/>
                    </w:rPr>
                    <w:t xml:space="preserve"> visuomenės sveikatos specialistui, vykdančiam sveikatos priežiūrą mokykloje.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8 p."/>
                <w:tag w:val="part_7e98687be84a48ca85ac6bacae23fceb"/>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e98687be84a48ca85ac6bacae23fceb"/>
                      <w:lock w:val="sdtLocked"/>
                      <w:richText/>
                    </w:sdtPr>
                    <w:sdtContent>
                      <w:r>
                        <w:rPr>
                          <w:color w:val="000000"/>
                          <w:szCs w:val="24"/>
                          <w:lang w:eastAsia="lt-LT"/>
                        </w:rPr>
                        <w:t>28</w:t>
                      </w:r>
                    </w:sdtContent>
                  </w:sdt>
                  <w:r>
                    <w:rPr>
                      <w:color w:val="000000"/>
                      <w:szCs w:val="24"/>
                      <w:lang w:eastAsia="lt-LT"/>
                    </w:rPr>
                    <w:t>. Atlikus privalomą profilaktinį sveikatos tikrinimą</w:t>
                  </w:r>
                  <w:r>
                    <w:rPr>
                      <w:szCs w:val="24"/>
                      <w:lang w:eastAsia="lt-LT"/>
                    </w:rPr>
                    <w:t>,</w:t>
                  </w:r>
                  <w:r>
                    <w:rPr>
                      <w:color w:val="000000"/>
                      <w:szCs w:val="24"/>
                      <w:lang w:eastAsia="lt-LT"/>
                    </w:rPr>
                    <w:t xml:space="preserve"> p</w:t>
                  </w:r>
                  <w:r>
                    <w:rPr>
                      <w:szCs w:val="24"/>
                      <w:lang w:eastAsia="lt-LT"/>
                    </w:rPr>
                    <w:t xml:space="preserve">ilnamečiam mokiniui ar </w:t>
                  </w:r>
                  <w:r>
                    <w:rPr>
                      <w:color w:val="000000"/>
                      <w:szCs w:val="24"/>
                      <w:lang w:eastAsia="lt-LT"/>
                    </w:rPr>
                    <w:t xml:space="preserve">švietimo ar kitą ugdymo įstaigą lankančiam vaikui (jo tėvams arba kitiems atstovams pagal įstatymą) pageidaujant, ASPĮ nustatyta tvarka išduodama </w:t>
                  </w:r>
                  <w:r>
                    <w:rPr>
                      <w:szCs w:val="24"/>
                    </w:rPr>
                    <w:t>formos Nr. E027-1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9 p."/>
                <w:tag w:val="part_8555f97a3262479ba5fb4e463a613e5d"/>
                <w:lock w:val="sdtLocked"/>
                <w:richText/>
              </w:sdtPr>
              <w:sdtContent>
                <w:p>
                  <w:pPr>
                    <w:ind w:firstLine="851"/>
                    <w:jc w:val="both"/>
                    <w:rPr>
                      <w:color w:val="000000"/>
                      <w:szCs w:val="24"/>
                    </w:rPr>
                  </w:pPr>
                  <w:sdt>
                    <w:sdtPr>
                      <w:alias w:val="Numeris"/>
                      <w:tag w:val="nr_8555f97a3262479ba5fb4e463a613e5d"/>
                      <w:lock w:val="sdtLocked"/>
                      <w:richText/>
                    </w:sdtPr>
                    <w:sdtContent>
                      <w:r>
                        <w:rPr>
                          <w:szCs w:val="24"/>
                          <w:lang w:eastAsia="lt-LT"/>
                        </w:rPr>
                        <w:t>29</w:t>
                      </w:r>
                    </w:sdtContent>
                  </w:sdt>
                  <w:r>
                    <w:rPr>
                      <w:szCs w:val="24"/>
                      <w:lang w:eastAsia="lt-LT"/>
                    </w:rPr>
                    <w:t xml:space="preserve">. Atlikus privalomą profilaktinį sveikatos tikrinimą užpildyta forma Nr. </w:t>
                  </w:r>
                  <w:r>
                    <w:rPr>
                      <w:szCs w:val="24"/>
                    </w:rPr>
                    <w:t>E027-1 galioja 1 metus nuo užpildymo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29-1 p."/>
                <w:tag w:val="part_0351775175ec4b8b867f6171dceea24d"/>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0351775175ec4b8b867f6171dceea24d"/>
                      <w:lock w:val="sdtLocked"/>
                      <w:richText/>
                    </w:sdtPr>
                    <w:sdtContent>
                      <w:r>
                        <w:rPr>
                          <w:color w:val="000000"/>
                          <w:szCs w:val="24"/>
                          <w:lang w:eastAsia="lt-LT"/>
                        </w:rPr>
                        <w:t>29</w:t>
                      </w:r>
                      <w:r>
                        <w:rPr>
                          <w:color w:val="000000"/>
                          <w:szCs w:val="24"/>
                          <w:vertAlign w:val="superscript"/>
                          <w:lang w:eastAsia="lt-LT"/>
                        </w:rPr>
                        <w:t>1</w:t>
                      </w:r>
                    </w:sdtContent>
                  </w:sdt>
                  <w:r>
                    <w:rPr>
                      <w:color w:val="000000"/>
                      <w:szCs w:val="24"/>
                      <w:lang w:eastAsia="lt-LT"/>
                    </w:rPr>
                    <w:t xml:space="preserve">. Jei </w:t>
                  </w:r>
                  <w:r>
                    <w:rPr>
                      <w:szCs w:val="24"/>
                    </w:rPr>
                    <w:t xml:space="preserve">Lietuvos Respublikos Vyriausybei paskelbus valstybės lygio ekstremaliąją situaciją ir (ar) karantiną visos Lietuvos Respublikos mastu </w:t>
                  </w:r>
                  <w:r>
                    <w:rPr>
                      <w:color w:val="000000"/>
                      <w:szCs w:val="24"/>
                      <w:lang w:eastAsia="lt-LT"/>
                    </w:rPr>
                    <w:t>sustabdomas arba apribojamas vaikų profilaktinio patikrinimo paslaugų teikimas, iki karantino ir (ar) ekstremaliosios situacijos paskelbimo dienos paskutinė išduota forma Nr. E027-1 laikoma galiojančia iki einamųjų metų pabaigos toliau nurodytas sąlygas atitinkantiems pilnamečiams mokiniams ir vaikams, lankantiems švietimo ar kitą ugdymo įstaigą:</w:t>
                  </w:r>
                </w:p>
                <w:sdt>
                  <w:sdtPr>
                    <w:alias w:val="29-1.1 pp."/>
                    <w:tag w:val="part_0ba28f4b4291473a96ab136c685fb4a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0ba28f4b4291473a96ab136c685fb4ae"/>
                          <w:lock w:val="sdtLocked"/>
                          <w:richText/>
                        </w:sdtPr>
                        <w:sdtContent>
                          <w:r>
                            <w:rPr>
                              <w:color w:val="000000"/>
                              <w:szCs w:val="24"/>
                              <w:lang w:eastAsia="lt-LT"/>
                            </w:rPr>
                            <w:t>29</w:t>
                          </w:r>
                          <w:r>
                            <w:rPr>
                              <w:color w:val="000000"/>
                              <w:szCs w:val="24"/>
                              <w:vertAlign w:val="superscript"/>
                              <w:lang w:eastAsia="lt-LT"/>
                            </w:rPr>
                            <w:t>1</w:t>
                          </w:r>
                          <w:r>
                            <w:rPr>
                              <w:color w:val="000000"/>
                              <w:szCs w:val="24"/>
                              <w:lang w:eastAsia="lt-LT"/>
                            </w:rPr>
                            <w:t>.1</w:t>
                          </w:r>
                        </w:sdtContent>
                      </w:sdt>
                      <w:r>
                        <w:rPr>
                          <w:color w:val="000000"/>
                          <w:szCs w:val="24"/>
                          <w:lang w:eastAsia="lt-LT"/>
                        </w:rPr>
                        <w:t>.</w:t>
                      </w:r>
                      <w:r>
                        <w:rPr>
                          <w:color w:val="000000"/>
                          <w:szCs w:val="24"/>
                          <w:vertAlign w:val="superscript"/>
                          <w:lang w:eastAsia="lt-LT"/>
                        </w:rPr>
                        <w:t xml:space="preserve"> </w:t>
                      </w:r>
                      <w:r>
                        <w:rPr>
                          <w:color w:val="000000"/>
                          <w:szCs w:val="24"/>
                          <w:lang w:eastAsia="lt-LT"/>
                        </w:rPr>
                        <w:t>kurių ugdymas naujais mokslo metais bus tęsiamas toje pačioje švietimo įstaigoje arba toje pačioje ugdymo įstaigoje;</w:t>
                      </w:r>
                    </w:p>
                  </w:sdtContent>
                </w:sdt>
                <w:sdt>
                  <w:sdtPr>
                    <w:alias w:val="29-1.2 pp."/>
                    <w:tag w:val="part_e1965469061a46bfa9f804aac3de40f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e1965469061a46bfa9f804aac3de40fe"/>
                          <w:lock w:val="sdtLocked"/>
                          <w:richText/>
                        </w:sdtPr>
                        <w:sdtContent>
                          <w:r>
                            <w:rPr>
                              <w:color w:val="000000"/>
                              <w:szCs w:val="24"/>
                              <w:lang w:eastAsia="lt-LT"/>
                            </w:rPr>
                            <w:t>29</w:t>
                          </w:r>
                          <w:r>
                            <w:rPr>
                              <w:color w:val="000000"/>
                              <w:szCs w:val="24"/>
                              <w:vertAlign w:val="superscript"/>
                              <w:lang w:eastAsia="lt-LT"/>
                            </w:rPr>
                            <w:t>1</w:t>
                          </w:r>
                          <w:r>
                            <w:rPr>
                              <w:color w:val="000000"/>
                              <w:szCs w:val="24"/>
                              <w:lang w:eastAsia="lt-LT"/>
                            </w:rPr>
                            <w:t>.2</w:t>
                          </w:r>
                        </w:sdtContent>
                      </w:sdt>
                      <w:r>
                        <w:rPr>
                          <w:color w:val="000000"/>
                          <w:szCs w:val="24"/>
                          <w:lang w:eastAsia="lt-LT"/>
                        </w:rPr>
                        <w:t>. kurių sveikatos būklė nuo paskutinio privalomo profilaktinio sveikatos tikrinimo nepasikeitė taip, kad reikėtų keisti jų fizinio ugdymo grupę, arba neatsirado naujų bendrų arba specialių rekomendacijų, kurių turi būti laikomasi jiems dalyvaujant ugdymo veikloje.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fc9970c0f011ea9815f635b9c0dcef">
                    <w:r w:rsidRPr="00532B9F">
                      <w:rPr>
                        <w:rFonts w:ascii="Times New Roman" w:eastAsia="MS Mincho" w:hAnsi="Times New Roman"/>
                        <w:sz w:val="20"/>
                        <w:i/>
                        <w:iCs/>
                        <w:color w:val="0000FF" w:themeColor="hyperlink"/>
                        <w:u w:val="single"/>
                      </w:rPr>
                      <w:t>V-1615</w:t>
                    </w:r>
                  </w:fldSimple>
                  <w:r>
                    <w:rPr>
                      <w:rFonts w:ascii="Times New Roman" w:eastAsia="MS Mincho" w:hAnsi="Times New Roman"/>
                      <w:sz w:val="20"/>
                      <w:i/>
                      <w:iCs/>
                    </w:rPr>
                    <w:t>,
2020-07-07,
paskelbta TAR 2020-07-08, i. k. 2020-15197        </w:t>
                  </w:r>
                </w:p>
                <w:p/>
              </w:sdtContent>
            </w:sdt>
            <w:sdt>
              <w:sdtPr>
                <w:alias w:val="3 pr. 30 p."/>
                <w:tag w:val="part_fbfc8fe1fcff4eda8a8b2a87b2d3d1e5"/>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fbfc8fe1fcff4eda8a8b2a87b2d3d1e5"/>
                      <w:lock w:val="sdtLocked"/>
                      <w:richText/>
                    </w:sdtPr>
                    <w:sdtContent>
                      <w:r>
                        <w:rPr>
                          <w:color w:val="000000"/>
                          <w:szCs w:val="24"/>
                          <w:lang w:eastAsia="lt-LT"/>
                        </w:rPr>
                        <w:t>30</w:t>
                      </w:r>
                    </w:sdtContent>
                  </w:sdt>
                  <w:r>
                    <w:rPr>
                      <w:color w:val="000000"/>
                      <w:szCs w:val="24"/>
                      <w:lang w:eastAsia="lt-LT"/>
                    </w:rPr>
                    <w:t>. Sudėtingais atvejais (kai dėl medicininių priežasčių reikia priimti individualius sprendimus) išvadą ar rekomendacijas dėl tinkamumo dėl medicininių priežasčių lankyti švietimo ar kitą įstaigą pateikia ASPĮ gydytojų konsultacinė komisija.</w:t>
                  </w:r>
                </w:p>
                <w:p>
                  <w:pPr>
                    <w:ind w:firstLine="851"/>
                    <w:jc w:val="both"/>
                    <w:rPr>
                      <w:color w:val="000000"/>
                      <w:szCs w:val="24"/>
                    </w:rPr>
                  </w:pPr>
                </w:p>
                <w:p>
                  <w:pPr>
                    <w:snapToGrid w:val="0"/>
                    <w:ind w:left="851"/>
                    <w:jc w:val="center"/>
                  </w:pPr>
                  <w:r>
                    <w:rPr>
                      <w:color w:val="000000"/>
                      <w:szCs w:val="24"/>
                    </w:rPr>
                    <w:t>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1 pr."/>
        <w:tag w:val="part_1e6f2f143efc40b993e6e173b5c83d4d"/>
        <w:lock w:val="sdtLocked"/>
        <w:richText/>
      </w:sdtPr>
      <w:sdtContent>
        <w:p>
          <w:pPr>
            <w:suppressAutoHyphens/>
            <w:jc w:val="both"/>
            <w:textAlignment w:val="center"/>
            <w:rPr>
              <w:color w:val="000000"/>
              <w:szCs w:val="24"/>
            </w:rPr>
          </w:pPr>
        </w:p>
        <w:p>
          <w:pPr>
            <w:suppressAutoHyphens/>
            <w:jc w:val="both"/>
            <w:textAlignment w:val="center"/>
            <w:rPr>
              <w:color w:val="000000"/>
              <w:sz w:val="20"/>
            </w:rPr>
            <w:sectPr>
              <w:pgSz w:w="11906" w:h="16838" w:code="9"/>
              <w:pgMar w:top="1134" w:right="567" w:bottom="1134" w:left="1701" w:header="1134" w:footer="1134" w:gutter="0"/>
              <w:pgNumType w:start="1"/>
              <w:cols w:space="720"/>
              <w:titlePg/>
            </w:sectPr>
          </w:pPr>
        </w:p>
        <w:p>
          <w:pPr>
            <w:tabs>
              <w:tab w:val="left" w:pos="5812"/>
            </w:tabs>
            <w:ind w:left="7655"/>
            <w:rPr>
              <w:bCs/>
              <w:szCs w:val="24"/>
            </w:rPr>
          </w:pPr>
          <w:r>
            <w:rPr>
              <w:szCs w:val="24"/>
            </w:rPr>
            <w:t xml:space="preserve">Vaikų </w:t>
          </w:r>
          <w:r>
            <w:rPr>
              <w:bCs/>
              <w:szCs w:val="24"/>
            </w:rPr>
            <w:t xml:space="preserve">ir pilnamečių mokinių, ugdomų </w:t>
          </w:r>
        </w:p>
        <w:p>
          <w:pPr>
            <w:tabs>
              <w:tab w:val="left" w:pos="5812"/>
            </w:tabs>
            <w:ind w:left="7655"/>
            <w:rPr>
              <w:szCs w:val="24"/>
            </w:rPr>
          </w:pPr>
          <w:r>
            <w:rPr>
              <w:bCs/>
              <w:szCs w:val="24"/>
            </w:rPr>
            <w:t>pagal bendrojo ugdymo programas,</w:t>
          </w:r>
          <w:r>
            <w:rPr>
              <w:szCs w:val="24"/>
            </w:rPr>
            <w:t xml:space="preserve"> </w:t>
          </w:r>
        </w:p>
        <w:p>
          <w:pPr>
            <w:tabs>
              <w:tab w:val="left" w:pos="5812"/>
            </w:tabs>
            <w:ind w:left="7655"/>
            <w:rPr>
              <w:szCs w:val="24"/>
            </w:rPr>
          </w:pPr>
          <w:r>
            <w:rPr>
              <w:szCs w:val="24"/>
            </w:rPr>
            <w:t>tikrinimo tvarkos aprašo</w:t>
          </w:r>
        </w:p>
        <w:p>
          <w:pPr>
            <w:tabs>
              <w:tab w:val="left" w:pos="11057"/>
            </w:tabs>
            <w:ind w:left="7655" w:right="-195"/>
            <w:rPr>
              <w:color w:val="000000"/>
              <w:szCs w:val="24"/>
            </w:rPr>
          </w:pPr>
          <w:r>
            <w:rPr>
              <w:color w:val="000000"/>
              <w:szCs w:val="24"/>
            </w:rPr>
            <w:t xml:space="preserve">1 priedas </w:t>
          </w:r>
        </w:p>
        <w:p>
          <w:pPr>
            <w:ind w:left="10065"/>
            <w:rPr>
              <w:color w:val="000000"/>
              <w:szCs w:val="24"/>
            </w:rPr>
          </w:pPr>
        </w:p>
        <w:p>
          <w:pPr>
            <w:ind w:left="10065"/>
            <w:rPr>
              <w:color w:val="000000"/>
              <w:szCs w:val="24"/>
            </w:rPr>
          </w:pPr>
        </w:p>
        <w:sdt>
          <w:sdtPr>
            <w:alias w:val="Pavadinimas"/>
            <w:tag w:val="title_1e6f2f143efc40b993e6e173b5c83d4d"/>
            <w:lock w:val="sdtLocked"/>
            <w:richText/>
          </w:sdtPr>
          <w:sdtContent>
            <w:p>
              <w:pPr>
                <w:tabs>
                  <w:tab w:val="left" w:pos="945"/>
                  <w:tab w:val="center" w:pos="6979"/>
                </w:tabs>
                <w:jc w:val="center"/>
                <w:rPr>
                  <w:b/>
                  <w:color w:val="000000"/>
                  <w:szCs w:val="24"/>
                </w:rPr>
              </w:pPr>
              <w:r>
                <w:rPr>
                  <w:b/>
                  <w:szCs w:val="24"/>
                </w:rPr>
                <w:t xml:space="preserve">PROFILAKTINIO VAIKŲ IR PILNAMEČIŲ MOKINIŲ SVEIKATOS TIKRINIMO </w:t>
              </w:r>
              <w:r>
                <w:rPr>
                  <w:b/>
                  <w:color w:val="000000"/>
                  <w:szCs w:val="24"/>
                </w:rPr>
                <w:t>REIKALAVIMAI</w:t>
              </w:r>
            </w:p>
          </w:sdtContent>
        </w:sdt>
        <w:p>
          <w:pPr>
            <w:tabs>
              <w:tab w:val="left" w:pos="945"/>
              <w:tab w:val="center" w:pos="6979"/>
            </w:tabs>
            <w:rPr>
              <w:b/>
              <w:caps/>
              <w:color w:val="000000"/>
              <w:szCs w:val="24"/>
            </w:rPr>
          </w:pPr>
        </w:p>
        <w:tbl>
          <w:tblPr>
            <w:tblW w:w="1531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568"/>
            <w:gridCol w:w="1276"/>
            <w:gridCol w:w="1701"/>
            <w:gridCol w:w="2268"/>
            <w:gridCol w:w="4536"/>
            <w:gridCol w:w="1701"/>
            <w:gridCol w:w="1559"/>
            <w:gridCol w:w="1701"/>
          </w:tblGrid>
          <w:tr>
            <w:trPr>
              <w:trHeight w:val="20"/>
            </w:trPr>
            <w:tc>
              <w:tcPr>
                <w:tcW w:w="568" w:type="dxa"/>
                <w:vMerge w:val="restart"/>
                <w:vAlign w:val="center"/>
              </w:tcPr>
              <w:p>
                <w:pPr>
                  <w:widowControl w:val="0"/>
                  <w:jc w:val="center"/>
                  <w:outlineLvl w:val="2"/>
                  <w:rPr>
                    <w:caps/>
                    <w:color w:val="000000"/>
                    <w:szCs w:val="24"/>
                    <w:lang w:val="en-GB"/>
                  </w:rPr>
                </w:pPr>
                <w:r>
                  <w:rPr>
                    <w:caps/>
                    <w:color w:val="000000"/>
                    <w:szCs w:val="24"/>
                  </w:rPr>
                  <w:t>Eil. Nr.</w:t>
                </w:r>
              </w:p>
            </w:tc>
            <w:tc>
              <w:tcPr>
                <w:tcW w:w="1276" w:type="dxa"/>
                <w:vMerge w:val="restart"/>
                <w:shd w:val="clear" w:color="auto" w:fill="auto"/>
                <w:vAlign w:val="center"/>
              </w:tcPr>
              <w:p>
                <w:pPr>
                  <w:widowControl w:val="0"/>
                  <w:jc w:val="center"/>
                  <w:outlineLvl w:val="2"/>
                  <w:rPr>
                    <w:caps/>
                    <w:color w:val="000000"/>
                    <w:szCs w:val="24"/>
                    <w:lang w:val="en-GB"/>
                  </w:rPr>
                </w:pPr>
                <w:r>
                  <w:rPr>
                    <w:caps/>
                    <w:color w:val="000000"/>
                    <w:szCs w:val="24"/>
                  </w:rPr>
                  <w:t>Amžius</w:t>
                </w:r>
              </w:p>
            </w:tc>
            <w:tc>
              <w:tcPr>
                <w:tcW w:w="8505" w:type="dxa"/>
                <w:gridSpan w:val="3"/>
                <w:vAlign w:val="center"/>
              </w:tcPr>
              <w:p>
                <w:pPr>
                  <w:rPr>
                    <w:sz w:val="42"/>
                    <w:szCs w:val="42"/>
                  </w:rPr>
                </w:pPr>
              </w:p>
              <w:p>
                <w:pPr>
                  <w:keepLines/>
                  <w:widowControl w:val="0"/>
                  <w:rPr>
                    <w:b/>
                    <w:bCs/>
                    <w:color w:val="000000"/>
                    <w:sz w:val="28"/>
                    <w:szCs w:val="24"/>
                  </w:rPr>
                </w:pPr>
                <w:r>
                  <w:rPr>
                    <w:b/>
                    <w:bCs/>
                    <w:color w:val="000000"/>
                    <w:sz w:val="28"/>
                    <w:szCs w:val="24"/>
                  </w:rPr>
                  <w:t xml:space="preserve">Sveikatos priežiūra </w:t>
                </w:r>
              </w:p>
            </w:tc>
            <w:tc>
              <w:tcPr>
                <w:tcW w:w="4961" w:type="dxa"/>
                <w:gridSpan w:val="3"/>
                <w:tcBorders>
                  <w:right w:val="single" w:sz="4" w:space="0" w:color="auto"/>
                </w:tcBorders>
                <w:vAlign w:val="center"/>
              </w:tcPr>
              <w:p>
                <w:pPr>
                  <w:jc w:val="center"/>
                  <w:rPr>
                    <w:b/>
                    <w:color w:val="000000"/>
                    <w:szCs w:val="24"/>
                  </w:rPr>
                </w:pPr>
                <w:r>
                  <w:rPr>
                    <w:b/>
                    <w:color w:val="000000"/>
                    <w:szCs w:val="24"/>
                  </w:rPr>
                  <w:t>Profilaktinis sveikatos tikrinimas</w:t>
                </w:r>
              </w:p>
            </w:tc>
          </w:tr>
          <w:tr>
            <w:trPr>
              <w:trHeight w:val="20"/>
            </w:trPr>
            <w:tc>
              <w:tcPr>
                <w:tcW w:w="568" w:type="dxa"/>
                <w:vMerge/>
                <w:vAlign w:val="center"/>
              </w:tcPr>
              <w:p>
                <w:pPr>
                  <w:widowControl w:val="0"/>
                  <w:jc w:val="center"/>
                  <w:outlineLvl w:val="2"/>
                  <w:rPr>
                    <w:b/>
                    <w:caps/>
                    <w:color w:val="000000"/>
                    <w:szCs w:val="24"/>
                    <w:lang w:val="en-GB"/>
                  </w:rPr>
                </w:pPr>
              </w:p>
            </w:tc>
            <w:tc>
              <w:tcPr>
                <w:tcW w:w="1276" w:type="dxa"/>
                <w:vMerge/>
                <w:shd w:val="clear" w:color="auto" w:fill="auto"/>
                <w:vAlign w:val="center"/>
              </w:tcPr>
              <w:p>
                <w:pPr>
                  <w:keepNext/>
                  <w:widowControl w:val="0"/>
                  <w:pBdr>
                    <w:bottom w:val="single" w:sz="6" w:space="1" w:color="auto"/>
                  </w:pBdr>
                  <w:jc w:val="center"/>
                  <w:outlineLvl w:val="2"/>
                  <w:rPr>
                    <w:b/>
                    <w:caps/>
                    <w:color w:val="000000"/>
                    <w:szCs w:val="24"/>
                    <w:lang w:val="en-GB"/>
                  </w:rPr>
                </w:pPr>
              </w:p>
            </w:tc>
            <w:tc>
              <w:tcPr>
                <w:tcW w:w="1701" w:type="dxa"/>
                <w:vAlign w:val="center"/>
              </w:tcPr>
              <w:p>
                <w:pPr>
                  <w:widowControl w:val="0"/>
                  <w:tabs>
                    <w:tab w:val="left" w:pos="1170"/>
                  </w:tabs>
                  <w:jc w:val="center"/>
                  <w:outlineLvl w:val="2"/>
                  <w:rPr>
                    <w:b/>
                    <w:caps/>
                    <w:color w:val="000000"/>
                    <w:szCs w:val="24"/>
                    <w:lang w:val="en-GB"/>
                  </w:rPr>
                </w:pPr>
                <w:r>
                  <w:rPr>
                    <w:caps/>
                    <w:color w:val="000000"/>
                    <w:szCs w:val="24"/>
                  </w:rPr>
                  <w:t>Periodiškumas</w:t>
                </w:r>
              </w:p>
            </w:tc>
            <w:tc>
              <w:tcPr>
                <w:tcW w:w="2268"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4536" w:type="dxa"/>
                <w:vAlign w:val="center"/>
              </w:tcPr>
              <w:p>
                <w:pPr>
                  <w:rPr>
                    <w:sz w:val="18"/>
                    <w:szCs w:val="18"/>
                  </w:rPr>
                </w:pPr>
              </w:p>
              <w:p>
                <w:pPr>
                  <w:keepNext/>
                  <w:keepLines/>
                  <w:outlineLvl w:val="5"/>
                  <w:rPr>
                    <w:i/>
                    <w:iCs/>
                    <w:color w:val="000000"/>
                    <w:szCs w:val="24"/>
                  </w:rPr>
                </w:pPr>
                <w:r>
                  <w:rPr>
                    <w:i/>
                    <w:iCs/>
                    <w:color w:val="000000"/>
                    <w:szCs w:val="24"/>
                  </w:rPr>
                  <w:t>Privalomieji veiksmai ir būtini tyrimai</w:t>
                </w:r>
              </w:p>
              <w:p>
                <w:pPr>
                  <w:rPr>
                    <w:color w:val="000000"/>
                    <w:szCs w:val="24"/>
                  </w:rPr>
                </w:pPr>
              </w:p>
            </w:tc>
            <w:tc>
              <w:tcPr>
                <w:tcW w:w="1701" w:type="dxa"/>
                <w:vAlign w:val="center"/>
              </w:tcPr>
              <w:p>
                <w:pPr>
                  <w:widowControl w:val="0"/>
                  <w:ind w:left="-56"/>
                  <w:jc w:val="center"/>
                  <w:outlineLvl w:val="2"/>
                  <w:rPr>
                    <w:caps/>
                    <w:color w:val="000000"/>
                    <w:szCs w:val="24"/>
                    <w:lang w:val="en-GB"/>
                  </w:rPr>
                </w:pPr>
                <w:r>
                  <w:rPr>
                    <w:caps/>
                    <w:color w:val="000000"/>
                    <w:szCs w:val="24"/>
                  </w:rPr>
                  <w:t>Periodiškumas</w:t>
                </w:r>
              </w:p>
            </w:tc>
            <w:tc>
              <w:tcPr>
                <w:tcW w:w="1559"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1701" w:type="dxa"/>
                <w:vAlign w:val="center"/>
              </w:tcPr>
              <w:p>
                <w:pPr>
                  <w:jc w:val="center"/>
                  <w:rPr>
                    <w:color w:val="000000"/>
                    <w:szCs w:val="24"/>
                  </w:rPr>
                </w:pPr>
                <w:r>
                  <w:rPr>
                    <w:b/>
                    <w:color w:val="000000"/>
                    <w:szCs w:val="24"/>
                  </w:rPr>
                  <w:t>Privalomieji veiksmai</w:t>
                </w:r>
              </w:p>
            </w:tc>
          </w:tr>
          <w:tr>
            <w:trPr>
              <w:trHeight w:val="20"/>
            </w:trPr>
            <w:tc>
              <w:tcPr>
                <w:tcW w:w="568" w:type="dxa"/>
              </w:tcPr>
              <w:p>
                <w:pPr>
                  <w:widowControl w:val="0"/>
                  <w:jc w:val="center"/>
                  <w:outlineLvl w:val="2"/>
                  <w:rPr>
                    <w:b/>
                    <w:caps/>
                    <w:color w:val="000000"/>
                    <w:szCs w:val="24"/>
                    <w:lang w:val="en-GB"/>
                  </w:rPr>
                </w:pPr>
                <w:r>
                  <w:rPr>
                    <w:caps/>
                    <w:color w:val="000000"/>
                    <w:szCs w:val="24"/>
                  </w:rPr>
                  <w:t>1</w:t>
                </w:r>
              </w:p>
            </w:tc>
            <w:tc>
              <w:tcPr>
                <w:tcW w:w="1276" w:type="dxa"/>
              </w:tcPr>
              <w:p>
                <w:pPr>
                  <w:widowControl w:val="0"/>
                  <w:jc w:val="center"/>
                  <w:outlineLvl w:val="2"/>
                  <w:rPr>
                    <w:b/>
                    <w:caps/>
                    <w:color w:val="000000"/>
                    <w:szCs w:val="24"/>
                    <w:lang w:val="en-GB"/>
                  </w:rPr>
                </w:pPr>
                <w:r>
                  <w:rPr>
                    <w:caps/>
                    <w:color w:val="000000"/>
                    <w:szCs w:val="24"/>
                  </w:rPr>
                  <w:t>2</w:t>
                </w:r>
              </w:p>
            </w:tc>
            <w:tc>
              <w:tcPr>
                <w:tcW w:w="1701" w:type="dxa"/>
              </w:tcPr>
              <w:p>
                <w:pPr>
                  <w:jc w:val="center"/>
                  <w:rPr>
                    <w:color w:val="000000"/>
                    <w:szCs w:val="24"/>
                  </w:rPr>
                </w:pPr>
                <w:r>
                  <w:rPr>
                    <w:color w:val="000000"/>
                    <w:szCs w:val="24"/>
                  </w:rPr>
                  <w:t>3</w:t>
                </w:r>
              </w:p>
            </w:tc>
            <w:tc>
              <w:tcPr>
                <w:tcW w:w="2268" w:type="dxa"/>
              </w:tcPr>
              <w:p>
                <w:pPr>
                  <w:widowControl w:val="0"/>
                  <w:jc w:val="center"/>
                  <w:rPr>
                    <w:color w:val="000000"/>
                    <w:szCs w:val="24"/>
                  </w:rPr>
                </w:pPr>
                <w:r>
                  <w:rPr>
                    <w:color w:val="000000"/>
                    <w:szCs w:val="24"/>
                  </w:rPr>
                  <w:t>4</w:t>
                </w:r>
              </w:p>
            </w:tc>
            <w:tc>
              <w:tcPr>
                <w:tcW w:w="4536" w:type="dxa"/>
                <w:tcBorders>
                  <w:bottom w:val="single" w:sz="4" w:space="0" w:color="auto"/>
                </w:tcBorders>
              </w:tcPr>
              <w:p>
                <w:pPr>
                  <w:jc w:val="center"/>
                  <w:rPr>
                    <w:b/>
                    <w:i/>
                    <w:color w:val="000000"/>
                    <w:szCs w:val="24"/>
                  </w:rPr>
                </w:pPr>
                <w:r>
                  <w:rPr>
                    <w:color w:val="000000"/>
                    <w:szCs w:val="24"/>
                  </w:rPr>
                  <w:t>5</w:t>
                </w:r>
              </w:p>
            </w:tc>
            <w:tc>
              <w:tcPr>
                <w:tcW w:w="1701" w:type="dxa"/>
              </w:tcPr>
              <w:p>
                <w:pPr>
                  <w:widowControl w:val="0"/>
                  <w:jc w:val="center"/>
                  <w:rPr>
                    <w:color w:val="000000"/>
                    <w:szCs w:val="24"/>
                  </w:rPr>
                </w:pPr>
                <w:r>
                  <w:rPr>
                    <w:color w:val="000000"/>
                    <w:szCs w:val="24"/>
                  </w:rPr>
                  <w:t>6</w:t>
                </w:r>
              </w:p>
            </w:tc>
            <w:tc>
              <w:tcPr>
                <w:tcW w:w="1559" w:type="dxa"/>
              </w:tcPr>
              <w:p>
                <w:pPr>
                  <w:widowControl w:val="0"/>
                  <w:jc w:val="center"/>
                  <w:rPr>
                    <w:color w:val="000000"/>
                    <w:szCs w:val="24"/>
                  </w:rPr>
                </w:pPr>
                <w:r>
                  <w:rPr>
                    <w:color w:val="000000"/>
                    <w:szCs w:val="24"/>
                  </w:rPr>
                  <w:t>7</w:t>
                </w:r>
              </w:p>
            </w:tc>
            <w:tc>
              <w:tcPr>
                <w:tcW w:w="1701" w:type="dxa"/>
              </w:tcPr>
              <w:p>
                <w:pPr>
                  <w:widowControl w:val="0"/>
                  <w:jc w:val="center"/>
                  <w:rPr>
                    <w:color w:val="000000"/>
                    <w:szCs w:val="24"/>
                  </w:rPr>
                </w:pPr>
                <w:r>
                  <w:rPr>
                    <w:color w:val="000000"/>
                    <w:szCs w:val="24"/>
                  </w:rPr>
                  <w:t>8</w:t>
                </w:r>
              </w:p>
            </w:tc>
          </w:tr>
          <w:tr>
            <w:trPr>
              <w:trHeight w:val="20"/>
            </w:trPr>
            <w:tc>
              <w:tcPr>
                <w:tcW w:w="568" w:type="dxa"/>
                <w:vMerge w:val="restart"/>
              </w:tcPr>
              <w:p>
                <w:pPr>
                  <w:widowControl w:val="0"/>
                  <w:jc w:val="center"/>
                  <w:outlineLvl w:val="2"/>
                  <w:rPr>
                    <w:b/>
                    <w:caps/>
                    <w:color w:val="000000"/>
                    <w:szCs w:val="24"/>
                    <w:lang w:val="en-GB"/>
                  </w:rPr>
                </w:pPr>
                <w:r>
                  <w:rPr>
                    <w:caps/>
                    <w:color w:val="000000"/>
                    <w:szCs w:val="24"/>
                  </w:rPr>
                  <w:t>1.</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276" w:type="dxa"/>
                <w:vMerge w:val="restart"/>
              </w:tcPr>
              <w:p>
                <w:pPr>
                  <w:widowControl w:val="0"/>
                  <w:jc w:val="center"/>
                  <w:outlineLvl w:val="2"/>
                  <w:rPr>
                    <w:b/>
                    <w:caps/>
                    <w:color w:val="000000"/>
                    <w:szCs w:val="24"/>
                    <w:lang w:val="en-GB"/>
                  </w:rPr>
                </w:pPr>
                <w:r>
                  <w:rPr>
                    <w:caps/>
                    <w:color w:val="000000"/>
                    <w:szCs w:val="24"/>
                  </w:rPr>
                  <w:t>Naujagimis</w:t>
                </w:r>
              </w:p>
              <w:p>
                <w:pPr>
                  <w:widowControl w:val="0"/>
                  <w:jc w:val="center"/>
                  <w:outlineLvl w:val="2"/>
                  <w:rPr>
                    <w:b/>
                    <w:caps/>
                    <w:color w:val="000000"/>
                    <w:szCs w:val="24"/>
                    <w:lang w:val="en-GB"/>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Pr>
              <w:p>
                <w:pPr>
                  <w:rPr>
                    <w:color w:val="000000"/>
                    <w:szCs w:val="24"/>
                  </w:rPr>
                </w:pPr>
                <w:r>
                  <w:rPr>
                    <w:color w:val="000000"/>
                    <w:szCs w:val="24"/>
                  </w:rPr>
                  <w:t>1 kartą</w:t>
                </w:r>
                <w:r>
                  <w:rPr>
                    <w:b/>
                    <w:i/>
                    <w:color w:val="000000"/>
                    <w:szCs w:val="24"/>
                  </w:rPr>
                  <w:t xml:space="preserve"> </w:t>
                </w:r>
                <w:r>
                  <w:rPr>
                    <w:color w:val="000000"/>
                    <w:szCs w:val="24"/>
                  </w:rPr>
                  <w:t>per 3 darbo dienas nuo išvykimo iš akušerijos stacionaro</w:t>
                </w:r>
              </w:p>
              <w:p>
                <w:pPr>
                  <w:rPr>
                    <w:b/>
                    <w:color w:val="000000"/>
                    <w:szCs w:val="24"/>
                  </w:rPr>
                </w:pPr>
              </w:p>
            </w:tc>
            <w:tc>
              <w:tcPr>
                <w:tcW w:w="2268" w:type="dxa"/>
              </w:tcPr>
              <w:p>
                <w:pPr>
                  <w:widowControl w:val="0"/>
                  <w:rPr>
                    <w:color w:val="000000"/>
                    <w:szCs w:val="24"/>
                  </w:rPr>
                </w:pPr>
                <w:r>
                  <w:rPr>
                    <w:color w:val="000000"/>
                    <w:szCs w:val="24"/>
                  </w:rPr>
                  <w:t>Šeimos medicinos paslaugas teikiantis šeimos arba vaikų ligų gydytojas (toliau – gydytojas) arba bendrosios praktikos slaugytojas (toliau – slaugytojas), akušeris</w:t>
                </w:r>
              </w:p>
              <w:p>
                <w:pPr>
                  <w:widowControl w:val="0"/>
                  <w:rPr>
                    <w:color w:val="000000"/>
                    <w:szCs w:val="24"/>
                  </w:rPr>
                </w:pPr>
              </w:p>
            </w:tc>
            <w:tc>
              <w:tcPr>
                <w:tcW w:w="4536" w:type="dxa"/>
                <w:tcBorders>
                  <w:bottom w:val="single" w:sz="4" w:space="0" w:color="auto"/>
                </w:tcBorders>
              </w:tcPr>
              <w:p>
                <w:pPr>
                  <w:rPr>
                    <w:b/>
                    <w:i/>
                    <w:color w:val="000000"/>
                    <w:szCs w:val="24"/>
                  </w:rPr>
                </w:pPr>
                <w:r>
                  <w:rPr>
                    <w:color w:val="000000"/>
                    <w:szCs w:val="24"/>
                  </w:rPr>
                  <w:t xml:space="preserve">1.1. Aplankyti ir apžiūrėti  naujagimį namuose. </w:t>
                </w:r>
              </w:p>
              <w:p>
                <w:pPr>
                  <w:rPr>
                    <w:sz w:val="10"/>
                    <w:szCs w:val="10"/>
                  </w:rPr>
                </w:pPr>
              </w:p>
              <w:p>
                <w:pPr>
                  <w:rPr>
                    <w:b/>
                    <w:i/>
                    <w:color w:val="000000"/>
                    <w:szCs w:val="24"/>
                  </w:rPr>
                </w:pPr>
                <w:r>
                  <w:rPr>
                    <w:color w:val="000000"/>
                    <w:szCs w:val="24"/>
                  </w:rPr>
                  <w:t xml:space="preserve">1.2. Įvertinti šeimos socialinį, psichologinį pasirengimą. </w:t>
                </w:r>
              </w:p>
              <w:p>
                <w:pPr>
                  <w:rPr>
                    <w:sz w:val="10"/>
                    <w:szCs w:val="10"/>
                  </w:rPr>
                </w:pPr>
              </w:p>
              <w:p>
                <w:pPr>
                  <w:rPr>
                    <w:b/>
                    <w:i/>
                    <w:color w:val="000000"/>
                    <w:szCs w:val="24"/>
                  </w:rPr>
                </w:pPr>
                <w:r>
                  <w:rPr>
                    <w:color w:val="000000"/>
                    <w:szCs w:val="24"/>
                  </w:rPr>
                  <w:t xml:space="preserve">1.3. Patarti tėvams naujagimio priežiūros, higienos (ypač odos, bambos), maitinimo krūtimi,  mamos mitybos klausimais. </w:t>
                </w:r>
              </w:p>
              <w:p>
                <w:pPr>
                  <w:rPr>
                    <w:sz w:val="10"/>
                    <w:szCs w:val="10"/>
                  </w:rPr>
                </w:pPr>
              </w:p>
              <w:p>
                <w:pPr>
                  <w:rPr>
                    <w:b/>
                    <w:i/>
                    <w:color w:val="000000"/>
                    <w:szCs w:val="24"/>
                  </w:rPr>
                </w:pPr>
                <w:r>
                  <w:rPr>
                    <w:color w:val="000000"/>
                    <w:szCs w:val="24"/>
                  </w:rPr>
                  <w:t xml:space="preserve">1.4. Informuoti tėvus apie prisiregistravimo prie pirminės asmens sveikatos priežiūros įstaigos (toliau – PASPĮ) tvarką. </w:t>
                </w:r>
              </w:p>
              <w:p>
                <w:pPr>
                  <w:rPr>
                    <w:sz w:val="10"/>
                    <w:szCs w:val="10"/>
                  </w:rPr>
                </w:pPr>
              </w:p>
              <w:p>
                <w:pPr>
                  <w:rPr>
                    <w:b/>
                    <w:i/>
                    <w:color w:val="000000"/>
                    <w:szCs w:val="24"/>
                  </w:rPr>
                </w:pPr>
                <w:r>
                  <w:rPr>
                    <w:color w:val="000000"/>
                    <w:szCs w:val="24"/>
                  </w:rPr>
                  <w:t>1.5. Įvertinti įrašus apie akių dugno raudono reflekso tyrimo (toliau – tyrimas) ir klausos tikrinimo (toliau – tikrinimas) atlikimą bei kraujo paėmimą visuotiniam naujagimių tikrinimui dėl įgimtų medžiagų apykaitos ligų (toliau – kraujo paėmimas dėl ĮMAL) formo</w:t>
                </w:r>
                <w:r>
                  <w:rPr>
                    <w:color w:val="000000"/>
                    <w:szCs w:val="24"/>
                    <w:lang w:val="en-US"/>
                  </w:rPr>
                  <w:t>s</w:t>
                </w:r>
                <w:r>
                  <w:rPr>
                    <w:color w:val="000000"/>
                    <w:szCs w:val="24"/>
                  </w:rPr>
                  <w:t xml:space="preserve"> Nr. </w:t>
                </w:r>
                <w:r>
                  <w:rPr>
                    <w:color w:val="000000"/>
                    <w:szCs w:val="24"/>
                    <w:lang w:val="en-US"/>
                  </w:rPr>
                  <w:t>113/a dalyje „Žinios apie naujagimį.“ Jei tyrimas ir tikrinimas neatlikti, siųsti pas atitinkamus specialistus ištirti ir patikrinti, o jei nepaimtas kraujas dėl ĮMAL, paimti.</w:t>
                </w:r>
              </w:p>
              <w:p>
                <w:pPr>
                  <w:rPr>
                    <w:sz w:val="10"/>
                    <w:szCs w:val="10"/>
                  </w:rPr>
                </w:pPr>
              </w:p>
              <w:p>
                <w:pPr>
                  <w:rPr>
                    <w:color w:val="000000"/>
                    <w:szCs w:val="24"/>
                  </w:rPr>
                </w:pPr>
                <w:r>
                  <w:rPr>
                    <w:color w:val="000000"/>
                    <w:szCs w:val="24"/>
                  </w:rPr>
                  <w:t>1.6. Prireikus Lietuvos Respublikos sveikatos apsaugos ministro 2001 m. vasario 1 d. įsakymu Nr. 65 „Dėl informacijos apie pacientą valstybės institucijoms ir kitoms įstaigoms teikimo tvarkos patvirtinimo“ nustatyta tvarka informuoti socialinį darbuotoją ir (ar) savivaldybės vaiko teisių apsaugos tarnybą.</w:t>
                </w:r>
              </w:p>
            </w:tc>
            <w:tc>
              <w:tcPr>
                <w:tcW w:w="1701" w:type="dxa"/>
                <w:vMerge w:val="restart"/>
              </w:tcPr>
              <w:p>
                <w:pPr>
                  <w:widowControl w:val="0"/>
                  <w:rPr>
                    <w:color w:val="000000"/>
                    <w:szCs w:val="24"/>
                  </w:rPr>
                </w:pPr>
                <w:r>
                  <w:rPr>
                    <w:color w:val="000000"/>
                    <w:szCs w:val="24"/>
                  </w:rPr>
                  <w:t>1 kartą</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559" w:type="dxa"/>
                <w:vMerge w:val="restart"/>
              </w:tcPr>
              <w:p>
                <w:pPr>
                  <w:widowControl w:val="0"/>
                  <w:rPr>
                    <w:color w:val="000000"/>
                    <w:szCs w:val="24"/>
                  </w:rPr>
                </w:pPr>
                <w:r>
                  <w:rPr>
                    <w:color w:val="000000"/>
                    <w:szCs w:val="24"/>
                  </w:rPr>
                  <w:t xml:space="preserve">Gydytojas oftalmologas, </w:t>
                </w:r>
              </w:p>
              <w:p>
                <w:pPr>
                  <w:widowControl w:val="0"/>
                  <w:rPr>
                    <w:color w:val="000000"/>
                    <w:szCs w:val="24"/>
                  </w:rPr>
                </w:pPr>
                <w:r>
                  <w:rPr>
                    <w:color w:val="000000"/>
                    <w:szCs w:val="24"/>
                  </w:rPr>
                  <w:t>otorinolarin-gologas,</w:t>
                </w:r>
              </w:p>
              <w:p>
                <w:pPr>
                  <w:widowControl w:val="0"/>
                  <w:rPr>
                    <w:color w:val="000000"/>
                    <w:szCs w:val="24"/>
                  </w:rPr>
                </w:pPr>
                <w:r>
                  <w:rPr>
                    <w:color w:val="000000"/>
                    <w:szCs w:val="24"/>
                  </w:rPr>
                  <w:t>jeigu naujagimis nebuvo patikrintas akušerijos stacionare</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701" w:type="dxa"/>
                <w:vMerge w:val="restart"/>
              </w:tcPr>
              <w:p>
                <w:pPr>
                  <w:widowControl w:val="0"/>
                  <w:rPr>
                    <w:color w:val="000000"/>
                    <w:szCs w:val="24"/>
                  </w:rPr>
                </w:pPr>
                <w:r>
                  <w:rPr>
                    <w:color w:val="000000"/>
                    <w:szCs w:val="24"/>
                  </w:rPr>
                  <w:t>Akių dugno raudono reflekso tyrimas,</w:t>
                </w:r>
              </w:p>
              <w:p>
                <w:pPr>
                  <w:widowControl w:val="0"/>
                  <w:rPr>
                    <w:color w:val="000000"/>
                    <w:szCs w:val="24"/>
                  </w:rPr>
                </w:pPr>
                <w:r>
                  <w:rPr>
                    <w:color w:val="000000"/>
                    <w:szCs w:val="24"/>
                  </w:rPr>
                  <w:t xml:space="preserve">klausos tikrinimas </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b/>
                    <w:color w:val="000000"/>
                    <w:szCs w:val="24"/>
                  </w:rPr>
                </w:pPr>
                <w:r>
                  <w:rPr>
                    <w:color w:val="000000"/>
                    <w:szCs w:val="24"/>
                  </w:rPr>
                  <w:t>1–2 kartus per mėnesį</w:t>
                </w:r>
              </w:p>
              <w:p>
                <w:pPr>
                  <w:rPr>
                    <w:color w:val="000000"/>
                    <w:szCs w:val="24"/>
                  </w:rPr>
                </w:pPr>
              </w:p>
            </w:tc>
            <w:tc>
              <w:tcPr>
                <w:tcW w:w="2268" w:type="dxa"/>
              </w:tcPr>
              <w:p>
                <w:pPr>
                  <w:rPr>
                    <w:color w:val="000000"/>
                    <w:szCs w:val="24"/>
                  </w:rPr>
                </w:pPr>
                <w:r>
                  <w:rPr>
                    <w:color w:val="000000"/>
                    <w:szCs w:val="24"/>
                  </w:rPr>
                  <w:t>Gydytojas</w:t>
                </w:r>
              </w:p>
            </w:tc>
            <w:tc>
              <w:tcPr>
                <w:tcW w:w="4536" w:type="dxa"/>
                <w:tcBorders>
                  <w:bottom w:val="single" w:sz="4" w:space="0" w:color="auto"/>
                </w:tcBorders>
              </w:tcPr>
              <w:p>
                <w:pPr>
                  <w:rPr>
                    <w:b/>
                    <w:i/>
                    <w:color w:val="000000"/>
                    <w:szCs w:val="24"/>
                  </w:rPr>
                </w:pPr>
                <w:r>
                  <w:rPr>
                    <w:color w:val="000000"/>
                    <w:szCs w:val="24"/>
                  </w:rPr>
                  <w:t xml:space="preserve">1.7. Naujagimiui apsilankius PASPĮ,  įvertinti jo sveikatos būklę. </w:t>
                </w:r>
              </w:p>
              <w:p>
                <w:pPr>
                  <w:rPr>
                    <w:sz w:val="10"/>
                    <w:szCs w:val="10"/>
                  </w:rPr>
                </w:pPr>
              </w:p>
              <w:p>
                <w:pPr>
                  <w:rPr>
                    <w:color w:val="000000"/>
                    <w:szCs w:val="24"/>
                  </w:rPr>
                </w:pPr>
                <w:r>
                  <w:rPr>
                    <w:color w:val="000000"/>
                    <w:szCs w:val="24"/>
                  </w:rPr>
                  <w:t>1.8. Skatinti motiną naujagimį maitinti krūtimi.</w:t>
                </w:r>
              </w:p>
              <w:p>
                <w:pPr>
                  <w:rPr>
                    <w:color w:val="000000"/>
                    <w:szCs w:val="24"/>
                  </w:rPr>
                </w:pPr>
                <w:r>
                  <w:rPr>
                    <w:color w:val="000000"/>
                    <w:szCs w:val="24"/>
                  </w:rPr>
                  <w:t xml:space="preserve">1.9. Rachito profilaktika. </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color w:val="000000"/>
                    <w:szCs w:val="24"/>
                  </w:rPr>
                </w:pPr>
                <w:r>
                  <w:rPr>
                    <w:color w:val="000000"/>
                    <w:szCs w:val="24"/>
                  </w:rPr>
                  <w:t>1–2 kartus per mėnesį</w:t>
                </w:r>
              </w:p>
            </w:tc>
            <w:tc>
              <w:tcPr>
                <w:tcW w:w="2268" w:type="dxa"/>
              </w:tcPr>
              <w:p>
                <w:pPr>
                  <w:widowControl w:val="0"/>
                  <w:rPr>
                    <w:color w:val="000000"/>
                    <w:szCs w:val="24"/>
                  </w:rPr>
                </w:pPr>
                <w:r>
                  <w:rPr>
                    <w:color w:val="000000"/>
                    <w:szCs w:val="24"/>
                  </w:rPr>
                  <w:t>Slaugytojas arba akušeris</w:t>
                </w:r>
              </w:p>
            </w:tc>
            <w:tc>
              <w:tcPr>
                <w:tcW w:w="4536" w:type="dxa"/>
                <w:tcBorders>
                  <w:bottom w:val="single" w:sz="4" w:space="0" w:color="auto"/>
                </w:tcBorders>
              </w:tcPr>
              <w:p>
                <w:pPr>
                  <w:widowControl w:val="0"/>
                  <w:rPr>
                    <w:color w:val="000000"/>
                    <w:szCs w:val="24"/>
                  </w:rPr>
                </w:pPr>
                <w:r>
                  <w:rPr>
                    <w:color w:val="000000"/>
                    <w:szCs w:val="24"/>
                  </w:rPr>
                  <w:t>1.10. Įvertinti naujagimio priežiūros kokybę.</w:t>
                </w:r>
              </w:p>
              <w:p>
                <w:pPr>
                  <w:widowControl w:val="0"/>
                  <w:rPr>
                    <w:color w:val="000000"/>
                    <w:szCs w:val="24"/>
                  </w:rPr>
                </w:pPr>
                <w:r>
                  <w:rPr>
                    <w:color w:val="000000"/>
                    <w:szCs w:val="24"/>
                  </w:rPr>
                  <w:t xml:space="preserve">1.11. Paaiškinti maitinimo krūtimi, dienos, mitybos režimo reikšmę, migdymo padėtį, šeimos sanitarinį higieninį pasirengimą. </w:t>
                </w:r>
              </w:p>
              <w:p>
                <w:pPr>
                  <w:rPr>
                    <w:b/>
                    <w:i/>
                    <w:color w:val="000000"/>
                    <w:szCs w:val="24"/>
                  </w:rPr>
                </w:pPr>
                <w:r>
                  <w:rPr>
                    <w:color w:val="000000"/>
                    <w:szCs w:val="24"/>
                  </w:rPr>
                  <w:t>1.12. Informuoti tėvus apie sveikos gyvensenos ugdymą, ligų, traumų, uždusimo, apsinuodijimo, nudegimų, prievartos profilaktiką, imunoprofilaktiką.</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74"/>
            </w:trPr>
            <w:tc>
              <w:tcPr>
                <w:tcW w:w="568" w:type="dxa"/>
                <w:vMerge w:val="restart"/>
              </w:tcPr>
              <w:p>
                <w:pPr>
                  <w:keepNext/>
                  <w:keepLines/>
                  <w:jc w:val="both"/>
                  <w:rPr>
                    <w:color w:val="000000"/>
                    <w:szCs w:val="24"/>
                  </w:rPr>
                </w:pPr>
                <w:r>
                  <w:rPr>
                    <w:color w:val="000000"/>
                    <w:szCs w:val="24"/>
                  </w:rPr>
                  <w:t>2.</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keepNext/>
                  <w:keepLines/>
                  <w:rPr>
                    <w:color w:val="000000"/>
                    <w:szCs w:val="24"/>
                  </w:rPr>
                </w:pPr>
                <w:r>
                  <w:rPr>
                    <w:color w:val="000000"/>
                    <w:szCs w:val="24"/>
                  </w:rPr>
                  <w:t>Kūdikis</w:t>
                </w:r>
              </w:p>
              <w:p>
                <w:pPr>
                  <w:keepNext/>
                  <w:keepLines/>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p>
                <w:pPr>
                  <w:keepNext/>
                  <w:keepLines/>
                  <w:rPr>
                    <w:color w:val="000000"/>
                    <w:szCs w:val="24"/>
                  </w:rPr>
                </w:pPr>
              </w:p>
            </w:tc>
            <w:tc>
              <w:tcPr>
                <w:tcW w:w="2268" w:type="dxa"/>
              </w:tcPr>
              <w:p>
                <w:pPr>
                  <w:rPr>
                    <w:color w:val="000000"/>
                    <w:szCs w:val="24"/>
                  </w:rPr>
                </w:pPr>
                <w:r>
                  <w:rPr>
                    <w:color w:val="000000"/>
                    <w:szCs w:val="24"/>
                  </w:rPr>
                  <w:t>Gydytojas</w:t>
                </w:r>
              </w:p>
              <w:p>
                <w:pPr>
                  <w:widowControl w:val="0"/>
                  <w:rPr>
                    <w:color w:val="000000"/>
                    <w:szCs w:val="24"/>
                  </w:rPr>
                </w:pPr>
              </w:p>
            </w:tc>
            <w:tc>
              <w:tcPr>
                <w:tcW w:w="4536" w:type="dxa"/>
              </w:tcPr>
              <w:p>
                <w:pPr>
                  <w:rPr>
                    <w:color w:val="000000"/>
                    <w:szCs w:val="24"/>
                  </w:rPr>
                </w:pPr>
                <w:r>
                  <w:rPr>
                    <w:color w:val="000000"/>
                    <w:szCs w:val="24"/>
                  </w:rPr>
                  <w:t xml:space="preserve">2.1. Kiekvieno apsilankymo metu įvertinti kūdikio sveikatos būklę, fizinę būklę pagal atitinkamą ūgio ir  svorio kitimo  diagramą, nubrėžiant asmeninę augimo kreivę. </w:t>
                </w:r>
              </w:p>
              <w:p>
                <w:pPr>
                  <w:keepNext/>
                  <w:keepLines/>
                  <w:rPr>
                    <w:color w:val="000000"/>
                    <w:szCs w:val="24"/>
                  </w:rPr>
                </w:pPr>
                <w:r>
                  <w:rPr>
                    <w:color w:val="000000"/>
                    <w:szCs w:val="24"/>
                  </w:rPr>
                  <w:t>2.</w:t>
                </w:r>
                <w:r>
                  <w:rPr>
                    <w:i/>
                    <w:color w:val="000000"/>
                    <w:szCs w:val="24"/>
                  </w:rPr>
                  <w:t>2.</w:t>
                </w:r>
                <w:r>
                  <w:rPr>
                    <w:color w:val="000000"/>
                    <w:szCs w:val="24"/>
                  </w:rPr>
                  <w:t xml:space="preserve"> Nustatyti ir įvertinti rizikos sveikatai veiksnius. Atkreipti dėmesį į klubo sąnarių būklę, širdies veiklą, momenėlio būklę, raumenų tonusą. </w:t>
                </w:r>
              </w:p>
              <w:p>
                <w:pPr>
                  <w:rPr>
                    <w:color w:val="000000"/>
                    <w:szCs w:val="24"/>
                  </w:rPr>
                </w:pPr>
                <w:r>
                  <w:rPr>
                    <w:color w:val="000000"/>
                    <w:szCs w:val="24"/>
                  </w:rPr>
                  <w:t>2.3. Atlikti, patikrinti ir įvertinti:</w:t>
                </w:r>
              </w:p>
              <w:p>
                <w:pPr>
                  <w:rPr>
                    <w:color w:val="000000"/>
                    <w:szCs w:val="24"/>
                  </w:rPr>
                </w:pPr>
                <w:r>
                  <w:rPr>
                    <w:color w:val="000000"/>
                    <w:szCs w:val="24"/>
                  </w:rPr>
                  <w:t>2.3.1. 3 mėn. ir 6 mėn. amžiaus kūdikio psichomotorinę raidą;</w:t>
                </w:r>
              </w:p>
            </w:tc>
            <w:tc>
              <w:tcPr>
                <w:tcW w:w="1701" w:type="dxa"/>
                <w:vMerge w:val="restart"/>
              </w:tcPr>
              <w:p>
                <w:pPr>
                  <w:widowControl w:val="0"/>
                  <w:rPr>
                    <w:color w:val="000000"/>
                    <w:szCs w:val="24"/>
                  </w:rPr>
                </w:pPr>
              </w:p>
              <w:p>
                <w:pPr>
                  <w:rPr>
                    <w:color w:val="000000"/>
                    <w:szCs w:val="24"/>
                  </w:rPr>
                </w:pPr>
              </w:p>
              <w:p>
                <w:pPr>
                  <w:rPr>
                    <w:color w:val="000000"/>
                    <w:szCs w:val="24"/>
                  </w:rPr>
                </w:pPr>
              </w:p>
            </w:tc>
            <w:tc>
              <w:tcPr>
                <w:tcW w:w="1559" w:type="dxa"/>
                <w:vMerge w:val="restart"/>
              </w:tcPr>
              <w:p>
                <w:pPr>
                  <w:rPr>
                    <w:color w:val="000000"/>
                    <w:szCs w:val="24"/>
                  </w:rPr>
                </w:pPr>
              </w:p>
            </w:tc>
            <w:tc>
              <w:tcPr>
                <w:tcW w:w="1701" w:type="dxa"/>
                <w:vMerge w:val="restart"/>
              </w:tcPr>
              <w:p>
                <w:pPr>
                  <w:keepNext/>
                  <w:keepLines/>
                  <w:rPr>
                    <w:color w:val="000000"/>
                    <w:szCs w:val="24"/>
                  </w:rPr>
                </w:pPr>
              </w:p>
            </w:tc>
          </w:tr>
          <w:tr>
            <w:trPr>
              <w:trHeight w:val="1683"/>
            </w:trPr>
            <w:tc>
              <w:tcPr>
                <w:tcW w:w="568" w:type="dxa"/>
                <w:vMerge/>
              </w:tcPr>
              <w:p>
                <w:pPr>
                  <w:keepNext/>
                  <w:keepLines/>
                  <w:jc w:val="both"/>
                  <w:rPr>
                    <w:color w:val="000000"/>
                    <w:szCs w:val="24"/>
                  </w:rPr>
                </w:pPr>
              </w:p>
            </w:tc>
            <w:tc>
              <w:tcPr>
                <w:tcW w:w="1276" w:type="dxa"/>
                <w:vMerge/>
              </w:tcPr>
              <w:p>
                <w:pPr>
                  <w:keepNext/>
                  <w:keepLines/>
                  <w:jc w:val="center"/>
                  <w:rPr>
                    <w:color w:val="000000"/>
                    <w:szCs w:val="24"/>
                  </w:rPr>
                </w:pPr>
              </w:p>
            </w:tc>
            <w:tc>
              <w:tcPr>
                <w:tcW w:w="1701" w:type="dxa"/>
              </w:tcPr>
              <w:p>
                <w:pPr>
                  <w:keepNext/>
                  <w:keepLines/>
                  <w:rPr>
                    <w:color w:val="000000"/>
                    <w:szCs w:val="24"/>
                  </w:rPr>
                </w:pPr>
                <w:r>
                  <w:rPr>
                    <w:color w:val="000000"/>
                    <w:szCs w:val="24"/>
                  </w:rPr>
                  <w:t xml:space="preserve">4–6 mėn. amžiaus 1 kartą </w:t>
                </w:r>
              </w:p>
            </w:tc>
            <w:tc>
              <w:tcPr>
                <w:tcW w:w="2268" w:type="dxa"/>
              </w:tcPr>
              <w:p>
                <w:pPr>
                  <w:rPr>
                    <w:color w:val="000000"/>
                    <w:szCs w:val="24"/>
                  </w:rPr>
                </w:pPr>
                <w:r>
                  <w:rPr>
                    <w:color w:val="000000"/>
                    <w:szCs w:val="24"/>
                  </w:rPr>
                  <w:t xml:space="preserve">Gydytojas </w:t>
                </w:r>
              </w:p>
            </w:tc>
            <w:tc>
              <w:tcPr>
                <w:tcW w:w="4536" w:type="dxa"/>
              </w:tcPr>
              <w:p>
                <w:pPr>
                  <w:rPr>
                    <w:color w:val="000000"/>
                    <w:szCs w:val="24"/>
                  </w:rPr>
                </w:pPr>
                <w:r>
                  <w:rPr>
                    <w:color w:val="000000"/>
                    <w:szCs w:val="24"/>
                  </w:rPr>
                  <w:t xml:space="preserve">2.3.2. bendrą kraujo tyrimą (kūdikio, priskirto rizikos grupei: jeigu jis gimė neišnešiotas, jei buvo  ABO ar Rh nesuderinamumas; įgimtos infekcijos; iš daugiavaisio nėštumo, mažo gimimo svorio (&lt;2500g).</w:t>
                </w:r>
              </w:p>
            </w:tc>
            <w:tc>
              <w:tcPr>
                <w:tcW w:w="1701" w:type="dxa"/>
                <w:vMerge/>
              </w:tcPr>
              <w:p>
                <w:pPr>
                  <w:widowControl w:val="0"/>
                  <w:rPr>
                    <w:color w:val="000000"/>
                    <w:szCs w:val="24"/>
                  </w:rPr>
                </w:pPr>
              </w:p>
            </w:tc>
            <w:tc>
              <w:tcPr>
                <w:tcW w:w="1559" w:type="dxa"/>
                <w:vMerge/>
              </w:tcPr>
              <w:p>
                <w:pPr>
                  <w:rPr>
                    <w:color w:val="000000"/>
                    <w:szCs w:val="24"/>
                  </w:rPr>
                </w:pPr>
              </w:p>
            </w:tc>
            <w:tc>
              <w:tcPr>
                <w:tcW w:w="1701" w:type="dxa"/>
                <w:vMerge/>
              </w:tcPr>
              <w:p>
                <w:pPr>
                  <w:keepNext/>
                  <w:keepLines/>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tc>
            <w:tc>
              <w:tcPr>
                <w:tcW w:w="2268" w:type="dxa"/>
                <w:tcBorders>
                  <w:bottom w:val="single" w:sz="4" w:space="0" w:color="auto"/>
                </w:tcBorders>
              </w:tcPr>
              <w:p>
                <w:pPr>
                  <w:widowControl w:val="0"/>
                  <w:rPr>
                    <w:color w:val="000000"/>
                    <w:szCs w:val="24"/>
                  </w:rPr>
                </w:pPr>
                <w:r>
                  <w:rPr>
                    <w:color w:val="000000"/>
                    <w:szCs w:val="24"/>
                  </w:rPr>
                  <w:t>Slaugytojas</w:t>
                </w:r>
              </w:p>
            </w:tc>
            <w:tc>
              <w:tcPr>
                <w:tcW w:w="4536" w:type="dxa"/>
                <w:tcBorders>
                  <w:bottom w:val="single" w:sz="4" w:space="0" w:color="auto"/>
                </w:tcBorders>
              </w:tcPr>
              <w:p>
                <w:pPr>
                  <w:rPr>
                    <w:color w:val="000000"/>
                    <w:szCs w:val="24"/>
                  </w:rPr>
                </w:pPr>
                <w:r>
                  <w:rPr>
                    <w:color w:val="000000"/>
                    <w:szCs w:val="24"/>
                  </w:rPr>
                  <w:t xml:space="preserve">2.4. Kiekvieno apsilankymo metu pamatuoti kūdikio galvos apimtį, ūgį ir svorį, įrašyti jų kitimą į  atitinkamas ūgio ir svorio kitimo diagramas. </w:t>
                </w:r>
              </w:p>
              <w:p>
                <w:pPr>
                  <w:rPr>
                    <w:color w:val="000000"/>
                    <w:szCs w:val="24"/>
                  </w:rPr>
                </w:pPr>
                <w:r>
                  <w:rPr>
                    <w:color w:val="000000"/>
                    <w:szCs w:val="24"/>
                  </w:rPr>
                  <w:t xml:space="preserve">2.5. Suteikti žinių apie kūdikio aplinkos higieną ir jos saugumą. </w:t>
                </w:r>
              </w:p>
              <w:p>
                <w:pPr>
                  <w:rPr>
                    <w:color w:val="000000"/>
                    <w:szCs w:val="24"/>
                  </w:rPr>
                </w:pPr>
                <w:r>
                  <w:rPr>
                    <w:color w:val="000000"/>
                    <w:szCs w:val="24"/>
                  </w:rPr>
                  <w:t xml:space="preserve">2.6. Informuoti tėvus apie ligų ir traumų, nudegimų ir prievartos profilaktiką, imunoprofilaktiką. </w:t>
                </w:r>
              </w:p>
              <w:p>
                <w:pPr>
                  <w:rPr>
                    <w:color w:val="000000"/>
                    <w:szCs w:val="24"/>
                  </w:rPr>
                </w:pPr>
                <w:r>
                  <w:rPr>
                    <w:color w:val="000000"/>
                    <w:szCs w:val="24"/>
                  </w:rPr>
                  <w:t>2.7. Padėti formuoti racionalios kūdikio ir motinos mitybos įgūdžius, skatinti maitinimą krūtimi.</w:t>
                </w:r>
              </w:p>
              <w:p>
                <w:pPr>
                  <w:rPr>
                    <w:color w:val="000000"/>
                    <w:szCs w:val="24"/>
                  </w:rPr>
                </w:pPr>
                <w:r>
                  <w:rPr>
                    <w:color w:val="000000"/>
                    <w:szCs w:val="24"/>
                  </w:rPr>
                  <w:t>2.8. Informuoti tėvus apie dantų ėduonies profilaktiką ir pamokyti burnos higienos pagrindų – išdygus pirmajam dančiui mokyti jį valyti.</w:t>
                </w:r>
              </w:p>
              <w:p>
                <w:pPr>
                  <w:rPr>
                    <w:color w:val="000000"/>
                    <w:szCs w:val="24"/>
                  </w:rPr>
                </w:pPr>
                <w:r>
                  <w:rPr>
                    <w:color w:val="000000"/>
                    <w:szCs w:val="24"/>
                  </w:rPr>
                  <w:t xml:space="preserve">2.9. Atkreipti dėmesį dėl motinos pogimdyminės depresijos pasireiškimo. </w:t>
                </w:r>
              </w:p>
            </w:tc>
            <w:tc>
              <w:tcPr>
                <w:tcW w:w="1701" w:type="dxa"/>
                <w:vMerge/>
                <w:tcBorders>
                  <w:bottom w:val="single" w:sz="4" w:space="0" w:color="auto"/>
                </w:tcBorders>
              </w:tcPr>
              <w:p>
                <w:pPr>
                  <w:rPr>
                    <w:b/>
                    <w:color w:val="000000"/>
                    <w:szCs w:val="24"/>
                  </w:rPr>
                </w:pPr>
              </w:p>
            </w:tc>
            <w:tc>
              <w:tcPr>
                <w:tcW w:w="1559" w:type="dxa"/>
                <w:vMerge/>
                <w:tcBorders>
                  <w:bottom w:val="single" w:sz="4" w:space="0" w:color="auto"/>
                </w:tcBorders>
              </w:tcPr>
              <w:p>
                <w:pPr>
                  <w:widowControl w:val="0"/>
                  <w:rPr>
                    <w:b/>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tc>
            <w:tc>
              <w:tcPr>
                <w:tcW w:w="2268" w:type="dxa"/>
              </w:tcPr>
              <w:p>
                <w:pPr>
                  <w:rPr>
                    <w:color w:val="000000"/>
                    <w:szCs w:val="24"/>
                  </w:rPr>
                </w:pPr>
                <w:r>
                  <w:rPr>
                    <w:color w:val="000000"/>
                    <w:szCs w:val="24"/>
                  </w:rPr>
                  <w:t>Gydytojas</w:t>
                </w:r>
              </w:p>
              <w:p>
                <w:pPr>
                  <w:rPr>
                    <w:color w:val="000000"/>
                    <w:szCs w:val="24"/>
                  </w:rPr>
                </w:pPr>
              </w:p>
            </w:tc>
            <w:tc>
              <w:tcPr>
                <w:tcW w:w="4536" w:type="dxa"/>
                <w:tcBorders>
                  <w:top w:val="single" w:sz="4" w:space="0" w:color="auto"/>
                  <w:bottom w:val="single" w:sz="4" w:space="0" w:color="auto"/>
                </w:tcBorders>
              </w:tcPr>
              <w:p>
                <w:pPr>
                  <w:rPr>
                    <w:color w:val="000000"/>
                    <w:szCs w:val="24"/>
                  </w:rPr>
                </w:pPr>
                <w:r>
                  <w:rPr>
                    <w:color w:val="000000"/>
                    <w:szCs w:val="24"/>
                  </w:rPr>
                  <w:t xml:space="preserve">2.10. Kiekvieno apsilankymo metu įvertinti  kūdikio sveikatos būklę, atkreipti dėmesį į regėjimo organus</w:t>
                </w:r>
                <w:r>
                  <w:rPr>
                    <w:color w:val="000000"/>
                    <w:szCs w:val="24"/>
                    <w:lang w:val="pl-PL"/>
                  </w:rPr>
                  <w:t xml:space="preserve">, </w:t>
                </w:r>
                <w:r>
                  <w:rPr>
                    <w:color w:val="000000"/>
                    <w:szCs w:val="24"/>
                  </w:rPr>
                  <w:t xml:space="preserve">klubo sąnarių būklę, fizinę būklę pagal atitinkamą ūgio ir svorio kitimo diagramą, nubrėžiant asmeninę augimo kreivę. </w:t>
                </w:r>
              </w:p>
              <w:p>
                <w:pPr>
                  <w:rPr>
                    <w:color w:val="000000"/>
                    <w:szCs w:val="24"/>
                  </w:rPr>
                </w:pPr>
                <w:r>
                  <w:rPr>
                    <w:color w:val="000000"/>
                    <w:szCs w:val="24"/>
                  </w:rPr>
                  <w:t>2.11. Atlikti, patikrinti ir įvertinti:</w:t>
                </w:r>
              </w:p>
              <w:p>
                <w:pPr>
                  <w:rPr>
                    <w:color w:val="000000"/>
                    <w:szCs w:val="24"/>
                  </w:rPr>
                </w:pPr>
                <w:r>
                  <w:rPr>
                    <w:color w:val="000000"/>
                    <w:szCs w:val="24"/>
                  </w:rPr>
                  <w:t xml:space="preserve">2.12. 9 mėn. amžiaus kūdikio psichomotorinę  raidą;</w:t>
                </w:r>
              </w:p>
            </w:tc>
            <w:tc>
              <w:tcPr>
                <w:tcW w:w="1701" w:type="dxa"/>
              </w:tcPr>
              <w:p>
                <w:pPr>
                  <w:rPr>
                    <w:color w:val="000000"/>
                    <w:szCs w:val="24"/>
                  </w:rPr>
                </w:pPr>
                <w:r>
                  <w:rPr>
                    <w:color w:val="000000"/>
                    <w:szCs w:val="24"/>
                  </w:rPr>
                  <w:t xml:space="preserve">9–11 mėn. amžiaus </w:t>
                </w:r>
              </w:p>
              <w:p>
                <w:pPr>
                  <w:rPr>
                    <w:color w:val="000000"/>
                    <w:szCs w:val="24"/>
                  </w:rPr>
                </w:pPr>
                <w:r>
                  <w:rPr>
                    <w:color w:val="000000"/>
                    <w:szCs w:val="24"/>
                  </w:rPr>
                  <w:t xml:space="preserve">1 kartą </w:t>
                </w:r>
              </w:p>
              <w:p>
                <w:pPr>
                  <w:rPr>
                    <w:color w:val="000000"/>
                    <w:szCs w:val="24"/>
                  </w:rPr>
                </w:pPr>
              </w:p>
            </w:tc>
            <w:tc>
              <w:tcPr>
                <w:tcW w:w="1559" w:type="dxa"/>
              </w:tcPr>
              <w:p>
                <w:pPr>
                  <w:widowControl w:val="0"/>
                  <w:rPr>
                    <w:color w:val="000000"/>
                    <w:szCs w:val="24"/>
                  </w:rPr>
                </w:pPr>
                <w:r>
                  <w:rPr>
                    <w:color w:val="000000"/>
                    <w:szCs w:val="24"/>
                  </w:rPr>
                  <w:t>Vaikų ligų gydytojas</w:t>
                </w:r>
              </w:p>
            </w:tc>
            <w:tc>
              <w:tcPr>
                <w:tcW w:w="1701" w:type="dxa"/>
              </w:tcPr>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9–12 mėn. amžiaus 1 kartą </w:t>
                </w:r>
              </w:p>
            </w:tc>
            <w:tc>
              <w:tcPr>
                <w:tcW w:w="2268" w:type="dxa"/>
              </w:tcPr>
              <w:p>
                <w:pPr>
                  <w:rPr>
                    <w:color w:val="000000"/>
                    <w:szCs w:val="24"/>
                  </w:rPr>
                </w:pPr>
                <w:r>
                  <w:rPr>
                    <w:color w:val="000000"/>
                    <w:szCs w:val="24"/>
                  </w:rPr>
                  <w:t xml:space="preserve">Gydytojas </w:t>
                </w:r>
              </w:p>
            </w:tc>
            <w:tc>
              <w:tcPr>
                <w:tcW w:w="4536" w:type="dxa"/>
                <w:tcBorders>
                  <w:top w:val="single" w:sz="4" w:space="0" w:color="auto"/>
                  <w:bottom w:val="single" w:sz="4" w:space="0" w:color="auto"/>
                </w:tcBorders>
              </w:tcPr>
              <w:p>
                <w:pPr>
                  <w:rPr>
                    <w:color w:val="000000"/>
                    <w:szCs w:val="24"/>
                  </w:rPr>
                </w:pPr>
                <w:r>
                  <w:rPr>
                    <w:color w:val="000000"/>
                    <w:szCs w:val="24"/>
                  </w:rPr>
                  <w:t xml:space="preserve">2.13. bendrą kraujo tyrimą. </w:t>
                </w:r>
              </w:p>
            </w:tc>
            <w:tc>
              <w:tcPr>
                <w:tcW w:w="1701" w:type="dxa"/>
                <w:vMerge w:val="restart"/>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rPr>
                    <w:color w:val="000000"/>
                    <w:szCs w:val="24"/>
                    <w:lang w:val="pl-PL"/>
                  </w:rPr>
                </w:pPr>
              </w:p>
              <w:p>
                <w:pPr>
                  <w:rPr>
                    <w:color w:val="000000"/>
                    <w:szCs w:val="24"/>
                  </w:rPr>
                </w:pPr>
              </w:p>
              <w:p>
                <w:pPr>
                  <w:rPr>
                    <w:color w:val="000000"/>
                    <w:szCs w:val="24"/>
                  </w:rPr>
                </w:pPr>
              </w:p>
            </w:tc>
            <w:tc>
              <w:tcPr>
                <w:tcW w:w="1701" w:type="dxa"/>
                <w:vMerge w:val="restart"/>
              </w:tcPr>
              <w:p>
                <w:pPr>
                  <w:rPr>
                    <w:color w:val="000000"/>
                    <w:szCs w:val="24"/>
                  </w:rPr>
                </w:pPr>
              </w:p>
              <w:p>
                <w:pPr>
                  <w:rPr>
                    <w:color w:val="000000"/>
                    <w:szCs w:val="24"/>
                  </w:rPr>
                </w:pPr>
              </w:p>
              <w:p>
                <w:pPr>
                  <w:rPr>
                    <w:color w:val="000000"/>
                    <w:szCs w:val="24"/>
                  </w:rPr>
                </w:pPr>
              </w:p>
            </w:tc>
          </w:tr>
          <w:tr>
            <w:trPr>
              <w:trHeight w:val="3826"/>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p>
                <w:pPr>
                  <w:rPr>
                    <w:color w:val="000000"/>
                    <w:szCs w:val="24"/>
                  </w:rPr>
                </w:pPr>
              </w:p>
            </w:tc>
            <w:tc>
              <w:tcPr>
                <w:tcW w:w="2268" w:type="dxa"/>
              </w:tcPr>
              <w:p>
                <w:pPr>
                  <w:widowControl w:val="0"/>
                  <w:rPr>
                    <w:color w:val="000000"/>
                    <w:szCs w:val="24"/>
                  </w:rPr>
                </w:pPr>
                <w:r>
                  <w:rPr>
                    <w:color w:val="000000"/>
                    <w:szCs w:val="24"/>
                  </w:rPr>
                  <w:t>Slaugytojas</w:t>
                </w:r>
              </w:p>
            </w:tc>
            <w:tc>
              <w:tcPr>
                <w:tcW w:w="4536" w:type="dxa"/>
                <w:tcBorders>
                  <w:top w:val="single" w:sz="4" w:space="0" w:color="auto"/>
                  <w:bottom w:val="single" w:sz="4" w:space="0" w:color="auto"/>
                </w:tcBorders>
              </w:tcPr>
              <w:p>
                <w:pPr>
                  <w:rPr>
                    <w:color w:val="000000"/>
                    <w:szCs w:val="24"/>
                  </w:rPr>
                </w:pPr>
                <w:r>
                  <w:rPr>
                    <w:color w:val="000000"/>
                    <w:szCs w:val="24"/>
                  </w:rPr>
                  <w:t xml:space="preserve">2.14. Kiekvieno apsilankymo metu pamatuoti galvos apimtį, ūgį ir svorį, įrašyti jų kitimą į atitinkamas diagramas bei svorio priklausomybės nuo ūgio kitimo diagramą. </w:t>
                </w:r>
              </w:p>
              <w:p>
                <w:pPr>
                  <w:rPr>
                    <w:color w:val="000000"/>
                    <w:szCs w:val="24"/>
                  </w:rPr>
                </w:pPr>
                <w:r>
                  <w:rPr>
                    <w:color w:val="000000"/>
                    <w:szCs w:val="24"/>
                  </w:rPr>
                  <w:t xml:space="preserve">2.15. Paaiškinti apie kūdikio aplinkos saugumą. </w:t>
                </w:r>
              </w:p>
              <w:p>
                <w:pPr>
                  <w:rPr>
                    <w:color w:val="000000"/>
                    <w:szCs w:val="24"/>
                  </w:rPr>
                </w:pPr>
                <w:r>
                  <w:rPr>
                    <w:color w:val="000000"/>
                    <w:szCs w:val="24"/>
                  </w:rPr>
                  <w:t xml:space="preserve">2.16. Padėti formuoti racionalios kūdikio ir šeimos mitybos įgūdžius. </w:t>
                </w:r>
              </w:p>
              <w:p>
                <w:pPr>
                  <w:rPr>
                    <w:color w:val="000000"/>
                    <w:szCs w:val="24"/>
                  </w:rPr>
                </w:pPr>
                <w:r>
                  <w:rPr>
                    <w:color w:val="000000"/>
                    <w:szCs w:val="24"/>
                  </w:rPr>
                  <w:t>2.17. Informuoti tėvus:</w:t>
                </w:r>
              </w:p>
              <w:p>
                <w:pPr>
                  <w:rPr>
                    <w:color w:val="000000"/>
                    <w:szCs w:val="24"/>
                  </w:rPr>
                </w:pPr>
                <w:r>
                  <w:rPr>
                    <w:color w:val="000000"/>
                    <w:szCs w:val="24"/>
                  </w:rPr>
                  <w:t>2.17.1. apie ligų ir traumų, nudegimų, prievartos profilaktiką, imunoprofilaktiką;</w:t>
                </w:r>
              </w:p>
              <w:p>
                <w:pPr>
                  <w:rPr>
                    <w:b/>
                    <w:color w:val="000000"/>
                    <w:szCs w:val="24"/>
                  </w:rPr>
                </w:pPr>
                <w:r>
                  <w:rPr>
                    <w:color w:val="000000"/>
                    <w:szCs w:val="24"/>
                  </w:rPr>
                  <w:t>2.17.2. apie dantų ėduonies profilaktiką ir pamokyti burnos higienos pagrindų – išdygus pirmajam dančiui mokyti jį valyti.</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Pr>
              <w:p>
                <w:pPr>
                  <w:rPr>
                    <w:color w:val="000000"/>
                    <w:szCs w:val="24"/>
                  </w:rPr>
                </w:pPr>
              </w:p>
            </w:tc>
          </w:tr>
          <w:tr>
            <w:trPr>
              <w:trHeight w:val="2113"/>
            </w:trPr>
            <w:tc>
              <w:tcPr>
                <w:tcW w:w="568" w:type="dxa"/>
                <w:vMerge w:val="restart"/>
              </w:tcPr>
              <w:p>
                <w:pPr>
                  <w:jc w:val="both"/>
                  <w:rPr>
                    <w:color w:val="000000"/>
                    <w:szCs w:val="24"/>
                  </w:rPr>
                </w:pPr>
                <w:r>
                  <w:rPr>
                    <w:color w:val="000000"/>
                    <w:szCs w:val="24"/>
                  </w:rPr>
                  <w:t>3.</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rPr>
                    <w:color w:val="000000"/>
                    <w:szCs w:val="24"/>
                  </w:rPr>
                </w:pPr>
                <w:r>
                  <w:rPr>
                    <w:color w:val="000000"/>
                    <w:szCs w:val="24"/>
                  </w:rPr>
                  <w:t xml:space="preserve">Ankstyvojo amžiaus vaikas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ind w:firstLine="60"/>
                  <w:rPr>
                    <w:color w:val="000000"/>
                    <w:szCs w:val="24"/>
                  </w:rPr>
                </w:pPr>
              </w:p>
            </w:tc>
            <w:tc>
              <w:tcPr>
                <w:tcW w:w="2268" w:type="dxa"/>
              </w:tcPr>
              <w:p>
                <w:pPr>
                  <w:widowControl w:val="0"/>
                  <w:rPr>
                    <w:color w:val="000000"/>
                    <w:szCs w:val="24"/>
                  </w:rPr>
                </w:pPr>
                <w:r>
                  <w:rPr>
                    <w:color w:val="000000"/>
                    <w:szCs w:val="24"/>
                  </w:rPr>
                  <w:t>Gydytojas</w:t>
                </w:r>
              </w:p>
            </w:tc>
            <w:tc>
              <w:tcPr>
                <w:tcW w:w="4536" w:type="dxa"/>
                <w:tcBorders>
                  <w:top w:val="single" w:sz="4" w:space="0" w:color="auto"/>
                </w:tcBorders>
              </w:tcPr>
              <w:p>
                <w:pPr>
                  <w:rPr>
                    <w:color w:val="000000"/>
                    <w:szCs w:val="24"/>
                  </w:rPr>
                </w:pPr>
                <w:r>
                  <w:rPr>
                    <w:color w:val="000000"/>
                    <w:szCs w:val="24"/>
                  </w:rPr>
                  <w:t>3.1. Kiekvieno apsilankymo metu įvertinti:</w:t>
                </w:r>
              </w:p>
              <w:p>
                <w:pPr>
                  <w:rPr>
                    <w:color w:val="000000"/>
                    <w:szCs w:val="24"/>
                  </w:rPr>
                </w:pPr>
                <w:r>
                  <w:rPr>
                    <w:color w:val="000000"/>
                    <w:szCs w:val="24"/>
                  </w:rPr>
                  <w:t>3.1.1. vaiko sveikatos būklę;</w:t>
                </w:r>
              </w:p>
              <w:p>
                <w:pPr>
                  <w:rPr>
                    <w:color w:val="000000"/>
                    <w:szCs w:val="24"/>
                  </w:rPr>
                </w:pPr>
                <w:r>
                  <w:rPr>
                    <w:color w:val="000000"/>
                    <w:szCs w:val="24"/>
                  </w:rPr>
                  <w:t xml:space="preserve">3.1.2. fizinę būklę pagal galvos apimties bei  svorio priklausomybės nuo ūgio kitimo diagramas pagal lytį nuo gimimo iki 2 metų, o nuo 2 metų amžiaus – pagal asmenines svorio priklausomybės nuo ūgio kitimo kreives pagal lytį;</w:t>
                </w:r>
              </w:p>
              <w:p>
                <w:pPr>
                  <w:rPr>
                    <w:color w:val="000000"/>
                    <w:szCs w:val="24"/>
                  </w:rPr>
                </w:pPr>
                <w:r>
                  <w:rPr>
                    <w:color w:val="000000"/>
                    <w:szCs w:val="24"/>
                  </w:rPr>
                  <w:t>3.1.3. regėjimą;</w:t>
                </w:r>
              </w:p>
              <w:p>
                <w:pPr>
                  <w:rPr>
                    <w:color w:val="000000"/>
                    <w:szCs w:val="24"/>
                  </w:rPr>
                </w:pPr>
                <w:r>
                  <w:rPr>
                    <w:color w:val="000000"/>
                    <w:szCs w:val="24"/>
                  </w:rPr>
                  <w:t>3.1.4. atramos judamąjį aparatą;</w:t>
                </w:r>
              </w:p>
              <w:p>
                <w:pPr>
                  <w:rPr>
                    <w:color w:val="000000"/>
                    <w:szCs w:val="24"/>
                  </w:rPr>
                </w:pPr>
                <w:r>
                  <w:rPr>
                    <w:color w:val="000000"/>
                    <w:szCs w:val="24"/>
                  </w:rPr>
                  <w:t>3.1.5. klausą.</w:t>
                </w:r>
              </w:p>
              <w:p>
                <w:pPr>
                  <w:rPr>
                    <w:color w:val="000000"/>
                    <w:szCs w:val="24"/>
                  </w:rPr>
                </w:pPr>
                <w:r>
                  <w:rPr>
                    <w:color w:val="000000"/>
                    <w:szCs w:val="24"/>
                  </w:rPr>
                  <w:t>3.2. Atlikti, patikrinti ir įvertinti:</w:t>
                </w:r>
              </w:p>
              <w:p>
                <w:pPr>
                  <w:rPr>
                    <w:color w:val="000000"/>
                    <w:szCs w:val="24"/>
                  </w:rPr>
                </w:pPr>
                <w:r>
                  <w:rPr>
                    <w:color w:val="000000"/>
                    <w:szCs w:val="24"/>
                  </w:rPr>
                  <w:t xml:space="preserve">3.2.1. 12 mėn.; 18 mėn.; 24 mėn.; 36 mėn.;  48 mėn. amžiaus vaiko psichomotorinę raidą;</w:t>
                </w:r>
              </w:p>
              <w:p>
                <w:pPr>
                  <w:rPr>
                    <w:color w:val="000000"/>
                    <w:szCs w:val="24"/>
                  </w:rPr>
                </w:pPr>
                <w:r>
                  <w:rPr>
                    <w:color w:val="000000"/>
                    <w:szCs w:val="24"/>
                  </w:rPr>
                  <w:t xml:space="preserve">3.2.2. arterinį kraujo spaudimą (toliau – AKS) iki 3 metų amžiaus – rizikos grupių vaikams:  neišnešiotiems, jei naujagimio svoris buvo mažesnis negu 1500 g, kuriems buvo kateterizuota bambos vena, turintiems įgimtą širdies ydą,  sergantiems inkstų ligomis, esant padidėjusiam intrakranijiniam spaudimui, po širdies ar kepenų transplantacijos, o n</w:t>
                </w:r>
                <w:r>
                  <w:rPr>
                    <w:color w:val="000000"/>
                    <w:szCs w:val="24"/>
                    <w:lang w:val="pl-PL"/>
                  </w:rPr>
                  <w:t xml:space="preserve">uo 3 metų amžiaus </w:t>
                </w:r>
                <w:r>
                  <w:rPr>
                    <w:color w:val="000000"/>
                    <w:szCs w:val="24"/>
                  </w:rPr>
                  <w:t>– visiems vaikams kiekvieno apsilankymo metu;</w:t>
                </w:r>
              </w:p>
            </w:tc>
            <w:tc>
              <w:tcPr>
                <w:tcW w:w="1701" w:type="dxa"/>
                <w:vMerge w:val="restart"/>
              </w:tcPr>
              <w:p>
                <w:pPr>
                  <w:rPr>
                    <w:color w:val="000000"/>
                    <w:szCs w:val="24"/>
                  </w:rPr>
                </w:pPr>
                <w:r>
                  <w:rPr>
                    <w:color w:val="000000"/>
                    <w:szCs w:val="24"/>
                  </w:rPr>
                  <w:t>1–3 metų amžiaus 1 kartą</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r>
                  <w:rPr>
                    <w:color w:val="000000"/>
                    <w:szCs w:val="24"/>
                  </w:rPr>
                  <w:t xml:space="preserve">Vaikų ligų gydytojas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864"/>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12–18 mėn. amžiaus</w:t>
                </w:r>
              </w:p>
              <w:p>
                <w:pPr>
                  <w:rPr>
                    <w:color w:val="000000"/>
                    <w:szCs w:val="24"/>
                  </w:rPr>
                </w:pPr>
                <w:r>
                  <w:rPr>
                    <w:color w:val="000000"/>
                    <w:szCs w:val="24"/>
                  </w:rPr>
                  <w:t>1 kartą</w:t>
                </w:r>
              </w:p>
            </w:tc>
            <w:tc>
              <w:tcPr>
                <w:tcW w:w="2268" w:type="dxa"/>
              </w:tcPr>
              <w:p>
                <w:pPr>
                  <w:widowControl w:val="0"/>
                  <w:rPr>
                    <w:color w:val="000000"/>
                    <w:szCs w:val="24"/>
                  </w:rPr>
                </w:pPr>
                <w:r>
                  <w:rPr>
                    <w:color w:val="000000"/>
                    <w:szCs w:val="24"/>
                  </w:rPr>
                  <w:t xml:space="preserve">Gydytojas </w:t>
                </w:r>
              </w:p>
            </w:tc>
            <w:tc>
              <w:tcPr>
                <w:tcW w:w="4536" w:type="dxa"/>
              </w:tcPr>
              <w:p>
                <w:pPr>
                  <w:rPr>
                    <w:color w:val="000000"/>
                    <w:szCs w:val="24"/>
                  </w:rPr>
                </w:pPr>
                <w:r>
                  <w:rPr>
                    <w:color w:val="000000"/>
                    <w:szCs w:val="24"/>
                    <w:lang w:val="pl-PL"/>
                  </w:rPr>
                  <w:t>3.2.3. šlapimo tyrimą;</w:t>
                </w:r>
              </w:p>
            </w:tc>
            <w:tc>
              <w:tcPr>
                <w:tcW w:w="1701" w:type="dxa"/>
                <w:vMerge/>
              </w:tcPr>
              <w:p>
                <w:pPr>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1941"/>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 xml:space="preserve">15–18 mėn. amžiaus </w:t>
                </w:r>
              </w:p>
              <w:p>
                <w:pPr>
                  <w:rPr>
                    <w:color w:val="000000"/>
                    <w:szCs w:val="24"/>
                  </w:rPr>
                </w:pPr>
                <w:r>
                  <w:rPr>
                    <w:color w:val="000000"/>
                    <w:szCs w:val="24"/>
                  </w:rPr>
                  <w:t>1 kartą</w:t>
                </w:r>
              </w:p>
              <w:p>
                <w:pPr>
                  <w:rPr>
                    <w:color w:val="000000"/>
                    <w:szCs w:val="24"/>
                  </w:rPr>
                </w:pPr>
              </w:p>
            </w:tc>
            <w:tc>
              <w:tcPr>
                <w:tcW w:w="2268" w:type="dxa"/>
                <w:tcBorders>
                  <w:bottom w:val="single" w:sz="4" w:space="0" w:color="auto"/>
                </w:tcBorders>
              </w:tcPr>
              <w:p>
                <w:pPr>
                  <w:rPr>
                    <w:color w:val="000000"/>
                    <w:szCs w:val="24"/>
                  </w:rPr>
                </w:pPr>
                <w:r>
                  <w:rPr>
                    <w:color w:val="000000"/>
                    <w:szCs w:val="24"/>
                  </w:rPr>
                  <w:t xml:space="preserve">Gydytojas </w:t>
                </w:r>
              </w:p>
              <w:p>
                <w:pPr>
                  <w:widowControl w:val="0"/>
                  <w:rPr>
                    <w:color w:val="000000"/>
                    <w:szCs w:val="24"/>
                  </w:rPr>
                </w:pPr>
              </w:p>
            </w:tc>
            <w:tc>
              <w:tcPr>
                <w:tcW w:w="4536" w:type="dxa"/>
                <w:tcBorders>
                  <w:bottom w:val="single" w:sz="4" w:space="0" w:color="auto"/>
                </w:tcBorders>
              </w:tcPr>
              <w:p>
                <w:pPr>
                  <w:rPr>
                    <w:color w:val="000000"/>
                    <w:szCs w:val="24"/>
                    <w:lang w:val="pl-PL"/>
                  </w:rPr>
                </w:pPr>
                <w:r>
                  <w:rPr>
                    <w:color w:val="000000"/>
                    <w:szCs w:val="24"/>
                    <w:lang w:val="pl-PL"/>
                  </w:rPr>
                  <w:t>3.2.4. b</w:t>
                </w:r>
                <w:r>
                  <w:rPr>
                    <w:color w:val="000000"/>
                    <w:szCs w:val="24"/>
                  </w:rPr>
                  <w:t>endrą kraujo tyrimą – 2.3.2 papunktyje nurodytų rizikos grupių vaikams, taip pat tiems, kurių</w:t>
                </w:r>
                <w:r>
                  <w:rPr>
                    <w:color w:val="000000"/>
                    <w:szCs w:val="24"/>
                    <w:lang w:val="pl-PL"/>
                  </w:rPr>
                  <w:t xml:space="preserve"> </w:t>
                </w:r>
                <w:r>
                  <w:rPr>
                    <w:color w:val="000000"/>
                    <w:szCs w:val="24"/>
                  </w:rPr>
                  <w:t xml:space="preserve">racione &gt; 600 ml karvės  / ožkos pieno, </w:t>
                </w:r>
                <w:r>
                  <w:rPr>
                    <w:color w:val="000000"/>
                    <w:szCs w:val="24"/>
                    <w:lang w:val="pl-PL"/>
                  </w:rPr>
                  <w:t xml:space="preserve"> tiems, kurių tėvai vegetarai, tiems, kurie turi specialiųjų sveikatos poreikių (serga lėtinėmis ligomis, dažnai serga, nustatytas neharmoningas augimas).</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widowControl w:val="0"/>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p>
                <w:pPr>
                  <w:rPr>
                    <w:color w:val="000000"/>
                    <w:szCs w:val="24"/>
                  </w:rPr>
                </w:pP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p>
            </w:tc>
            <w:tc>
              <w:tcPr>
                <w:tcW w:w="4536" w:type="dxa"/>
              </w:tcPr>
              <w:p>
                <w:pPr>
                  <w:rPr>
                    <w:color w:val="000000"/>
                    <w:szCs w:val="24"/>
                  </w:rPr>
                </w:pPr>
                <w:r>
                  <w:rPr>
                    <w:color w:val="000000"/>
                    <w:szCs w:val="24"/>
                  </w:rPr>
                  <w:t>3.3. 1–2 metų amžiaus įvertinti dantų dygimą;</w:t>
                </w:r>
              </w:p>
              <w:p>
                <w:pPr>
                  <w:spacing w:line="480" w:lineRule="auto"/>
                  <w:rPr>
                    <w:color w:val="000000"/>
                    <w:szCs w:val="24"/>
                  </w:rPr>
                </w:pPr>
                <w:r>
                  <w:rPr>
                    <w:color w:val="000000"/>
                    <w:szCs w:val="24"/>
                  </w:rPr>
                  <w:t>3.4. Atlikti ankstyvo dantų ėduonies diagnostiką;</w:t>
                </w:r>
              </w:p>
              <w:p>
                <w:pPr>
                  <w:rPr>
                    <w:sz w:val="10"/>
                    <w:szCs w:val="10"/>
                  </w:rPr>
                </w:pPr>
              </w:p>
              <w:p>
                <w:pPr>
                  <w:rPr>
                    <w:color w:val="000000"/>
                    <w:szCs w:val="24"/>
                  </w:rPr>
                </w:pPr>
                <w:r>
                  <w:rPr>
                    <w:color w:val="000000"/>
                    <w:szCs w:val="24"/>
                  </w:rPr>
                  <w:t>3.5. Įvertinti burnos higienos būklę ir išdygus pirmajam dančiui tėvus mokyti burnos higienos pagrindų.</w:t>
                </w:r>
              </w:p>
            </w:tc>
            <w:tc>
              <w:tcPr>
                <w:tcW w:w="1701" w:type="dxa"/>
                <w:vMerge w:val="restart"/>
              </w:tcPr>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559" w:type="dxa"/>
                <w:vMerge w:val="restart"/>
              </w:tcPr>
              <w:p>
                <w:pPr>
                  <w:rPr>
                    <w:b/>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vMerge w:val="restart"/>
                <w:tcBorders>
                  <w:tl2br w:val="nil"/>
                  <w:tr2bl w:val="nil"/>
                </w:tcBorders>
              </w:tcPr>
              <w:p>
                <w:pPr>
                  <w:spacing w:line="480" w:lineRule="auto"/>
                  <w:ind w:firstLine="60"/>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tc>
          </w:tr>
          <w:tr>
            <w:trPr>
              <w:trHeight w:val="154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r>
                  <w:rPr>
                    <w:color w:val="000000"/>
                    <w:szCs w:val="24"/>
                  </w:rPr>
                  <w:t>arba burnos higienistas</w:t>
                </w:r>
              </w:p>
            </w:tc>
            <w:tc>
              <w:tcPr>
                <w:tcW w:w="4536" w:type="dxa"/>
              </w:tcPr>
              <w:p>
                <w:pPr>
                  <w:spacing w:line="480" w:lineRule="auto"/>
                  <w:rPr>
                    <w:color w:val="000000"/>
                    <w:szCs w:val="24"/>
                  </w:rPr>
                </w:pPr>
                <w:r>
                  <w:rPr>
                    <w:color w:val="000000"/>
                    <w:szCs w:val="24"/>
                  </w:rPr>
                  <w:t xml:space="preserve">3.6. Atlikti ankstyvo dantų ėduonies profilaktiką. </w:t>
                </w:r>
              </w:p>
              <w:p>
                <w:pPr>
                  <w:rPr>
                    <w:sz w:val="10"/>
                    <w:szCs w:val="10"/>
                  </w:rPr>
                </w:pPr>
              </w:p>
              <w:p>
                <w:pPr>
                  <w:rPr>
                    <w:color w:val="000000"/>
                    <w:szCs w:val="24"/>
                  </w:rPr>
                </w:pPr>
                <w:r>
                  <w:rPr>
                    <w:color w:val="000000"/>
                    <w:szCs w:val="24"/>
                  </w:rPr>
                  <w:t xml:space="preserve">3.7. Įvertinti burnos higienos būklę ir išdygus pirmajam dančiui  tėvus pamokyti burnos higienos pagrindų, sveikos mitybos pagrindų.</w:t>
                </w:r>
              </w:p>
            </w:tc>
            <w:tc>
              <w:tcPr>
                <w:tcW w:w="1701" w:type="dxa"/>
                <w:vMerge/>
              </w:tcPr>
              <w:p>
                <w:pPr>
                  <w:jc w:val="center"/>
                  <w:rPr>
                    <w:color w:val="000000"/>
                    <w:szCs w:val="24"/>
                  </w:rPr>
                </w:pPr>
              </w:p>
            </w:tc>
            <w:tc>
              <w:tcPr>
                <w:tcW w:w="1559" w:type="dxa"/>
                <w:vMerge/>
              </w:tcPr>
              <w:p>
                <w:pPr>
                  <w:rPr>
                    <w:b/>
                    <w:color w:val="000000"/>
                    <w:szCs w:val="24"/>
                  </w:rPr>
                </w:pPr>
              </w:p>
            </w:tc>
            <w:tc>
              <w:tcPr>
                <w:tcW w:w="1701" w:type="dxa"/>
                <w:vMerge/>
                <w:tcBorders>
                  <w:tl2br w:val="nil"/>
                  <w:tr2bl w:val="nil"/>
                </w:tcBorders>
              </w:tcPr>
              <w:p>
                <w:pPr>
                  <w:spacing w:line="480" w:lineRule="auto"/>
                  <w:rPr>
                    <w:color w:val="000000"/>
                    <w:szCs w:val="24"/>
                  </w:rPr>
                </w:pPr>
              </w:p>
            </w:tc>
          </w:tr>
          <w:tr>
            <w:trPr>
              <w:trHeight w:val="2595"/>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Slaugytojas</w:t>
                </w:r>
              </w:p>
              <w:p>
                <w:pPr>
                  <w:jc w:val="center"/>
                  <w:rPr>
                    <w:color w:val="000000"/>
                    <w:szCs w:val="24"/>
                  </w:rPr>
                </w:pPr>
              </w:p>
            </w:tc>
            <w:tc>
              <w:tcPr>
                <w:tcW w:w="4536" w:type="dxa"/>
                <w:tcBorders>
                  <w:bottom w:val="single" w:sz="4" w:space="0" w:color="auto"/>
                </w:tcBorders>
              </w:tcPr>
              <w:p>
                <w:pPr>
                  <w:rPr>
                    <w:color w:val="000000"/>
                    <w:szCs w:val="24"/>
                  </w:rPr>
                </w:pPr>
                <w:r>
                  <w:rPr>
                    <w:color w:val="000000"/>
                    <w:szCs w:val="24"/>
                  </w:rPr>
                  <w:t>3.8. Kiekvieno apsilankymo iki 2 m. amžiaus metu pasverti vaiką, pamatuoti galvos apimtį, ūgį, šiuos duomenis įrašyti į augimo diagramą, o nuo 2 metų – pasverti, pamatuoti ūgį ir įrašyti į atitinkamą svorio priklausomybės nuo ūgio kitimo diagramą</w:t>
                </w:r>
                <w:r>
                  <w:rPr>
                    <w:color w:val="000000"/>
                    <w:szCs w:val="24"/>
                    <w:lang w:val="pl-PL"/>
                  </w:rPr>
                  <w:t>.</w:t>
                </w:r>
              </w:p>
              <w:p>
                <w:pPr>
                  <w:rPr>
                    <w:color w:val="000000"/>
                    <w:szCs w:val="24"/>
                  </w:rPr>
                </w:pPr>
                <w:r>
                  <w:rPr>
                    <w:color w:val="000000"/>
                    <w:szCs w:val="24"/>
                  </w:rPr>
                  <w:t>3.9. Informuoti tėvus ir vaikus apie racionalią mitybą, traumų, nudegimų ir smurto, žalingų sveikatai įpročių profilaktiką.</w:t>
                </w:r>
              </w:p>
            </w:tc>
            <w:tc>
              <w:tcPr>
                <w:tcW w:w="1701" w:type="dxa"/>
                <w:vMerge/>
                <w:tcBorders>
                  <w:bottom w:val="single" w:sz="4" w:space="0" w:color="auto"/>
                </w:tcBorders>
              </w:tcPr>
              <w:p>
                <w:pPr>
                  <w:jc w:val="center"/>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rPr>
              <w:trHeight w:val="3036"/>
            </w:trPr>
            <w:tc>
              <w:tcPr>
                <w:tcW w:w="568" w:type="dxa"/>
                <w:vMerge w:val="restart"/>
              </w:tcPr>
              <w:p>
                <w:pPr>
                  <w:jc w:val="center"/>
                  <w:rPr>
                    <w:color w:val="000000"/>
                    <w:szCs w:val="24"/>
                  </w:rPr>
                </w:pPr>
                <w:r>
                  <w:rPr>
                    <w:color w:val="000000"/>
                    <w:szCs w:val="24"/>
                  </w:rPr>
                  <w:t>4.</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276" w:type="dxa"/>
                <w:vMerge w:val="restart"/>
              </w:tcPr>
              <w:p>
                <w:pPr>
                  <w:rPr>
                    <w:color w:val="000000"/>
                    <w:szCs w:val="24"/>
                  </w:rPr>
                </w:pPr>
                <w:r>
                  <w:rPr>
                    <w:color w:val="000000"/>
                    <w:szCs w:val="24"/>
                  </w:rPr>
                  <w:t>Viduriniojo amžiaus vaikas</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tc>
            <w:tc>
              <w:tcPr>
                <w:tcW w:w="2268" w:type="dxa"/>
              </w:tcPr>
              <w:p>
                <w:pPr>
                  <w:tabs>
                    <w:tab w:val="left" w:pos="-250"/>
                  </w:tabs>
                  <w:rPr>
                    <w:color w:val="000000"/>
                    <w:szCs w:val="24"/>
                  </w:rPr>
                </w:pPr>
                <w:r>
                  <w:rPr>
                    <w:color w:val="000000"/>
                    <w:szCs w:val="24"/>
                  </w:rPr>
                  <w:t>Gydytojas</w:t>
                </w:r>
              </w:p>
            </w:tc>
            <w:tc>
              <w:tcPr>
                <w:tcW w:w="4536" w:type="dxa"/>
              </w:tcPr>
              <w:p>
                <w:pPr>
                  <w:tabs>
                    <w:tab w:val="left" w:pos="85"/>
                  </w:tabs>
                  <w:rPr>
                    <w:color w:val="000000"/>
                    <w:szCs w:val="24"/>
                  </w:rPr>
                </w:pPr>
                <w:r>
                  <w:rPr>
                    <w:color w:val="000000"/>
                    <w:szCs w:val="24"/>
                  </w:rPr>
                  <w:t xml:space="preserve">4.1. Kiekvieno apsilankymo metu įvertinti vaiko sveikatos būklę, fizinę būklę, įvertinti augimą, nubrėžiant  asmeninę ūgio ir svorio bei svorio priklausomybės nuo ūgio kitimo kreives pagal lytį; įvertinti: </w:t>
                </w:r>
              </w:p>
              <w:p>
                <w:pPr>
                  <w:tabs>
                    <w:tab w:val="left" w:pos="85"/>
                  </w:tabs>
                  <w:rPr>
                    <w:color w:val="000000"/>
                    <w:szCs w:val="24"/>
                  </w:rPr>
                </w:pPr>
                <w:r>
                  <w:rPr>
                    <w:color w:val="000000"/>
                    <w:szCs w:val="24"/>
                  </w:rPr>
                  <w:t xml:space="preserve">4.1.1. </w:t>
                </w:r>
                <w:r>
                  <w:rPr>
                    <w:color w:val="000000"/>
                    <w:szCs w:val="24"/>
                    <w:lang w:val="pl-PL"/>
                  </w:rPr>
                  <w:t xml:space="preserve">kūno masės indeksą (toliau – KMI); </w:t>
                </w:r>
              </w:p>
              <w:p>
                <w:pPr>
                  <w:tabs>
                    <w:tab w:val="left" w:pos="85"/>
                  </w:tabs>
                  <w:rPr>
                    <w:color w:val="000000"/>
                    <w:szCs w:val="24"/>
                  </w:rPr>
                </w:pPr>
                <w:r>
                  <w:rPr>
                    <w:color w:val="000000"/>
                    <w:szCs w:val="24"/>
                  </w:rPr>
                  <w:t>4.1.2. klausą;</w:t>
                </w:r>
              </w:p>
              <w:p>
                <w:pPr>
                  <w:tabs>
                    <w:tab w:val="left" w:pos="85"/>
                  </w:tabs>
                  <w:rPr>
                    <w:color w:val="000000"/>
                    <w:szCs w:val="24"/>
                  </w:rPr>
                </w:pPr>
                <w:r>
                  <w:rPr>
                    <w:color w:val="000000"/>
                    <w:szCs w:val="24"/>
                  </w:rPr>
                  <w:t>4.1.3. regėjimą;</w:t>
                </w:r>
              </w:p>
              <w:p>
                <w:pPr>
                  <w:tabs>
                    <w:tab w:val="left" w:pos="85"/>
                  </w:tabs>
                  <w:rPr>
                    <w:color w:val="000000"/>
                    <w:szCs w:val="24"/>
                  </w:rPr>
                </w:pPr>
                <w:r>
                  <w:rPr>
                    <w:color w:val="000000"/>
                    <w:szCs w:val="24"/>
                  </w:rPr>
                  <w:t>4.1.4. atramos judamąjį aparatą;</w:t>
                </w:r>
              </w:p>
              <w:p>
                <w:pPr>
                  <w:tabs>
                    <w:tab w:val="left" w:pos="600"/>
                  </w:tabs>
                  <w:rPr>
                    <w:color w:val="000000"/>
                    <w:szCs w:val="24"/>
                  </w:rPr>
                </w:pPr>
                <w:r>
                  <w:rPr>
                    <w:color w:val="000000"/>
                    <w:szCs w:val="24"/>
                  </w:rPr>
                  <w:t>4.1.5. psichikos būklę;</w:t>
                </w:r>
              </w:p>
              <w:p>
                <w:pPr>
                  <w:tabs>
                    <w:tab w:val="left" w:pos="85"/>
                  </w:tabs>
                  <w:rPr>
                    <w:color w:val="000000"/>
                    <w:szCs w:val="24"/>
                  </w:rPr>
                </w:pPr>
                <w:r>
                  <w:rPr>
                    <w:color w:val="000000"/>
                    <w:szCs w:val="24"/>
                  </w:rPr>
                  <w:t>4.1.6. mitybos ir higienos įgūdžius;</w:t>
                </w:r>
              </w:p>
              <w:p>
                <w:pPr>
                  <w:tabs>
                    <w:tab w:val="left" w:pos="85"/>
                  </w:tabs>
                  <w:rPr>
                    <w:color w:val="000000"/>
                    <w:szCs w:val="24"/>
                  </w:rPr>
                </w:pPr>
                <w:r>
                  <w:rPr>
                    <w:color w:val="000000"/>
                    <w:szCs w:val="24"/>
                  </w:rPr>
                  <w:t xml:space="preserve">4.1.7. AKS. </w:t>
                </w:r>
              </w:p>
              <w:p>
                <w:pPr>
                  <w:tabs>
                    <w:tab w:val="left" w:pos="85"/>
                  </w:tabs>
                  <w:rPr>
                    <w:color w:val="000000"/>
                    <w:szCs w:val="24"/>
                  </w:rPr>
                </w:pPr>
              </w:p>
            </w:tc>
            <w:tc>
              <w:tcPr>
                <w:tcW w:w="1701" w:type="dxa"/>
                <w:vMerge w:val="restart"/>
              </w:tcPr>
              <w:p>
                <w:pPr>
                  <w:tabs>
                    <w:tab w:val="left" w:pos="1503"/>
                  </w:tabs>
                  <w:rPr>
                    <w:color w:val="000000"/>
                    <w:szCs w:val="24"/>
                  </w:rPr>
                </w:pPr>
                <w:r>
                  <w:rPr>
                    <w:color w:val="000000"/>
                    <w:szCs w:val="24"/>
                  </w:rPr>
                  <w:t xml:space="preserve">6–7 metų amžiaus </w:t>
                </w:r>
              </w:p>
              <w:p>
                <w:pPr>
                  <w:tabs>
                    <w:tab w:val="left" w:pos="600"/>
                  </w:tabs>
                  <w:rPr>
                    <w:color w:val="000000"/>
                    <w:szCs w:val="24"/>
                  </w:rPr>
                </w:pPr>
                <w:r>
                  <w:rPr>
                    <w:color w:val="000000"/>
                    <w:szCs w:val="24"/>
                  </w:rPr>
                  <w:t>1 kartą</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ind w:firstLine="60"/>
                  <w:rPr>
                    <w:color w:val="000000"/>
                    <w:szCs w:val="24"/>
                  </w:rPr>
                </w:pPr>
              </w:p>
              <w:p>
                <w:pPr>
                  <w:widowControl w:val="0"/>
                  <w:rPr>
                    <w:color w:val="000000"/>
                    <w:szCs w:val="24"/>
                  </w:rPr>
                </w:pPr>
                <w:r>
                  <w:rPr>
                    <w:color w:val="000000"/>
                    <w:szCs w:val="24"/>
                  </w:rPr>
                  <w:t xml:space="preserve">Vaikų ligų gydytojas </w:t>
                </w:r>
              </w:p>
              <w:p>
                <w:pPr>
                  <w:tabs>
                    <w:tab w:val="left" w:pos="1503"/>
                  </w:tabs>
                  <w:rPr>
                    <w:color w:val="000000"/>
                    <w:szCs w:val="24"/>
                  </w:rPr>
                </w:pPr>
              </w:p>
              <w:p>
                <w:pPr>
                  <w:tabs>
                    <w:tab w:val="left" w:pos="1503"/>
                  </w:tabs>
                  <w:rPr>
                    <w:color w:val="000000"/>
                    <w:szCs w:val="24"/>
                  </w:rPr>
                </w:pPr>
              </w:p>
              <w:p>
                <w:pPr>
                  <w:tabs>
                    <w:tab w:val="left" w:pos="1503"/>
                  </w:tabs>
                  <w:rPr>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rPr>
              <w:trHeight w:val="2032"/>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6–7 metų amžiaus </w:t>
                </w:r>
              </w:p>
              <w:p>
                <w:pPr>
                  <w:rPr>
                    <w:color w:val="000000"/>
                    <w:szCs w:val="24"/>
                  </w:rPr>
                </w:pPr>
                <w:r>
                  <w:rPr>
                    <w:color w:val="000000"/>
                    <w:szCs w:val="24"/>
                  </w:rPr>
                  <w:t>1 kartą</w:t>
                </w:r>
              </w:p>
            </w:tc>
            <w:tc>
              <w:tcPr>
                <w:tcW w:w="2268" w:type="dxa"/>
              </w:tcPr>
              <w:p>
                <w:pPr>
                  <w:rPr>
                    <w:color w:val="000000"/>
                    <w:szCs w:val="24"/>
                  </w:rPr>
                </w:pPr>
                <w:r>
                  <w:rPr>
                    <w:color w:val="000000"/>
                    <w:szCs w:val="24"/>
                  </w:rPr>
                  <w:t xml:space="preserve">Gydytojas </w:t>
                </w:r>
              </w:p>
              <w:p>
                <w:pPr>
                  <w:tabs>
                    <w:tab w:val="left" w:pos="-250"/>
                  </w:tabs>
                  <w:rPr>
                    <w:color w:val="000000"/>
                    <w:szCs w:val="24"/>
                  </w:rPr>
                </w:pPr>
              </w:p>
            </w:tc>
            <w:tc>
              <w:tcPr>
                <w:tcW w:w="4536" w:type="dxa"/>
              </w:tcPr>
              <w:p>
                <w:pPr>
                  <w:rPr>
                    <w:color w:val="000000"/>
                    <w:szCs w:val="24"/>
                  </w:rPr>
                </w:pPr>
                <w:r>
                  <w:rPr>
                    <w:color w:val="000000"/>
                    <w:szCs w:val="24"/>
                  </w:rPr>
                  <w:t>4.2. Atlikti ir įvertinti:</w:t>
                </w:r>
              </w:p>
              <w:p>
                <w:pPr>
                  <w:tabs>
                    <w:tab w:val="left" w:pos="85"/>
                  </w:tabs>
                  <w:rPr>
                    <w:color w:val="000000"/>
                    <w:szCs w:val="24"/>
                  </w:rPr>
                </w:pPr>
                <w:r>
                  <w:rPr>
                    <w:color w:val="000000"/>
                    <w:szCs w:val="24"/>
                  </w:rPr>
                  <w:t xml:space="preserve">4.2.1. bendrą kraujo tyrimą; </w:t>
                </w:r>
              </w:p>
              <w:p>
                <w:pPr>
                  <w:tabs>
                    <w:tab w:val="left" w:pos="85"/>
                  </w:tabs>
                  <w:rPr>
                    <w:color w:val="000000"/>
                    <w:szCs w:val="24"/>
                  </w:rPr>
                </w:pPr>
                <w:r>
                  <w:rPr>
                    <w:color w:val="000000"/>
                    <w:szCs w:val="24"/>
                  </w:rPr>
                  <w:t>4.2.2. šlapimo tyrimą;</w:t>
                </w:r>
              </w:p>
              <w:p>
                <w:pPr>
                  <w:tabs>
                    <w:tab w:val="left" w:pos="85"/>
                  </w:tabs>
                  <w:rPr>
                    <w:color w:val="000000"/>
                    <w:szCs w:val="24"/>
                  </w:rPr>
                </w:pPr>
                <w:r>
                  <w:rPr>
                    <w:color w:val="000000"/>
                    <w:szCs w:val="24"/>
                  </w:rPr>
                  <w:t>4.2.3. tyrimą dėl helmintozių;</w:t>
                </w:r>
              </w:p>
              <w:p>
                <w:pPr>
                  <w:tabs>
                    <w:tab w:val="left" w:pos="85"/>
                  </w:tabs>
                  <w:rPr>
                    <w:color w:val="000000"/>
                    <w:szCs w:val="24"/>
                  </w:rPr>
                </w:pPr>
                <w:r>
                  <w:rPr>
                    <w:color w:val="000000"/>
                    <w:szCs w:val="24"/>
                  </w:rPr>
                  <w:t>4.2.4. elektrokardiogramą;</w:t>
                </w:r>
              </w:p>
              <w:p>
                <w:pPr>
                  <w:tabs>
                    <w:tab w:val="left" w:pos="85"/>
                  </w:tabs>
                  <w:rPr>
                    <w:color w:val="000000"/>
                    <w:szCs w:val="24"/>
                  </w:rPr>
                </w:pPr>
                <w:r>
                  <w:rPr>
                    <w:color w:val="000000"/>
                    <w:szCs w:val="24"/>
                  </w:rPr>
                  <w:t>4.2.5. tuberkulino mėginį (rizikos grupės vaikams – kasmet).</w:t>
                </w:r>
              </w:p>
            </w:tc>
            <w:tc>
              <w:tcPr>
                <w:tcW w:w="1701" w:type="dxa"/>
                <w:vMerge/>
              </w:tcPr>
              <w:p>
                <w:pPr>
                  <w:tabs>
                    <w:tab w:val="left" w:pos="1503"/>
                  </w:tabs>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393"/>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tabs>
                    <w:tab w:val="left" w:pos="600"/>
                  </w:tabs>
                  <w:rPr>
                    <w:color w:val="000000"/>
                    <w:szCs w:val="24"/>
                  </w:rPr>
                </w:pPr>
                <w:r>
                  <w:rPr>
                    <w:color w:val="000000"/>
                    <w:szCs w:val="24"/>
                  </w:rPr>
                  <w:t>1 kartą per metus</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rPr>
                    <w:color w:val="000000"/>
                    <w:szCs w:val="24"/>
                  </w:rPr>
                </w:pPr>
              </w:p>
            </w:tc>
            <w:tc>
              <w:tcPr>
                <w:tcW w:w="2268" w:type="dxa"/>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p>
              <w:p>
                <w:pPr>
                  <w:rPr>
                    <w:color w:val="000000"/>
                    <w:szCs w:val="24"/>
                  </w:rPr>
                </w:pPr>
              </w:p>
              <w:p>
                <w:pPr>
                  <w:rPr>
                    <w:color w:val="000000"/>
                    <w:szCs w:val="24"/>
                  </w:rPr>
                </w:pPr>
              </w:p>
              <w:p>
                <w:pPr>
                  <w:widowControl w:val="0"/>
                  <w:rPr>
                    <w:color w:val="000000"/>
                    <w:szCs w:val="24"/>
                  </w:rPr>
                </w:pPr>
              </w:p>
            </w:tc>
            <w:tc>
              <w:tcPr>
                <w:tcW w:w="4536" w:type="dxa"/>
              </w:tcPr>
              <w:p>
                <w:pPr>
                  <w:spacing w:line="480" w:lineRule="auto"/>
                  <w:rPr>
                    <w:color w:val="000000"/>
                    <w:szCs w:val="24"/>
                  </w:rPr>
                </w:pPr>
                <w:r>
                  <w:rPr>
                    <w:color w:val="000000"/>
                    <w:szCs w:val="24"/>
                  </w:rPr>
                  <w:t xml:space="preserve">4.3. Įvertinti 5–7 metų vaiko nuolatinių dantų dygimą. </w:t>
                </w:r>
              </w:p>
              <w:p>
                <w:pPr>
                  <w:rPr>
                    <w:sz w:val="10"/>
                    <w:szCs w:val="10"/>
                  </w:rPr>
                </w:pPr>
              </w:p>
              <w:p>
                <w:pPr>
                  <w:tabs>
                    <w:tab w:val="left" w:pos="600"/>
                  </w:tabs>
                  <w:rPr>
                    <w:color w:val="000000"/>
                    <w:szCs w:val="24"/>
                  </w:rPr>
                </w:pPr>
                <w:r>
                  <w:rPr>
                    <w:color w:val="000000"/>
                    <w:szCs w:val="24"/>
                  </w:rPr>
                  <w:t xml:space="preserve">4.4. Atlikti dantų ėduonies diagnostiką, krūminių dantų silantavimą – priklausomai nuo dantų dygimo laiko, esant reikalui, pagydyti  ar skirti  gydymo laiką, siųsti gydyti. </w:t>
                </w:r>
              </w:p>
              <w:p>
                <w:pPr>
                  <w:tabs>
                    <w:tab w:val="left" w:pos="600"/>
                  </w:tabs>
                  <w:rPr>
                    <w:color w:val="000000"/>
                    <w:szCs w:val="24"/>
                  </w:rPr>
                </w:pPr>
                <w:r>
                  <w:rPr>
                    <w:color w:val="000000"/>
                    <w:szCs w:val="24"/>
                  </w:rPr>
                  <w:t xml:space="preserve">4.5. Įvertinti nuolatinių dantų sąkandį, nustatyti, ar nėra sąkandžio anomalijų, esant reikalui, pagydyti ar skirti gydymo laiką / siųsti konsultacijos / gydyti. </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tabs>
                    <w:tab w:val="left" w:pos="600"/>
                  </w:tabs>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r>
                  <w:rPr>
                    <w:color w:val="000000"/>
                    <w:szCs w:val="24"/>
                  </w:rPr>
                  <w:t xml:space="preserve">arba burnos higienistas </w:t>
                </w:r>
              </w:p>
            </w:tc>
            <w:tc>
              <w:tcPr>
                <w:tcW w:w="4536" w:type="dxa"/>
                <w:tcBorders>
                  <w:bottom w:val="single" w:sz="4" w:space="0" w:color="auto"/>
                </w:tcBorders>
              </w:tcPr>
              <w:p>
                <w:pPr>
                  <w:spacing w:line="480" w:lineRule="auto"/>
                  <w:rPr>
                    <w:color w:val="000000"/>
                    <w:szCs w:val="24"/>
                  </w:rPr>
                </w:pPr>
                <w:r>
                  <w:rPr>
                    <w:color w:val="000000"/>
                    <w:szCs w:val="24"/>
                  </w:rPr>
                  <w:t xml:space="preserve">4.6. Atlikti dantų ėduonies profilaktiką. </w:t>
                </w:r>
              </w:p>
              <w:p>
                <w:pPr>
                  <w:rPr>
                    <w:sz w:val="10"/>
                    <w:szCs w:val="10"/>
                  </w:rPr>
                </w:pPr>
              </w:p>
              <w:p>
                <w:pPr>
                  <w:spacing w:line="480" w:lineRule="auto"/>
                  <w:rPr>
                    <w:color w:val="000000"/>
                    <w:szCs w:val="24"/>
                  </w:rPr>
                </w:pPr>
                <w:r>
                  <w:rPr>
                    <w:color w:val="000000"/>
                    <w:szCs w:val="24"/>
                  </w:rPr>
                  <w:t>4.7. Įvertinti burnos higienos būklę ir pamokyti burnos higienos pagrindų (dantų valymo šepetėliu ir tarpdančių siūlu).</w:t>
                </w:r>
              </w:p>
              <w:p>
                <w:pPr>
                  <w:rPr>
                    <w:sz w:val="10"/>
                    <w:szCs w:val="10"/>
                  </w:rPr>
                </w:pPr>
              </w:p>
              <w:p>
                <w:pPr>
                  <w:spacing w:line="480" w:lineRule="auto"/>
                  <w:rPr>
                    <w:color w:val="000000"/>
                    <w:szCs w:val="24"/>
                  </w:rPr>
                </w:pPr>
                <w:r>
                  <w:rPr>
                    <w:color w:val="000000"/>
                    <w:szCs w:val="24"/>
                  </w:rPr>
                  <w:t>4.8. Patikrinti burnos sveikatą prieš einant į mokyklą.</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tabs>
                    <w:tab w:val="left" w:pos="600"/>
                  </w:tabs>
                  <w:rPr>
                    <w:b/>
                    <w:color w:val="000000"/>
                    <w:szCs w:val="24"/>
                  </w:rPr>
                </w:pPr>
              </w:p>
            </w:tc>
            <w:tc>
              <w:tcPr>
                <w:tcW w:w="2268" w:type="dxa"/>
                <w:tcBorders>
                  <w:bottom w:val="single" w:sz="4" w:space="0" w:color="auto"/>
                </w:tcBorders>
              </w:tcPr>
              <w:p>
                <w:pPr>
                  <w:widowControl w:val="0"/>
                  <w:rPr>
                    <w:color w:val="000000"/>
                    <w:szCs w:val="24"/>
                  </w:rPr>
                </w:pPr>
                <w:r>
                  <w:rPr>
                    <w:color w:val="000000"/>
                    <w:szCs w:val="24"/>
                  </w:rPr>
                  <w:t>Slaugytojas</w:t>
                </w:r>
              </w:p>
              <w:p>
                <w:pPr>
                  <w:widowControl w:val="0"/>
                  <w:rPr>
                    <w:color w:val="000000"/>
                    <w:szCs w:val="24"/>
                  </w:rPr>
                </w:pPr>
              </w:p>
              <w:p>
                <w:pPr>
                  <w:widowControl w:val="0"/>
                  <w:rPr>
                    <w:color w:val="000000"/>
                    <w:szCs w:val="24"/>
                  </w:rPr>
                </w:pPr>
              </w:p>
              <w:p>
                <w:pPr>
                  <w:widowControl w:val="0"/>
                  <w:rPr>
                    <w:color w:val="000000"/>
                    <w:szCs w:val="24"/>
                  </w:rPr>
                </w:pPr>
              </w:p>
              <w:p>
                <w:pPr>
                  <w:tabs>
                    <w:tab w:val="left" w:pos="600"/>
                  </w:tabs>
                  <w:rPr>
                    <w:color w:val="000000"/>
                    <w:szCs w:val="24"/>
                  </w:rPr>
                </w:pPr>
              </w:p>
            </w:tc>
            <w:tc>
              <w:tcPr>
                <w:tcW w:w="4536" w:type="dxa"/>
                <w:tcBorders>
                  <w:bottom w:val="single" w:sz="4" w:space="0" w:color="auto"/>
                </w:tcBorders>
              </w:tcPr>
              <w:p>
                <w:pPr>
                  <w:tabs>
                    <w:tab w:val="left" w:pos="600"/>
                  </w:tabs>
                  <w:rPr>
                    <w:color w:val="000000"/>
                    <w:szCs w:val="24"/>
                    <w:lang w:val="pl-PL"/>
                  </w:rPr>
                </w:pPr>
                <w:r>
                  <w:rPr>
                    <w:color w:val="000000"/>
                    <w:szCs w:val="24"/>
                  </w:rPr>
                  <w:t xml:space="preserve">4.9. Kiekvieno apsilankymo metu pamatuoti AKS, ūgį, svorį ir šiuos duomenis įrašyti į atitinkamas ūgio ir svorio bei  svorio priklausomybės nuo ūgio kitimo diagramas, apskaičiuoti </w:t>
                </w:r>
                <w:r>
                  <w:rPr>
                    <w:color w:val="000000"/>
                    <w:szCs w:val="24"/>
                    <w:lang w:val="pl-PL"/>
                  </w:rPr>
                  <w:t>KMI.</w:t>
                </w:r>
              </w:p>
              <w:p>
                <w:pPr>
                  <w:tabs>
                    <w:tab w:val="left" w:pos="600"/>
                  </w:tabs>
                  <w:rPr>
                    <w:color w:val="000000"/>
                    <w:szCs w:val="24"/>
                  </w:rPr>
                </w:pPr>
                <w:r>
                  <w:rPr>
                    <w:color w:val="000000"/>
                    <w:szCs w:val="24"/>
                    <w:lang w:val="pl-PL"/>
                  </w:rPr>
                  <w:t xml:space="preserve">4.10. </w:t>
                </w:r>
                <w:r>
                  <w:rPr>
                    <w:color w:val="000000"/>
                    <w:szCs w:val="24"/>
                  </w:rPr>
                  <w:t xml:space="preserve">Informuoti tėvus ir vaikus apie fizinį aktyvumą, racionalią mitybą, traumų, nudegimų, paskendimo, smurto, ligų ir žalingų sveikatai įpročių profilaktiką, sveiko gyvenimo būdo ir lytinio švietimo principus. </w:t>
                </w:r>
              </w:p>
              <w:p>
                <w:pPr>
                  <w:tabs>
                    <w:tab w:val="left" w:pos="600"/>
                  </w:tabs>
                  <w:rPr>
                    <w:color w:val="000000"/>
                    <w:szCs w:val="24"/>
                  </w:rPr>
                </w:pPr>
                <w:r>
                  <w:rPr>
                    <w:color w:val="000000"/>
                    <w:szCs w:val="24"/>
                  </w:rPr>
                  <w:t xml:space="preserve">4.11. Pagal amžiaus ir lyties ypatumus padėti vaikui ir tėvams formuoti higienos, racionalios mitybos, sveiko gyvenimo būdo, imunoprofilaktikos nuostatas. </w:t>
                </w:r>
              </w:p>
            </w:tc>
            <w:tc>
              <w:tcPr>
                <w:tcW w:w="1701" w:type="dxa"/>
                <w:vMerge/>
                <w:tcBorders>
                  <w:bottom w:val="single" w:sz="4" w:space="0" w:color="auto"/>
                </w:tcBorders>
              </w:tcPr>
              <w:p>
                <w:pPr>
                  <w:tabs>
                    <w:tab w:val="left" w:pos="600"/>
                  </w:tabs>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rPr>
              <w:trHeight w:val="20"/>
            </w:trPr>
            <w:tc>
              <w:tcPr>
                <w:tcW w:w="568" w:type="dxa"/>
                <w:vMerge w:val="restart"/>
                <w:tcBorders>
                  <w:bottom w:val="single" w:sz="4" w:space="0" w:color="auto"/>
                </w:tcBorders>
              </w:tcPr>
              <w:p>
                <w:pPr>
                  <w:tabs>
                    <w:tab w:val="center" w:pos="4819"/>
                    <w:tab w:val="right" w:pos="9638"/>
                  </w:tabs>
                  <w:jc w:val="center"/>
                  <w:rPr>
                    <w:color w:val="000000"/>
                    <w:szCs w:val="24"/>
                  </w:rPr>
                </w:pPr>
                <w:r>
                  <w:rPr>
                    <w:color w:val="000000"/>
                    <w:szCs w:val="24"/>
                  </w:rPr>
                  <w:t>5.</w:t>
                </w: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tc>
            <w:tc>
              <w:tcPr>
                <w:tcW w:w="1276" w:type="dxa"/>
                <w:vMerge w:val="restart"/>
                <w:tcBorders>
                  <w:bottom w:val="single" w:sz="4" w:space="0" w:color="auto"/>
                </w:tcBorders>
              </w:tcPr>
              <w:p>
                <w:pPr>
                  <w:rPr>
                    <w:szCs w:val="24"/>
                    <w:lang w:eastAsia="lt-LT"/>
                  </w:rPr>
                </w:pPr>
                <w:r>
                  <w:rPr>
                    <w:szCs w:val="24"/>
                    <w:lang w:eastAsia="lt-LT"/>
                  </w:rPr>
                  <w:t>Paauglys, pilnametis mokinys</w:t>
                </w: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p>
                <w:pPr>
                  <w:jc w:val="center"/>
                  <w:rPr>
                    <w:color w:val="000000"/>
                    <w:szCs w:val="24"/>
                  </w:rPr>
                </w:pPr>
              </w:p>
              <w:p>
                <w:pPr>
                  <w:jc w:val="center"/>
                  <w:rPr>
                    <w:color w:val="000000"/>
                    <w:szCs w:val="24"/>
                  </w:rPr>
                </w:pP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Šeimos gydytojas</w:t>
                </w:r>
              </w:p>
              <w:p>
                <w:pPr>
                  <w:rPr>
                    <w:color w:val="000000"/>
                    <w:szCs w:val="24"/>
                  </w:rPr>
                </w:pPr>
                <w:r>
                  <w:rPr>
                    <w:color w:val="000000"/>
                    <w:szCs w:val="24"/>
                  </w:rPr>
                  <w:t>arba</w:t>
                </w:r>
              </w:p>
              <w:p>
                <w:pPr>
                  <w:rPr>
                    <w:color w:val="000000"/>
                    <w:szCs w:val="24"/>
                  </w:rPr>
                </w:pPr>
                <w:r>
                  <w:rPr>
                    <w:color w:val="000000"/>
                    <w:szCs w:val="24"/>
                  </w:rPr>
                  <w:t>šeimos medicinos paslaugas teikiantis vaikų ligų gydytojas (tik paaugliams)</w:t>
                </w:r>
              </w:p>
              <w:p>
                <w:pPr>
                  <w:rPr>
                    <w:color w:val="000000"/>
                    <w:szCs w:val="24"/>
                  </w:rPr>
                </w:pPr>
                <w:r>
                  <w:rPr>
                    <w:color w:val="000000"/>
                    <w:szCs w:val="24"/>
                  </w:rPr>
                  <w:t xml:space="preserve">arba </w:t>
                </w:r>
              </w:p>
              <w:p>
                <w:pPr>
                  <w:rPr>
                    <w:color w:val="000000"/>
                    <w:szCs w:val="24"/>
                  </w:rPr>
                </w:pPr>
                <w:r>
                  <w:rPr>
                    <w:color w:val="000000"/>
                    <w:szCs w:val="24"/>
                  </w:rPr>
                  <w:t>šeimos medicinos paslaugas teikiantis vidaus ligų gydytojas (tik pilnamečiams mokiniams)</w:t>
                </w:r>
              </w:p>
              <w:p>
                <w:pPr>
                  <w:rPr>
                    <w:color w:val="000000"/>
                    <w:szCs w:val="24"/>
                  </w:rPr>
                </w:pPr>
              </w:p>
              <w:p>
                <w:pPr>
                  <w:rPr>
                    <w:color w:val="000000"/>
                    <w:szCs w:val="24"/>
                  </w:rPr>
                </w:pP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 xml:space="preserve">5.1. Kiekvieno apsilankymo metu įvertinti paciento sveikatos būklę, fizinę būklę, lytinį brendimą, augimą, nubrėžiant  asmenines ūgio ir svorio bei  svorio priklausomybės nuo ūgio kitimo kreives pagal lytį; įvertinti KMI, AKS, mitybos įpročius, fizinį aktyvumą, atramos judamąjį aparatą, psichikos būklę, regėjimo aštrumą, klausos aštrumą, įsitraukimą į rizikingą sveikatai elgseną (pvz., patyčios, smurtas), lytinio aktyvumo bei lytinės elgsenos saugumą bei, atsižvelgiant į amžiaus ypatumus, informuoti pacientą, jo tėvus ar kitus atstovus pagal įstatymą apie sveikos gyvensenos ugdymą, rekomenduoti profilaktines priemones, mokyti sveikos gyvensenos principų, pagal paciento poreikius teikti sveikatos informavimo ir konsultavimo paslaugas toliau išvardytais klausimais: </w:t>
                </w:r>
              </w:p>
              <w:p>
                <w:pPr>
                  <w:rPr>
                    <w:color w:val="000000"/>
                    <w:szCs w:val="24"/>
                  </w:rPr>
                </w:pPr>
                <w:r>
                  <w:rPr>
                    <w:color w:val="000000"/>
                    <w:szCs w:val="24"/>
                  </w:rPr>
                  <w:t>5.1.1. asmens higienos;</w:t>
                </w:r>
              </w:p>
              <w:p>
                <w:pPr>
                  <w:rPr>
                    <w:color w:val="000000"/>
                    <w:szCs w:val="24"/>
                  </w:rPr>
                </w:pPr>
                <w:r>
                  <w:rPr>
                    <w:color w:val="000000"/>
                    <w:szCs w:val="24"/>
                  </w:rPr>
                  <w:t>5.1.2. racionalios mitybos;</w:t>
                </w:r>
              </w:p>
              <w:p>
                <w:pPr>
                  <w:rPr>
                    <w:color w:val="000000"/>
                    <w:szCs w:val="24"/>
                  </w:rPr>
                </w:pPr>
                <w:r>
                  <w:rPr>
                    <w:color w:val="000000"/>
                    <w:szCs w:val="24"/>
                  </w:rPr>
                  <w:t xml:space="preserve">5.1.3. miego ir budrumo režimo; </w:t>
                </w:r>
              </w:p>
              <w:p>
                <w:pPr>
                  <w:rPr>
                    <w:color w:val="000000"/>
                    <w:szCs w:val="24"/>
                  </w:rPr>
                </w:pPr>
                <w:r>
                  <w:rPr>
                    <w:color w:val="000000"/>
                    <w:szCs w:val="24"/>
                  </w:rPr>
                  <w:t>5.1.4. burnos sveikatos;</w:t>
                </w:r>
              </w:p>
              <w:p>
                <w:pPr>
                  <w:rPr>
                    <w:color w:val="000000"/>
                    <w:szCs w:val="24"/>
                  </w:rPr>
                </w:pPr>
                <w:r>
                  <w:rPr>
                    <w:color w:val="000000"/>
                    <w:szCs w:val="24"/>
                  </w:rPr>
                  <w:t>5.1.5. fizinio aktyvumo (rekomenduotina ne mažiau kaip 1 val. kasdien) lauke, ir sveiko gyvenimo būdo;</w:t>
                </w:r>
              </w:p>
              <w:p>
                <w:pPr>
                  <w:rPr>
                    <w:color w:val="000000"/>
                    <w:szCs w:val="24"/>
                  </w:rPr>
                </w:pPr>
                <w:r>
                  <w:rPr>
                    <w:color w:val="000000"/>
                    <w:szCs w:val="24"/>
                  </w:rPr>
                  <w:t>5.1.6. regėjimo sutrikimų, sukeliamų darbo su videoterminalais, profilaktikos, taisyklingos laikysenos sėdint prie kompiuterio, darbo ir poilsio režimo;</w:t>
                </w:r>
              </w:p>
              <w:p>
                <w:pPr>
                  <w:rPr>
                    <w:color w:val="000000"/>
                    <w:szCs w:val="24"/>
                  </w:rPr>
                </w:pPr>
                <w:r>
                  <w:rPr>
                    <w:color w:val="000000"/>
                    <w:szCs w:val="24"/>
                  </w:rPr>
                  <w:t>5.1.7. traumų, prievartos, uždusimo, paskendimo, apsinuodijimų, nudegimų ir kitų nelaimingų atsitikimų, saugaus elgesio kelyje ir kitoje aplinkoje profilaktiką, imunoprofilaktiką;</w:t>
                </w:r>
              </w:p>
              <w:p>
                <w:pPr>
                  <w:rPr>
                    <w:color w:val="000000"/>
                    <w:szCs w:val="24"/>
                  </w:rPr>
                </w:pPr>
                <w:r>
                  <w:rPr>
                    <w:color w:val="000000"/>
                    <w:szCs w:val="24"/>
                  </w:rPr>
                  <w:t xml:space="preserve">5.1.8. žalingų sveikatai įpročių (alkoholio, nikotino ir narkotinių medžiagų vartojimo); </w:t>
                </w:r>
              </w:p>
              <w:p>
                <w:pPr>
                  <w:rPr>
                    <w:color w:val="000000"/>
                    <w:szCs w:val="24"/>
                  </w:rPr>
                </w:pPr>
                <w:r>
                  <w:rPr>
                    <w:color w:val="000000"/>
                    <w:szCs w:val="24"/>
                  </w:rPr>
                  <w:t>5.1.9. atsparumo rizikingai sveikatai elgsenai;</w:t>
                </w:r>
              </w:p>
              <w:p>
                <w:pPr>
                  <w:rPr>
                    <w:color w:val="000000"/>
                    <w:szCs w:val="24"/>
                  </w:rPr>
                </w:pPr>
                <w:r>
                  <w:rPr>
                    <w:color w:val="000000"/>
                    <w:szCs w:val="24"/>
                  </w:rPr>
                  <w:t>5.1.10. lytinės elgsenos saugumo;</w:t>
                </w:r>
              </w:p>
              <w:p>
                <w:pPr>
                  <w:rPr>
                    <w:color w:val="000000"/>
                    <w:szCs w:val="24"/>
                  </w:rPr>
                </w:pPr>
                <w:r>
                  <w:rPr>
                    <w:color w:val="000000"/>
                    <w:szCs w:val="24"/>
                  </w:rPr>
                  <w:t xml:space="preserve">5.1.11. sveikatos priežiūros pagalbos neįgalaus vaiko šeimai. </w:t>
                </w:r>
              </w:p>
            </w:tc>
            <w:tc>
              <w:tcPr>
                <w:tcW w:w="1701" w:type="dxa"/>
                <w:vMerge w:val="restart"/>
                <w:tcBorders>
                  <w:bottom w:val="single" w:sz="4" w:space="0" w:color="auto"/>
                </w:tcBorders>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Borders>
                  <w:bottom w:val="single" w:sz="4" w:space="0" w:color="auto"/>
                </w:tcBorders>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701" w:type="dxa"/>
                <w:vMerge w:val="restart"/>
                <w:tcBorders>
                  <w:bottom w:val="single" w:sz="4" w:space="0" w:color="auto"/>
                </w:tcBorders>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 xml:space="preserve">1 kartą per 2 metus </w:t>
                </w:r>
              </w:p>
              <w:p>
                <w:pPr>
                  <w:jc w:val="center"/>
                  <w:rPr>
                    <w:color w:val="000000"/>
                    <w:szCs w:val="24"/>
                  </w:rPr>
                </w:pP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Šeimos gydytojas</w:t>
                </w:r>
              </w:p>
              <w:p>
                <w:pPr>
                  <w:rPr>
                    <w:color w:val="000000"/>
                    <w:szCs w:val="24"/>
                  </w:rPr>
                </w:pPr>
                <w:r>
                  <w:rPr>
                    <w:color w:val="000000"/>
                    <w:szCs w:val="24"/>
                  </w:rPr>
                  <w:t>arba</w:t>
                </w:r>
              </w:p>
              <w:p>
                <w:pPr>
                  <w:rPr>
                    <w:color w:val="000000"/>
                    <w:szCs w:val="24"/>
                  </w:rPr>
                </w:pPr>
                <w:r>
                  <w:rPr>
                    <w:color w:val="000000"/>
                    <w:szCs w:val="24"/>
                  </w:rPr>
                  <w:t>šeimos medicinos paslaugas teikiantis vaikų ligų gydytojas (tik paaugliams)</w:t>
                </w:r>
              </w:p>
              <w:p>
                <w:pPr>
                  <w:rPr>
                    <w:color w:val="000000"/>
                    <w:szCs w:val="24"/>
                  </w:rPr>
                </w:pPr>
                <w:r>
                  <w:rPr>
                    <w:color w:val="000000"/>
                    <w:szCs w:val="24"/>
                  </w:rPr>
                  <w:t xml:space="preserve">arba </w:t>
                </w:r>
              </w:p>
              <w:p>
                <w:pPr>
                  <w:rPr>
                    <w:color w:val="000000"/>
                    <w:szCs w:val="24"/>
                  </w:rPr>
                </w:pPr>
                <w:r>
                  <w:rPr>
                    <w:color w:val="000000"/>
                    <w:szCs w:val="24"/>
                  </w:rPr>
                  <w:t>šeimos medicinos paslaugas teikiantis vidaus ligų gydytojas (tik pilnamečiams mokiniams)</w:t>
                </w:r>
              </w:p>
              <w:p>
                <w:pPr>
                  <w:rPr>
                    <w:color w:val="000000"/>
                    <w:szCs w:val="24"/>
                  </w:rPr>
                </w:pP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5.2. Atlikti ir įvertinti:</w:t>
                </w:r>
              </w:p>
              <w:p>
                <w:pPr>
                  <w:rPr>
                    <w:color w:val="000000"/>
                    <w:szCs w:val="24"/>
                  </w:rPr>
                </w:pPr>
                <w:r>
                  <w:rPr>
                    <w:color w:val="000000"/>
                    <w:szCs w:val="24"/>
                  </w:rPr>
                  <w:t>5.2.1. bendrą kraujo tyrimą, jei yra šie rizikos veiksniai: neracionali mityba (ypač – vegetarams), gausios menstruacijos, pacientas sportuoja, gyvena blogomis socialinėmis sąlygomis, augimo spurto metu ir jei paauglys netenka kūno masės;</w:t>
                </w:r>
              </w:p>
              <w:p>
                <w:pPr>
                  <w:rPr>
                    <w:color w:val="000000"/>
                    <w:szCs w:val="24"/>
                  </w:rPr>
                </w:pPr>
                <w:r>
                  <w:rPr>
                    <w:color w:val="000000"/>
                    <w:szCs w:val="24"/>
                  </w:rPr>
                  <w:t>5.2.2. kapiliarinės glikemijos tyrimą, jei yra šie klinikiniai simptomai: poliurija, polidipsija, svorio kritimas, nuovargis; nuo 10 metų arba prasidėjus lytiniam brendimui, kai KMI viršija 85 procentilę ir yra rizikos veiksnių, tokių kaip cukrinis diabetas ir (ar) širdies kraujagyslių ligos šeimoje,  atsparumo insulinui požymių (juodoji akantozė, dislipidemija, hipertenzija, policistinių kiaušidžių sindromas);</w:t>
                </w:r>
              </w:p>
              <w:p>
                <w:pPr>
                  <w:rPr>
                    <w:color w:val="000000"/>
                    <w:szCs w:val="24"/>
                  </w:rPr>
                </w:pPr>
                <w:r>
                  <w:rPr>
                    <w:color w:val="000000"/>
                    <w:szCs w:val="24"/>
                  </w:rPr>
                  <w:t>visiems, kurių KMI viršija 95 procentilę pagal amžių ir lytį;</w:t>
                </w:r>
              </w:p>
              <w:p>
                <w:pPr>
                  <w:rPr>
                    <w:color w:val="000000"/>
                    <w:szCs w:val="24"/>
                  </w:rPr>
                </w:pPr>
                <w:r>
                  <w:rPr>
                    <w:color w:val="000000"/>
                    <w:szCs w:val="24"/>
                  </w:rPr>
                  <w:t>5.2.3. bendrą šlapimo tyrimą.</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Gydytojas odontologas, gydytojas odontologas specialistas arba burnos higienistas</w:t>
                </w: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 xml:space="preserve">5.3. Atlikti dantų ėduonies diagnostiką, krūminių dantų silantavimą – priklausomai nuo dantų dygimo laiko, jei reikia, pagydyti ar skirti gydymo laiką / siųsti gydyti. </w:t>
                </w:r>
              </w:p>
              <w:p>
                <w:pPr>
                  <w:rPr>
                    <w:color w:val="000000"/>
                    <w:szCs w:val="24"/>
                  </w:rPr>
                </w:pPr>
                <w:r>
                  <w:rPr>
                    <w:color w:val="000000"/>
                    <w:szCs w:val="24"/>
                  </w:rPr>
                  <w:t xml:space="preserve">5.4. Įvertinti nuolatinių dantų sąkandį, nustatyti, ar nėra sąkandžio anomalijų, jei reikia, pagydyti ar siųsti konsultacijos / gydyti. </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Gydytojas odontologas,</w:t>
                </w:r>
              </w:p>
              <w:p>
                <w:pPr>
                  <w:rPr>
                    <w:color w:val="000000"/>
                    <w:szCs w:val="24"/>
                  </w:rPr>
                </w:pPr>
                <w:r>
                  <w:rPr>
                    <w:color w:val="000000"/>
                    <w:szCs w:val="24"/>
                  </w:rPr>
                  <w:t>gydytojas odontologas specialistas</w:t>
                </w:r>
              </w:p>
              <w:p>
                <w:pPr>
                  <w:rPr>
                    <w:color w:val="000000"/>
                    <w:szCs w:val="24"/>
                  </w:rPr>
                </w:pPr>
                <w:r>
                  <w:rPr>
                    <w:color w:val="000000"/>
                    <w:szCs w:val="24"/>
                  </w:rPr>
                  <w:t xml:space="preserve">arba burnos higienistas </w:t>
                </w: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5.5. Atlikti dantų ėduonies profilaktiką.  </w:t>
                </w:r>
              </w:p>
              <w:p>
                <w:pPr>
                  <w:rPr>
                    <w:color w:val="000000"/>
                    <w:szCs w:val="24"/>
                  </w:rPr>
                </w:pPr>
                <w:r>
                  <w:rPr>
                    <w:color w:val="000000"/>
                    <w:szCs w:val="24"/>
                  </w:rPr>
                  <w:t>5.6. Įvertinti burnos higienos būklę ir pamokyti burnos higienos ir racionalios mitybos pagrindų, informuoti apie deimantų ant dantų, auskarų liežuvyje žalą. </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p>
                <w:pPr>
                  <w:jc w:val="center"/>
                  <w:rPr>
                    <w:color w:val="000000"/>
                    <w:szCs w:val="24"/>
                  </w:rPr>
                </w:pP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Slaugytojas</w:t>
                </w:r>
              </w:p>
              <w:p>
                <w:pPr>
                  <w:rPr>
                    <w:color w:val="000000"/>
                    <w:szCs w:val="24"/>
                  </w:rPr>
                </w:pP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5.7. Kiekvieno apsilankymo metu pamatuoti paciento AKS, ūgį bei svorį ir šiuos duomenis įrašyti į asmeninę svorio priklausomybės nuo ūgio kitimo diagramą pagal lytį, apskaičiuoti KMI.</w:t>
                </w:r>
              </w:p>
              <w:p>
                <w:pPr>
                  <w:rPr>
                    <w:color w:val="000000"/>
                    <w:szCs w:val="24"/>
                  </w:rPr>
                </w:pPr>
                <w:r>
                  <w:rPr>
                    <w:color w:val="000000"/>
                    <w:szCs w:val="24"/>
                  </w:rPr>
                  <w:t>5.8. Pagal amžiaus ir lyties ypatumus padėti pacientui susiformuoti racionalios mitybos, fizinio aktyvumo, sveiko gyvenimo būdo nuostatas.</w:t>
                </w:r>
              </w:p>
              <w:p>
                <w:pPr>
                  <w:rPr>
                    <w:color w:val="000000"/>
                    <w:szCs w:val="24"/>
                  </w:rPr>
                </w:pPr>
                <w:r>
                  <w:rPr>
                    <w:color w:val="000000"/>
                    <w:szCs w:val="24"/>
                  </w:rPr>
                  <w:t>5.9. Informuoti apie sveiką gyvenimo būdą,  ligų ir žalingų sveikatai įpročių profilaktiką, imunoprofilaktiką, lytinės elgsenos saugumą.“</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bl>
        <w:p>
          <w:pPr>
            <w:tabs>
              <w:tab w:val="left" w:pos="600"/>
            </w:tabs>
            <w:jc w:val="both"/>
            <w:rPr>
              <w:color w:val="000000"/>
              <w:szCs w:val="24"/>
            </w:rPr>
          </w:pPr>
        </w:p>
        <w:p>
          <w:pPr>
            <w:snapToGrid w:val="0"/>
            <w:ind w:left="851"/>
            <w:jc w:val="center"/>
          </w:pPr>
          <w:r>
            <w:rPr>
              <w:color w:val="000000"/>
              <w:szCs w:val="24"/>
            </w:rP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f3a0a0015a11ebb74de75171d26d52">
            <w:r w:rsidRPr="00532B9F">
              <w:rPr>
                <w:rFonts w:ascii="Times New Roman" w:eastAsia="MS Mincho" w:hAnsi="Times New Roman"/>
                <w:sz w:val="20"/>
                <w:i/>
                <w:iCs/>
                <w:color w:val="0000FF" w:themeColor="hyperlink"/>
                <w:u w:val="single"/>
              </w:rPr>
              <w:t>V-2130</w:t>
            </w:r>
          </w:fldSimple>
          <w:r>
            <w:rPr>
              <w:rFonts w:ascii="Times New Roman" w:eastAsia="MS Mincho" w:hAnsi="Times New Roman"/>
              <w:sz w:val="20"/>
              <w:i/>
              <w:iCs/>
            </w:rPr>
            <w:t>,
2020-09-28,
paskelbta TAR 2020-09-28, i. k. 2020-20108            </w:t>
          </w:r>
        </w:p>
        <w:p/>
      </w:sdtContent>
    </w:sdt>
    <w:sdt>
      <w:sdtPr>
        <w:alias w:val="2 pr."/>
        <w:tag w:val="part_a96729a9bc3f49309f2ad086b9d84c87"/>
        <w:lock w:val="sdtLocked"/>
        <w:richText/>
      </w:sdtPr>
      <w:sdtContent>
        <w:p>
          <w:pPr>
            <w:ind w:left="11907"/>
            <w:sectPr>
              <w:headerReference w:type="even" r:id="rId88"/>
              <w:headerReference w:type="default" r:id="rId89"/>
              <w:headerReference w:type="first" r:id="rId90"/>
              <w:pgSz w:w="16838" w:h="11906" w:orient="landscape" w:code="9"/>
              <w:pgMar w:top="539" w:right="1440" w:bottom="284" w:left="1134" w:header="284" w:footer="284" w:gutter="0"/>
              <w:pgNumType w:start="1"/>
              <w:cols w:space="708"/>
              <w:titlePg/>
              <w:docGrid w:linePitch="360"/>
            </w:sectPr>
          </w:pPr>
        </w:p>
        <w:p>
          <w:pPr>
            <w:shd w:val="clear" w:color="auto" w:fill="FFFFFF"/>
            <w:tabs>
              <w:tab w:val="left" w:pos="5812"/>
            </w:tabs>
            <w:ind w:left="9639"/>
            <w:rPr>
              <w:bCs/>
              <w:szCs w:val="24"/>
            </w:rPr>
          </w:pPr>
          <w:r>
            <w:rPr>
              <w:szCs w:val="24"/>
            </w:rPr>
            <w:t xml:space="preserve">Vaikų </w:t>
          </w:r>
          <w:r>
            <w:rPr>
              <w:bCs/>
              <w:szCs w:val="24"/>
            </w:rPr>
            <w:t xml:space="preserve">ir pilnamečių mokinių, ugdomų </w:t>
          </w:r>
        </w:p>
        <w:p>
          <w:pPr>
            <w:shd w:val="clear" w:color="auto" w:fill="FFFFFF"/>
            <w:tabs>
              <w:tab w:val="left" w:pos="5812"/>
            </w:tabs>
            <w:ind w:left="9639"/>
            <w:rPr>
              <w:szCs w:val="24"/>
            </w:rPr>
          </w:pPr>
          <w:r>
            <w:rPr>
              <w:bCs/>
              <w:szCs w:val="24"/>
            </w:rPr>
            <w:t>pagal bendrojo ugdymo programas,</w:t>
          </w:r>
          <w:r>
            <w:rPr>
              <w:szCs w:val="24"/>
            </w:rPr>
            <w:t xml:space="preserve"> </w:t>
          </w:r>
        </w:p>
        <w:p>
          <w:pPr>
            <w:ind w:left="9639" w:right="395"/>
            <w:rPr>
              <w:color w:val="000000"/>
              <w:szCs w:val="24"/>
            </w:rPr>
          </w:pPr>
          <w:r>
            <w:rPr>
              <w:szCs w:val="24"/>
            </w:rPr>
            <w:t>tikrinimo tvarkos aprašo</w:t>
          </w:r>
          <w:r>
            <w:rPr>
              <w:color w:val="000000"/>
              <w:szCs w:val="24"/>
            </w:rPr>
            <w:t xml:space="preserve">  </w:t>
          </w:r>
        </w:p>
        <w:p>
          <w:pPr>
            <w:ind w:left="9639"/>
            <w:rPr>
              <w:color w:val="000000"/>
              <w:szCs w:val="24"/>
            </w:rPr>
          </w:pPr>
          <w:sdt>
            <w:sdtPr>
              <w:alias w:val="Numeris"/>
              <w:tag w:val="nr_a96729a9bc3f49309f2ad086b9d84c87"/>
              <w:lock w:val="sdtLocked"/>
              <w:richText/>
            </w:sdtPr>
            <w:sdtContent>
              <w:r>
                <w:rPr>
                  <w:color w:val="000000"/>
                  <w:szCs w:val="24"/>
                </w:rPr>
                <w:t>2</w:t>
              </w:r>
            </w:sdtContent>
          </w:sdt>
          <w:r>
            <w:rPr>
              <w:color w:val="000000"/>
              <w:szCs w:val="24"/>
            </w:rPr>
            <w:t xml:space="preserve"> priedas</w:t>
          </w: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br/>
          </w:r>
        </w:p>
        <w:sdt>
          <w:sdtPr>
            <w:alias w:val="Pavadinimas"/>
            <w:tag w:val="title_a96729a9bc3f49309f2ad086b9d84c87"/>
            <w:lock w:val="sdtLocked"/>
            <w:richText/>
          </w:sdtPr>
          <w:sdtContent>
            <w:p>
              <w:pPr>
                <w:jc w:val="center"/>
                <w:rPr>
                  <w:color w:val="000000"/>
                  <w:szCs w:val="24"/>
                </w:rPr>
              </w:pPr>
              <w:r>
                <w:rPr>
                  <w:b/>
                  <w:color w:val="000000"/>
                  <w:szCs w:val="24"/>
                </w:rPr>
                <w:t xml:space="preserve">VAIKO PSICHOMOTORINĖS RAIDOS TIKRINIMO LAPAS (KŪDIKIS) </w:t>
              </w:r>
            </w:p>
          </w:sdtContent>
        </w:sdt>
        <w:p>
          <w:pPr>
            <w:ind w:right="395"/>
            <w:jc w:val="right"/>
            <w:rPr>
              <w:b/>
              <w:color w:val="000000"/>
              <w:szCs w:val="24"/>
            </w:rPr>
          </w:pPr>
          <w:r>
            <w:rPr>
              <w:color w:val="000000"/>
              <w:szCs w:val="24"/>
            </w:rPr>
            <w:t>1 lentelė</w:t>
          </w: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247"/>
            <w:gridCol w:w="1871"/>
            <w:gridCol w:w="4253"/>
            <w:gridCol w:w="1672"/>
            <w:gridCol w:w="850"/>
            <w:gridCol w:w="851"/>
            <w:gridCol w:w="1134"/>
            <w:gridCol w:w="769"/>
            <w:gridCol w:w="1844"/>
          </w:tblGrid>
          <w:tr>
            <w:trPr>
              <w:trHeight w:hRule="exact" w:val="567"/>
            </w:trPr>
            <w:tc>
              <w:tcPr>
                <w:tcW w:w="568" w:type="dxa"/>
                <w:vMerge w:val="restart"/>
              </w:tcPr>
              <w:p>
                <w:pPr>
                  <w:jc w:val="center"/>
                  <w:rPr>
                    <w:b/>
                    <w:color w:val="000000"/>
                    <w:szCs w:val="24"/>
                  </w:rPr>
                </w:pPr>
                <w:r>
                  <w:rPr>
                    <w:b/>
                    <w:color w:val="000000"/>
                    <w:szCs w:val="24"/>
                  </w:rPr>
                  <w:t>Nr.</w:t>
                </w:r>
              </w:p>
            </w:tc>
            <w:tc>
              <w:tcPr>
                <w:tcW w:w="1247" w:type="dxa"/>
                <w:vMerge w:val="restart"/>
              </w:tcPr>
              <w:p>
                <w:pPr>
                  <w:jc w:val="center"/>
                  <w:rPr>
                    <w:b/>
                    <w:color w:val="000000"/>
                    <w:szCs w:val="24"/>
                  </w:rPr>
                </w:pPr>
                <w:r>
                  <w:rPr>
                    <w:b/>
                    <w:color w:val="000000"/>
                    <w:szCs w:val="24"/>
                  </w:rPr>
                  <w:t>Kūdikio</w:t>
                </w:r>
              </w:p>
              <w:p>
                <w:pPr>
                  <w:jc w:val="center"/>
                  <w:rPr>
                    <w:b/>
                    <w:color w:val="000000"/>
                    <w:szCs w:val="24"/>
                  </w:rPr>
                </w:pPr>
                <w:r>
                  <w:rPr>
                    <w:b/>
                    <w:color w:val="000000"/>
                    <w:szCs w:val="24"/>
                  </w:rPr>
                  <w:t>amžius</w:t>
                </w:r>
              </w:p>
            </w:tc>
            <w:tc>
              <w:tcPr>
                <w:tcW w:w="7796" w:type="dxa"/>
                <w:gridSpan w:val="3"/>
                <w:vMerge w:val="restart"/>
              </w:tcPr>
              <w:p>
                <w:pPr>
                  <w:jc w:val="center"/>
                  <w:rPr>
                    <w:b/>
                    <w:color w:val="000000"/>
                    <w:szCs w:val="24"/>
                  </w:rPr>
                </w:pPr>
                <w:r>
                  <w:rPr>
                    <w:b/>
                    <w:color w:val="000000"/>
                    <w:szCs w:val="24"/>
                  </w:rPr>
                  <w:t xml:space="preserve">Įgūdžio aprašymas </w:t>
                </w:r>
              </w:p>
            </w:tc>
            <w:tc>
              <w:tcPr>
                <w:tcW w:w="1701" w:type="dxa"/>
                <w:gridSpan w:val="2"/>
              </w:tcPr>
              <w:p>
                <w:pPr>
                  <w:jc w:val="center"/>
                  <w:rPr>
                    <w:b/>
                    <w:color w:val="000000"/>
                    <w:szCs w:val="24"/>
                  </w:rPr>
                </w:pPr>
                <w:r>
                  <w:rPr>
                    <w:b/>
                    <w:color w:val="000000"/>
                    <w:szCs w:val="24"/>
                  </w:rPr>
                  <w:t>Įgūdžio vertinimas</w:t>
                </w:r>
              </w:p>
            </w:tc>
            <w:tc>
              <w:tcPr>
                <w:tcW w:w="1134" w:type="dxa"/>
                <w:vMerge w:val="restart"/>
              </w:tcPr>
              <w:p>
                <w:pPr>
                  <w:jc w:val="center"/>
                  <w:rPr>
                    <w:b/>
                    <w:color w:val="000000"/>
                    <w:szCs w:val="24"/>
                  </w:rPr>
                </w:pPr>
                <w:r>
                  <w:rPr>
                    <w:b/>
                    <w:color w:val="000000"/>
                    <w:szCs w:val="24"/>
                  </w:rPr>
                  <w:t>Išvada</w:t>
                </w:r>
              </w:p>
            </w:tc>
            <w:tc>
              <w:tcPr>
                <w:tcW w:w="769" w:type="dxa"/>
                <w:vMerge w:val="restart"/>
              </w:tcPr>
              <w:p>
                <w:pPr>
                  <w:jc w:val="center"/>
                  <w:rPr>
                    <w:b/>
                    <w:color w:val="000000"/>
                    <w:szCs w:val="24"/>
                  </w:rPr>
                </w:pPr>
                <w:r>
                  <w:rPr>
                    <w:b/>
                    <w:color w:val="000000"/>
                    <w:szCs w:val="24"/>
                  </w:rPr>
                  <w:t>Data</w:t>
                </w:r>
              </w:p>
            </w:tc>
            <w:tc>
              <w:tcPr>
                <w:tcW w:w="1844"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247" w:type="dxa"/>
                <w:vMerge/>
              </w:tcPr>
              <w:p>
                <w:pPr>
                  <w:jc w:val="center"/>
                  <w:rPr>
                    <w:b/>
                    <w:color w:val="000000"/>
                    <w:szCs w:val="24"/>
                  </w:rPr>
                </w:pPr>
              </w:p>
            </w:tc>
            <w:tc>
              <w:tcPr>
                <w:tcW w:w="7796" w:type="dxa"/>
                <w:gridSpan w:val="3"/>
                <w:vMerge/>
              </w:tcPr>
              <w:p>
                <w:pPr>
                  <w:jc w:val="center"/>
                  <w:rPr>
                    <w:b/>
                    <w:color w:val="000000"/>
                    <w:szCs w:val="24"/>
                  </w:rPr>
                </w:pPr>
              </w:p>
            </w:tc>
            <w:tc>
              <w:tcPr>
                <w:tcW w:w="850" w:type="dxa"/>
              </w:tcPr>
              <w:p>
                <w:pPr>
                  <w:jc w:val="center"/>
                  <w:rPr>
                    <w:b/>
                    <w:color w:val="000000"/>
                    <w:szCs w:val="24"/>
                  </w:rPr>
                </w:pPr>
                <w:r>
                  <w:rPr>
                    <w:b/>
                    <w:color w:val="000000"/>
                    <w:szCs w:val="24"/>
                  </w:rPr>
                  <w:t>Taip</w:t>
                </w:r>
              </w:p>
              <w:p>
                <w:pPr>
                  <w:jc w:val="center"/>
                  <w:rPr>
                    <w:b/>
                    <w:color w:val="000000"/>
                    <w:sz w:val="18"/>
                    <w:szCs w:val="18"/>
                  </w:rPr>
                </w:pPr>
                <w:r>
                  <w:rPr>
                    <w:b/>
                    <w:color w:val="000000"/>
                    <w:sz w:val="28"/>
                    <w:szCs w:val="28"/>
                  </w:rPr>
                  <w:t>√</w:t>
                </w:r>
              </w:p>
            </w:tc>
            <w:tc>
              <w:tcPr>
                <w:tcW w:w="851" w:type="dxa"/>
              </w:tcPr>
              <w:p>
                <w:pPr>
                  <w:jc w:val="center"/>
                  <w:rPr>
                    <w:b/>
                    <w:color w:val="000000"/>
                    <w:szCs w:val="24"/>
                  </w:rPr>
                </w:pPr>
                <w:r>
                  <w:rPr>
                    <w:b/>
                    <w:color w:val="000000"/>
                    <w:szCs w:val="24"/>
                  </w:rPr>
                  <w:t>Ne</w:t>
                </w:r>
              </w:p>
              <w:p>
                <w:pPr>
                  <w:jc w:val="center"/>
                  <w:rPr>
                    <w:b/>
                    <w:color w:val="000000"/>
                    <w:sz w:val="18"/>
                    <w:szCs w:val="18"/>
                  </w:rPr>
                </w:pPr>
                <w:r>
                  <w:rPr>
                    <w:b/>
                    <w:color w:val="000000"/>
                    <w:sz w:val="28"/>
                    <w:szCs w:val="28"/>
                  </w:rPr>
                  <w:t>√</w:t>
                </w:r>
              </w:p>
            </w:tc>
            <w:tc>
              <w:tcPr>
                <w:tcW w:w="1134" w:type="dxa"/>
                <w:vMerge/>
              </w:tcPr>
              <w:p>
                <w:pPr>
                  <w:jc w:val="center"/>
                  <w:rPr>
                    <w:b/>
                    <w:color w:val="000000"/>
                    <w:szCs w:val="24"/>
                  </w:rPr>
                </w:pPr>
              </w:p>
            </w:tc>
            <w:tc>
              <w:tcPr>
                <w:tcW w:w="769" w:type="dxa"/>
                <w:vMerge/>
              </w:tcPr>
              <w:p>
                <w:pPr>
                  <w:jc w:val="center"/>
                  <w:rPr>
                    <w:b/>
                    <w:color w:val="000000"/>
                    <w:szCs w:val="24"/>
                  </w:rPr>
                </w:pPr>
              </w:p>
            </w:tc>
            <w:tc>
              <w:tcPr>
                <w:tcW w:w="1844" w:type="dxa"/>
                <w:vMerge/>
              </w:tcPr>
              <w:p>
                <w:pPr>
                  <w:jc w:val="center"/>
                  <w:rPr>
                    <w:b/>
                    <w:color w:val="000000"/>
                    <w:szCs w:val="24"/>
                  </w:rPr>
                </w:pPr>
              </w:p>
            </w:tc>
          </w:tr>
          <w:tr>
            <w:trPr>
              <w:trHeight w:val="996"/>
            </w:trPr>
            <w:tc>
              <w:tcPr>
                <w:tcW w:w="568" w:type="dxa"/>
                <w:vMerge w:val="restart"/>
              </w:tcPr>
              <w:p>
                <w:pPr>
                  <w:rPr>
                    <w:color w:val="000000"/>
                    <w:szCs w:val="24"/>
                  </w:rPr>
                </w:pPr>
                <w:r>
                  <w:rPr>
                    <w:color w:val="000000"/>
                    <w:szCs w:val="24"/>
                  </w:rPr>
                  <w:t>1.</w:t>
                </w:r>
              </w:p>
            </w:tc>
            <w:tc>
              <w:tcPr>
                <w:tcW w:w="1247" w:type="dxa"/>
                <w:vMerge w:val="restart"/>
              </w:tcPr>
              <w:p>
                <w:pPr>
                  <w:rPr>
                    <w:color w:val="000000"/>
                    <w:szCs w:val="24"/>
                  </w:rPr>
                </w:pPr>
                <w:r>
                  <w:rPr>
                    <w:color w:val="000000"/>
                    <w:szCs w:val="24"/>
                  </w:rPr>
                  <w:t>3 mėn.</w:t>
                </w:r>
              </w:p>
              <w:p>
                <w:pPr>
                  <w:rPr>
                    <w:color w:val="000000"/>
                    <w:szCs w:val="24"/>
                    <w:lang w:eastAsia="lt-LT"/>
                  </w:rPr>
                </w:pPr>
              </w:p>
              <w:p>
                <w:pPr>
                  <w:rPr>
                    <w:color w:val="000000"/>
                    <w:szCs w:val="24"/>
                  </w:rPr>
                </w:pPr>
              </w:p>
            </w:tc>
            <w:tc>
              <w:tcPr>
                <w:tcW w:w="1871" w:type="dxa"/>
              </w:tcPr>
              <w:p>
                <w:pPr>
                  <w:rPr>
                    <w:color w:val="000000"/>
                    <w:szCs w:val="24"/>
                  </w:rPr>
                </w:pPr>
                <w:r>
                  <w:rPr>
                    <w:color w:val="000000"/>
                    <w:szCs w:val="24"/>
                  </w:rPr>
                  <w:t>1.1. Laiko galvą gulėdamas ant pilvo.</w:t>
                </w:r>
              </w:p>
            </w:tc>
            <w:tc>
              <w:tcPr>
                <w:tcW w:w="4253" w:type="dxa"/>
              </w:tcPr>
              <w:p>
                <w:pPr>
                  <w:rPr>
                    <w:color w:val="000000"/>
                    <w:szCs w:val="24"/>
                  </w:rPr>
                </w:pPr>
                <w:r>
                  <w:rPr>
                    <w:color w:val="000000"/>
                    <w:szCs w:val="24"/>
                  </w:rPr>
                  <w:t>Gulėdamas ant pilvo gerai laiko galvą, ją sukinėja į visas puses.</w:t>
                </w:r>
              </w:p>
            </w:tc>
            <w:tc>
              <w:tcPr>
                <w:tcW w:w="1672" w:type="dxa"/>
              </w:tcPr>
              <w:p>
                <w:pPr>
                  <w:rPr>
                    <w:b/>
                    <w:color w:val="000000"/>
                    <w:szCs w:val="24"/>
                  </w:rPr>
                </w:pPr>
                <w:r>
                  <w:rPr>
                    <w:b/>
                    <w:color w:val="000000"/>
                    <w:szCs w:val="24"/>
                    <w:lang w:eastAsia="lt-LT"/>
                  </w:rPr>
                  <w:drawing>
                    <wp:inline distT="0" distB="0" distL="0" distR="0">
                      <wp:extent cx="946298" cy="733647"/>
                      <wp:effectExtent l="0" t="0" r="6350" b="9525"/>
                      <wp:docPr id="3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 ant pilvuko 1.png"/>
                              <pic:cNvPicPr/>
                            </pic:nvPicPr>
                            <pic:blipFill>
                              <a:blip r:embed="rId91" cstate="print">
                                <a:extLst>
                                  <a:ext uri="{28A0092B-C50C-407E-A947-70E740481C1C}">
                                    <a14:useLocalDpi xmlns:a14="http://schemas.microsoft.com/office/drawing/2010/main" val="0"/>
                                  </a:ext>
                                </a:extLst>
                              </a:blip>
                              <a:stretch>
                                <a:fillRect/>
                              </a:stretch>
                            </pic:blipFill>
                            <pic:spPr>
                              <a:xfrm>
                                <a:off x="0" y="0"/>
                                <a:ext cx="942975" cy="731071"/>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color w:val="000000"/>
                    <w:szCs w:val="24"/>
                    <w:lang w:eastAsia="lt-LT"/>
                  </w:rPr>
                </w:pPr>
              </w:p>
            </w:tc>
            <w:tc>
              <w:tcPr>
                <w:tcW w:w="1844" w:type="dxa"/>
                <w:vMerge w:val="restart"/>
              </w:tcPr>
              <w:p>
                <w:pPr>
                  <w:rPr>
                    <w:color w:val="000000"/>
                    <w:szCs w:val="24"/>
                    <w:lang w:eastAsia="lt-LT"/>
                  </w:rPr>
                </w:pPr>
              </w:p>
            </w:tc>
          </w:tr>
          <w:tr>
            <w:trPr>
              <w:trHeight w:val="958"/>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1.2. Gulėdamas ant nugaros suveda rankas į vidurio liniją.</w:t>
                </w:r>
              </w:p>
            </w:tc>
            <w:tc>
              <w:tcPr>
                <w:tcW w:w="4253" w:type="dxa"/>
              </w:tcPr>
              <w:p>
                <w:pPr>
                  <w:rPr>
                    <w:color w:val="000000"/>
                    <w:szCs w:val="24"/>
                  </w:rPr>
                </w:pPr>
                <w:r>
                  <w:rPr>
                    <w:color w:val="000000"/>
                    <w:szCs w:val="24"/>
                  </w:rPr>
                  <w:t>Gulėdamas ant nugaros rankas suveda ant krūtinės, gali viena ranka</w:t>
                </w:r>
                <w:r>
                  <w:rPr>
                    <w:color w:val="000000"/>
                    <w:szCs w:val="24"/>
                    <w:lang w:eastAsia="lt-LT"/>
                  </w:rPr>
                  <w:t xml:space="preserve"> </w:t>
                </w:r>
                <w:r>
                  <w:rPr>
                    <w:color w:val="000000"/>
                    <w:szCs w:val="24"/>
                  </w:rPr>
                  <w:t xml:space="preserve">suimti kitą. </w:t>
                </w:r>
              </w:p>
            </w:tc>
            <w:tc>
              <w:tcPr>
                <w:tcW w:w="1672" w:type="dxa"/>
              </w:tcPr>
              <w:p>
                <w:pPr>
                  <w:rPr>
                    <w:b/>
                    <w:color w:val="000000"/>
                    <w:szCs w:val="24"/>
                  </w:rPr>
                </w:pPr>
                <w:r>
                  <w:rPr>
                    <w:b/>
                    <w:color w:val="000000"/>
                    <w:szCs w:val="24"/>
                    <w:lang w:eastAsia="lt-LT"/>
                  </w:rPr>
                  <w:drawing>
                    <wp:inline distT="0" distB="0" distL="0" distR="0">
                      <wp:extent cx="933450" cy="762000"/>
                      <wp:effectExtent l="0" t="0" r="0" b="0"/>
                      <wp:docPr id="3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png"/>
                              <pic:cNvPicPr/>
                            </pic:nvPicPr>
                            <pic:blipFill>
                              <a:blip r:embed="rId92" cstate="print">
                                <a:extLst>
                                  <a:ext uri="{28A0092B-C50C-407E-A947-70E740481C1C}">
                                    <a14:useLocalDpi xmlns:a14="http://schemas.microsoft.com/office/drawing/2010/main" val="0"/>
                                  </a:ext>
                                </a:extLst>
                              </a:blip>
                              <a:stretch>
                                <a:fillRect/>
                              </a:stretch>
                            </pic:blipFill>
                            <pic:spPr>
                              <a:xfrm>
                                <a:off x="0" y="0"/>
                                <a:ext cx="942975" cy="769776"/>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tcPr>
              <w:p>
                <w:pPr>
                  <w:rPr>
                    <w:color w:val="000000"/>
                    <w:szCs w:val="24"/>
                    <w:lang w:eastAsia="lt-LT"/>
                  </w:rPr>
                </w:pPr>
              </w:p>
            </w:tc>
            <w:tc>
              <w:tcPr>
                <w:tcW w:w="769" w:type="dxa"/>
                <w:vMerge/>
              </w:tcPr>
              <w:p>
                <w:pPr>
                  <w:rPr>
                    <w:color w:val="000000"/>
                    <w:szCs w:val="24"/>
                    <w:lang w:eastAsia="lt-LT"/>
                  </w:rPr>
                </w:pPr>
              </w:p>
            </w:tc>
            <w:tc>
              <w:tcPr>
                <w:tcW w:w="1844" w:type="dxa"/>
                <w:vMerge/>
              </w:tcPr>
              <w:p>
                <w:pPr>
                  <w:rPr>
                    <w:color w:val="000000"/>
                    <w:szCs w:val="24"/>
                    <w:lang w:eastAsia="lt-LT"/>
                  </w:rPr>
                </w:pPr>
              </w:p>
            </w:tc>
          </w:tr>
          <w:tr>
            <w:trPr>
              <w:trHeight w:val="677"/>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1.3. Šypsosi kalbinamas.</w:t>
                </w:r>
              </w:p>
            </w:tc>
            <w:tc>
              <w:tcPr>
                <w:tcW w:w="4253" w:type="dxa"/>
              </w:tcPr>
              <w:p>
                <w:pPr>
                  <w:rPr>
                    <w:color w:val="000000"/>
                    <w:szCs w:val="24"/>
                  </w:rPr>
                </w:pPr>
                <w:r>
                  <w:rPr>
                    <w:color w:val="000000"/>
                    <w:szCs w:val="24"/>
                  </w:rPr>
                  <w:t xml:space="preserve">Kai šypsodamasis suaugusysis kalbina vaiką, vaikas atsako šypsena. </w:t>
                </w:r>
              </w:p>
            </w:tc>
            <w:tc>
              <w:tcPr>
                <w:tcW w:w="1672" w:type="dxa"/>
              </w:tcPr>
              <w:p>
                <w:pPr>
                  <w:rPr>
                    <w:b/>
                    <w:color w:val="000000"/>
                    <w:szCs w:val="24"/>
                  </w:rPr>
                </w:pPr>
                <w:r>
                  <w:rPr>
                    <w:b/>
                    <w:color w:val="000000"/>
                    <w:szCs w:val="24"/>
                    <w:lang w:eastAsia="lt-LT"/>
                  </w:rPr>
                  <w:drawing>
                    <wp:inline distT="0" distB="0" distL="0" distR="0">
                      <wp:extent cx="581025" cy="596285"/>
                      <wp:effectExtent l="0" t="0" r="0" b="0"/>
                      <wp:docPr id="3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png"/>
                              <pic:cNvPicPr/>
                            </pic:nvPicPr>
                            <pic:blipFill>
                              <a:blip r:embed="rId93" cstate="print">
                                <a:extLst>
                                  <a:ext uri="{28A0092B-C50C-407E-A947-70E740481C1C}">
                                    <a14:useLocalDpi xmlns:a14="http://schemas.microsoft.com/office/drawing/2010/main" val="0"/>
                                  </a:ext>
                                </a:extLst>
                              </a:blip>
                              <a:stretch>
                                <a:fillRect/>
                              </a:stretch>
                            </pic:blipFill>
                            <pic:spPr>
                              <a:xfrm>
                                <a:off x="0" y="0"/>
                                <a:ext cx="581254" cy="596520"/>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hRule="exact" w:val="1280"/>
            </w:trPr>
            <w:tc>
              <w:tcPr>
                <w:tcW w:w="568" w:type="dxa"/>
                <w:vMerge w:val="restart"/>
              </w:tcPr>
              <w:p>
                <w:pPr>
                  <w:rPr>
                    <w:color w:val="000000"/>
                    <w:szCs w:val="24"/>
                  </w:rPr>
                </w:pPr>
                <w:r>
                  <w:rPr>
                    <w:color w:val="000000"/>
                    <w:szCs w:val="24"/>
                  </w:rPr>
                  <w:t>2.</w:t>
                </w:r>
              </w:p>
            </w:tc>
            <w:tc>
              <w:tcPr>
                <w:tcW w:w="1247" w:type="dxa"/>
                <w:vMerge w:val="restart"/>
              </w:tcPr>
              <w:p>
                <w:pPr>
                  <w:rPr>
                    <w:color w:val="000000"/>
                    <w:szCs w:val="24"/>
                  </w:rPr>
                </w:pPr>
                <w:r>
                  <w:rPr>
                    <w:color w:val="000000"/>
                    <w:szCs w:val="24"/>
                  </w:rPr>
                  <w:t>6 mėn.</w:t>
                </w:r>
              </w:p>
            </w:tc>
            <w:tc>
              <w:tcPr>
                <w:tcW w:w="1871" w:type="dxa"/>
              </w:tcPr>
              <w:p>
                <w:pPr>
                  <w:ind w:left="34" w:hanging="34"/>
                  <w:rPr>
                    <w:color w:val="000000"/>
                    <w:szCs w:val="24"/>
                  </w:rPr>
                </w:pPr>
                <w:r>
                  <w:rPr>
                    <w:color w:val="000000"/>
                    <w:szCs w:val="24"/>
                  </w:rPr>
                  <w:t>2.1. Verčiasi nuo nugaros ant pilvo.</w:t>
                </w:r>
              </w:p>
            </w:tc>
            <w:tc>
              <w:tcPr>
                <w:tcW w:w="4253" w:type="dxa"/>
              </w:tcPr>
              <w:p>
                <w:pPr>
                  <w:rPr>
                    <w:b/>
                    <w:color w:val="000000"/>
                    <w:szCs w:val="24"/>
                  </w:rPr>
                </w:pPr>
                <w:r>
                  <w:rPr>
                    <w:color w:val="000000"/>
                    <w:szCs w:val="24"/>
                    <w:lang w:eastAsia="lt-LT"/>
                  </w:rPr>
                  <w:t xml:space="preserve">Vaikas, gulėdamas ant nugaros, visiškai arba dalinai apsiverčia  ant pilvo.</w:t>
                </w:r>
              </w:p>
            </w:tc>
            <w:tc>
              <w:tcPr>
                <w:tcW w:w="1672" w:type="dxa"/>
              </w:tcPr>
              <w:p>
                <w:pPr>
                  <w:rPr>
                    <w:b/>
                    <w:color w:val="000000"/>
                    <w:szCs w:val="24"/>
                  </w:rPr>
                </w:pPr>
                <w:r>
                  <w:rPr>
                    <w:b/>
                    <w:color w:val="000000"/>
                    <w:szCs w:val="24"/>
                    <w:lang w:eastAsia="lt-LT"/>
                  </w:rPr>
                  <w:drawing>
                    <wp:inline distT="0" distB="0" distL="0" distR="0">
                      <wp:extent cx="923925" cy="904875"/>
                      <wp:effectExtent l="0" t="0" r="0" b="9525"/>
                      <wp:docPr id="35"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rčias.png"/>
                              <pic:cNvPicPr/>
                            </pic:nvPicPr>
                            <pic:blipFill>
                              <a:blip r:embed="rId94" cstate="print">
                                <a:extLst>
                                  <a:ext uri="{28A0092B-C50C-407E-A947-70E740481C1C}">
                                    <a14:useLocalDpi xmlns:a14="http://schemas.microsoft.com/office/drawing/2010/main" val="0"/>
                                  </a:ext>
                                </a:extLst>
                              </a:blip>
                              <a:stretch>
                                <a:fillRect/>
                              </a:stretch>
                            </pic:blipFill>
                            <pic:spPr>
                              <a:xfrm>
                                <a:off x="0" y="0"/>
                                <a:ext cx="921385" cy="902388"/>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hRule="exact" w:val="1418"/>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 xml:space="preserve">2.2. Tikslingai paima paduotą žaislą. </w:t>
                </w:r>
              </w:p>
            </w:tc>
            <w:tc>
              <w:tcPr>
                <w:tcW w:w="4253" w:type="dxa"/>
              </w:tcPr>
              <w:p>
                <w:pPr>
                  <w:rPr>
                    <w:color w:val="000000"/>
                    <w:szCs w:val="24"/>
                  </w:rPr>
                </w:pPr>
                <w:r>
                  <w:rPr>
                    <w:color w:val="000000"/>
                    <w:szCs w:val="24"/>
                  </w:rPr>
                  <w:t>Vaikas, gulėdamas ant nugaros arba sėdėdamas mamai ant kelių, paima duodamą kaladėlę.</w:t>
                </w:r>
              </w:p>
            </w:tc>
            <w:tc>
              <w:tcPr>
                <w:tcW w:w="1672" w:type="dxa"/>
              </w:tcPr>
              <w:p>
                <w:pPr>
                  <w:rPr>
                    <w:b/>
                    <w:color w:val="000000"/>
                    <w:szCs w:val="24"/>
                  </w:rPr>
                </w:pPr>
                <w:r>
                  <w:rPr>
                    <w:b/>
                    <w:color w:val="000000"/>
                    <w:szCs w:val="24"/>
                    <w:lang w:eastAsia="lt-LT"/>
                  </w:rPr>
                  <w:drawing>
                    <wp:inline distT="0" distB="0" distL="0" distR="0">
                      <wp:extent cx="945470" cy="818707"/>
                      <wp:effectExtent l="0" t="0" r="7620" b="635"/>
                      <wp:docPr id="3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nka.png"/>
                              <pic:cNvPicPr/>
                            </pic:nvPicPr>
                            <pic:blipFill>
                              <a:blip r:embed="rId95" cstate="print">
                                <a:extLst>
                                  <a:ext uri="{28A0092B-C50C-407E-A947-70E740481C1C}">
                                    <a14:useLocalDpi xmlns:a14="http://schemas.microsoft.com/office/drawing/2010/main" val="0"/>
                                  </a:ext>
                                </a:extLst>
                              </a:blip>
                              <a:stretch>
                                <a:fillRect/>
                              </a:stretch>
                            </pic:blipFill>
                            <pic:spPr>
                              <a:xfrm>
                                <a:off x="0" y="0"/>
                                <a:ext cx="942975" cy="816547"/>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70"/>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2.3. Vaikas lokalizuoja garso šaltinį.</w:t>
                </w:r>
              </w:p>
            </w:tc>
            <w:tc>
              <w:tcPr>
                <w:tcW w:w="4253" w:type="dxa"/>
              </w:tcPr>
              <w:p>
                <w:pPr>
                  <w:rPr>
                    <w:color w:val="000000"/>
                    <w:szCs w:val="24"/>
                  </w:rPr>
                </w:pPr>
                <w:r>
                  <w:rPr>
                    <w:color w:val="000000"/>
                    <w:szCs w:val="24"/>
                  </w:rPr>
                  <w:t xml:space="preserve">Vaikui sėdint mamai ant kelių iš nugaros pusės 10–15 cm atstumu nuo ausies pabarškinama barškučiu ar paskambinama varpeliu. Vaikas pasuka galvą ir akis garso  link. </w:t>
                </w:r>
              </w:p>
            </w:tc>
            <w:tc>
              <w:tcPr>
                <w:tcW w:w="1672" w:type="dxa"/>
              </w:tcPr>
              <w:p>
                <w:pPr>
                  <w:rPr>
                    <w:b/>
                    <w:color w:val="000000"/>
                    <w:szCs w:val="24"/>
                  </w:rPr>
                </w:pPr>
                <w:r>
                  <w:rPr>
                    <w:b/>
                    <w:color w:val="000000"/>
                    <w:szCs w:val="24"/>
                    <w:lang w:eastAsia="lt-LT"/>
                  </w:rPr>
                  <w:drawing>
                    <wp:inline distT="0" distB="0" distL="0" distR="0">
                      <wp:extent cx="942975" cy="809625"/>
                      <wp:effectExtent l="0" t="0" r="9525" b="9525"/>
                      <wp:docPr id="3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ir klauso.png"/>
                              <pic:cNvPicPr/>
                            </pic:nvPicPr>
                            <pic:blipFill>
                              <a:blip r:embed="rId96" cstate="print">
                                <a:extLst>
                                  <a:ext uri="{28A0092B-C50C-407E-A947-70E740481C1C}">
                                    <a14:useLocalDpi xmlns:a14="http://schemas.microsoft.com/office/drawing/2010/main" val="0"/>
                                  </a:ext>
                                </a:extLst>
                              </a:blip>
                              <a:stretch>
                                <a:fillRect/>
                              </a:stretch>
                            </pic:blipFill>
                            <pic:spPr>
                              <a:xfrm>
                                <a:off x="0" y="0"/>
                                <a:ext cx="942975" cy="809625"/>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1124"/>
            </w:trPr>
            <w:tc>
              <w:tcPr>
                <w:tcW w:w="568" w:type="dxa"/>
                <w:vMerge w:val="restart"/>
              </w:tcPr>
              <w:p>
                <w:pPr>
                  <w:rPr>
                    <w:color w:val="000000"/>
                    <w:szCs w:val="24"/>
                  </w:rPr>
                </w:pPr>
                <w:r>
                  <w:rPr>
                    <w:color w:val="000000"/>
                    <w:szCs w:val="24"/>
                  </w:rPr>
                  <w:t>3.</w:t>
                </w:r>
              </w:p>
            </w:tc>
            <w:tc>
              <w:tcPr>
                <w:tcW w:w="1247" w:type="dxa"/>
              </w:tcPr>
              <w:p>
                <w:pPr>
                  <w:rPr>
                    <w:color w:val="000000"/>
                    <w:szCs w:val="24"/>
                  </w:rPr>
                </w:pPr>
                <w:r>
                  <w:rPr>
                    <w:color w:val="000000"/>
                    <w:szCs w:val="24"/>
                  </w:rPr>
                  <w:t>9 mėn.</w:t>
                </w:r>
              </w:p>
            </w:tc>
            <w:tc>
              <w:tcPr>
                <w:tcW w:w="1871" w:type="dxa"/>
              </w:tcPr>
              <w:p>
                <w:pPr>
                  <w:ind w:left="34"/>
                  <w:rPr>
                    <w:color w:val="000000"/>
                    <w:szCs w:val="24"/>
                  </w:rPr>
                </w:pPr>
                <w:r>
                  <w:rPr>
                    <w:color w:val="000000"/>
                    <w:szCs w:val="24"/>
                  </w:rPr>
                  <w:t>3.1. Sėdi savarankiškai.</w:t>
                </w:r>
              </w:p>
            </w:tc>
            <w:tc>
              <w:tcPr>
                <w:tcW w:w="4253" w:type="dxa"/>
              </w:tcPr>
              <w:p>
                <w:pPr>
                  <w:rPr>
                    <w:color w:val="000000"/>
                    <w:szCs w:val="24"/>
                  </w:rPr>
                </w:pPr>
                <w:r>
                  <w:rPr>
                    <w:color w:val="000000"/>
                    <w:szCs w:val="24"/>
                  </w:rPr>
                  <w:t>Vaikas ilgai ir laisvai sėdi tiesia nugara ant kieto pagrindo.</w:t>
                </w:r>
              </w:p>
              <w:p>
                <w:pPr>
                  <w:rPr>
                    <w:b/>
                    <w:color w:val="000000"/>
                    <w:szCs w:val="24"/>
                  </w:rPr>
                </w:pPr>
              </w:p>
            </w:tc>
            <w:tc>
              <w:tcPr>
                <w:tcW w:w="1672" w:type="dxa"/>
              </w:tcPr>
              <w:p>
                <w:pPr>
                  <w:jc w:val="center"/>
                  <w:rPr>
                    <w:color w:val="000000"/>
                    <w:szCs w:val="24"/>
                  </w:rPr>
                </w:pPr>
                <w:r>
                  <w:rPr>
                    <w:color w:val="000000"/>
                    <w:szCs w:val="24"/>
                    <w:lang w:eastAsia="lt-LT"/>
                  </w:rPr>
                  <w:drawing>
                    <wp:inline distT="0" distB="0" distL="0" distR="0">
                      <wp:extent cx="939842" cy="657225"/>
                      <wp:effectExtent l="0" t="0" r="0" b="0"/>
                      <wp:docPr id="38"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atsisukęs.png"/>
                              <pic:cNvPicPr/>
                            </pic:nvPicPr>
                            <pic:blipFill>
                              <a:blip r:embed="rId97" cstate="print">
                                <a:extLst>
                                  <a:ext uri="{28A0092B-C50C-407E-A947-70E740481C1C}">
                                    <a14:useLocalDpi xmlns:a14="http://schemas.microsoft.com/office/drawing/2010/main" val="0"/>
                                  </a:ext>
                                </a:extLst>
                              </a:blip>
                              <a:stretch>
                                <a:fillRect/>
                              </a:stretch>
                            </pic:blipFill>
                            <pic:spPr>
                              <a:xfrm>
                                <a:off x="0" y="0"/>
                                <a:ext cx="942975" cy="659416"/>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val="1134"/>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3.2. Stovėdamas tvirtai remiasi kojomis.</w:t>
                </w:r>
              </w:p>
            </w:tc>
            <w:tc>
              <w:tcPr>
                <w:tcW w:w="4253" w:type="dxa"/>
              </w:tcPr>
              <w:p>
                <w:pPr>
                  <w:rPr>
                    <w:b/>
                    <w:color w:val="000000"/>
                    <w:szCs w:val="24"/>
                  </w:rPr>
                </w:pPr>
                <w:r>
                  <w:rPr>
                    <w:color w:val="000000"/>
                    <w:szCs w:val="24"/>
                  </w:rPr>
                  <w:t xml:space="preserve">Vaikas tvirtai remiasi abiem kojomis, stovėdamas ant kieto pagrindo. Gali svorį perkelti nuo vienos kojos ant kitos. </w:t>
                </w:r>
              </w:p>
            </w:tc>
            <w:tc>
              <w:tcPr>
                <w:tcW w:w="1672" w:type="dxa"/>
              </w:tcPr>
              <w:p>
                <w:pPr>
                  <w:rPr>
                    <w:color w:val="000000"/>
                    <w:szCs w:val="24"/>
                  </w:rPr>
                </w:pPr>
                <w:r>
                  <w:rPr>
                    <w:color w:val="000000"/>
                    <w:szCs w:val="24"/>
                    <w:lang w:eastAsia="lt-LT"/>
                  </w:rPr>
                  <w:drawing>
                    <wp:inline distT="0" distB="0" distL="0" distR="0">
                      <wp:extent cx="942975" cy="714375"/>
                      <wp:effectExtent l="0" t="0" r="9525" b="9525"/>
                      <wp:docPr id="3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ovi prilaikomas.png"/>
                              <pic:cNvPicPr/>
                            </pic:nvPicPr>
                            <pic:blipFill>
                              <a:blip r:embed="rId98" cstate="print">
                                <a:extLst>
                                  <a:ext uri="{28A0092B-C50C-407E-A947-70E740481C1C}">
                                    <a14:useLocalDpi xmlns:a14="http://schemas.microsoft.com/office/drawing/2010/main" val="0"/>
                                  </a:ext>
                                </a:extLst>
                              </a:blip>
                              <a:stretch>
                                <a:fillRect/>
                              </a:stretch>
                            </pic:blipFill>
                            <pic:spPr>
                              <a:xfrm>
                                <a:off x="0" y="0"/>
                                <a:ext cx="942975" cy="714375"/>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tcPr>
              <w:p>
                <w:pPr>
                  <w:rPr>
                    <w:b/>
                    <w:color w:val="000000"/>
                    <w:szCs w:val="24"/>
                    <w:lang w:eastAsia="lt-LT"/>
                  </w:rPr>
                </w:pPr>
              </w:p>
            </w:tc>
            <w:tc>
              <w:tcPr>
                <w:tcW w:w="769" w:type="dxa"/>
                <w:vMerge/>
              </w:tcPr>
              <w:p>
                <w:pPr>
                  <w:rPr>
                    <w:b/>
                    <w:color w:val="000000"/>
                    <w:szCs w:val="24"/>
                    <w:lang w:eastAsia="lt-LT"/>
                  </w:rPr>
                </w:pPr>
              </w:p>
            </w:tc>
            <w:tc>
              <w:tcPr>
                <w:tcW w:w="1844" w:type="dxa"/>
                <w:vMerge/>
              </w:tcPr>
              <w:p>
                <w:pPr>
                  <w:rPr>
                    <w:b/>
                    <w:color w:val="000000"/>
                    <w:szCs w:val="24"/>
                    <w:lang w:eastAsia="lt-LT"/>
                  </w:rPr>
                </w:pPr>
              </w:p>
            </w:tc>
          </w:tr>
          <w:tr>
            <w:trPr>
              <w:trHeight w:val="689"/>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3.3. Ima žaislus abiem rankomis.</w:t>
                </w:r>
              </w:p>
            </w:tc>
            <w:tc>
              <w:tcPr>
                <w:tcW w:w="4253" w:type="dxa"/>
              </w:tcPr>
              <w:p>
                <w:pPr>
                  <w:rPr>
                    <w:color w:val="000000"/>
                    <w:szCs w:val="24"/>
                  </w:rPr>
                </w:pPr>
                <w:r>
                  <w:rPr>
                    <w:color w:val="000000"/>
                    <w:szCs w:val="24"/>
                  </w:rPr>
                  <w:t xml:space="preserve">Vaikas abiem rankomis paima po daiktą (pvz., kaladėlę, barškutį) ir laiko. </w:t>
                </w:r>
              </w:p>
            </w:tc>
            <w:tc>
              <w:tcPr>
                <w:tcW w:w="1672" w:type="dxa"/>
              </w:tcPr>
              <w:p>
                <w:pPr>
                  <w:jc w:val="center"/>
                  <w:rPr>
                    <w:color w:val="000000"/>
                    <w:szCs w:val="24"/>
                  </w:rPr>
                </w:pPr>
                <w:r>
                  <w:rPr>
                    <w:color w:val="000000"/>
                    <w:szCs w:val="24"/>
                    <w:lang w:eastAsia="lt-LT"/>
                  </w:rPr>
                  <w:drawing>
                    <wp:inline distT="0" distB="0" distL="0" distR="0">
                      <wp:extent cx="600075" cy="715241"/>
                      <wp:effectExtent l="0" t="0" r="0" b="8890"/>
                      <wp:docPr id="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žaidžia.png"/>
                              <pic:cNvPicPr/>
                            </pic:nvPicPr>
                            <pic:blipFill>
                              <a:blip r:embed="rId99" cstate="print">
                                <a:extLst>
                                  <a:ext uri="{28A0092B-C50C-407E-A947-70E740481C1C}">
                                    <a14:useLocalDpi xmlns:a14="http://schemas.microsoft.com/office/drawing/2010/main" val="0"/>
                                  </a:ext>
                                </a:extLst>
                              </a:blip>
                              <a:stretch>
                                <a:fillRect/>
                              </a:stretch>
                            </pic:blipFill>
                            <pic:spPr>
                              <a:xfrm>
                                <a:off x="0" y="0"/>
                                <a:ext cx="600145" cy="715324"/>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80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3.4. Siekia daikto už akiračio ribų.</w:t>
                </w:r>
              </w:p>
            </w:tc>
            <w:tc>
              <w:tcPr>
                <w:tcW w:w="4253" w:type="dxa"/>
              </w:tcPr>
              <w:p>
                <w:pPr>
                  <w:rPr>
                    <w:color w:val="000000"/>
                    <w:szCs w:val="24"/>
                  </w:rPr>
                </w:pPr>
                <w:r>
                  <w:rPr>
                    <w:color w:val="000000"/>
                    <w:szCs w:val="24"/>
                  </w:rPr>
                  <w:t>Vaikas stengiasi paimti daiktą, kurį gali pasiekti tik pakeitęs kūno padėtį.</w:t>
                </w:r>
              </w:p>
            </w:tc>
            <w:tc>
              <w:tcPr>
                <w:tcW w:w="1672" w:type="dxa"/>
              </w:tcPr>
              <w:p>
                <w:pPr>
                  <w:jc w:val="center"/>
                  <w:rPr>
                    <w:color w:val="000000"/>
                    <w:szCs w:val="24"/>
                  </w:rPr>
                </w:pPr>
                <w:r>
                  <w:rPr>
                    <w:color w:val="000000"/>
                    <w:szCs w:val="24"/>
                    <w:lang w:eastAsia="lt-LT"/>
                  </w:rPr>
                  <w:drawing>
                    <wp:inline distT="0" distB="0" distL="0" distR="0">
                      <wp:extent cx="695325" cy="600075"/>
                      <wp:effectExtent l="0" t="0" r="9525" b="9525"/>
                      <wp:docPr id="4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png"/>
                              <pic:cNvPicPr/>
                            </pic:nvPicPr>
                            <pic:blipFill>
                              <a:blip r:embed="rId100" cstate="print">
                                <a:extLst>
                                  <a:ext uri="{28A0092B-C50C-407E-A947-70E740481C1C}">
                                    <a14:useLocalDpi xmlns:a14="http://schemas.microsoft.com/office/drawing/2010/main" val="0"/>
                                  </a:ext>
                                </a:extLst>
                              </a:blip>
                              <a:stretch>
                                <a:fillRect/>
                              </a:stretch>
                            </pic:blipFill>
                            <pic:spPr>
                              <a:xfrm>
                                <a:off x="0" y="0"/>
                                <a:ext cx="696729" cy="601287"/>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57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3.5. Čiauška skiemenimis.</w:t>
                </w:r>
              </w:p>
            </w:tc>
            <w:tc>
              <w:tcPr>
                <w:tcW w:w="4253" w:type="dxa"/>
              </w:tcPr>
              <w:p>
                <w:pPr>
                  <w:rPr>
                    <w:color w:val="000000"/>
                    <w:szCs w:val="24"/>
                  </w:rPr>
                </w:pPr>
                <w:r>
                  <w:rPr>
                    <w:color w:val="000000"/>
                    <w:szCs w:val="24"/>
                  </w:rPr>
                  <w:t>Vaikas sako sudvigubintus skiemenis (pvz., da-da, ba-ba ir pan.).</w:t>
                </w:r>
              </w:p>
              <w:p>
                <w:pPr>
                  <w:rPr>
                    <w:color w:val="000000"/>
                    <w:szCs w:val="24"/>
                  </w:rPr>
                </w:pPr>
                <w:r>
                  <w:rPr>
                    <w:color w:val="000000"/>
                    <w:szCs w:val="24"/>
                  </w:rPr>
                  <w:t>Galima vertinti teigiamai pagal tėvų arba kitų vaiko atstovų pagal įstatymą duomenis.</w:t>
                </w:r>
              </w:p>
            </w:tc>
            <w:tc>
              <w:tcPr>
                <w:tcW w:w="1672" w:type="dxa"/>
              </w:tcPr>
              <w:p>
                <w:pPr>
                  <w:jc w:val="center"/>
                  <w:rPr>
                    <w:color w:val="000000"/>
                    <w:szCs w:val="24"/>
                  </w:rPr>
                </w:pPr>
                <w:r>
                  <w:rPr>
                    <w:color w:val="000000"/>
                    <w:szCs w:val="24"/>
                    <w:lang w:eastAsia="lt-LT"/>
                  </w:rPr>
                  <w:drawing>
                    <wp:inline distT="0" distB="0" distL="0" distR="0">
                      <wp:extent cx="819150" cy="400050"/>
                      <wp:effectExtent l="0" t="0" r="0" b="0"/>
                      <wp:docPr id="4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png"/>
                              <pic:cNvPicPr/>
                            </pic:nvPicPr>
                            <pic:blipFill>
                              <a:blip r:embed="rId101" cstate="print">
                                <a:extLst>
                                  <a:ext uri="{28A0092B-C50C-407E-A947-70E740481C1C}">
                                    <a14:useLocalDpi xmlns:a14="http://schemas.microsoft.com/office/drawing/2010/main" val="0"/>
                                  </a:ext>
                                </a:extLst>
                              </a:blip>
                              <a:stretch>
                                <a:fillRect/>
                              </a:stretch>
                            </pic:blipFill>
                            <pic:spPr>
                              <a:xfrm>
                                <a:off x="0" y="0"/>
                                <a:ext cx="827509" cy="404132"/>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bl>
        <w:p>
          <w:pPr>
            <w:jc w:val="right"/>
            <w:rPr>
              <w:color w:val="000000"/>
              <w:sz w:val="28"/>
              <w:szCs w:val="28"/>
            </w:rPr>
          </w:pPr>
        </w:p>
        <w:p>
          <w:pPr>
            <w:snapToGrid w:val="0"/>
            <w:ind w:left="851"/>
            <w:jc w:val="center"/>
            <w:rPr>
              <w:color w:val="000000"/>
              <w:szCs w:val="24"/>
            </w:rPr>
          </w:pPr>
          <w:r>
            <w:rPr>
              <w:color w:val="000000"/>
              <w:szCs w:val="24"/>
            </w:rPr>
            <w:t>______________</w:t>
          </w:r>
        </w:p>
        <w:p>
          <w:pPr>
            <w:jc w:val="center"/>
            <w:rPr>
              <w:color w:val="000000"/>
              <w:sz w:val="28"/>
              <w:szCs w:val="28"/>
            </w:rPr>
          </w:pPr>
        </w:p>
        <w:p>
          <w:pPr>
            <w:jc w:val="center"/>
            <w:rPr>
              <w:color w:val="000000"/>
              <w:sz w:val="28"/>
              <w:szCs w:val="28"/>
            </w:rPr>
          </w:pPr>
          <w:r>
            <w:rPr>
              <w:color w:val="000000"/>
              <w:sz w:val="28"/>
              <w:szCs w:val="28"/>
            </w:rPr>
            <w:br w:type="page"/>
          </w:r>
        </w:p>
        <w:p>
          <w:pPr>
            <w:ind w:left="5184" w:right="395" w:firstLine="1440"/>
            <w:jc w:val="right"/>
            <w:rPr>
              <w:color w:val="000000"/>
              <w:szCs w:val="24"/>
            </w:rPr>
          </w:pP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r>
        </w:p>
        <w:p>
          <w:pPr>
            <w:ind w:right="395"/>
            <w:jc w:val="right"/>
            <w:rPr>
              <w:b/>
              <w:color w:val="000000"/>
              <w:szCs w:val="24"/>
            </w:rPr>
          </w:pPr>
        </w:p>
        <w:p>
          <w:pPr>
            <w:jc w:val="center"/>
            <w:rPr>
              <w:color w:val="000000"/>
              <w:szCs w:val="24"/>
            </w:rPr>
          </w:pPr>
          <w:r>
            <w:rPr>
              <w:b/>
              <w:color w:val="000000"/>
              <w:szCs w:val="24"/>
            </w:rPr>
            <w:t xml:space="preserve">VAIKO PSICHOMOTORINĖS RAIDOS TIKRINIMO LAPAS (ANKSTYVOJO AMŽIAUS VAIKAS) </w:t>
          </w:r>
        </w:p>
        <w:p>
          <w:pPr>
            <w:ind w:firstLine="8220"/>
            <w:jc w:val="center"/>
            <w:rPr>
              <w:color w:val="000000"/>
              <w:szCs w:val="24"/>
            </w:rPr>
          </w:pPr>
          <w:r>
            <w:rPr>
              <w:color w:val="000000"/>
              <w:szCs w:val="24"/>
            </w:rPr>
            <w:t>2 lentelė</w:t>
          </w:r>
        </w:p>
        <w:p>
          <w:pPr>
            <w:jc w:val="center"/>
            <w:rPr>
              <w:color w:val="000000"/>
              <w:szCs w:val="24"/>
            </w:rPr>
          </w:pP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134"/>
            <w:gridCol w:w="1814"/>
            <w:gridCol w:w="4423"/>
            <w:gridCol w:w="1559"/>
            <w:gridCol w:w="822"/>
            <w:gridCol w:w="850"/>
            <w:gridCol w:w="1276"/>
            <w:gridCol w:w="992"/>
            <w:gridCol w:w="1621"/>
          </w:tblGrid>
          <w:tr>
            <w:trPr>
              <w:trHeight w:hRule="exact" w:val="567"/>
            </w:trPr>
            <w:tc>
              <w:tcPr>
                <w:tcW w:w="568" w:type="dxa"/>
                <w:vMerge w:val="restart"/>
              </w:tcPr>
              <w:p>
                <w:pPr>
                  <w:jc w:val="center"/>
                  <w:rPr>
                    <w:b/>
                    <w:color w:val="000000"/>
                    <w:szCs w:val="24"/>
                  </w:rPr>
                </w:pPr>
                <w:r>
                  <w:rPr>
                    <w:b/>
                    <w:color w:val="000000"/>
                    <w:szCs w:val="24"/>
                  </w:rPr>
                  <w:t>Nr.</w:t>
                </w:r>
              </w:p>
            </w:tc>
            <w:tc>
              <w:tcPr>
                <w:tcW w:w="1134" w:type="dxa"/>
                <w:vMerge w:val="restart"/>
              </w:tcPr>
              <w:p>
                <w:pPr>
                  <w:jc w:val="center"/>
                  <w:rPr>
                    <w:b/>
                    <w:color w:val="000000"/>
                    <w:szCs w:val="24"/>
                  </w:rPr>
                </w:pPr>
                <w:r>
                  <w:rPr>
                    <w:b/>
                    <w:color w:val="000000"/>
                    <w:szCs w:val="24"/>
                  </w:rPr>
                  <w:t>Vaiko amžius</w:t>
                </w:r>
              </w:p>
            </w:tc>
            <w:tc>
              <w:tcPr>
                <w:tcW w:w="7796" w:type="dxa"/>
                <w:gridSpan w:val="3"/>
                <w:vMerge w:val="restart"/>
              </w:tcPr>
              <w:p>
                <w:pPr>
                  <w:jc w:val="center"/>
                  <w:rPr>
                    <w:b/>
                    <w:color w:val="000000"/>
                    <w:szCs w:val="24"/>
                  </w:rPr>
                </w:pPr>
                <w:r>
                  <w:rPr>
                    <w:b/>
                    <w:color w:val="000000"/>
                    <w:szCs w:val="24"/>
                  </w:rPr>
                  <w:t>Įgūdžio aprašymas</w:t>
                </w:r>
              </w:p>
            </w:tc>
            <w:tc>
              <w:tcPr>
                <w:tcW w:w="1672" w:type="dxa"/>
                <w:gridSpan w:val="2"/>
              </w:tcPr>
              <w:p>
                <w:pPr>
                  <w:jc w:val="center"/>
                  <w:rPr>
                    <w:b/>
                    <w:color w:val="000000"/>
                    <w:szCs w:val="24"/>
                  </w:rPr>
                </w:pPr>
                <w:r>
                  <w:rPr>
                    <w:b/>
                    <w:color w:val="000000"/>
                    <w:szCs w:val="24"/>
                  </w:rPr>
                  <w:t xml:space="preserve">Įgūdžio vertinimas </w:t>
                </w:r>
              </w:p>
              <w:p>
                <w:pPr>
                  <w:jc w:val="center"/>
                  <w:rPr>
                    <w:b/>
                    <w:color w:val="000000"/>
                    <w:szCs w:val="24"/>
                  </w:rPr>
                </w:pPr>
              </w:p>
            </w:tc>
            <w:tc>
              <w:tcPr>
                <w:tcW w:w="1276" w:type="dxa"/>
              </w:tcPr>
              <w:p>
                <w:pPr>
                  <w:jc w:val="center"/>
                  <w:rPr>
                    <w:b/>
                    <w:color w:val="000000"/>
                    <w:szCs w:val="24"/>
                  </w:rPr>
                </w:pPr>
                <w:r>
                  <w:rPr>
                    <w:b/>
                    <w:color w:val="000000"/>
                    <w:szCs w:val="24"/>
                  </w:rPr>
                  <w:t>Išvada</w:t>
                </w:r>
              </w:p>
            </w:tc>
            <w:tc>
              <w:tcPr>
                <w:tcW w:w="992" w:type="dxa"/>
              </w:tcPr>
              <w:p>
                <w:pPr>
                  <w:jc w:val="center"/>
                  <w:rPr>
                    <w:b/>
                    <w:color w:val="000000"/>
                    <w:szCs w:val="24"/>
                  </w:rPr>
                </w:pPr>
                <w:r>
                  <w:rPr>
                    <w:b/>
                    <w:color w:val="000000"/>
                    <w:szCs w:val="24"/>
                  </w:rPr>
                  <w:t>Data</w:t>
                </w:r>
              </w:p>
            </w:tc>
            <w:tc>
              <w:tcPr>
                <w:tcW w:w="1621"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134" w:type="dxa"/>
                <w:vMerge/>
              </w:tcPr>
              <w:p>
                <w:pPr>
                  <w:jc w:val="center"/>
                  <w:rPr>
                    <w:b/>
                    <w:color w:val="000000"/>
                    <w:szCs w:val="24"/>
                  </w:rPr>
                </w:pPr>
              </w:p>
            </w:tc>
            <w:tc>
              <w:tcPr>
                <w:tcW w:w="7796" w:type="dxa"/>
                <w:gridSpan w:val="3"/>
                <w:vMerge/>
              </w:tcPr>
              <w:p>
                <w:pPr>
                  <w:jc w:val="center"/>
                  <w:rPr>
                    <w:b/>
                    <w:color w:val="000000"/>
                    <w:szCs w:val="24"/>
                  </w:rPr>
                </w:pPr>
              </w:p>
            </w:tc>
            <w:tc>
              <w:tcPr>
                <w:tcW w:w="822" w:type="dxa"/>
              </w:tcPr>
              <w:p>
                <w:pPr>
                  <w:jc w:val="center"/>
                  <w:rPr>
                    <w:b/>
                    <w:color w:val="000000"/>
                    <w:szCs w:val="24"/>
                  </w:rPr>
                </w:pPr>
                <w:r>
                  <w:rPr>
                    <w:b/>
                    <w:color w:val="000000"/>
                    <w:szCs w:val="24"/>
                  </w:rPr>
                  <w:t>Taip</w:t>
                </w:r>
              </w:p>
              <w:p>
                <w:pPr>
                  <w:jc w:val="center"/>
                  <w:rPr>
                    <w:b/>
                    <w:color w:val="000000"/>
                    <w:szCs w:val="24"/>
                  </w:rPr>
                </w:pPr>
                <w:r>
                  <w:rPr>
                    <w:b/>
                    <w:color w:val="000000"/>
                    <w:szCs w:val="24"/>
                  </w:rPr>
                  <w:t>√</w:t>
                </w:r>
              </w:p>
            </w:tc>
            <w:tc>
              <w:tcPr>
                <w:tcW w:w="850" w:type="dxa"/>
              </w:tcPr>
              <w:p>
                <w:pPr>
                  <w:jc w:val="center"/>
                  <w:rPr>
                    <w:b/>
                    <w:color w:val="000000"/>
                    <w:szCs w:val="24"/>
                  </w:rPr>
                </w:pPr>
                <w:r>
                  <w:rPr>
                    <w:b/>
                    <w:color w:val="000000"/>
                    <w:szCs w:val="24"/>
                  </w:rPr>
                  <w:t>Ne</w:t>
                </w:r>
              </w:p>
              <w:p>
                <w:pPr>
                  <w:jc w:val="center"/>
                  <w:rPr>
                    <w:b/>
                    <w:color w:val="000000"/>
                    <w:szCs w:val="24"/>
                  </w:rPr>
                </w:pPr>
                <w:r>
                  <w:rPr>
                    <w:b/>
                    <w:color w:val="000000"/>
                    <w:szCs w:val="24"/>
                  </w:rPr>
                  <w:t>√</w:t>
                </w:r>
              </w:p>
            </w:tc>
            <w:tc>
              <w:tcPr>
                <w:tcW w:w="1276" w:type="dxa"/>
              </w:tcPr>
              <w:p>
                <w:pPr>
                  <w:jc w:val="center"/>
                  <w:rPr>
                    <w:b/>
                    <w:color w:val="000000"/>
                    <w:szCs w:val="24"/>
                  </w:rPr>
                </w:pPr>
              </w:p>
            </w:tc>
            <w:tc>
              <w:tcPr>
                <w:tcW w:w="992" w:type="dxa"/>
              </w:tcPr>
              <w:p>
                <w:pPr>
                  <w:jc w:val="center"/>
                  <w:rPr>
                    <w:b/>
                    <w:color w:val="000000"/>
                    <w:szCs w:val="24"/>
                  </w:rPr>
                </w:pPr>
              </w:p>
            </w:tc>
            <w:tc>
              <w:tcPr>
                <w:tcW w:w="1621" w:type="dxa"/>
                <w:vMerge/>
              </w:tcPr>
              <w:p>
                <w:pPr>
                  <w:jc w:val="center"/>
                  <w:rPr>
                    <w:b/>
                    <w:color w:val="000000"/>
                    <w:szCs w:val="24"/>
                  </w:rPr>
                </w:pPr>
              </w:p>
            </w:tc>
          </w:tr>
          <w:tr>
            <w:trPr>
              <w:trHeight w:val="677"/>
            </w:trPr>
            <w:tc>
              <w:tcPr>
                <w:tcW w:w="568" w:type="dxa"/>
                <w:vMerge w:val="restart"/>
              </w:tcPr>
              <w:p>
                <w:pPr>
                  <w:rPr>
                    <w:color w:val="000000"/>
                    <w:szCs w:val="24"/>
                  </w:rPr>
                </w:pPr>
                <w:r>
                  <w:rPr>
                    <w:color w:val="000000"/>
                    <w:szCs w:val="24"/>
                  </w:rPr>
                  <w:t>1.</w:t>
                </w:r>
              </w:p>
            </w:tc>
            <w:tc>
              <w:tcPr>
                <w:tcW w:w="1134" w:type="dxa"/>
                <w:vMerge w:val="restart"/>
              </w:tcPr>
              <w:p>
                <w:pPr>
                  <w:rPr>
                    <w:color w:val="000000"/>
                    <w:szCs w:val="24"/>
                  </w:rPr>
                </w:pPr>
                <w:r>
                  <w:rPr>
                    <w:color w:val="000000"/>
                    <w:szCs w:val="24"/>
                  </w:rPr>
                  <w:t>12 mėn.</w:t>
                </w:r>
              </w:p>
              <w:p>
                <w:pPr>
                  <w:rPr>
                    <w:color w:val="000000"/>
                    <w:szCs w:val="24"/>
                  </w:rPr>
                </w:pPr>
                <w:r>
                  <w:rPr>
                    <w:color w:val="000000"/>
                    <w:szCs w:val="24"/>
                  </w:rPr>
                  <w:t>(1 m.)</w:t>
                </w:r>
              </w:p>
              <w:p>
                <w:pPr>
                  <w:rPr>
                    <w:color w:val="000000"/>
                    <w:szCs w:val="24"/>
                  </w:rPr>
                </w:pPr>
              </w:p>
            </w:tc>
            <w:tc>
              <w:tcPr>
                <w:tcW w:w="1814" w:type="dxa"/>
              </w:tcPr>
              <w:p>
                <w:pPr>
                  <w:rPr>
                    <w:color w:val="000000"/>
                    <w:szCs w:val="24"/>
                  </w:rPr>
                </w:pPr>
                <w:r>
                  <w:rPr>
                    <w:color w:val="000000"/>
                    <w:szCs w:val="24"/>
                  </w:rPr>
                  <w:t>1.1. Ropoja.</w:t>
                </w:r>
              </w:p>
            </w:tc>
            <w:tc>
              <w:tcPr>
                <w:tcW w:w="4423" w:type="dxa"/>
              </w:tcPr>
              <w:p>
                <w:pPr>
                  <w:rPr>
                    <w:color w:val="000000"/>
                    <w:szCs w:val="24"/>
                  </w:rPr>
                </w:pPr>
                <w:r>
                  <w:rPr>
                    <w:color w:val="000000"/>
                    <w:szCs w:val="24"/>
                  </w:rPr>
                  <w:t>Vaikas juda kryžminės koordinacijos būdu.</w:t>
                </w:r>
              </w:p>
            </w:tc>
            <w:tc>
              <w:tcPr>
                <w:tcW w:w="1559" w:type="dxa"/>
              </w:tcPr>
              <w:p>
                <w:pPr>
                  <w:jc w:val="center"/>
                  <w:rPr>
                    <w:color w:val="000000"/>
                    <w:szCs w:val="24"/>
                  </w:rPr>
                </w:pPr>
                <w:r>
                  <w:rPr>
                    <w:color w:val="000000"/>
                    <w:szCs w:val="24"/>
                    <w:lang w:eastAsia="lt-LT"/>
                  </w:rPr>
                  <w:drawing>
                    <wp:inline distT="0" distB="0" distL="0" distR="0">
                      <wp:extent cx="638175" cy="485775"/>
                      <wp:effectExtent l="19050" t="0" r="9525" b="0"/>
                      <wp:docPr id="4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2"/>
                              <a:srcRect/>
                              <a:stretch>
                                <a:fillRect/>
                              </a:stretch>
                            </pic:blipFill>
                            <pic:spPr bwMode="auto">
                              <a:xfrm>
                                <a:off x="0" y="0"/>
                                <a:ext cx="638175" cy="48577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lang w:eastAsia="lt-LT"/>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992" w:type="dxa"/>
                <w:vMerge w:val="restart"/>
              </w:tcPr>
              <w:p>
                <w:pPr>
                  <w:rPr>
                    <w:color w:val="000000"/>
                    <w:szCs w:val="24"/>
                    <w:lang w:eastAsia="lt-LT"/>
                  </w:rPr>
                </w:pPr>
              </w:p>
            </w:tc>
            <w:tc>
              <w:tcPr>
                <w:tcW w:w="1621" w:type="dxa"/>
                <w:vMerge w:val="restart"/>
              </w:tcPr>
              <w:p>
                <w:pPr>
                  <w:rPr>
                    <w:color w:val="000000"/>
                    <w:szCs w:val="24"/>
                    <w:lang w:eastAsia="lt-LT"/>
                  </w:rPr>
                </w:pPr>
              </w:p>
            </w:tc>
          </w:tr>
          <w:tr>
            <w:trPr>
              <w:trHeight w:val="90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1.2. Eina pristatomu žingsniu.</w:t>
                </w:r>
              </w:p>
            </w:tc>
            <w:tc>
              <w:tcPr>
                <w:tcW w:w="4423" w:type="dxa"/>
              </w:tcPr>
              <w:p>
                <w:pPr>
                  <w:rPr>
                    <w:color w:val="000000"/>
                    <w:szCs w:val="24"/>
                  </w:rPr>
                </w:pPr>
                <w:r>
                  <w:rPr>
                    <w:color w:val="000000"/>
                    <w:szCs w:val="24"/>
                  </w:rPr>
                  <w:t>Vaikas eina laikydamasis už baldų.</w:t>
                </w:r>
              </w:p>
            </w:tc>
            <w:tc>
              <w:tcPr>
                <w:tcW w:w="1559" w:type="dxa"/>
              </w:tcPr>
              <w:p>
                <w:pPr>
                  <w:rPr>
                    <w:b/>
                    <w:color w:val="000000"/>
                    <w:szCs w:val="24"/>
                  </w:rPr>
                </w:pPr>
                <w:r>
                  <w:rPr>
                    <w:color w:val="000000"/>
                    <w:szCs w:val="24"/>
                    <w:lang w:eastAsia="lt-LT"/>
                  </w:rPr>
                  <w:drawing>
                    <wp:inline distT="0" distB="0" distL="0" distR="0">
                      <wp:extent cx="809625" cy="533400"/>
                      <wp:effectExtent l="19050" t="0" r="9525" b="0"/>
                      <wp:docPr id="4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3"/>
                              <a:srcRect/>
                              <a:stretch>
                                <a:fillRect/>
                              </a:stretch>
                            </pic:blipFill>
                            <pic:spPr bwMode="auto">
                              <a:xfrm>
                                <a:off x="0" y="0"/>
                                <a:ext cx="809625" cy="5334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88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1.3. Atlieka veiksmus su dviem daiktais. </w:t>
                </w:r>
              </w:p>
            </w:tc>
            <w:tc>
              <w:tcPr>
                <w:tcW w:w="4423" w:type="dxa"/>
              </w:tcPr>
              <w:p>
                <w:pPr>
                  <w:rPr>
                    <w:color w:val="000000"/>
                    <w:szCs w:val="24"/>
                  </w:rPr>
                </w:pPr>
                <w:r>
                  <w:rPr>
                    <w:color w:val="000000"/>
                    <w:szCs w:val="24"/>
                  </w:rPr>
                  <w:t>Vaikas įdeda žaislą į dėžutę arba padaužo du žaislus vienas į kitą.</w:t>
                </w:r>
              </w:p>
            </w:tc>
            <w:tc>
              <w:tcPr>
                <w:tcW w:w="1559" w:type="dxa"/>
              </w:tcPr>
              <w:p>
                <w:pPr>
                  <w:rPr>
                    <w:b/>
                    <w:color w:val="000000"/>
                    <w:szCs w:val="24"/>
                    <w:lang w:val="en-US" w:eastAsia="zh-CN"/>
                  </w:rPr>
                </w:pPr>
                <w:r>
                  <w:rPr>
                    <w:color w:val="000000"/>
                    <w:szCs w:val="24"/>
                    <w:lang w:eastAsia="lt-LT"/>
                  </w:rPr>
                  <w:drawing>
                    <wp:inline distT="0" distB="0" distL="0" distR="0">
                      <wp:extent cx="552450" cy="523875"/>
                      <wp:effectExtent l="19050" t="0" r="0" b="0"/>
                      <wp:docPr id="47"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04"/>
                              <a:srcRect/>
                              <a:stretch>
                                <a:fillRect/>
                              </a:stretch>
                            </pic:blipFill>
                            <pic:spPr bwMode="auto">
                              <a:xfrm>
                                <a:off x="0" y="0"/>
                                <a:ext cx="552450" cy="523875"/>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1.4. Mėgdžioja veiksmus, garsus.</w:t>
                </w:r>
              </w:p>
            </w:tc>
            <w:tc>
              <w:tcPr>
                <w:tcW w:w="4423" w:type="dxa"/>
              </w:tcPr>
              <w:p>
                <w:pPr>
                  <w:rPr>
                    <w:color w:val="000000"/>
                    <w:szCs w:val="24"/>
                  </w:rPr>
                </w:pPr>
                <w:r>
                  <w:rPr>
                    <w:color w:val="000000"/>
                    <w:szCs w:val="24"/>
                  </w:rPr>
                  <w:t>Vaikas pakartoja suaugusiojo atliekamus veiksmus arba sakomus skiemenis.</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4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1.5. Reaguoja į savo vardą. </w:t>
                </w:r>
              </w:p>
            </w:tc>
            <w:tc>
              <w:tcPr>
                <w:tcW w:w="4423" w:type="dxa"/>
              </w:tcPr>
              <w:p>
                <w:pPr>
                  <w:rPr>
                    <w:color w:val="000000"/>
                    <w:szCs w:val="24"/>
                  </w:rPr>
                </w:pPr>
                <w:r>
                  <w:rPr>
                    <w:color w:val="000000"/>
                    <w:szCs w:val="24"/>
                  </w:rPr>
                  <w:t>Pašauktas vardu vaikas suklūsta, atsisuka.</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10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1.6. Sako </w:t>
                </w:r>
              </w:p>
              <w:p>
                <w:pPr>
                  <w:ind w:firstLine="60"/>
                  <w:rPr>
                    <w:color w:val="000000"/>
                    <w:szCs w:val="24"/>
                  </w:rPr>
                </w:pPr>
                <w:r>
                  <w:rPr>
                    <w:color w:val="000000"/>
                    <w:szCs w:val="24"/>
                  </w:rPr>
                  <w:t>„mama“, „tete“.</w:t>
                </w:r>
              </w:p>
            </w:tc>
            <w:tc>
              <w:tcPr>
                <w:tcW w:w="4423" w:type="dxa"/>
              </w:tcPr>
              <w:p>
                <w:pPr>
                  <w:rPr>
                    <w:color w:val="000000"/>
                    <w:szCs w:val="24"/>
                  </w:rPr>
                </w:pPr>
                <w:r>
                  <w:rPr>
                    <w:color w:val="000000"/>
                    <w:szCs w:val="24"/>
                  </w:rPr>
                  <w:t>Vaikas sako „mama“, „tete“, kreipdamasis į mamą, tėtį.</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lang w:val="en-US" w:eastAsia="zh-CN"/>
                  </w:rPr>
                </w:pPr>
                <w:r>
                  <w:rPr>
                    <w:color w:val="000000"/>
                    <w:szCs w:val="24"/>
                    <w:lang w:eastAsia="lt-LT"/>
                  </w:rPr>
                  <w:drawing>
                    <wp:inline distT="0" distB="0" distL="0" distR="0">
                      <wp:extent cx="942975" cy="495300"/>
                      <wp:effectExtent l="19050" t="0" r="9525" b="0"/>
                      <wp:docPr id="4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5"/>
                              <a:srcRect/>
                              <a:stretch>
                                <a:fillRect/>
                              </a:stretch>
                            </pic:blipFill>
                            <pic:spPr bwMode="auto">
                              <a:xfrm>
                                <a:off x="0" y="0"/>
                                <a:ext cx="942975" cy="4953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1.7. Ima maistą rankomis ir valgo.</w:t>
                </w:r>
              </w:p>
            </w:tc>
            <w:tc>
              <w:tcPr>
                <w:tcW w:w="4423" w:type="dxa"/>
              </w:tcPr>
              <w:p>
                <w:pPr>
                  <w:rPr>
                    <w:color w:val="000000"/>
                    <w:szCs w:val="24"/>
                  </w:rPr>
                </w:pPr>
                <w:r>
                  <w:rPr>
                    <w:color w:val="000000"/>
                    <w:szCs w:val="24"/>
                  </w:rPr>
                  <w:t>Vaikas gali paimti rankomis maistą (pvz., sausainį), įsidėti į burną ir valgyti.</w:t>
                </w:r>
              </w:p>
            </w:tc>
            <w:tc>
              <w:tcPr>
                <w:tcW w:w="1559" w:type="dxa"/>
              </w:tcPr>
              <w:p>
                <w:pPr>
                  <w:rPr>
                    <w:b/>
                    <w:color w:val="000000"/>
                    <w:szCs w:val="24"/>
                  </w:rPr>
                </w:pPr>
              </w:p>
            </w:tc>
            <w:tc>
              <w:tcPr>
                <w:tcW w:w="822" w:type="dxa"/>
              </w:tcPr>
              <w:p>
                <w:pPr>
                  <w:rPr>
                    <w:b/>
                    <w:color w:val="000000"/>
                    <w:szCs w:val="24"/>
                  </w:rPr>
                </w:pPr>
              </w:p>
            </w:tc>
            <w:tc>
              <w:tcPr>
                <w:tcW w:w="850" w:type="dxa"/>
              </w:tcPr>
              <w:p>
                <w:pPr>
                  <w:rPr>
                    <w:b/>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677"/>
            </w:trPr>
            <w:tc>
              <w:tcPr>
                <w:tcW w:w="568" w:type="dxa"/>
                <w:vMerge w:val="restart"/>
              </w:tcPr>
              <w:p>
                <w:pPr>
                  <w:rPr>
                    <w:color w:val="000000"/>
                    <w:szCs w:val="24"/>
                  </w:rPr>
                </w:pPr>
                <w:r>
                  <w:rPr>
                    <w:color w:val="000000"/>
                    <w:szCs w:val="24"/>
                  </w:rPr>
                  <w:t>2.</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18 mėn.</w:t>
                </w:r>
              </w:p>
              <w:p>
                <w:pPr>
                  <w:rPr>
                    <w:color w:val="000000"/>
                    <w:szCs w:val="24"/>
                  </w:rPr>
                </w:pPr>
                <w:r>
                  <w:rPr>
                    <w:color w:val="000000"/>
                    <w:szCs w:val="24"/>
                  </w:rPr>
                  <w:t>(1,5 m.)</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814" w:type="dxa"/>
              </w:tcPr>
              <w:p>
                <w:pPr>
                  <w:rPr>
                    <w:color w:val="000000"/>
                    <w:szCs w:val="24"/>
                  </w:rPr>
                </w:pPr>
                <w:r>
                  <w:rPr>
                    <w:color w:val="000000"/>
                    <w:szCs w:val="24"/>
                  </w:rPr>
                  <w:t>2.1. Vaikšto savarankiškai.</w:t>
                </w:r>
              </w:p>
            </w:tc>
            <w:tc>
              <w:tcPr>
                <w:tcW w:w="4423" w:type="dxa"/>
              </w:tcPr>
              <w:p>
                <w:pPr>
                  <w:rPr>
                    <w:color w:val="000000"/>
                    <w:szCs w:val="24"/>
                  </w:rPr>
                </w:pPr>
                <w:r>
                  <w:rPr>
                    <w:color w:val="000000"/>
                    <w:szCs w:val="24"/>
                  </w:rPr>
                  <w:t>Vaikas pereina per kambarį.</w:t>
                </w:r>
              </w:p>
              <w:p>
                <w:pPr>
                  <w:rPr>
                    <w:color w:val="000000"/>
                    <w:szCs w:val="24"/>
                  </w:rPr>
                </w:pPr>
              </w:p>
            </w:tc>
            <w:tc>
              <w:tcPr>
                <w:tcW w:w="1559" w:type="dxa"/>
              </w:tcPr>
              <w:p>
                <w:pPr>
                  <w:jc w:val="center"/>
                  <w:rPr>
                    <w:color w:val="000000"/>
                    <w:szCs w:val="24"/>
                  </w:rPr>
                </w:pPr>
                <w:r>
                  <w:rPr>
                    <w:color w:val="000000"/>
                    <w:szCs w:val="24"/>
                    <w:lang w:eastAsia="lt-LT"/>
                  </w:rPr>
                  <w:drawing>
                    <wp:inline distT="0" distB="0" distL="0" distR="0">
                      <wp:extent cx="581025" cy="466725"/>
                      <wp:effectExtent l="19050" t="0" r="9525" b="0"/>
                      <wp:docPr id="49"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06"/>
                              <a:srcRect/>
                              <a:stretch>
                                <a:fillRect/>
                              </a:stretch>
                            </pic:blipFill>
                            <pic:spPr bwMode="auto">
                              <a:xfrm>
                                <a:off x="0" y="0"/>
                                <a:ext cx="5810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ind w:firstLine="60"/>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p>
                <w:pPr>
                  <w:rPr>
                    <w:color w:val="000000"/>
                    <w:szCs w:val="24"/>
                    <w:lang w:eastAsia="lt-LT"/>
                  </w:rPr>
                </w:pPr>
              </w:p>
              <w:p>
                <w:pPr>
                  <w:rPr>
                    <w:color w:val="000000"/>
                    <w:szCs w:val="24"/>
                    <w:lang w:eastAsia="lt-LT"/>
                  </w:rPr>
                </w:pPr>
              </w:p>
              <w:p>
                <w:pPr>
                  <w:rPr>
                    <w:color w:val="000000"/>
                    <w:szCs w:val="24"/>
                    <w:lang w:eastAsia="lt-LT"/>
                  </w:rPr>
                </w:pPr>
              </w:p>
              <w:p>
                <w:pPr>
                  <w:rPr>
                    <w:b/>
                    <w:color w:val="000000"/>
                    <w:szCs w:val="24"/>
                  </w:rPr>
                </w:pPr>
              </w:p>
            </w:tc>
            <w:tc>
              <w:tcPr>
                <w:tcW w:w="992"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c>
              <w:tcPr>
                <w:tcW w:w="1621"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2.2. Žaidžia funkcinius žaidimus.</w:t>
                </w:r>
              </w:p>
            </w:tc>
            <w:tc>
              <w:tcPr>
                <w:tcW w:w="4423" w:type="dxa"/>
              </w:tcPr>
              <w:p>
                <w:pPr>
                  <w:rPr>
                    <w:color w:val="000000"/>
                    <w:szCs w:val="24"/>
                  </w:rPr>
                </w:pPr>
                <w:r>
                  <w:rPr>
                    <w:color w:val="000000"/>
                    <w:szCs w:val="24"/>
                  </w:rPr>
                  <w:t>Vaikas žaisdamas naudoja žaislus pagal paskirtį: važiuoja su mašinėle, piešia pieštuku, šukuoja šukomis, varto knygutę.</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50"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07"/>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2.3. Vykdo žodinį nurodymą „duok“.</w:t>
                </w:r>
              </w:p>
            </w:tc>
            <w:tc>
              <w:tcPr>
                <w:tcW w:w="4423" w:type="dxa"/>
              </w:tcPr>
              <w:p>
                <w:pPr>
                  <w:rPr>
                    <w:color w:val="000000"/>
                    <w:szCs w:val="24"/>
                  </w:rPr>
                </w:pPr>
                <w:r>
                  <w:rPr>
                    <w:color w:val="000000"/>
                    <w:szCs w:val="24"/>
                  </w:rPr>
                  <w:t xml:space="preserve">Paprašytas  paduoda artimam asmeniui daiktą. </w:t>
                </w:r>
              </w:p>
            </w:tc>
            <w:tc>
              <w:tcPr>
                <w:tcW w:w="1559" w:type="dxa"/>
              </w:tcPr>
              <w:p>
                <w:pPr>
                  <w:jc w:val="center"/>
                  <w:rPr>
                    <w:color w:val="000000"/>
                    <w:szCs w:val="24"/>
                  </w:rPr>
                </w:pPr>
                <w:r>
                  <w:rPr>
                    <w:color w:val="000000"/>
                    <w:szCs w:val="24"/>
                    <w:lang w:eastAsia="lt-LT"/>
                  </w:rPr>
                  <w:drawing>
                    <wp:inline distT="0" distB="0" distL="0" distR="0">
                      <wp:extent cx="390525" cy="466725"/>
                      <wp:effectExtent l="19050" t="0" r="9525" b="0"/>
                      <wp:docPr id="51"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108"/>
                              <a:srcRect/>
                              <a:stretch>
                                <a:fillRect/>
                              </a:stretch>
                            </pic:blipFill>
                            <pic:spPr bwMode="auto">
                              <a:xfrm>
                                <a:off x="0" y="0"/>
                                <a:ext cx="390525" cy="466725"/>
                              </a:xfrm>
                              <a:prstGeom prst="rect">
                                <a:avLst/>
                              </a:prstGeom>
                              <a:noFill/>
                              <a:ln w="9525">
                                <a:noFill/>
                                <a:miter lim="800000"/>
                                <a:headEnd/>
                                <a:tailEnd/>
                              </a:ln>
                            </pic:spPr>
                          </pic:pic>
                        </a:graphicData>
                      </a:graphic>
                    </wp:inline>
                  </w:drawing>
                </w:r>
              </w:p>
            </w:tc>
            <w:tc>
              <w:tcPr>
                <w:tcW w:w="822" w:type="dxa"/>
              </w:tcPr>
              <w:p>
                <w:pPr>
                  <w:rPr>
                    <w:b/>
                    <w:color w:val="000000"/>
                    <w:szCs w:val="24"/>
                    <w:lang w:eastAsia="lt-LT"/>
                  </w:rPr>
                </w:pPr>
              </w:p>
            </w:tc>
            <w:tc>
              <w:tcPr>
                <w:tcW w:w="850" w:type="dxa"/>
              </w:tcPr>
              <w:p>
                <w:pPr>
                  <w:rPr>
                    <w:b/>
                    <w:color w:val="000000"/>
                    <w:szCs w:val="24"/>
                    <w:lang w:eastAsia="lt-LT"/>
                  </w:rPr>
                </w:pPr>
              </w:p>
            </w:tc>
            <w:tc>
              <w:tcPr>
                <w:tcW w:w="1276" w:type="dxa"/>
                <w:vMerge/>
              </w:tcPr>
              <w:p>
                <w:pPr>
                  <w:rPr>
                    <w:b/>
                    <w:color w:val="000000"/>
                    <w:szCs w:val="24"/>
                    <w:lang w:eastAsia="lt-LT"/>
                  </w:rPr>
                </w:pPr>
              </w:p>
            </w:tc>
            <w:tc>
              <w:tcPr>
                <w:tcW w:w="992" w:type="dxa"/>
                <w:vMerge/>
              </w:tcPr>
              <w:p>
                <w:pPr>
                  <w:rPr>
                    <w:b/>
                    <w:color w:val="000000"/>
                    <w:szCs w:val="24"/>
                    <w:lang w:eastAsia="lt-LT"/>
                  </w:rPr>
                </w:pPr>
              </w:p>
            </w:tc>
            <w:tc>
              <w:tcPr>
                <w:tcW w:w="1621" w:type="dxa"/>
                <w:vMerge/>
              </w:tcPr>
              <w:p>
                <w:pPr>
                  <w:rPr>
                    <w:b/>
                    <w:color w:val="000000"/>
                    <w:szCs w:val="24"/>
                    <w:lang w:eastAsia="lt-LT"/>
                  </w:rPr>
                </w:pPr>
              </w:p>
            </w:tc>
          </w:tr>
          <w:tr>
            <w:trPr>
              <w:trHeight w:val="689"/>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2.4. Rodo rodomuoju pirštu, kas jį sudomino.</w:t>
                </w:r>
              </w:p>
            </w:tc>
            <w:tc>
              <w:tcPr>
                <w:tcW w:w="4423" w:type="dxa"/>
              </w:tcPr>
              <w:p>
                <w:pPr>
                  <w:rPr>
                    <w:color w:val="000000"/>
                    <w:szCs w:val="24"/>
                  </w:rPr>
                </w:pPr>
                <w:r>
                  <w:rPr>
                    <w:color w:val="000000"/>
                    <w:szCs w:val="24"/>
                  </w:rPr>
                  <w:t>Pats vaikas prašo daikto, rodydamas pirštu.</w:t>
                </w:r>
              </w:p>
            </w:tc>
            <w:tc>
              <w:tcPr>
                <w:tcW w:w="1559" w:type="dxa"/>
              </w:tcPr>
              <w:p>
                <w:pPr>
                  <w:jc w:val="center"/>
                  <w:rPr>
                    <w:color w:val="000000"/>
                    <w:szCs w:val="24"/>
                  </w:rPr>
                </w:pPr>
                <w:r>
                  <w:rPr>
                    <w:color w:val="000000"/>
                    <w:szCs w:val="24"/>
                    <w:lang w:eastAsia="lt-LT"/>
                  </w:rPr>
                  <w:drawing>
                    <wp:inline distT="0" distB="0" distL="0" distR="0">
                      <wp:extent cx="619125" cy="466725"/>
                      <wp:effectExtent l="19050" t="0" r="9525" b="0"/>
                      <wp:docPr id="52"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09"/>
                              <a:srcRect/>
                              <a:stretch>
                                <a:fillRect/>
                              </a:stretch>
                            </pic:blipFill>
                            <pic:spPr bwMode="auto">
                              <a:xfrm>
                                <a:off x="0" y="0"/>
                                <a:ext cx="6191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2.5. Sako 3 prasmingus žodžius.</w:t>
                </w:r>
              </w:p>
            </w:tc>
            <w:tc>
              <w:tcPr>
                <w:tcW w:w="4423" w:type="dxa"/>
              </w:tcPr>
              <w:p>
                <w:pPr>
                  <w:rPr>
                    <w:color w:val="000000"/>
                    <w:szCs w:val="24"/>
                  </w:rPr>
                </w:pPr>
                <w:r>
                  <w:rPr>
                    <w:color w:val="000000"/>
                    <w:szCs w:val="24"/>
                  </w:rPr>
                  <w:t xml:space="preserve">Vaikas sako 3 prasmingus žodžius daiktams ar veiksmams  įvardyti. </w:t>
                </w:r>
              </w:p>
              <w:p>
                <w:pPr>
                  <w:rPr>
                    <w:color w:val="000000"/>
                    <w:szCs w:val="24"/>
                  </w:rPr>
                </w:pPr>
                <w:r>
                  <w:rPr>
                    <w:color w:val="000000"/>
                    <w:szCs w:val="24"/>
                  </w:rPr>
                  <w:t>Galima vertinti teigiamai pagal tėvų arba kitų vaiko atstovų pagal įstatymą duomenis.</w:t>
                </w:r>
              </w:p>
            </w:tc>
            <w:tc>
              <w:tcPr>
                <w:tcW w:w="1559" w:type="dxa"/>
              </w:tcPr>
              <w:p>
                <w:pPr>
                  <w:jc w:val="center"/>
                  <w:rPr>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val="restart"/>
              </w:tcPr>
              <w:p>
                <w:pPr>
                  <w:rPr>
                    <w:color w:val="000000"/>
                    <w:szCs w:val="24"/>
                  </w:rPr>
                </w:pPr>
                <w:r>
                  <w:rPr>
                    <w:color w:val="000000"/>
                    <w:szCs w:val="24"/>
                  </w:rPr>
                  <w:t>3.</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24 mėn.</w:t>
                </w:r>
              </w:p>
              <w:p>
                <w:pPr>
                  <w:rPr>
                    <w:color w:val="000000"/>
                    <w:szCs w:val="24"/>
                  </w:rPr>
                </w:pPr>
                <w:r>
                  <w:rPr>
                    <w:color w:val="000000"/>
                    <w:szCs w:val="24"/>
                  </w:rPr>
                  <w:t>(2 m.)</w:t>
                </w:r>
              </w:p>
            </w:tc>
            <w:tc>
              <w:tcPr>
                <w:tcW w:w="1814" w:type="dxa"/>
              </w:tcPr>
              <w:p>
                <w:pPr>
                  <w:rPr>
                    <w:color w:val="000000"/>
                    <w:szCs w:val="24"/>
                  </w:rPr>
                </w:pPr>
                <w:r>
                  <w:rPr>
                    <w:color w:val="000000"/>
                    <w:szCs w:val="24"/>
                  </w:rPr>
                  <w:t>3.1. Žaidimas kaladėlėmis: pastato bokštą.</w:t>
                </w:r>
              </w:p>
            </w:tc>
            <w:tc>
              <w:tcPr>
                <w:tcW w:w="4423" w:type="dxa"/>
              </w:tcPr>
              <w:p>
                <w:pPr>
                  <w:rPr>
                    <w:color w:val="000000"/>
                    <w:szCs w:val="24"/>
                  </w:rPr>
                </w:pPr>
                <w:r>
                  <w:rPr>
                    <w:color w:val="000000"/>
                    <w:szCs w:val="24"/>
                  </w:rPr>
                  <w:t xml:space="preserve">Vaikas sudeda  2 kaladėles vieną ant kitos.</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371475" cy="466725"/>
                      <wp:effectExtent l="19050" t="0" r="9525" b="0"/>
                      <wp:docPr id="53"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10"/>
                              <a:srcRect/>
                              <a:stretch>
                                <a:fillRect/>
                              </a:stretch>
                            </pic:blipFill>
                            <pic:spPr bwMode="auto">
                              <a:xfrm>
                                <a:off x="0" y="0"/>
                                <a:ext cx="3714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3.2. Piešimas: piešia keverzonę. </w:t>
                </w:r>
              </w:p>
            </w:tc>
            <w:tc>
              <w:tcPr>
                <w:tcW w:w="4423" w:type="dxa"/>
              </w:tcPr>
              <w:p>
                <w:pPr>
                  <w:rPr>
                    <w:color w:val="000000"/>
                    <w:szCs w:val="24"/>
                  </w:rPr>
                </w:pPr>
                <w:r>
                  <w:rPr>
                    <w:color w:val="000000"/>
                    <w:szCs w:val="24"/>
                  </w:rPr>
                  <w:t xml:space="preserve">Vaikas braižo popieriuje netaisyklingas linijas.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457200" cy="466725"/>
                      <wp:effectExtent l="19050" t="0" r="0" b="0"/>
                      <wp:docPr id="54"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11"/>
                              <a:srcRect/>
                              <a:stretch>
                                <a:fillRect/>
                              </a:stretch>
                            </pic:blipFill>
                            <pic:spPr bwMode="auto">
                              <a:xfrm>
                                <a:off x="0" y="0"/>
                                <a:ext cx="45720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650"/>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3.3. Rodo kūno dalis.  </w:t>
                </w:r>
              </w:p>
            </w:tc>
            <w:tc>
              <w:tcPr>
                <w:tcW w:w="4423" w:type="dxa"/>
              </w:tcPr>
              <w:p>
                <w:pPr>
                  <w:rPr>
                    <w:color w:val="000000"/>
                    <w:szCs w:val="24"/>
                  </w:rPr>
                </w:pPr>
                <w:r>
                  <w:rPr>
                    <w:color w:val="000000"/>
                    <w:szCs w:val="24"/>
                  </w:rPr>
                  <w:t>Vaikas parodo bent vieną kūno dalį ją įvardijus.</w:t>
                </w:r>
              </w:p>
            </w:tc>
            <w:tc>
              <w:tcPr>
                <w:tcW w:w="1559" w:type="dxa"/>
              </w:tcPr>
              <w:p>
                <w:pPr>
                  <w:jc w:val="center"/>
                  <w:rPr>
                    <w:color w:val="000000"/>
                    <w:szCs w:val="24"/>
                  </w:rPr>
                </w:pPr>
                <w:r>
                  <w:rPr>
                    <w:color w:val="000000"/>
                    <w:szCs w:val="24"/>
                    <w:lang w:eastAsia="lt-LT"/>
                  </w:rPr>
                  <w:drawing>
                    <wp:inline distT="0" distB="0" distL="0" distR="0">
                      <wp:extent cx="409575" cy="466725"/>
                      <wp:effectExtent l="19050" t="0" r="9525" b="0"/>
                      <wp:docPr id="5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12"/>
                              <a:srcRect/>
                              <a:stretch>
                                <a:fillRect/>
                              </a:stretch>
                            </pic:blipFill>
                            <pic:spPr bwMode="auto">
                              <a:xfrm>
                                <a:off x="0" y="0"/>
                                <a:ext cx="4095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3.4. Rodo paveikslėlius.</w:t>
                </w:r>
              </w:p>
            </w:tc>
            <w:tc>
              <w:tcPr>
                <w:tcW w:w="4423" w:type="dxa"/>
              </w:tcPr>
              <w:p>
                <w:pPr>
                  <w:rPr>
                    <w:color w:val="000000"/>
                    <w:szCs w:val="24"/>
                  </w:rPr>
                </w:pPr>
                <w:r>
                  <w:rPr>
                    <w:color w:val="000000"/>
                    <w:szCs w:val="24"/>
                  </w:rPr>
                  <w:t>Vaikas parodo bent vieną paveikslėlį knygoje jį įvardijus.</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5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13"/>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3.5. Taria dviejų žodžių frazes.</w:t>
                </w:r>
              </w:p>
            </w:tc>
            <w:tc>
              <w:tcPr>
                <w:tcW w:w="4423" w:type="dxa"/>
              </w:tcPr>
              <w:p>
                <w:pPr>
                  <w:rPr>
                    <w:color w:val="000000"/>
                    <w:szCs w:val="24"/>
                  </w:rPr>
                </w:pPr>
                <w:r>
                  <w:rPr>
                    <w:color w:val="000000"/>
                    <w:szCs w:val="24"/>
                  </w:rPr>
                  <w:t xml:space="preserve">Vaikas sako frazes, pvz., „mama duok“, „mama, niam“  ir pan.</w:t>
                </w:r>
              </w:p>
              <w:p>
                <w:pPr>
                  <w:rPr>
                    <w:color w:val="000000"/>
                    <w:szCs w:val="24"/>
                  </w:rPr>
                </w:pPr>
                <w:r>
                  <w:rPr>
                    <w:color w:val="000000"/>
                    <w:szCs w:val="24"/>
                  </w:rPr>
                  <w:t>Galima vertinti teigiamai pagal tėvų arba kitų vaiko atstovų pagal įstatymą duomenis.</w:t>
                </w:r>
              </w:p>
            </w:tc>
            <w:tc>
              <w:tcPr>
                <w:tcW w:w="1559" w:type="dxa"/>
              </w:tcPr>
              <w:p>
                <w:pPr>
                  <w:jc w:val="cente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3.6. Savarankiškai valgo.</w:t>
                </w:r>
              </w:p>
            </w:tc>
            <w:tc>
              <w:tcPr>
                <w:tcW w:w="4423" w:type="dxa"/>
              </w:tcPr>
              <w:p>
                <w:pPr>
                  <w:rPr>
                    <w:color w:val="000000"/>
                    <w:szCs w:val="24"/>
                  </w:rPr>
                </w:pPr>
                <w:r>
                  <w:rPr>
                    <w:color w:val="000000"/>
                    <w:szCs w:val="24"/>
                  </w:rPr>
                  <w:t>Vaikas gali suvalgyti kelis šaukštus maisto savarankiškai.</w:t>
                </w:r>
              </w:p>
              <w:p>
                <w:pPr>
                  <w:rPr>
                    <w:color w:val="000000"/>
                    <w:szCs w:val="24"/>
                  </w:rPr>
                </w:pPr>
                <w:r>
                  <w:rPr>
                    <w:color w:val="000000"/>
                    <w:szCs w:val="24"/>
                  </w:rPr>
                  <w:t xml:space="preserve">Galima vertinti teigiamai pagal tėvų arba kitų vaiko atstovų pagal įstatymą duomenis. </w:t>
                </w:r>
              </w:p>
            </w:tc>
            <w:tc>
              <w:tcPr>
                <w:tcW w:w="1559" w:type="dxa"/>
              </w:tcPr>
              <w:p>
                <w:pPr>
                  <w:jc w:val="center"/>
                  <w:rPr>
                    <w:b/>
                    <w:color w:val="000000"/>
                    <w:szCs w:val="24"/>
                  </w:rPr>
                </w:pPr>
                <w:r>
                  <w:rPr>
                    <w:b/>
                    <w:color w:val="000000"/>
                    <w:szCs w:val="24"/>
                    <w:lang w:eastAsia="lt-LT"/>
                  </w:rPr>
                  <w:drawing>
                    <wp:inline distT="0" distB="0" distL="0" distR="0">
                      <wp:extent cx="466725" cy="466725"/>
                      <wp:effectExtent l="19050" t="0" r="9525" b="0"/>
                      <wp:docPr id="57"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14"/>
                              <a:srcRect/>
                              <a:stretch>
                                <a:fillRect/>
                              </a:stretch>
                            </pic:blipFill>
                            <pic:spPr bwMode="auto">
                              <a:xfrm>
                                <a:off x="0" y="0"/>
                                <a:ext cx="4667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3.7. Atneša daiktus norėdamas juos parodyti. </w:t>
                </w:r>
              </w:p>
            </w:tc>
            <w:tc>
              <w:tcPr>
                <w:tcW w:w="4423" w:type="dxa"/>
              </w:tcPr>
              <w:p>
                <w:pPr>
                  <w:rPr>
                    <w:color w:val="000000"/>
                    <w:szCs w:val="24"/>
                  </w:rPr>
                </w:pPr>
                <w:r>
                  <w:rPr>
                    <w:color w:val="000000"/>
                    <w:szCs w:val="24"/>
                  </w:rPr>
                  <w:t>Vaikas savarankiškai atneša parodyti daiktus tėvams. Galima vertinti teigiamai pagal tėvų arba kitų vaiko atstovų pagal įstatymą duomenis.</w:t>
                </w:r>
              </w:p>
            </w:tc>
            <w:tc>
              <w:tcPr>
                <w:tcW w:w="1559" w:type="dxa"/>
              </w:tcPr>
              <w:p>
                <w:pPr>
                  <w:tabs>
                    <w:tab w:val="left" w:pos="585"/>
                    <w:tab w:val="center" w:pos="1006"/>
                  </w:tabs>
                  <w:jc w:val="center"/>
                  <w:rPr>
                    <w:b/>
                    <w:color w:val="000000"/>
                    <w:szCs w:val="24"/>
                  </w:rPr>
                </w:pPr>
                <w:r>
                  <w:rPr>
                    <w:b/>
                    <w:color w:val="000000"/>
                    <w:szCs w:val="24"/>
                    <w:lang w:eastAsia="lt-LT"/>
                  </w:rPr>
                  <w:drawing>
                    <wp:inline distT="0" distB="0" distL="0" distR="0">
                      <wp:extent cx="400050" cy="476250"/>
                      <wp:effectExtent l="19050" t="0" r="0" b="0"/>
                      <wp:docPr id="58"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15"/>
                              <a:srcRect/>
                              <a:stretch>
                                <a:fillRect/>
                              </a:stretch>
                            </pic:blipFill>
                            <pic:spPr bwMode="auto">
                              <a:xfrm>
                                <a:off x="0" y="0"/>
                                <a:ext cx="400050" cy="4762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val="restart"/>
              </w:tcPr>
              <w:p>
                <w:pPr>
                  <w:rPr>
                    <w:color w:val="000000"/>
                    <w:szCs w:val="24"/>
                  </w:rPr>
                </w:pPr>
                <w:r>
                  <w:rPr>
                    <w:color w:val="000000"/>
                    <w:szCs w:val="24"/>
                  </w:rPr>
                  <w:t>4.</w:t>
                </w:r>
              </w:p>
            </w:tc>
            <w:tc>
              <w:tcPr>
                <w:tcW w:w="1134" w:type="dxa"/>
                <w:vMerge w:val="restart"/>
              </w:tcPr>
              <w:p>
                <w:pPr>
                  <w:rPr>
                    <w:color w:val="000000"/>
                    <w:szCs w:val="24"/>
                  </w:rPr>
                </w:pPr>
                <w:r>
                  <w:rPr>
                    <w:color w:val="000000"/>
                    <w:szCs w:val="24"/>
                  </w:rPr>
                  <w:t>36 mėn.</w:t>
                </w:r>
              </w:p>
              <w:p>
                <w:pPr>
                  <w:rPr>
                    <w:color w:val="000000"/>
                    <w:szCs w:val="24"/>
                  </w:rPr>
                </w:pPr>
                <w:r>
                  <w:rPr>
                    <w:color w:val="000000"/>
                    <w:szCs w:val="24"/>
                  </w:rPr>
                  <w:t>(3 m.)</w:t>
                </w:r>
              </w:p>
            </w:tc>
            <w:tc>
              <w:tcPr>
                <w:tcW w:w="1814" w:type="dxa"/>
              </w:tcPr>
              <w:p>
                <w:pPr>
                  <w:rPr>
                    <w:color w:val="000000"/>
                    <w:szCs w:val="24"/>
                  </w:rPr>
                </w:pPr>
                <w:r>
                  <w:rPr>
                    <w:color w:val="000000"/>
                    <w:szCs w:val="24"/>
                  </w:rPr>
                  <w:t>4.1. Žaidžia konstravimo žaidimus.</w:t>
                </w:r>
              </w:p>
            </w:tc>
            <w:tc>
              <w:tcPr>
                <w:tcW w:w="4423" w:type="dxa"/>
              </w:tcPr>
              <w:p>
                <w:pPr>
                  <w:rPr>
                    <w:color w:val="000000"/>
                    <w:szCs w:val="24"/>
                  </w:rPr>
                </w:pPr>
                <w:r>
                  <w:rPr>
                    <w:color w:val="000000"/>
                    <w:szCs w:val="24"/>
                  </w:rPr>
                  <w:t>Vaikas žaidžia su konstruktoriais, pvz., kaladėlėmis, lego ir kt., statydamas statinius ir pan.</w:t>
                </w:r>
              </w:p>
            </w:tc>
            <w:tc>
              <w:tcPr>
                <w:tcW w:w="1559" w:type="dxa"/>
              </w:tcPr>
              <w:p>
                <w:pPr>
                  <w:jc w:val="center"/>
                  <w:rPr>
                    <w:b/>
                    <w:color w:val="000000"/>
                    <w:szCs w:val="24"/>
                  </w:rPr>
                </w:pPr>
                <w:r>
                  <w:rPr>
                    <w:b/>
                    <w:color w:val="000000"/>
                    <w:szCs w:val="24"/>
                    <w:lang w:eastAsia="lt-LT"/>
                  </w:rPr>
                  <w:drawing>
                    <wp:inline distT="0" distB="0" distL="0" distR="0">
                      <wp:extent cx="495300" cy="666750"/>
                      <wp:effectExtent l="1905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16"/>
                              <a:srcRect/>
                              <a:stretch>
                                <a:fillRect/>
                              </a:stretch>
                            </pic:blipFill>
                            <pic:spPr bwMode="auto">
                              <a:xfrm>
                                <a:off x="0" y="0"/>
                                <a:ext cx="495300"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4.2. Sudeda dėlionę. </w:t>
                </w:r>
              </w:p>
            </w:tc>
            <w:tc>
              <w:tcPr>
                <w:tcW w:w="4423" w:type="dxa"/>
              </w:tcPr>
              <w:p>
                <w:pPr>
                  <w:rPr>
                    <w:color w:val="000000"/>
                    <w:szCs w:val="24"/>
                  </w:rPr>
                </w:pPr>
                <w:r>
                  <w:rPr>
                    <w:color w:val="000000"/>
                    <w:szCs w:val="24"/>
                  </w:rPr>
                  <w:t xml:space="preserve">Vaikas sudeda 3 formų dėlionę ( ∆ O </w:t>
                </w:r>
                <w:r>
                  <w:rPr>
                    <w:b/>
                    <w:color w:val="000000"/>
                    <w:szCs w:val="24"/>
                  </w:rPr>
                  <w:t>□</w:t>
                </w:r>
                <w:r>
                  <w:rPr>
                    <w:color w:val="000000"/>
                    <w:szCs w:val="24"/>
                  </w:rPr>
                  <w:t xml:space="preserve"> ) nesuklysdamas.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523875" cy="619125"/>
                      <wp:effectExtent l="19050" t="0" r="9525"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17"/>
                              <a:srcRect/>
                              <a:stretch>
                                <a:fillRect/>
                              </a:stretch>
                            </pic:blipFill>
                            <pic:spPr bwMode="auto">
                              <a:xfrm>
                                <a:off x="0" y="0"/>
                                <a:ext cx="523875" cy="6191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4.3. Piešia apskritimą.</w:t>
                </w:r>
              </w:p>
            </w:tc>
            <w:tc>
              <w:tcPr>
                <w:tcW w:w="4423" w:type="dxa"/>
              </w:tcPr>
              <w:p>
                <w:pPr>
                  <w:rPr>
                    <w:color w:val="000000"/>
                    <w:szCs w:val="24"/>
                  </w:rPr>
                </w:pPr>
                <w:r>
                  <w:rPr>
                    <w:color w:val="000000"/>
                    <w:szCs w:val="24"/>
                  </w:rPr>
                  <w:t>Vaikas nupiešia popieriuje apskritimą savarankiškai arba pagal pavyzdį.</w:t>
                </w:r>
              </w:p>
            </w:tc>
            <w:tc>
              <w:tcPr>
                <w:tcW w:w="1559" w:type="dxa"/>
              </w:tcPr>
              <w:p>
                <w:pPr>
                  <w:jc w:val="center"/>
                  <w:rPr>
                    <w:b/>
                    <w:color w:val="000000"/>
                    <w:szCs w:val="24"/>
                  </w:rPr>
                </w:pPr>
                <w:r>
                  <w:rPr>
                    <w:b/>
                    <w:color w:val="000000"/>
                    <w:szCs w:val="24"/>
                    <w:lang w:eastAsia="lt-LT"/>
                  </w:rPr>
                  <w:drawing>
                    <wp:inline distT="0" distB="0" distL="0" distR="0">
                      <wp:extent cx="466725" cy="542925"/>
                      <wp:effectExtent l="19050" t="0" r="9525" b="0"/>
                      <wp:docPr id="61"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18"/>
                              <a:srcRect/>
                              <a:stretch>
                                <a:fillRect/>
                              </a:stretch>
                            </pic:blipFill>
                            <pic:spPr bwMode="auto">
                              <a:xfrm>
                                <a:off x="0" y="0"/>
                                <a:ext cx="466725" cy="5429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4.4. Skiria spalvas.</w:t>
                </w:r>
              </w:p>
            </w:tc>
            <w:tc>
              <w:tcPr>
                <w:tcW w:w="4423" w:type="dxa"/>
              </w:tcPr>
              <w:p>
                <w:pPr>
                  <w:rPr>
                    <w:color w:val="000000"/>
                    <w:szCs w:val="24"/>
                  </w:rPr>
                </w:pPr>
                <w:r>
                  <w:rPr>
                    <w:color w:val="000000"/>
                    <w:szCs w:val="24"/>
                  </w:rPr>
                  <w:t>Vaikas parodo bent 1 spalvą iš 3, prašant parodyti pieštukus, žaislus ar paveikslėlius.</w:t>
                </w:r>
              </w:p>
            </w:tc>
            <w:tc>
              <w:tcPr>
                <w:tcW w:w="1559" w:type="dxa"/>
              </w:tcPr>
              <w:p>
                <w:pPr>
                  <w:jc w:val="center"/>
                  <w:rPr>
                    <w:b/>
                    <w:color w:val="000000"/>
                    <w:szCs w:val="24"/>
                  </w:rPr>
                </w:pPr>
                <w:r>
                  <w:rPr>
                    <w:b/>
                    <w:color w:val="000000"/>
                    <w:szCs w:val="24"/>
                    <w:lang w:eastAsia="lt-LT"/>
                  </w:rPr>
                  <w:drawing>
                    <wp:inline distT="0" distB="0" distL="0" distR="0">
                      <wp:extent cx="361950" cy="466725"/>
                      <wp:effectExtent l="19050" t="0" r="0" b="0"/>
                      <wp:docPr id="62"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19"/>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4.5. Supranta kalbos sąvokas.</w:t>
                </w:r>
              </w:p>
            </w:tc>
            <w:tc>
              <w:tcPr>
                <w:tcW w:w="4423" w:type="dxa"/>
              </w:tcPr>
              <w:p>
                <w:pPr>
                  <w:rPr>
                    <w:color w:val="000000"/>
                    <w:szCs w:val="24"/>
                  </w:rPr>
                </w:pPr>
                <w:r>
                  <w:rPr>
                    <w:color w:val="000000"/>
                    <w:szCs w:val="24"/>
                  </w:rPr>
                  <w:t xml:space="preserve">Vaikas supranta bent vieną sąvoką iš 5: „toks pats“,“ didelis“, „mažas“, „vienas“, „daug“,  prašant parodyti žaislus ar paveikslėlius.</w:t>
                </w:r>
              </w:p>
            </w:tc>
            <w:tc>
              <w:tcPr>
                <w:tcW w:w="1559" w:type="dxa"/>
              </w:tcPr>
              <w:p>
                <w:pPr>
                  <w:jc w:val="center"/>
                  <w:rPr>
                    <w:b/>
                    <w:color w:val="000000"/>
                    <w:szCs w:val="24"/>
                  </w:rPr>
                </w:pPr>
                <w:r>
                  <w:rPr>
                    <w:b/>
                    <w:color w:val="000000"/>
                    <w:szCs w:val="24"/>
                    <w:lang w:eastAsia="lt-LT"/>
                  </w:rPr>
                  <w:drawing>
                    <wp:inline distT="0" distB="0" distL="0" distR="0">
                      <wp:extent cx="523875" cy="666750"/>
                      <wp:effectExtent l="19050" t="0" r="9525" b="0"/>
                      <wp:docPr id="63"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20"/>
                              <a:srcRect/>
                              <a:stretch>
                                <a:fillRect/>
                              </a:stretch>
                            </pic:blipFill>
                            <pic:spPr bwMode="auto">
                              <a:xfrm>
                                <a:off x="0" y="0"/>
                                <a:ext cx="523875"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4.6. Jungia žodžius į 3 žodžių frazes, sakinius.</w:t>
                </w:r>
              </w:p>
            </w:tc>
            <w:tc>
              <w:tcPr>
                <w:tcW w:w="4423" w:type="dxa"/>
              </w:tcPr>
              <w:p>
                <w:pPr>
                  <w:rPr>
                    <w:color w:val="000000"/>
                    <w:szCs w:val="24"/>
                  </w:rPr>
                </w:pPr>
                <w:r>
                  <w:rPr>
                    <w:color w:val="000000"/>
                    <w:szCs w:val="24"/>
                  </w:rPr>
                  <w:t xml:space="preserve">Vaikas sako trijų žodžių frazes, sakinius. </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12"/>
            </w:trPr>
            <w:tc>
              <w:tcPr>
                <w:tcW w:w="568" w:type="dxa"/>
                <w:vMerge w:val="restart"/>
              </w:tcPr>
              <w:p>
                <w:pPr>
                  <w:rPr>
                    <w:color w:val="000000"/>
                    <w:szCs w:val="24"/>
                  </w:rPr>
                </w:pPr>
                <w:r>
                  <w:rPr>
                    <w:color w:val="000000"/>
                    <w:szCs w:val="24"/>
                  </w:rPr>
                  <w:t>5.</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48 mėn.</w:t>
                </w:r>
              </w:p>
              <w:p>
                <w:pPr>
                  <w:rPr>
                    <w:color w:val="000000"/>
                    <w:szCs w:val="24"/>
                  </w:rPr>
                </w:pPr>
                <w:r>
                  <w:rPr>
                    <w:color w:val="000000"/>
                    <w:szCs w:val="24"/>
                  </w:rPr>
                  <w:t xml:space="preserve">(4 m.) </w:t>
                </w:r>
              </w:p>
            </w:tc>
            <w:tc>
              <w:tcPr>
                <w:tcW w:w="1814" w:type="dxa"/>
              </w:tcPr>
              <w:p>
                <w:pPr>
                  <w:rPr>
                    <w:color w:val="000000"/>
                    <w:szCs w:val="24"/>
                  </w:rPr>
                </w:pPr>
                <w:r>
                  <w:rPr>
                    <w:color w:val="000000"/>
                    <w:szCs w:val="24"/>
                  </w:rPr>
                  <w:t>5.1. Žaidžia vaidmeninius žaidimus.</w:t>
                </w:r>
              </w:p>
            </w:tc>
            <w:tc>
              <w:tcPr>
                <w:tcW w:w="4423" w:type="dxa"/>
              </w:tcPr>
              <w:p>
                <w:pPr>
                  <w:rPr>
                    <w:color w:val="000000"/>
                    <w:szCs w:val="24"/>
                  </w:rPr>
                </w:pPr>
                <w:r>
                  <w:rPr>
                    <w:color w:val="000000"/>
                    <w:szCs w:val="24"/>
                  </w:rPr>
                  <w:t>Vaikas, žaisdamas su kitais asmenimis, gali vaidinti įvairius vaidmenis (žmonių, gyvūnų ir pan.).</w:t>
                </w:r>
              </w:p>
            </w:tc>
            <w:tc>
              <w:tcPr>
                <w:tcW w:w="1559" w:type="dxa"/>
              </w:tcPr>
              <w:p>
                <w:pPr>
                  <w:rPr>
                    <w:b/>
                    <w:color w:val="000000"/>
                    <w:szCs w:val="24"/>
                  </w:rPr>
                </w:pPr>
                <w:r>
                  <w:rPr>
                    <w:b/>
                    <w:color w:val="000000"/>
                    <w:szCs w:val="24"/>
                  </w:rPr>
                  <w:t>-</w:t>
                </w:r>
              </w:p>
            </w:tc>
            <w:tc>
              <w:tcPr>
                <w:tcW w:w="822" w:type="dxa"/>
              </w:tcPr>
              <w:p>
                <w:pPr>
                  <w:rPr>
                    <w:b/>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5.2. Nupiešia atpažįstamą objektą.</w:t>
                </w:r>
              </w:p>
            </w:tc>
            <w:tc>
              <w:tcPr>
                <w:tcW w:w="4423" w:type="dxa"/>
              </w:tcPr>
              <w:p>
                <w:pPr>
                  <w:rPr>
                    <w:color w:val="000000"/>
                    <w:szCs w:val="24"/>
                  </w:rPr>
                </w:pPr>
                <w:r>
                  <w:rPr>
                    <w:color w:val="000000"/>
                    <w:szCs w:val="24"/>
                  </w:rPr>
                  <w:t>Vaikas nupiešia atpažįstamą objektą, pvz., mašiną, žmogų iš 2–3 dalių ir pan.</w:t>
                </w:r>
              </w:p>
            </w:tc>
            <w:tc>
              <w:tcPr>
                <w:tcW w:w="1559" w:type="dxa"/>
              </w:tcPr>
              <w:p>
                <w:pPr>
                  <w:rPr>
                    <w:b/>
                    <w:color w:val="000000"/>
                    <w:szCs w:val="24"/>
                  </w:rPr>
                </w:pPr>
                <w:r>
                  <w:rPr>
                    <w:b/>
                    <w:color w:val="000000"/>
                    <w:szCs w:val="24"/>
                    <w:lang w:eastAsia="lt-LT"/>
                  </w:rPr>
                  <w:drawing>
                    <wp:inline distT="0" distB="0" distL="0" distR="0">
                      <wp:extent cx="590550" cy="590550"/>
                      <wp:effectExtent l="19050" t="0" r="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21"/>
                              <a:srcRect/>
                              <a:stretch>
                                <a:fillRect/>
                              </a:stretch>
                            </pic:blipFill>
                            <pic:spPr bwMode="auto">
                              <a:xfrm>
                                <a:off x="0" y="0"/>
                                <a:ext cx="590550" cy="590550"/>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5.3. Piešia  pliusą </w:t>
                </w:r>
              </w:p>
              <w:p>
                <w:pPr>
                  <w:rPr>
                    <w:color w:val="000000"/>
                    <w:szCs w:val="24"/>
                  </w:rPr>
                </w:pPr>
                <w:r>
                  <w:rPr>
                    <w:color w:val="000000"/>
                    <w:szCs w:val="24"/>
                  </w:rPr>
                  <w:t>(+).</w:t>
                </w:r>
              </w:p>
            </w:tc>
            <w:tc>
              <w:tcPr>
                <w:tcW w:w="4423" w:type="dxa"/>
              </w:tcPr>
              <w:p>
                <w:pPr>
                  <w:rPr>
                    <w:color w:val="000000"/>
                    <w:szCs w:val="24"/>
                  </w:rPr>
                </w:pPr>
                <w:r>
                  <w:rPr>
                    <w:color w:val="000000"/>
                    <w:szCs w:val="24"/>
                  </w:rPr>
                  <w:t>Vaikas nupiešia pliusą (+) savarankiškai arba pamėgdžiodamas pagal pavyzdį.</w:t>
                </w:r>
              </w:p>
            </w:tc>
            <w:tc>
              <w:tcPr>
                <w:tcW w:w="1559" w:type="dxa"/>
              </w:tcPr>
              <w:p>
                <w:pPr>
                  <w:rPr>
                    <w:b/>
                    <w:color w:val="000000"/>
                    <w:szCs w:val="24"/>
                  </w:rPr>
                </w:pPr>
                <w:r>
                  <w:rPr>
                    <w:b/>
                    <w:color w:val="000000"/>
                    <w:szCs w:val="24"/>
                    <w:lang w:eastAsia="lt-LT"/>
                  </w:rPr>
                  <w:drawing>
                    <wp:inline distT="0" distB="0" distL="0" distR="0">
                      <wp:extent cx="571500" cy="638175"/>
                      <wp:effectExtent l="19050" t="0" r="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22"/>
                              <a:srcRect/>
                              <a:stretch>
                                <a:fillRect/>
                              </a:stretch>
                            </pic:blipFill>
                            <pic:spPr bwMode="auto">
                              <a:xfrm>
                                <a:off x="0" y="0"/>
                                <a:ext cx="571500" cy="638175"/>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1026"/>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5.4. Supranta prielinksnius. </w:t>
                </w:r>
              </w:p>
            </w:tc>
            <w:tc>
              <w:tcPr>
                <w:tcW w:w="4423" w:type="dxa"/>
              </w:tcPr>
              <w:p>
                <w:pPr>
                  <w:jc w:val="both"/>
                  <w:rPr>
                    <w:color w:val="000000"/>
                    <w:szCs w:val="24"/>
                  </w:rPr>
                </w:pPr>
                <w:r>
                  <w:rPr>
                    <w:color w:val="000000"/>
                    <w:szCs w:val="24"/>
                  </w:rPr>
                  <w:t xml:space="preserve">Vaikas įvykdo bent 3 iš 4 prašymų su  prielinksniais: „padėk </w:t>
                </w:r>
                <w:r>
                  <w:rPr>
                    <w:b/>
                    <w:color w:val="000000"/>
                    <w:szCs w:val="24"/>
                  </w:rPr>
                  <w:t>ant</w:t>
                </w:r>
                <w:r>
                  <w:rPr>
                    <w:color w:val="000000"/>
                    <w:szCs w:val="24"/>
                  </w:rPr>
                  <w:t xml:space="preserve"> kėdės“,  „padėk </w:t>
                </w:r>
                <w:r>
                  <w:rPr>
                    <w:b/>
                    <w:color w:val="000000"/>
                    <w:szCs w:val="24"/>
                  </w:rPr>
                  <w:t>po</w:t>
                </w:r>
                <w:r>
                  <w:rPr>
                    <w:color w:val="000000"/>
                    <w:szCs w:val="24"/>
                  </w:rPr>
                  <w:t xml:space="preserve"> stalu,“„ įdėk </w:t>
                </w:r>
                <w:r>
                  <w:rPr>
                    <w:b/>
                    <w:color w:val="000000"/>
                    <w:szCs w:val="24"/>
                  </w:rPr>
                  <w:t>į</w:t>
                </w:r>
                <w:r>
                  <w:rPr>
                    <w:color w:val="000000"/>
                    <w:szCs w:val="24"/>
                  </w:rPr>
                  <w:t xml:space="preserve"> dėžutę,“  „padėk </w:t>
                </w:r>
                <w:r>
                  <w:rPr>
                    <w:b/>
                    <w:color w:val="000000"/>
                    <w:szCs w:val="24"/>
                  </w:rPr>
                  <w:t>už</w:t>
                </w:r>
                <w:r>
                  <w:rPr>
                    <w:color w:val="000000"/>
                    <w:szCs w:val="24"/>
                  </w:rPr>
                  <w:t xml:space="preserve"> nugaros.“ </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5.5. Papasakoja trumpą pasakojimą. </w:t>
                </w:r>
              </w:p>
            </w:tc>
            <w:tc>
              <w:tcPr>
                <w:tcW w:w="4423" w:type="dxa"/>
              </w:tcPr>
              <w:p>
                <w:pPr>
                  <w:rPr>
                    <w:color w:val="000000"/>
                    <w:szCs w:val="24"/>
                  </w:rPr>
                </w:pPr>
                <w:r>
                  <w:rPr>
                    <w:color w:val="000000"/>
                    <w:szCs w:val="24"/>
                  </w:rPr>
                  <w:t xml:space="preserve">Vaikas paklaustas gali  keliais sakiniais papasakoti apie įvykius,  Įvykusius, pvz., namuose,  ugdymo įstaigoje.</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bl>
        <w:p>
          <w:pPr>
            <w:tabs>
              <w:tab w:val="center" w:pos="4153"/>
              <w:tab w:val="right" w:pos="8306"/>
            </w:tabs>
            <w:rPr>
              <w:szCs w:val="24"/>
            </w:rPr>
          </w:pPr>
        </w:p>
        <w:p>
          <w:pPr>
            <w:suppressAutoHyphens/>
            <w:jc w:val="both"/>
            <w:textAlignment w:val="cente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4 pr."/>
        <w:tag w:val="part_d6b63fe04f61463b9aa1016c669c7a2e"/>
        <w:lock w:val="sdtLocked"/>
        <w:richText/>
      </w:sdtPr>
      <w:sdtContent>
        <w:p>
          <w:pPr>
            <w:tabs>
              <w:tab w:val="left" w:pos="1304"/>
              <w:tab w:val="left" w:pos="1457"/>
              <w:tab w:val="left" w:pos="1604"/>
              <w:tab w:val="left" w:pos="1757"/>
            </w:tabs>
            <w:ind w:left="5102"/>
            <w:sectPr>
              <w:pgSz w:w="16840" w:h="11907" w:orient="landscape" w:code="9"/>
              <w:pgMar w:top="1701" w:right="1134" w:bottom="1134" w:left="1134" w:header="567" w:footer="567" w:gutter="0"/>
              <w:pgNumType w:start="1"/>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6b63fe04f61463b9aa1016c669c7a2e"/>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d6b63fe04f61463b9aa1016c669c7a2e"/>
              <w:lock w:val="sdtLocked"/>
              <w:richText/>
            </w:sdtPr>
            <w:sdtContent>
              <w:r>
                <w:rPr>
                  <w:b/>
                  <w:caps/>
                  <w:color w:val="000000"/>
                </w:rPr>
                <w:t>ŽEMĖS ŪKIO STOJANČIŲJŲ Į PROFESINIO MOKYMO MOKYKLAS IR ĮDARBINAMŲ NEPILNAMEČIŲ SVEIKATOS TIKRINIMO TVARKA</w:t>
              </w:r>
            </w:sdtContent>
          </w:sdt>
        </w:p>
        <w:p>
          <w:pPr>
            <w:ind w:left="709"/>
            <w:jc w:val="both"/>
            <w:rPr>
              <w:color w:val="000000"/>
            </w:rPr>
          </w:pPr>
        </w:p>
        <w:sdt>
          <w:sdtPr>
            <w:alias w:val="skyrius"/>
            <w:tag w:val="part_f669a6248c6b49bbb23cae769f1c0d52"/>
            <w:lock w:val="sdtLocked"/>
            <w:richText/>
          </w:sdtPr>
          <w:sdtContent>
            <w:p>
              <w:pPr>
                <w:jc w:val="center"/>
                <w:rPr>
                  <w:b/>
                  <w:caps/>
                  <w:color w:val="000000"/>
                </w:rPr>
              </w:pPr>
              <w:sdt>
                <w:sdtPr>
                  <w:alias w:val="Numeris"/>
                  <w:tag w:val="nr_f669a6248c6b49bbb23cae769f1c0d52"/>
                  <w:lock w:val="sdtLocked"/>
                  <w:richText/>
                </w:sdtPr>
                <w:sdtContent>
                  <w:r>
                    <w:rPr>
                      <w:b/>
                      <w:caps/>
                      <w:color w:val="000000"/>
                    </w:rPr>
                    <w:t>I</w:t>
                  </w:r>
                </w:sdtContent>
              </w:sdt>
              <w:r>
                <w:rPr>
                  <w:b/>
                  <w:caps/>
                  <w:color w:val="000000"/>
                </w:rPr>
                <w:t xml:space="preserve">. </w:t>
              </w:r>
              <w:sdt>
                <w:sdtPr>
                  <w:alias w:val="Pavadinimas"/>
                  <w:tag w:val="title_f669a6248c6b49bbb23cae769f1c0d52"/>
                  <w:lock w:val="sdtLocked"/>
                  <w:richText/>
                </w:sdtPr>
                <w:sdtContent>
                  <w:r>
                    <w:rPr>
                      <w:b/>
                      <w:caps/>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 xml:space="preserve">Tikslas – nustatyti, ar dėl sveikatos būklės tikrinamas asmuo gali, užbaigęs profesinio mokymo programą, dirbti pagal pasirinktą specialybę vadovaujantis Lietuvos Respublikos Vyriausybės 1996 04 11 nutarimu Nr. 1055 „Dėl asmenims iki 18 metų draudžiamų dirbti darbų, kenksmingų ir pavojingų veiksnių sąrašo ir asmenų nuo13 iki 14 metų, nuo 14 iki 16 metų ir nuo 16 iki 18 metų darbo sąlygų ir įdarbinimo tvarkos“ (Žin., 1996, Nr. </w:t>
              </w:r>
              <w:hyperlink r:id="rId28" w:tgtFrame="_blank" w:history="1">
                <w:r>
                  <w:rPr>
                    <w:color w:val="0000FF" w:themeColor="hyperlink"/>
                    <w:u w:val="single"/>
                  </w:rPr>
                  <w:t>87-2065</w:t>
                </w:r>
              </w:hyperlink>
              <w:r>
                <w:rPr>
                  <w:color w:val="000000"/>
                </w:rPr>
                <w:t>).</w:t>
              </w:r>
            </w:p>
            <w:sdt>
              <w:sdtPr>
                <w:alias w:val="4 pr. 1 p."/>
                <w:tag w:val="part_7c2ca106749740aaa7575453bf3ef7f3"/>
                <w:lock w:val="sdtLocked"/>
                <w:richText/>
              </w:sdtPr>
              <w:sdtContent>
                <w:p>
                  <w:pPr>
                    <w:widowControl w:val="0"/>
                    <w:ind w:firstLine="720"/>
                    <w:jc w:val="both"/>
                    <w:rPr>
                      <w:color w:val="000000"/>
                    </w:rPr>
                  </w:pPr>
                  <w:sdt>
                    <w:sdtPr>
                      <w:alias w:val="Numeris"/>
                      <w:tag w:val="nr_7c2ca106749740aaa7575453bf3ef7f3"/>
                      <w:lock w:val="sdtLocked"/>
                      <w:richText/>
                    </w:sdtPr>
                    <w:sdtContent>
                      <w:r>
                        <w:rPr>
                          <w:color w:val="000000"/>
                        </w:rPr>
                        <w:t>1</w:t>
                      </w:r>
                    </w:sdtContent>
                  </w:sdt>
                  <w:r>
                    <w:rPr>
                      <w:color w:val="000000"/>
                    </w:rPr>
                    <w:t>. Asmenys, stojantys mokytis į profesinio mokymo mokyklas, ir norintys įsidarbinti nepilnamečiai privalo tikrintis sveikatą.</w:t>
                  </w:r>
                </w:p>
              </w:sdtContent>
            </w:sdt>
            <w:sdt>
              <w:sdtPr>
                <w:alias w:val="4 pr. 2 p."/>
                <w:tag w:val="part_051cc59db9584371a81d92d5bec8a0f1"/>
                <w:lock w:val="sdtLocked"/>
                <w:richText/>
              </w:sdtPr>
              <w:sdtContent>
                <w:p>
                  <w:pPr>
                    <w:widowControl w:val="0"/>
                    <w:ind w:firstLine="720"/>
                    <w:jc w:val="both"/>
                    <w:rPr>
                      <w:color w:val="000000"/>
                    </w:rPr>
                  </w:pPr>
                  <w:sdt>
                    <w:sdtPr>
                      <w:alias w:val="Numeris"/>
                      <w:tag w:val="nr_051cc59db9584371a81d92d5bec8a0f1"/>
                      <w:lock w:val="sdtLocked"/>
                      <w:richText/>
                    </w:sdtPr>
                    <w:sdtContent>
                      <w:r>
                        <w:rPr>
                          <w:color w:val="000000"/>
                        </w:rPr>
                        <w:t>2</w:t>
                      </w:r>
                    </w:sdtContent>
                  </w:sdt>
                  <w:r>
                    <w:rPr>
                      <w:color w:val="000000"/>
                    </w:rPr>
                    <w:t>. Sveikatą tikrina pirminės sveikatos priežiūros įstaigos bendrosios praktikos gydytojas (BPG) arba apylinkės pediatras (terapeutas).</w:t>
                  </w:r>
                </w:p>
              </w:sdtContent>
            </w:sdt>
            <w:sdt>
              <w:sdtPr>
                <w:alias w:val="4 pr. 3 p."/>
                <w:tag w:val="part_bbac0dc37e864a278e6be80190739854"/>
                <w:lock w:val="sdtLocked"/>
                <w:richText/>
              </w:sdtPr>
              <w:sdtContent>
                <w:p>
                  <w:pPr>
                    <w:widowControl w:val="0"/>
                    <w:ind w:firstLine="720"/>
                    <w:jc w:val="both"/>
                    <w:rPr>
                      <w:color w:val="000000"/>
                    </w:rPr>
                  </w:pPr>
                  <w:sdt>
                    <w:sdtPr>
                      <w:alias w:val="Numeris"/>
                      <w:tag w:val="nr_bbac0dc37e864a278e6be80190739854"/>
                      <w:lock w:val="sdtLocked"/>
                      <w:richText/>
                    </w:sdtPr>
                    <w:sdtContent>
                      <w:r>
                        <w:rPr>
                          <w:color w:val="000000"/>
                        </w:rPr>
                        <w:t>3</w:t>
                      </w:r>
                    </w:sdtContent>
                  </w:sdt>
                  <w:r>
                    <w:rPr>
                      <w:color w:val="000000"/>
                    </w:rPr>
                    <w:t xml:space="preserve">. Sveikatą tikrinantis gydytojas turi būti susipažinęs su Lietuvos Respublikos Vyriausybės 1996 04 11 nutarimu Nr. 1055 patvirtintu „Asmenims iki 18 metų draudžiamų dirbti darbų, kenksmingų ir pavojingų veiksnių sąrašu“ (Žin., 1996, Nr. </w:t>
                  </w:r>
                  <w:hyperlink r:id="rId29" w:tgtFrame="_blank" w:history="1">
                    <w:r>
                      <w:rPr>
                        <w:color w:val="0000FF" w:themeColor="hyperlink"/>
                        <w:u w:val="single"/>
                      </w:rPr>
                      <w:t>87-2065</w:t>
                    </w:r>
                  </w:hyperlink>
                  <w:r>
                    <w:rPr>
                      <w:color w:val="000000"/>
                    </w:rPr>
                    <w:t>).</w:t>
                  </w:r>
                </w:p>
              </w:sdtContent>
            </w:sdt>
            <w:sdt>
              <w:sdtPr>
                <w:alias w:val="4 pr. 4 p."/>
                <w:tag w:val="part_c27abe0491474230b8ea515134151bb4"/>
                <w:lock w:val="sdtLocked"/>
                <w:richText/>
              </w:sdtPr>
              <w:sdtContent>
                <w:p>
                  <w:pPr>
                    <w:widowControl w:val="0"/>
                    <w:ind w:firstLine="720"/>
                    <w:jc w:val="both"/>
                    <w:rPr>
                      <w:color w:val="000000"/>
                    </w:rPr>
                  </w:pPr>
                  <w:sdt>
                    <w:sdtPr>
                      <w:alias w:val="Numeris"/>
                      <w:tag w:val="nr_c27abe0491474230b8ea515134151bb4"/>
                      <w:lock w:val="sdtLocked"/>
                      <w:richText/>
                    </w:sdtPr>
                    <w:sdtContent>
                      <w:r>
                        <w:rPr>
                          <w:color w:val="000000"/>
                        </w:rPr>
                        <w:t>4</w:t>
                      </w:r>
                    </w:sdtContent>
                  </w:sdt>
                  <w:r>
                    <w:rPr>
                      <w:color w:val="000000"/>
                    </w:rPr>
                    <w:t>. BPG ar apylinkės pediatras (terapeutas), tikrindamas sveikatą, turi teisę esant medicininių parodymų siųsti pas kitus specialistus, skirti papildomus tyrimus.</w:t>
                  </w:r>
                </w:p>
              </w:sdtContent>
            </w:sdt>
            <w:sdt>
              <w:sdtPr>
                <w:alias w:val="4 pr. 5 p."/>
                <w:tag w:val="part_a7d576eb905349c58711c8fe0bef8e79"/>
                <w:lock w:val="sdtLocked"/>
                <w:richText/>
              </w:sdtPr>
              <w:sdtContent>
                <w:p>
                  <w:pPr>
                    <w:widowControl w:val="0"/>
                    <w:ind w:firstLine="720"/>
                    <w:jc w:val="both"/>
                    <w:rPr>
                      <w:color w:val="000000"/>
                    </w:rPr>
                  </w:pPr>
                  <w:sdt>
                    <w:sdtPr>
                      <w:alias w:val="Numeris"/>
                      <w:tag w:val="nr_a7d576eb905349c58711c8fe0bef8e79"/>
                      <w:lock w:val="sdtLocked"/>
                      <w:richText/>
                    </w:sdtPr>
                    <w:sdtContent>
                      <w:r>
                        <w:rPr>
                          <w:color w:val="000000"/>
                        </w:rPr>
                        <w:t>5</w:t>
                      </w:r>
                    </w:sdtContent>
                  </w:sdt>
                  <w:r>
                    <w:rPr>
                      <w:color w:val="000000"/>
                    </w:rPr>
                    <w:t>. Sveikatos tikrinimo duomenys įrašomi asmens sveikatos istorijoje (F 025/a), išvada apie tinkamumą mokytis ar dirbti pagal pasirinktą specialybę – į „Stojančio į mokymo įstaigą ir įdarbinamo nepilnamečio medicininę pažymą“ (F086/a).</w:t>
                  </w:r>
                </w:p>
                <w:p>
                  <w:pPr>
                    <w:ind w:left="709"/>
                    <w:jc w:val="both"/>
                    <w:rPr>
                      <w:color w:val="000000"/>
                    </w:rPr>
                  </w:pPr>
                </w:p>
              </w:sdtContent>
            </w:sdt>
          </w:sdtContent>
        </w:sdt>
        <w:sdt>
          <w:sdtPr>
            <w:alias w:val="skyrius"/>
            <w:tag w:val="part_17d9d113e7e04c6ebcb3b637fc8f5990"/>
            <w:lock w:val="sdtLocked"/>
            <w:richText/>
          </w:sdtPr>
          <w:sdtContent>
            <w:p>
              <w:pPr>
                <w:jc w:val="center"/>
                <w:rPr>
                  <w:b/>
                  <w:caps/>
                  <w:color w:val="000000"/>
                </w:rPr>
              </w:pPr>
              <w:sdt>
                <w:sdtPr>
                  <w:alias w:val="Numeris"/>
                  <w:tag w:val="nr_17d9d113e7e04c6ebcb3b637fc8f5990"/>
                  <w:lock w:val="sdtLocked"/>
                  <w:richText/>
                </w:sdtPr>
                <w:sdtContent>
                  <w:r>
                    <w:rPr>
                      <w:b/>
                      <w:caps/>
                      <w:color w:val="000000"/>
                    </w:rPr>
                    <w:t>II</w:t>
                  </w:r>
                </w:sdtContent>
              </w:sdt>
              <w:r>
                <w:rPr>
                  <w:b/>
                  <w:caps/>
                  <w:color w:val="000000"/>
                </w:rPr>
                <w:t xml:space="preserve">. </w:t>
              </w:r>
              <w:sdt>
                <w:sdtPr>
                  <w:alias w:val="Pavadinimas"/>
                  <w:tag w:val="title_17d9d113e7e04c6ebcb3b637fc8f5990"/>
                  <w:lock w:val="sdtLocked"/>
                  <w:richText/>
                </w:sdtPr>
                <w:sdtContent>
                  <w:r>
                    <w:rPr>
                      <w:b/>
                      <w:caps/>
                      <w:color w:val="000000"/>
                    </w:rPr>
                    <w:t>LIGOS, KURIOMIS SERGANT DRAUDŽIAMA STOTI Į PROFESINIO MOKYMO MOKYKLAS</w:t>
                  </w:r>
                </w:sdtContent>
              </w:sdt>
            </w:p>
            <w:p>
              <w:pPr>
                <w:ind w:left="709"/>
                <w:jc w:val="both"/>
                <w:rPr>
                  <w:color w:val="000000"/>
                </w:rPr>
              </w:pPr>
            </w:p>
            <w:sdt>
              <w:sdtPr>
                <w:alias w:val="4 pr. 6 p."/>
                <w:tag w:val="part_aab8a4e4a63b47ea8884821e41f32a7f"/>
                <w:lock w:val="sdtLocked"/>
                <w:richText/>
              </w:sdtPr>
              <w:sdtContent>
                <w:p>
                  <w:pPr>
                    <w:widowControl w:val="0"/>
                    <w:ind w:firstLine="720"/>
                    <w:jc w:val="both"/>
                    <w:rPr>
                      <w:color w:val="000000"/>
                    </w:rPr>
                  </w:pPr>
                  <w:sdt>
                    <w:sdtPr>
                      <w:alias w:val="Numeris"/>
                      <w:tag w:val="nr_aab8a4e4a63b47ea8884821e41f32a7f"/>
                      <w:lock w:val="sdtLocked"/>
                      <w:richText/>
                    </w:sdtPr>
                    <w:sdtContent>
                      <w:r>
                        <w:rPr>
                          <w:color w:val="000000"/>
                        </w:rPr>
                        <w:t>6</w:t>
                      </w:r>
                    </w:sdtContent>
                  </w:sdt>
                  <w:r>
                    <w:rPr>
                      <w:color w:val="000000"/>
                    </w:rPr>
                    <w:t>. Bet kokios lokalizacijos tuberkuliozė, kuria sergant išskiriamos mikobakterijos.</w:t>
                  </w:r>
                </w:p>
              </w:sdtContent>
            </w:sdt>
            <w:sdt>
              <w:sdtPr>
                <w:alias w:val="4 pr. 7 p."/>
                <w:tag w:val="part_57131c12ebe44d109dc0ceb4fb1f3f66"/>
                <w:lock w:val="sdtLocked"/>
                <w:richText/>
              </w:sdtPr>
              <w:sdtContent>
                <w:p>
                  <w:pPr>
                    <w:widowControl w:val="0"/>
                    <w:ind w:firstLine="720"/>
                    <w:jc w:val="both"/>
                    <w:rPr>
                      <w:color w:val="000000"/>
                    </w:rPr>
                  </w:pPr>
                  <w:sdt>
                    <w:sdtPr>
                      <w:alias w:val="Numeris"/>
                      <w:tag w:val="nr_57131c12ebe44d109dc0ceb4fb1f3f66"/>
                      <w:lock w:val="sdtLocked"/>
                      <w:richText/>
                    </w:sdtPr>
                    <w:sdtContent>
                      <w:r>
                        <w:rPr>
                          <w:color w:val="000000"/>
                        </w:rPr>
                        <w:t>7</w:t>
                      </w:r>
                    </w:sdtContent>
                  </w:sdt>
                  <w:r>
                    <w:rPr>
                      <w:color w:val="000000"/>
                    </w:rPr>
                    <w:t>. Ūmios užkrečiamosios ligos (sprendžiama ligoniui pasveikus).</w:t>
                  </w:r>
                </w:p>
                <w:p>
                  <w:pPr>
                    <w:ind w:left="709"/>
                    <w:jc w:val="both"/>
                    <w:rPr>
                      <w:color w:val="000000"/>
                    </w:rPr>
                  </w:pPr>
                </w:p>
              </w:sdtContent>
            </w:sdt>
          </w:sdtContent>
        </w:sdt>
        <w:sdt>
          <w:sdtPr>
            <w:alias w:val="skyrius"/>
            <w:tag w:val="part_23e104471d594d8bb5d70883230efa8c"/>
            <w:lock w:val="sdtLocked"/>
            <w:richText/>
          </w:sdtPr>
          <w:sdtContent>
            <w:p>
              <w:pPr>
                <w:jc w:val="center"/>
                <w:rPr>
                  <w:b/>
                  <w:caps/>
                  <w:color w:val="000000"/>
                </w:rPr>
              </w:pPr>
              <w:sdt>
                <w:sdtPr>
                  <w:alias w:val="Numeris"/>
                  <w:tag w:val="nr_23e104471d594d8bb5d70883230efa8c"/>
                  <w:lock w:val="sdtLocked"/>
                  <w:richText/>
                </w:sdtPr>
                <w:sdtContent>
                  <w:r>
                    <w:rPr>
                      <w:b/>
                      <w:caps/>
                      <w:color w:val="000000"/>
                    </w:rPr>
                    <w:t>III</w:t>
                  </w:r>
                </w:sdtContent>
              </w:sdt>
              <w:r>
                <w:rPr>
                  <w:b/>
                  <w:caps/>
                  <w:color w:val="000000"/>
                </w:rPr>
                <w:t xml:space="preserve">. </w:t>
              </w:r>
              <w:sdt>
                <w:sdtPr>
                  <w:alias w:val="Pavadinimas"/>
                  <w:tag w:val="title_23e104471d594d8bb5d70883230efa8c"/>
                  <w:lock w:val="sdtLocked"/>
                  <w:richText/>
                </w:sdtPr>
                <w:sdtContent>
                  <w:r>
                    <w:rPr>
                      <w:b/>
                      <w:caps/>
                      <w:color w:val="000000"/>
                    </w:rPr>
                    <w:t>PAPILDOMI LIGŲ IR BŪKLIŲ PRIEŠPARODYMAI STOJANT Į PROFESINIO MOKYMO MOKYKLAS</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rPr>
                    </w:pPr>
                    <w:r>
                      <w:rPr>
                        <w:sz w:val="14"/>
                      </w:rPr>
                      <w:t xml:space="preserve">Lokomotyvo mašinistų, </w:t>
                    </w:r>
                  </w:p>
                </w:tc>
                <w:tc>
                  <w:tcPr>
                    <w:tcW w:w="2003" w:type="dxa"/>
                    <w:tcBorders>
                      <w:top w:val="single" w:sz="4" w:space="0" w:color="auto"/>
                    </w:tcBorders>
                    <w:shd w:val="clear" w:color="auto" w:fill="auto"/>
                  </w:tcPr>
                  <w:p>
                    <w:pPr>
                      <w:widowControl w:val="0"/>
                      <w:ind w:left="360"/>
                      <w:rPr>
                        <w:sz w:val="14"/>
                      </w:rPr>
                    </w:pPr>
                    <w:r>
                      <w:rPr>
                        <w:sz w:val="14"/>
                      </w:rPr>
                      <w:t>Oro temperatūra, judrus darbas, informacinių</w:t>
                    </w:r>
                  </w:p>
                </w:tc>
                <w:tc>
                  <w:tcPr>
                    <w:tcW w:w="1892" w:type="dxa"/>
                    <w:tcBorders>
                      <w:top w:val="single" w:sz="4" w:space="0" w:color="auto"/>
                    </w:tcBorders>
                    <w:shd w:val="clear" w:color="auto" w:fill="auto"/>
                  </w:tcPr>
                  <w:p>
                    <w:pPr>
                      <w:widowControl w:val="0"/>
                      <w:ind w:left="360"/>
                      <w:rPr>
                        <w:sz w:val="14"/>
                      </w:rPr>
                    </w:pPr>
                    <w:r>
                      <w:rPr>
                        <w:sz w:val="14"/>
                      </w:rPr>
                      <w:t xml:space="preserve">Vadovautis geležinkelio darbuotojų sveikatos tikrinimo tvarka </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padėjėjų, keleivinių trauki-</w:t>
                    </w:r>
                  </w:p>
                </w:tc>
                <w:tc>
                  <w:tcPr>
                    <w:tcW w:w="2003" w:type="dxa"/>
                    <w:shd w:val="clear" w:color="auto" w:fill="auto"/>
                  </w:tcPr>
                  <w:p>
                    <w:pPr>
                      <w:widowControl w:val="0"/>
                      <w:ind w:left="360"/>
                      <w:rPr>
                        <w:sz w:val="14"/>
                      </w:rPr>
                    </w:pPr>
                    <w:r>
                      <w:rPr>
                        <w:sz w:val="14"/>
                      </w:rPr>
                      <w:t>signalų priėmimas,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nių vagonų palydovų,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stoties budėtojų, SCB ir</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kontaktinio tinklo elektro-</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montuotojų, riedmenų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vagonų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automotoristų, drezinų,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val="restart"/>
                    <w:shd w:val="clear" w:color="auto" w:fill="auto"/>
                  </w:tcPr>
                  <w:p>
                    <w:pPr>
                      <w:widowControl w:val="0"/>
                      <w:ind w:left="360"/>
                      <w:rPr>
                        <w:sz w:val="14"/>
                      </w:rPr>
                    </w:pPr>
                    <w:r>
                      <w:rPr>
                        <w:sz w:val="14"/>
                      </w:rPr>
                      <w:t>geležinkelio kranų mašinistų ir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37006</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sdtContent>
        </w:sdt>
      </w:sdtContent>
    </w:sdt>
    <w:sdt>
      <w:sdtPr>
        <w:alias w:val="5 pr."/>
        <w:tag w:val="part_9336be216cb14c47a44eec0993201d0f"/>
        <w:lock w:val="sdtLocked"/>
        <w:richText/>
      </w:sdtPr>
      <w:sdtContent>
        <w:p>
          <w:pPr>
            <w:keepLines/>
            <w:widowControl w:val="0"/>
            <w:suppressAutoHyphens/>
            <w:ind w:left="5102"/>
            <w:sectPr>
              <w:headerReference w:type="even" r:id="rId30"/>
              <w:headerReference w:type="default" r:id="rId31"/>
              <w:footerReference w:type="even" r:id="rId32"/>
              <w:footerReference w:type="default" r:id="rId33"/>
              <w:headerReference w:type="first" r:id="rId34"/>
              <w:footerReference w:type="first" r:id="rId35"/>
              <w:pgSz w:w="11907" w:h="16840" w:code="9"/>
              <w:pgMar w:top="1134" w:right="1134" w:bottom="1134" w:left="1701" w:header="567" w:footer="284" w:gutter="0"/>
              <w:pgNumType w:start="1"/>
              <w:cols w:space="1296"/>
              <w:titlePg/>
              <w:docGrid w:linePitch="360"/>
            </w:sectPr>
          </w:pPr>
        </w:p>
        <w:p>
          <w:pPr>
            <w:keepLines/>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2011 m. vasario 28 d. </w:t>
          </w:r>
        </w:p>
        <w:p>
          <w:pPr>
            <w:keepLines/>
            <w:widowControl w:val="0"/>
            <w:suppressAutoHyphens/>
            <w:ind w:firstLine="5102"/>
            <w:rPr>
              <w:color w:val="000000"/>
            </w:rPr>
          </w:pPr>
          <w:r>
            <w:rPr>
              <w:color w:val="000000"/>
            </w:rPr>
            <w:t>įsakymo Nr. V-184 redakcija)</w:t>
          </w:r>
        </w:p>
        <w:p>
          <w:pPr>
            <w:keepLines/>
            <w:widowControl w:val="0"/>
            <w:suppressAutoHyphens/>
            <w:ind w:firstLine="5102"/>
            <w:rPr>
              <w:color w:val="000000"/>
            </w:rPr>
          </w:pPr>
          <w:sdt>
            <w:sdtPr>
              <w:alias w:val="Numeris"/>
              <w:tag w:val="nr_9336be216cb14c47a44eec0993201d0f"/>
              <w:lock w:val="sdtLocked"/>
              <w:richText/>
            </w:sdtPr>
            <w:sdtContent>
              <w:r>
                <w:rPr>
                  <w:color w:val="000000"/>
                </w:rPr>
                <w:t>5</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9336be216cb14c47a44eec0993201d0f"/>
              <w:lock w:val="sdtLocked"/>
              <w:richText/>
            </w:sdtPr>
            <w:sdtContent>
              <w:r>
                <w:rPr>
                  <w:b/>
                  <w:bCs/>
                  <w:caps/>
                  <w:color w:val="000000"/>
                </w:rPr>
                <w:t>SPORTUOJANČIŲ ASMENŲ SVEIKATOS TIKRINIMO TVARKA</w:t>
              </w:r>
            </w:sdtContent>
          </w:sdt>
        </w:p>
        <w:p>
          <w:pPr>
            <w:widowControl w:val="0"/>
            <w:suppressAutoHyphens/>
            <w:ind w:firstLine="567"/>
            <w:jc w:val="both"/>
            <w:rPr>
              <w:color w:val="000000"/>
            </w:rPr>
          </w:pPr>
        </w:p>
        <w:sdt>
          <w:sdtPr>
            <w:alias w:val="skyrius"/>
            <w:tag w:val="part_334ec0ffc57247ab9dfa1d4d42ed1311"/>
            <w:lock w:val="sdtLocked"/>
            <w:richText/>
          </w:sdtPr>
          <w:sdtContent>
            <w:p>
              <w:pPr>
                <w:keepLines/>
                <w:widowControl w:val="0"/>
                <w:suppressAutoHyphens/>
                <w:jc w:val="center"/>
                <w:rPr>
                  <w:b/>
                  <w:bCs/>
                  <w:caps/>
                  <w:color w:val="000000"/>
                </w:rPr>
              </w:pPr>
              <w:sdt>
                <w:sdtPr>
                  <w:alias w:val="Numeris"/>
                  <w:tag w:val="nr_334ec0ffc57247ab9dfa1d4d42ed1311"/>
                  <w:lock w:val="sdtLocked"/>
                  <w:richText/>
                </w:sdtPr>
                <w:sdtContent>
                  <w:r>
                    <w:rPr>
                      <w:b/>
                      <w:bCs/>
                      <w:caps/>
                      <w:color w:val="000000"/>
                    </w:rPr>
                    <w:t>I</w:t>
                  </w:r>
                </w:sdtContent>
              </w:sdt>
              <w:r>
                <w:rPr>
                  <w:b/>
                  <w:bCs/>
                  <w:caps/>
                  <w:color w:val="000000"/>
                </w:rPr>
                <w:t xml:space="preserve">. </w:t>
              </w:r>
              <w:sdt>
                <w:sdtPr>
                  <w:alias w:val="Pavadinimas"/>
                  <w:tag w:val="title_334ec0ffc57247ab9dfa1d4d42ed1311"/>
                  <w:lock w:val="sdtLocked"/>
                  <w:richText/>
                </w:sdtPr>
                <w:sdtContent>
                  <w:r>
                    <w:rPr>
                      <w:b/>
                      <w:bCs/>
                      <w:caps/>
                      <w:color w:val="000000"/>
                    </w:rPr>
                    <w:t>BENROSIOS NUOSTATOS</w:t>
                  </w:r>
                </w:sdtContent>
              </w:sdt>
            </w:p>
            <w:p>
              <w:pPr>
                <w:widowControl w:val="0"/>
                <w:suppressAutoHyphens/>
                <w:ind w:firstLine="567"/>
                <w:jc w:val="both"/>
                <w:rPr>
                  <w:color w:val="000000"/>
                </w:rPr>
              </w:pPr>
            </w:p>
            <w:sdt>
              <w:sdtPr>
                <w:alias w:val="5 pr. 1.1 p."/>
                <w:tag w:val="part_6a9c3005e75c4ccc81f8f5eacfca76cb"/>
                <w:lock w:val="sdtLocked"/>
                <w:richText/>
              </w:sdtPr>
              <w:sdtContent>
                <w:p>
                  <w:pPr>
                    <w:widowControl w:val="0"/>
                    <w:suppressAutoHyphens/>
                    <w:ind w:firstLine="567"/>
                    <w:jc w:val="both"/>
                    <w:rPr>
                      <w:color w:val="000000"/>
                    </w:rPr>
                  </w:pPr>
                  <w:sdt>
                    <w:sdtPr>
                      <w:alias w:val="Numeris"/>
                      <w:tag w:val="nr_6a9c3005e75c4ccc81f8f5eacfca76cb"/>
                      <w:lock w:val="sdtLocked"/>
                      <w:richText/>
                    </w:sdtPr>
                    <w:sdtContent>
                      <w:r>
                        <w:rPr>
                          <w:color w:val="000000"/>
                        </w:rPr>
                        <w:t>1.1</w:t>
                      </w:r>
                    </w:sdtContent>
                  </w:sdt>
                  <w:r>
                    <w:rPr>
                      <w:color w:val="000000"/>
                    </w:rPr>
                    <w:t>. Asmenys, lankantys bet kokias organizuotas kūno kultūros ir sporto pratybas bei dalyvaujantys varžybose, privalo reguliariai tikrintis sveikatą.</w:t>
                  </w:r>
                </w:p>
              </w:sdtContent>
            </w:sdt>
            <w:sdt>
              <w:sdtPr>
                <w:alias w:val="5 pr. 1.2 p."/>
                <w:tag w:val="part_cb391d7ee2d84a5190a9ba857d3620f0"/>
                <w:lock w:val="sdtLocked"/>
                <w:richText/>
              </w:sdtPr>
              <w:sdtContent>
                <w:p>
                  <w:pPr>
                    <w:widowControl w:val="0"/>
                    <w:suppressAutoHyphens/>
                    <w:ind w:firstLine="567"/>
                    <w:jc w:val="both"/>
                    <w:rPr>
                      <w:strike/>
                      <w:color w:val="000000"/>
                    </w:rPr>
                  </w:pPr>
                  <w:sdt>
                    <w:sdtPr>
                      <w:alias w:val="Numeris"/>
                      <w:tag w:val="nr_cb391d7ee2d84a5190a9ba857d3620f0"/>
                      <w:lock w:val="sdtLocked"/>
                      <w:richText/>
                    </w:sdtPr>
                    <w:sdtContent>
                      <w:r>
                        <w:rPr>
                          <w:color w:val="000000"/>
                        </w:rPr>
                        <w:t>1.2</w:t>
                      </w:r>
                    </w:sdtContent>
                  </w:sdt>
                  <w:r>
                    <w:rPr>
                      <w:color w:val="000000"/>
                    </w:rPr>
                    <w:t>. Profilaktiškai sveikatą tikrina:</w:t>
                  </w:r>
                </w:p>
                <w:sdt>
                  <w:sdtPr>
                    <w:alias w:val="5 pr. 1.2.1 p."/>
                    <w:tag w:val="part_c027bd23fe8b4a2d803c53924c38c16b"/>
                    <w:lock w:val="sdtLocked"/>
                    <w:richText/>
                  </w:sdtPr>
                  <w:sdtContent>
                    <w:p>
                      <w:pPr>
                        <w:widowControl w:val="0"/>
                        <w:suppressAutoHyphens/>
                        <w:ind w:firstLine="567"/>
                        <w:jc w:val="both"/>
                        <w:rPr>
                          <w:color w:val="000000"/>
                        </w:rPr>
                      </w:pPr>
                      <w:sdt>
                        <w:sdtPr>
                          <w:alias w:val="Numeris"/>
                          <w:tag w:val="nr_c027bd23fe8b4a2d803c53924c38c16b"/>
                          <w:lock w:val="sdtLocked"/>
                          <w:richText/>
                        </w:sdtPr>
                        <w:sdtContent>
                          <w:r>
                            <w:rPr>
                              <w:color w:val="000000"/>
                            </w:rPr>
                            <w:t>1.2.1</w:t>
                          </w:r>
                        </w:sdtContent>
                      </w:sdt>
                      <w:r>
                        <w:rPr>
                          <w:color w:val="000000"/>
                        </w:rPr>
                        <w:t>. sportininkų, kurie sistemingai ir nuolat treniruojasi, dalyvauja sporto varžybose, – sporto medicinos centrų sporto medicinos gydytojai, privalomai arba prireikus konsultuodamiesi su šiame priede nurodytų ir kitų profesinių kvalifikacijų gydytojais ir skiria privalomus arba, esant indikacijų, kitus tyrimus;</w:t>
                      </w:r>
                    </w:p>
                  </w:sdtContent>
                </w:sdt>
                <w:sdt>
                  <w:sdtPr>
                    <w:alias w:val="5 pr. 1.2.2 p."/>
                    <w:tag w:val="part_8cd7689ca6c54aec813cb970fd88d804"/>
                    <w:lock w:val="sdtLocked"/>
                    <w:richText/>
                  </w:sdtPr>
                  <w:sdtContent>
                    <w:p>
                      <w:pPr>
                        <w:widowControl w:val="0"/>
                        <w:suppressAutoHyphens/>
                        <w:ind w:firstLine="567"/>
                        <w:jc w:val="both"/>
                        <w:rPr>
                          <w:color w:val="000000"/>
                        </w:rPr>
                      </w:pPr>
                      <w:sdt>
                        <w:sdtPr>
                          <w:alias w:val="Numeris"/>
                          <w:tag w:val="nr_8cd7689ca6c54aec813cb970fd88d804"/>
                          <w:lock w:val="sdtLocked"/>
                          <w:richText/>
                        </w:sdtPr>
                        <w:sdtContent>
                          <w:r>
                            <w:rPr>
                              <w:color w:val="000000"/>
                            </w:rPr>
                            <w:t>1.2.2</w:t>
                          </w:r>
                        </w:sdtContent>
                      </w:sdt>
                      <w:r>
                        <w:rPr>
                          <w:color w:val="000000"/>
                        </w:rPr>
                        <w:t>. sportuotojų, kurie laikosi sveikos gyvensenos principų, ir sporto mokymo įstaigų pradinio rengimo grupių narių – profilaktinius sveikatos tikrinimus atliekantys šeimos medicinos paslaugas teikiantys gydytojai, privalomai arba prireikus konsultuodamiesi su šiame priede nurodytų ir kitų profesinių kvalifikacijų gydytojais ir skiria privalomus arba, esant indikacijų, kitus tyrimus;</w:t>
                      </w:r>
                    </w:p>
                  </w:sdtContent>
                </w:sdt>
                <w:sdt>
                  <w:sdtPr>
                    <w:alias w:val="5 pr. 1.2.3 p."/>
                    <w:tag w:val="part_5ee490924fb34673b0f4bda2bfc66940"/>
                    <w:lock w:val="sdtLocked"/>
                    <w:richText/>
                  </w:sdtPr>
                  <w:sdtContent>
                    <w:p>
                      <w:pPr>
                        <w:widowControl w:val="0"/>
                        <w:suppressAutoHyphens/>
                        <w:ind w:firstLine="567"/>
                        <w:jc w:val="both"/>
                        <w:rPr>
                          <w:color w:val="000000"/>
                        </w:rPr>
                      </w:pPr>
                      <w:sdt>
                        <w:sdtPr>
                          <w:alias w:val="Numeris"/>
                          <w:tag w:val="nr_5ee490924fb34673b0f4bda2bfc66940"/>
                          <w:lock w:val="sdtLocked"/>
                          <w:richText/>
                        </w:sdtPr>
                        <w:sdtContent>
                          <w:r>
                            <w:rPr>
                              <w:color w:val="000000"/>
                            </w:rPr>
                            <w:t>1.2.3</w:t>
                          </w:r>
                        </w:sdtContent>
                      </w:sdt>
                      <w:r>
                        <w:rPr>
                          <w:color w:val="000000"/>
                        </w:rPr>
                        <w:t>. Lietuvos olimpinės ir atskirų sporto šakų rinktinių narių – sporto medicinos centrų gydytojai, privalomai arba prireikus konsultuodamiesi su šiame priede nurodytų ir kitų profesinių kvalifikacijų gydytojais ir skiria privalomus arba, esant indikacijų, kitus tyrimus;</w:t>
                      </w:r>
                    </w:p>
                  </w:sdtContent>
                </w:sdt>
                <w:sdt>
                  <w:sdtPr>
                    <w:alias w:val="5 pr. 1.2.4 p."/>
                    <w:tag w:val="part_801cade7899849fa9fa2a34696325879"/>
                    <w:lock w:val="sdtLocked"/>
                    <w:richText/>
                  </w:sdtPr>
                  <w:sdtContent>
                    <w:p>
                      <w:pPr>
                        <w:widowControl w:val="0"/>
                        <w:suppressAutoHyphens/>
                        <w:ind w:firstLine="567"/>
                        <w:jc w:val="both"/>
                        <w:rPr>
                          <w:color w:val="000000"/>
                        </w:rPr>
                      </w:pPr>
                      <w:sdt>
                        <w:sdtPr>
                          <w:alias w:val="Numeris"/>
                          <w:tag w:val="nr_801cade7899849fa9fa2a34696325879"/>
                          <w:lock w:val="sdtLocked"/>
                          <w:richText/>
                        </w:sdtPr>
                        <w:sdtContent>
                          <w:r>
                            <w:rPr>
                              <w:color w:val="000000"/>
                            </w:rPr>
                            <w:t>1.2.4</w:t>
                          </w:r>
                        </w:sdtContent>
                      </w:sdt>
                      <w:r>
                        <w:rPr>
                          <w:color w:val="000000"/>
                        </w:rPr>
                        <w:t xml:space="preserve">. neįgalieji sportininkai su amputuotomis galūnėmis, stuburo smegenų pažeidimais ar turintys cerebrinį paralyžių, silpnaregiai ar kurtieji tikrinami bendra tvarka. Papildomai jiems, išskyrus kurčiuosius, vadovaujantis Lietuvos Respublikos sveikatos apsaugos ministro 1996 m. lapkričio 22 d. įsakymu Nr. 598 „Dėl sportuojančių asmenų su negalia medicininio ištyrimo“ (Žin., 1996, Nr. </w:t>
                      </w:r>
                      <w:hyperlink r:id="rId82" w:tgtFrame="_blank" w:history="1">
                        <w:r>
                          <w:rPr>
                            <w:color w:val="0000FF" w:themeColor="hyperlink"/>
                            <w:u w:val="single"/>
                          </w:rPr>
                          <w:t>115-2684</w:t>
                        </w:r>
                      </w:hyperlink>
                      <w:r>
                        <w:rPr>
                          <w:color w:val="000000"/>
                        </w:rPr>
                        <w:t>) bei metodinėmis rekomendacijomis, turi būti nustatyta medicininė ir funkcinė klasifikacija. Medicininei ir funkcinei klasifikacijai tinkamai atlikti neįgaliuosius patartina siųsti į sporto medicinos centrus.</w:t>
                      </w:r>
                    </w:p>
                  </w:sdtContent>
                </w:sdt>
              </w:sdtContent>
            </w:sdt>
            <w:sdt>
              <w:sdtPr>
                <w:alias w:val="5 pr. 1.3 p."/>
                <w:tag w:val="part_5295d6c8c88c45b6bf644d70122a1856"/>
                <w:lock w:val="sdtLocked"/>
                <w:richText/>
              </w:sdtPr>
              <w:sdtContent>
                <w:p>
                  <w:pPr>
                    <w:widowControl w:val="0"/>
                    <w:suppressAutoHyphens/>
                    <w:ind w:firstLine="567"/>
                    <w:jc w:val="both"/>
                    <w:rPr>
                      <w:color w:val="000000"/>
                    </w:rPr>
                  </w:pPr>
                  <w:sdt>
                    <w:sdtPr>
                      <w:alias w:val="Numeris"/>
                      <w:tag w:val="nr_5295d6c8c88c45b6bf644d70122a1856"/>
                      <w:lock w:val="sdtLocked"/>
                      <w:richText/>
                    </w:sdtPr>
                    <w:sdtContent>
                      <w:r>
                        <w:rPr>
                          <w:color w:val="000000"/>
                        </w:rPr>
                        <w:t>1.3</w:t>
                      </w:r>
                    </w:sdtContent>
                  </w:sdt>
                  <w:r>
                    <w:rPr>
                      <w:color w:val="000000"/>
                    </w:rPr>
                    <w:t>. Sportininkų ir sportuotojų sveikatą tikrinantys sporto medicinos centrų sporto medicinos gydytojai arba šeimos medicinos paslaugas teikiantys gydytojai:</w:t>
                  </w:r>
                </w:p>
                <w:sdt>
                  <w:sdtPr>
                    <w:alias w:val="5 pr. 1.3.1 p."/>
                    <w:tag w:val="part_01a5f330ce4849c680df9b673a2c898e"/>
                    <w:lock w:val="sdtLocked"/>
                    <w:richText/>
                  </w:sdtPr>
                  <w:sdtContent>
                    <w:p>
                      <w:pPr>
                        <w:widowControl w:val="0"/>
                        <w:suppressAutoHyphens/>
                        <w:ind w:firstLine="567"/>
                        <w:jc w:val="both"/>
                        <w:rPr>
                          <w:color w:val="000000"/>
                        </w:rPr>
                      </w:pPr>
                      <w:sdt>
                        <w:sdtPr>
                          <w:alias w:val="Numeris"/>
                          <w:tag w:val="nr_01a5f330ce4849c680df9b673a2c898e"/>
                          <w:lock w:val="sdtLocked"/>
                          <w:richText/>
                        </w:sdtPr>
                        <w:sdtContent>
                          <w:r>
                            <w:rPr>
                              <w:color w:val="000000"/>
                            </w:rPr>
                            <w:t>1.3.1</w:t>
                          </w:r>
                        </w:sdtContent>
                      </w:sdt>
                      <w:r>
                        <w:rPr>
                          <w:color w:val="000000"/>
                        </w:rPr>
                        <w:t>. įvertina tiriamojo sveikatos bei funkcinę būkles;</w:t>
                      </w:r>
                    </w:p>
                  </w:sdtContent>
                </w:sdt>
                <w:sdt>
                  <w:sdtPr>
                    <w:alias w:val="5 pr. 1.3.2 p."/>
                    <w:tag w:val="part_82cf3d0588014e788542ec17288b1e4d"/>
                    <w:lock w:val="sdtLocked"/>
                    <w:richText/>
                  </w:sdtPr>
                  <w:sdtContent>
                    <w:p>
                      <w:pPr>
                        <w:widowControl w:val="0"/>
                        <w:suppressAutoHyphens/>
                        <w:ind w:firstLine="567"/>
                        <w:jc w:val="both"/>
                        <w:rPr>
                          <w:color w:val="000000"/>
                        </w:rPr>
                      </w:pPr>
                      <w:sdt>
                        <w:sdtPr>
                          <w:alias w:val="Numeris"/>
                          <w:tag w:val="nr_82cf3d0588014e788542ec17288b1e4d"/>
                          <w:lock w:val="sdtLocked"/>
                          <w:richText/>
                        </w:sdtPr>
                        <w:sdtContent>
                          <w:r>
                            <w:rPr>
                              <w:color w:val="000000"/>
                            </w:rPr>
                            <w:t>1.3.2</w:t>
                          </w:r>
                        </w:sdtContent>
                      </w:sdt>
                      <w:r>
                        <w:rPr>
                          <w:color w:val="000000"/>
                        </w:rPr>
                        <w:t>. siunčia, esant indikacijų, pas kitus specialistus konsultuotis ir tirtis;</w:t>
                      </w:r>
                    </w:p>
                  </w:sdtContent>
                </w:sdt>
                <w:sdt>
                  <w:sdtPr>
                    <w:alias w:val="5 pr. 1.3.3 p."/>
                    <w:tag w:val="part_80e829756878485cb6bea1ac13538c98"/>
                    <w:lock w:val="sdtLocked"/>
                    <w:richText/>
                  </w:sdtPr>
                  <w:sdtContent>
                    <w:p>
                      <w:pPr>
                        <w:widowControl w:val="0"/>
                        <w:suppressAutoHyphens/>
                        <w:ind w:firstLine="567"/>
                        <w:jc w:val="both"/>
                        <w:rPr>
                          <w:color w:val="000000"/>
                        </w:rPr>
                      </w:pPr>
                      <w:sdt>
                        <w:sdtPr>
                          <w:alias w:val="Numeris"/>
                          <w:tag w:val="nr_80e829756878485cb6bea1ac13538c98"/>
                          <w:lock w:val="sdtLocked"/>
                          <w:richText/>
                        </w:sdtPr>
                        <w:sdtContent>
                          <w:r>
                            <w:rPr>
                              <w:color w:val="000000"/>
                            </w:rPr>
                            <w:t>1.3.3</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pakartotinės patikros datą;</w:t>
                      </w:r>
                    </w:p>
                  </w:sdtContent>
                </w:sdt>
                <w:sdt>
                  <w:sdtPr>
                    <w:alias w:val="5 pr. 1.3.4 p."/>
                    <w:tag w:val="part_956e7a0a09e94fcda970c7954ab8fcb1"/>
                    <w:lock w:val="sdtLocked"/>
                    <w:richText/>
                  </w:sdtPr>
                  <w:sdtContent>
                    <w:p>
                      <w:pPr>
                        <w:widowControl w:val="0"/>
                        <w:suppressAutoHyphens/>
                        <w:ind w:firstLine="567"/>
                        <w:jc w:val="both"/>
                        <w:rPr>
                          <w:color w:val="000000"/>
                        </w:rPr>
                      </w:pPr>
                      <w:sdt>
                        <w:sdtPr>
                          <w:alias w:val="Numeris"/>
                          <w:tag w:val="nr_956e7a0a09e94fcda970c7954ab8fcb1"/>
                          <w:lock w:val="sdtLocked"/>
                          <w:richText/>
                        </w:sdtPr>
                        <w:sdtContent>
                          <w:r>
                            <w:rPr>
                              <w:color w:val="000000"/>
                            </w:rPr>
                            <w:t>1.3.4</w:t>
                          </w:r>
                        </w:sdtContent>
                      </w:sdt>
                      <w:r>
                        <w:rPr>
                          <w:color w:val="000000"/>
                        </w:rPr>
                        <w:t>. pagal kompetenciją gydo sportininkus ir sportuotojus;</w:t>
                      </w:r>
                    </w:p>
                  </w:sdtContent>
                </w:sdt>
                <w:sdt>
                  <w:sdtPr>
                    <w:alias w:val="5 pr. 1.3.5 p."/>
                    <w:tag w:val="part_11bed6c7bdac4230a847f60ebbd576a5"/>
                    <w:lock w:val="sdtLocked"/>
                    <w:richText/>
                  </w:sdtPr>
                  <w:sdtContent>
                    <w:p>
                      <w:pPr>
                        <w:widowControl w:val="0"/>
                        <w:suppressAutoHyphens/>
                        <w:ind w:firstLine="567"/>
                        <w:jc w:val="both"/>
                        <w:rPr>
                          <w:color w:val="000000"/>
                        </w:rPr>
                      </w:pPr>
                      <w:sdt>
                        <w:sdtPr>
                          <w:alias w:val="Numeris"/>
                          <w:tag w:val="nr_11bed6c7bdac4230a847f60ebbd576a5"/>
                          <w:lock w:val="sdtLocked"/>
                          <w:richText/>
                        </w:sdtPr>
                        <w:sdtContent>
                          <w:r>
                            <w:rPr>
                              <w:color w:val="000000"/>
                            </w:rPr>
                            <w:t>1.3.5</w:t>
                          </w:r>
                        </w:sdtContent>
                      </w:sdt>
                      <w:r>
                        <w:rPr>
                          <w:color w:val="000000"/>
                        </w:rPr>
                        <w:t>. sudėtingais atvejais pirminės sveikatos priežiūros įstaigos profilaktinę sveikatos patikrą atliekantys šeimos medicinos paslaugas teikiantys gydytojai siunčia sportuojančius asmenis į artimiausius sporto medicinos centrus.</w:t>
                      </w:r>
                    </w:p>
                  </w:sdtContent>
                </w:sdt>
              </w:sdtContent>
            </w:sdt>
            <w:sdt>
              <w:sdtPr>
                <w:alias w:val="5 pr. 1.4 p."/>
                <w:tag w:val="part_d5d464c9996a463080aefee8bd2ff0f0"/>
                <w:lock w:val="sdtLocked"/>
                <w:richText/>
              </w:sdtPr>
              <w:sdtContent>
                <w:p>
                  <w:pPr>
                    <w:widowControl w:val="0"/>
                    <w:suppressAutoHyphens/>
                    <w:ind w:firstLine="567"/>
                    <w:jc w:val="both"/>
                    <w:rPr>
                      <w:color w:val="000000"/>
                    </w:rPr>
                  </w:pPr>
                  <w:sdt>
                    <w:sdtPr>
                      <w:alias w:val="Numeris"/>
                      <w:tag w:val="nr_d5d464c9996a463080aefee8bd2ff0f0"/>
                      <w:lock w:val="sdtLocked"/>
                      <w:richText/>
                    </w:sdtPr>
                    <w:sdtContent>
                      <w:r>
                        <w:rPr>
                          <w:color w:val="000000"/>
                        </w:rPr>
                        <w:t>1.4</w:t>
                      </w:r>
                    </w:sdtContent>
                  </w:sdt>
                  <w:r>
                    <w:rPr>
                      <w:color w:val="000000"/>
                    </w:rPr>
                    <w:t xml:space="preserve">. </w:t>
                  </w:r>
                  <w:r>
                    <w:rPr>
                      <w:caps/>
                      <w:color w:val="000000"/>
                    </w:rPr>
                    <w:t>s</w:t>
                  </w:r>
                  <w:r>
                    <w:rPr>
                      <w:color w:val="000000"/>
                    </w:rPr>
                    <w:t>portininkų, kurie sistemingai ir intensyviai treniruojasi, siekia aukštų sporto rezultatų, sveikatą tikrinantys sporto medicinos centrų sporto medicinos gydytojai papildomai:</w:t>
                  </w:r>
                </w:p>
                <w:sdt>
                  <w:sdtPr>
                    <w:alias w:val="5 pr. 1.4.1 p."/>
                    <w:tag w:val="part_85b65c2e24394014a943166da63498d0"/>
                    <w:lock w:val="sdtLocked"/>
                    <w:richText/>
                  </w:sdtPr>
                  <w:sdtContent>
                    <w:p>
                      <w:pPr>
                        <w:widowControl w:val="0"/>
                        <w:suppressAutoHyphens/>
                        <w:ind w:firstLine="567"/>
                        <w:jc w:val="both"/>
                        <w:rPr>
                          <w:color w:val="000000"/>
                        </w:rPr>
                      </w:pPr>
                      <w:sdt>
                        <w:sdtPr>
                          <w:alias w:val="Numeris"/>
                          <w:tag w:val="nr_85b65c2e24394014a943166da63498d0"/>
                          <w:lock w:val="sdtLocked"/>
                          <w:richText/>
                        </w:sdtPr>
                        <w:sdtContent>
                          <w:r>
                            <w:rPr>
                              <w:color w:val="000000"/>
                            </w:rPr>
                            <w:t>1.4.1</w:t>
                          </w:r>
                        </w:sdtContent>
                      </w:sdt>
                      <w:r>
                        <w:rPr>
                          <w:color w:val="000000"/>
                        </w:rPr>
                        <w:t>. nustato fizinį išsivystymą, funkcinių organizmo rezervų rodiklius, organizmo prisitaikymą prie pasirinktos sportinės veiklos bei fizinių krūvių;</w:t>
                      </w:r>
                    </w:p>
                  </w:sdtContent>
                </w:sdt>
                <w:sdt>
                  <w:sdtPr>
                    <w:alias w:val="5 pr. 1.4.2 p."/>
                    <w:tag w:val="part_a4c36ebe457d4193a36874ea109a7eea"/>
                    <w:lock w:val="sdtLocked"/>
                    <w:richText/>
                  </w:sdtPr>
                  <w:sdtContent>
                    <w:p>
                      <w:pPr>
                        <w:widowControl w:val="0"/>
                        <w:suppressAutoHyphens/>
                        <w:ind w:firstLine="567"/>
                        <w:jc w:val="both"/>
                        <w:rPr>
                          <w:color w:val="000000"/>
                        </w:rPr>
                      </w:pPr>
                      <w:sdt>
                        <w:sdtPr>
                          <w:alias w:val="Numeris"/>
                          <w:tag w:val="nr_a4c36ebe457d4193a36874ea109a7eea"/>
                          <w:lock w:val="sdtLocked"/>
                          <w:richText/>
                        </w:sdtPr>
                        <w:sdtContent>
                          <w:r>
                            <w:rPr>
                              <w:color w:val="000000"/>
                            </w:rPr>
                            <w:t>1.4.2</w:t>
                          </w:r>
                        </w:sdtContent>
                      </w:sdt>
                      <w:r>
                        <w:rPr>
                          <w:color w:val="000000"/>
                        </w:rPr>
                        <w:t>. sudaro ir vykdo sportininkų organizmo atsigavimo po treniruočių krūvių skatinimo programas;</w:t>
                      </w:r>
                    </w:p>
                  </w:sdtContent>
                </w:sdt>
                <w:sdt>
                  <w:sdtPr>
                    <w:alias w:val="5 pr. 1.4.3 p."/>
                    <w:tag w:val="part_1420c54d1f0a41c8a51cb68f58834585"/>
                    <w:lock w:val="sdtLocked"/>
                    <w:richText/>
                  </w:sdtPr>
                  <w:sdtContent>
                    <w:p>
                      <w:pPr>
                        <w:widowControl w:val="0"/>
                        <w:suppressAutoHyphens/>
                        <w:ind w:firstLine="567"/>
                        <w:jc w:val="both"/>
                        <w:rPr>
                          <w:color w:val="000000"/>
                        </w:rPr>
                      </w:pPr>
                      <w:sdt>
                        <w:sdtPr>
                          <w:alias w:val="Numeris"/>
                          <w:tag w:val="nr_1420c54d1f0a41c8a51cb68f58834585"/>
                          <w:lock w:val="sdtLocked"/>
                          <w:richText/>
                        </w:sdtPr>
                        <w:sdtContent>
                          <w:r>
                            <w:rPr>
                              <w:color w:val="000000"/>
                            </w:rPr>
                            <w:t>1.4.3</w:t>
                          </w:r>
                        </w:sdtContent>
                      </w:sdt>
                      <w:r>
                        <w:rPr>
                          <w:color w:val="000000"/>
                        </w:rPr>
                        <w:t>. vykdo sportininkų pratybų ir mokomųjų treniruočių stovyklų specializuotą medicininę priežiūrą (vykdo funkcinį testavimą ir vertina sportininkų organizmo prisitaikymą prie krūvių, registruoja, gydo traumas ir ligas, teikia ataskaitą renginio organizatoriams ir sporto medicinos centro direktoriui ir kt.).</w:t>
                      </w:r>
                    </w:p>
                  </w:sdtContent>
                </w:sdt>
              </w:sdtContent>
            </w:sdt>
            <w:sdt>
              <w:sdtPr>
                <w:alias w:val="5 pr. 1.5 p."/>
                <w:tag w:val="part_a57e46f2427f4fcdb9d3176308bbb82f"/>
                <w:lock w:val="sdtLocked"/>
                <w:richText/>
              </w:sdtPr>
              <w:sdtContent>
                <w:p>
                  <w:pPr>
                    <w:widowControl w:val="0"/>
                    <w:suppressAutoHyphens/>
                    <w:ind w:firstLine="567"/>
                    <w:jc w:val="both"/>
                    <w:rPr>
                      <w:color w:val="000000"/>
                    </w:rPr>
                  </w:pPr>
                  <w:sdt>
                    <w:sdtPr>
                      <w:alias w:val="Numeris"/>
                      <w:tag w:val="nr_a57e46f2427f4fcdb9d3176308bbb82f"/>
                      <w:lock w:val="sdtLocked"/>
                      <w:richText/>
                    </w:sdtPr>
                    <w:sdtContent>
                      <w:r>
                        <w:rPr>
                          <w:color w:val="000000"/>
                          <w:spacing w:val="-4"/>
                        </w:rPr>
                        <w:t>1.5</w:t>
                      </w:r>
                    </w:sdtContent>
                  </w:sdt>
                  <w:r>
                    <w:rPr>
                      <w:color w:val="000000"/>
                      <w:spacing w:val="-4"/>
                    </w:rPr>
                    <w:t>. Profilaktinio sveikatos tikrinimo ir tyrimų duomenys įrašomi į sportuojančio asmens sveikatos tikrinimo kortelę (forma Nr. 061/a) ir pažymimi asmens sveikatos istorijoje (forma Nr. 025a) arba vaiko sveikatos raidos istorijoje (forma Nr. 025-112a).</w:t>
                  </w:r>
                </w:p>
              </w:sdtContent>
            </w:sdt>
            <w:sdt>
              <w:sdtPr>
                <w:alias w:val="5 pr. 1.6 p."/>
                <w:tag w:val="part_ad146f783f8345b485e7c1d444653554"/>
                <w:lock w:val="sdtLocked"/>
                <w:richText/>
              </w:sdtPr>
              <w:sdtContent>
                <w:p>
                  <w:pPr>
                    <w:widowControl w:val="0"/>
                    <w:suppressAutoHyphens/>
                    <w:ind w:firstLine="567"/>
                    <w:jc w:val="both"/>
                    <w:rPr>
                      <w:color w:val="000000"/>
                      <w:spacing w:val="-9"/>
                    </w:rPr>
                  </w:pPr>
                  <w:sdt>
                    <w:sdtPr>
                      <w:alias w:val="Numeris"/>
                      <w:tag w:val="nr_ad146f783f8345b485e7c1d444653554"/>
                      <w:lock w:val="sdtLocked"/>
                      <w:richText/>
                    </w:sdtPr>
                    <w:sdtContent>
                      <w:r>
                        <w:rPr>
                          <w:color w:val="000000"/>
                          <w:spacing w:val="-9"/>
                        </w:rPr>
                        <w:t>1.6</w:t>
                      </w:r>
                    </w:sdtContent>
                  </w:sdt>
                  <w:r>
                    <w:rPr>
                      <w:color w:val="000000"/>
                      <w:spacing w:val="-9"/>
                    </w:rPr>
                    <w:t>. Už sportininkų treniravimąsi ir dalyvavimą sporto varžybose be gydytojo leidimo atsako treneriai, varžybų vyriausieji teisėjai.</w:t>
                  </w:r>
                </w:p>
              </w:sdtContent>
            </w:sdt>
            <w:sdt>
              <w:sdtPr>
                <w:alias w:val="5 pr. 1.7 p."/>
                <w:tag w:val="part_41f80241da66462982c0f03493f67182"/>
                <w:lock w:val="sdtLocked"/>
                <w:richText/>
              </w:sdtPr>
              <w:sdtContent>
                <w:p>
                  <w:pPr>
                    <w:widowControl w:val="0"/>
                    <w:suppressAutoHyphens/>
                    <w:ind w:firstLine="567"/>
                    <w:jc w:val="both"/>
                    <w:rPr>
                      <w:color w:val="000000"/>
                    </w:rPr>
                  </w:pPr>
                  <w:sdt>
                    <w:sdtPr>
                      <w:alias w:val="Numeris"/>
                      <w:tag w:val="nr_41f80241da66462982c0f03493f67182"/>
                      <w:lock w:val="sdtLocked"/>
                      <w:richText/>
                    </w:sdtPr>
                    <w:sdtContent>
                      <w:r>
                        <w:rPr>
                          <w:color w:val="000000"/>
                          <w:spacing w:val="-9"/>
                        </w:rPr>
                        <w:t>1.7</w:t>
                      </w:r>
                    </w:sdtContent>
                  </w:sdt>
                  <w:r>
                    <w:rPr>
                      <w:color w:val="000000"/>
                      <w:spacing w:val="-9"/>
                    </w:rPr>
                    <w:t>. Sportuojančių asmenų sveikatos priežiūros paslaugos, teikiamos sporto medicinos centruose, apmokamos iš valstybės biudžeto.</w:t>
                  </w:r>
                </w:p>
              </w:sdtContent>
            </w:sdt>
            <w:sdt>
              <w:sdtPr>
                <w:alias w:val="5 pr. 1.8 p."/>
                <w:tag w:val="part_57c6a1c4b5b840bcaf27cc6a60096781"/>
                <w:lock w:val="sdtLocked"/>
                <w:richText/>
              </w:sdtPr>
              <w:sdtContent>
                <w:p>
                  <w:pPr>
                    <w:widowControl w:val="0"/>
                    <w:suppressAutoHyphens/>
                    <w:ind w:firstLine="567"/>
                    <w:jc w:val="both"/>
                    <w:rPr>
                      <w:color w:val="000000"/>
                    </w:rPr>
                  </w:pPr>
                  <w:sdt>
                    <w:sdtPr>
                      <w:alias w:val="Numeris"/>
                      <w:tag w:val="nr_57c6a1c4b5b840bcaf27cc6a60096781"/>
                      <w:lock w:val="sdtLocked"/>
                      <w:richText/>
                    </w:sdtPr>
                    <w:sdtContent>
                      <w:r>
                        <w:rPr>
                          <w:color w:val="000000"/>
                        </w:rPr>
                        <w:t>1.8</w:t>
                      </w:r>
                    </w:sdtContent>
                  </w:sdt>
                  <w:r>
                    <w:rPr>
                      <w:color w:val="000000"/>
                    </w:rPr>
                    <w:t>. Sportininkų ir sportuotojų sveikatą tikrinantys sporto medicinos centrų sporto medicinos gydytojai arba šeimos medicinos paslaugas teikiantys pirminės sveikatos priežiūros įstaigų gydytojai vadovaujasi sporto šakų klasifikacija pagal dinaminio ir statinio fizinio krūvio (toliau – SDK klasifikacija) poveikį:</w:t>
                  </w:r>
                </w:p>
                <w:p>
                  <w:pPr>
                    <w:widowControl w:val="0"/>
                    <w:suppressAutoHyphens/>
                    <w:ind w:firstLine="567"/>
                    <w:jc w:val="both"/>
                    <w:rPr>
                      <w:color w:val="000000"/>
                    </w:rPr>
                  </w:pPr>
                </w:p>
                <w:tbl>
                  <w:tblPr>
                    <w:tblW w:w="9070" w:type="dxa"/>
                    <w:tblLook w:val="01E0" w:firstRow="1" w:lastRow="1" w:firstColumn="1" w:lastColumn="1" w:noHBand="0" w:noVBand="0"/>
                  </w:tblPr>
                  <w:tblGrid>
                    <w:gridCol w:w="2258"/>
                    <w:gridCol w:w="2186"/>
                    <w:gridCol w:w="2320"/>
                    <w:gridCol w:w="2306"/>
                  </w:tblGrid>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sz w:val="20"/>
                          </w:rPr>
                        </w:pP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A</w:t>
                        </w:r>
                      </w:p>
                      <w:p>
                        <w:pPr>
                          <w:tabs>
                            <w:tab w:val="left" w:pos="1905"/>
                            <w:tab w:val="center" w:pos="4153"/>
                            <w:tab w:val="right" w:pos="8306"/>
                          </w:tabs>
                          <w:jc w:val="center"/>
                          <w:rPr>
                            <w:sz w:val="20"/>
                          </w:rPr>
                        </w:pPr>
                        <w:r>
                          <w:rPr>
                            <w:sz w:val="20"/>
                          </w:rPr>
                          <w:t>Žemas dinaminis krūvis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B</w:t>
                        </w:r>
                      </w:p>
                      <w:p>
                        <w:pPr>
                          <w:tabs>
                            <w:tab w:val="left" w:pos="1905"/>
                            <w:tab w:val="center" w:pos="4153"/>
                            <w:tab w:val="right" w:pos="8306"/>
                          </w:tabs>
                          <w:jc w:val="center"/>
                          <w:rPr>
                            <w:sz w:val="20"/>
                          </w:rPr>
                        </w:pPr>
                        <w:r>
                          <w:rPr>
                            <w:sz w:val="20"/>
                          </w:rPr>
                          <w:t>Vidutinis dinaminis krūvis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C</w:t>
                        </w:r>
                      </w:p>
                      <w:p>
                        <w:pPr>
                          <w:tabs>
                            <w:tab w:val="left" w:pos="1905"/>
                            <w:tab w:val="center" w:pos="4153"/>
                            <w:tab w:val="right" w:pos="8306"/>
                          </w:tabs>
                          <w:jc w:val="center"/>
                          <w:rPr>
                            <w:sz w:val="20"/>
                          </w:rPr>
                        </w:pPr>
                        <w:r>
                          <w:rPr>
                            <w:sz w:val="20"/>
                          </w:rPr>
                          <w:t>Aukštas dinaminis krūvis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 </w:t>
                        </w:r>
                        <w:r>
                          <w:rPr>
                            <w:sz w:val="20"/>
                          </w:rPr>
                          <w:t>Žemas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Biliardas</w:t>
                        </w:r>
                      </w:p>
                      <w:p>
                        <w:pPr>
                          <w:tabs>
                            <w:tab w:val="center" w:pos="4153"/>
                            <w:tab w:val="right" w:pos="8306"/>
                          </w:tabs>
                          <w:jc w:val="center"/>
                          <w:rPr>
                            <w:sz w:val="20"/>
                          </w:rPr>
                        </w:pPr>
                        <w:r>
                          <w:rPr>
                            <w:sz w:val="20"/>
                          </w:rPr>
                          <w:t>Boulingas</w:t>
                        </w:r>
                      </w:p>
                      <w:p>
                        <w:pPr>
                          <w:tabs>
                            <w:tab w:val="center" w:pos="4153"/>
                            <w:tab w:val="right" w:pos="8306"/>
                          </w:tabs>
                          <w:jc w:val="center"/>
                          <w:rPr>
                            <w:sz w:val="20"/>
                          </w:rPr>
                        </w:pPr>
                        <w:r>
                          <w:rPr>
                            <w:sz w:val="20"/>
                          </w:rPr>
                          <w:t>Kriketas</w:t>
                        </w:r>
                      </w:p>
                      <w:p>
                        <w:pPr>
                          <w:tabs>
                            <w:tab w:val="left" w:pos="1905"/>
                            <w:tab w:val="center" w:pos="4153"/>
                            <w:tab w:val="right" w:pos="8306"/>
                          </w:tabs>
                          <w:jc w:val="center"/>
                          <w:rPr>
                            <w:sz w:val="20"/>
                          </w:rPr>
                        </w:pPr>
                        <w:r>
                          <w:rPr>
                            <w:sz w:val="20"/>
                          </w:rPr>
                          <w:t>Golfas</w:t>
                        </w:r>
                      </w:p>
                      <w:p>
                        <w:pPr>
                          <w:tabs>
                            <w:tab w:val="left" w:pos="1905"/>
                            <w:tab w:val="center" w:pos="4153"/>
                            <w:tab w:val="right" w:pos="8306"/>
                          </w:tabs>
                          <w:jc w:val="center"/>
                          <w:rPr>
                            <w:sz w:val="20"/>
                          </w:rPr>
                        </w:pPr>
                        <w:r>
                          <w:rPr>
                            <w:sz w:val="20"/>
                          </w:rPr>
                          <w:t>Šaudymas</w:t>
                        </w:r>
                      </w:p>
                      <w:p>
                        <w:pPr>
                          <w:tabs>
                            <w:tab w:val="left" w:pos="1905"/>
                            <w:tab w:val="center" w:pos="4153"/>
                            <w:tab w:val="right" w:pos="8306"/>
                          </w:tabs>
                          <w:jc w:val="center"/>
                          <w:rPr>
                            <w:sz w:val="20"/>
                          </w:rPr>
                        </w:pPr>
                        <w:r>
                          <w:rPr>
                            <w:sz w:val="20"/>
                          </w:rPr>
                          <w:t>Kerlingas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Fechtavimas</w:t>
                        </w:r>
                      </w:p>
                      <w:p>
                        <w:pPr>
                          <w:tabs>
                            <w:tab w:val="center" w:pos="4153"/>
                            <w:tab w:val="right" w:pos="8306"/>
                          </w:tabs>
                          <w:jc w:val="center"/>
                          <w:rPr>
                            <w:sz w:val="20"/>
                            <w:vertAlign w:val="superscript"/>
                          </w:rPr>
                        </w:pPr>
                        <w:r>
                          <w:rPr>
                            <w:sz w:val="20"/>
                          </w:rPr>
                          <w:t>Beisbolas</w:t>
                        </w:r>
                        <w:r>
                          <w:rPr>
                            <w:sz w:val="20"/>
                            <w:vertAlign w:val="superscript"/>
                          </w:rPr>
                          <w:t>x</w:t>
                        </w:r>
                      </w:p>
                      <w:p>
                        <w:pPr>
                          <w:tabs>
                            <w:tab w:val="center" w:pos="4153"/>
                            <w:tab w:val="right" w:pos="8306"/>
                          </w:tabs>
                          <w:jc w:val="center"/>
                          <w:rPr>
                            <w:sz w:val="20"/>
                          </w:rPr>
                        </w:pPr>
                        <w:r>
                          <w:rPr>
                            <w:sz w:val="20"/>
                          </w:rPr>
                          <w:t>Stalo tenisas</w:t>
                        </w:r>
                      </w:p>
                      <w:p>
                        <w:pPr>
                          <w:tabs>
                            <w:tab w:val="center" w:pos="4153"/>
                            <w:tab w:val="right" w:pos="8306"/>
                          </w:tabs>
                          <w:jc w:val="center"/>
                          <w:rPr>
                            <w:sz w:val="20"/>
                          </w:rPr>
                        </w:pPr>
                        <w:r>
                          <w:rPr>
                            <w:sz w:val="20"/>
                          </w:rPr>
                          <w:t>Tenisas (dvejetas)</w:t>
                        </w:r>
                      </w:p>
                      <w:p>
                        <w:pPr>
                          <w:tabs>
                            <w:tab w:val="left" w:pos="1905"/>
                            <w:tab w:val="center" w:pos="4153"/>
                            <w:tab w:val="right" w:pos="8306"/>
                          </w:tabs>
                          <w:jc w:val="center"/>
                          <w:rPr>
                            <w:sz w:val="20"/>
                          </w:rPr>
                        </w:pPr>
                        <w:r>
                          <w:rPr>
                            <w:sz w:val="20"/>
                          </w:rPr>
                          <w:t>Tinklinis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Badmintonas</w:t>
                        </w:r>
                      </w:p>
                      <w:p>
                        <w:pPr>
                          <w:tabs>
                            <w:tab w:val="center" w:pos="4153"/>
                            <w:tab w:val="right" w:pos="8306"/>
                          </w:tabs>
                          <w:jc w:val="center"/>
                          <w:rPr>
                            <w:sz w:val="20"/>
                          </w:rPr>
                        </w:pPr>
                        <w:r>
                          <w:rPr>
                            <w:sz w:val="20"/>
                          </w:rPr>
                          <w:t>Sportinis ėjimas</w:t>
                        </w:r>
                      </w:p>
                      <w:p>
                        <w:pPr>
                          <w:tabs>
                            <w:tab w:val="center" w:pos="4153"/>
                            <w:tab w:val="right" w:pos="8306"/>
                          </w:tabs>
                          <w:jc w:val="center"/>
                          <w:rPr>
                            <w:sz w:val="20"/>
                          </w:rPr>
                        </w:pPr>
                        <w:r>
                          <w:rPr>
                            <w:sz w:val="20"/>
                          </w:rPr>
                          <w:t>Slidinėjimas (klasikiniu būdu)</w:t>
                        </w:r>
                      </w:p>
                      <w:p>
                        <w:pPr>
                          <w:tabs>
                            <w:tab w:val="center" w:pos="4153"/>
                            <w:tab w:val="right" w:pos="8306"/>
                          </w:tabs>
                          <w:jc w:val="center"/>
                          <w:rPr>
                            <w:sz w:val="20"/>
                          </w:rPr>
                        </w:pPr>
                        <w:r>
                          <w:rPr>
                            <w:sz w:val="20"/>
                          </w:rPr>
                          <w:t>Orientacinis sportas</w:t>
                        </w:r>
                      </w:p>
                      <w:p>
                        <w:pPr>
                          <w:tabs>
                            <w:tab w:val="center" w:pos="4153"/>
                            <w:tab w:val="right" w:pos="8306"/>
                          </w:tabs>
                          <w:jc w:val="center"/>
                          <w:rPr>
                            <w:sz w:val="20"/>
                          </w:rPr>
                        </w:pPr>
                        <w:r>
                          <w:rPr>
                            <w:sz w:val="20"/>
                          </w:rPr>
                          <w:t>Ilgų distancijų bėgimas</w:t>
                        </w:r>
                      </w:p>
                      <w:p>
                        <w:pPr>
                          <w:tabs>
                            <w:tab w:val="left" w:pos="1905"/>
                            <w:tab w:val="center" w:pos="4153"/>
                            <w:tab w:val="right" w:pos="8306"/>
                          </w:tabs>
                          <w:jc w:val="center"/>
                          <w:rPr>
                            <w:sz w:val="20"/>
                          </w:rPr>
                        </w:pPr>
                        <w:r>
                          <w:rPr>
                            <w:sz w:val="20"/>
                          </w:rPr>
                          <w:t>Skvošas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 </w:t>
                        </w:r>
                        <w:r>
                          <w:rPr>
                            <w:sz w:val="20"/>
                          </w:rPr>
                          <w:t>Vidutinis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Šaudymas iš lanko</w:t>
                        </w:r>
                      </w:p>
                      <w:p>
                        <w:pPr>
                          <w:tabs>
                            <w:tab w:val="center" w:pos="4153"/>
                            <w:tab w:val="right" w:pos="8306"/>
                          </w:tabs>
                          <w:jc w:val="center"/>
                          <w:rPr>
                            <w:sz w:val="20"/>
                          </w:rPr>
                        </w:pPr>
                        <w:r>
                          <w:rPr>
                            <w:sz w:val="20"/>
                          </w:rPr>
                          <w:t xml:space="preserve">Buriavimas </w:t>
                        </w:r>
                      </w:p>
                      <w:p>
                        <w:pPr>
                          <w:tabs>
                            <w:tab w:val="center" w:pos="4153"/>
                            <w:tab w:val="right" w:pos="8306"/>
                          </w:tabs>
                          <w:jc w:val="center"/>
                          <w:rPr>
                            <w:sz w:val="20"/>
                          </w:rPr>
                        </w:pPr>
                        <w:r>
                          <w:rPr>
                            <w:sz w:val="20"/>
                          </w:rPr>
                          <w:t>Karatė/dziudo!</w:t>
                        </w:r>
                      </w:p>
                      <w:p>
                        <w:pPr>
                          <w:tabs>
                            <w:tab w:val="center" w:pos="4153"/>
                            <w:tab w:val="right" w:pos="8306"/>
                          </w:tabs>
                          <w:jc w:val="center"/>
                          <w:rPr>
                            <w:sz w:val="20"/>
                          </w:rPr>
                        </w:pPr>
                        <w:r>
                          <w:rPr>
                            <w:sz w:val="20"/>
                          </w:rPr>
                          <w:t>Šuoliai į vandenį!</w:t>
                        </w:r>
                      </w:p>
                      <w:p>
                        <w:pPr>
                          <w:tabs>
                            <w:tab w:val="center" w:pos="4153"/>
                            <w:tab w:val="right" w:pos="8306"/>
                          </w:tabs>
                          <w:jc w:val="center"/>
                          <w:rPr>
                            <w:sz w:val="20"/>
                          </w:rPr>
                        </w:pPr>
                        <w:r>
                          <w:rPr>
                            <w:sz w:val="20"/>
                          </w:rPr>
                          <w:t>Žirgų sportas!</w:t>
                        </w:r>
                      </w:p>
                      <w:p>
                        <w:pPr>
                          <w:tabs>
                            <w:tab w:val="center" w:pos="4153"/>
                            <w:tab w:val="right" w:pos="8306"/>
                          </w:tabs>
                          <w:jc w:val="center"/>
                          <w:rPr>
                            <w:sz w:val="20"/>
                          </w:rPr>
                        </w:pPr>
                        <w:r>
                          <w:rPr>
                            <w:sz w:val="20"/>
                          </w:rPr>
                          <w:t>Automobilių sportas!</w:t>
                        </w:r>
                      </w:p>
                      <w:p>
                        <w:pPr>
                          <w:tabs>
                            <w:tab w:val="left" w:pos="1905"/>
                            <w:tab w:val="center" w:pos="4153"/>
                            <w:tab w:val="right" w:pos="8306"/>
                          </w:tabs>
                          <w:jc w:val="center"/>
                          <w:rPr>
                            <w:sz w:val="20"/>
                          </w:rPr>
                        </w:pPr>
                        <w:r>
                          <w:rPr>
                            <w:sz w:val="20"/>
                          </w:rPr>
                          <w:t>Motosportas!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Lengvoji atletika (šuoliai)</w:t>
                        </w:r>
                      </w:p>
                      <w:p>
                        <w:pPr>
                          <w:tabs>
                            <w:tab w:val="center" w:pos="4153"/>
                            <w:tab w:val="right" w:pos="8306"/>
                          </w:tabs>
                          <w:jc w:val="center"/>
                          <w:rPr>
                            <w:sz w:val="20"/>
                          </w:rPr>
                        </w:pPr>
                        <w:r>
                          <w:rPr>
                            <w:sz w:val="20"/>
                          </w:rPr>
                          <w:t>Lengvoji atletika (sprintas)</w:t>
                        </w:r>
                      </w:p>
                      <w:p>
                        <w:pPr>
                          <w:tabs>
                            <w:tab w:val="center" w:pos="4153"/>
                            <w:tab w:val="right" w:pos="8306"/>
                          </w:tabs>
                          <w:jc w:val="center"/>
                          <w:rPr>
                            <w:sz w:val="20"/>
                            <w:vertAlign w:val="superscript"/>
                          </w:rPr>
                        </w:pPr>
                        <w:r>
                          <w:rPr>
                            <w:sz w:val="20"/>
                          </w:rPr>
                          <w:t>Dailusis čiuožimas</w:t>
                        </w:r>
                        <w:r>
                          <w:rPr>
                            <w:sz w:val="20"/>
                            <w:vertAlign w:val="superscript"/>
                          </w:rPr>
                          <w:t>x</w:t>
                        </w:r>
                      </w:p>
                      <w:p>
                        <w:pPr>
                          <w:tabs>
                            <w:tab w:val="center" w:pos="4153"/>
                            <w:tab w:val="right" w:pos="8306"/>
                          </w:tabs>
                          <w:jc w:val="center"/>
                          <w:rPr>
                            <w:sz w:val="20"/>
                          </w:rPr>
                        </w:pPr>
                        <w:r>
                          <w:rPr>
                            <w:sz w:val="20"/>
                          </w:rPr>
                          <w:t>Šuoliai</w:t>
                        </w:r>
                      </w:p>
                      <w:p>
                        <w:pPr>
                          <w:tabs>
                            <w:tab w:val="center" w:pos="4153"/>
                            <w:tab w:val="right" w:pos="8306"/>
                          </w:tabs>
                          <w:jc w:val="center"/>
                          <w:rPr>
                            <w:sz w:val="20"/>
                          </w:rPr>
                        </w:pPr>
                        <w:r>
                          <w:rPr>
                            <w:sz w:val="20"/>
                          </w:rPr>
                          <w:t>Sprintas</w:t>
                        </w:r>
                      </w:p>
                      <w:p>
                        <w:pPr>
                          <w:tabs>
                            <w:tab w:val="center" w:pos="4153"/>
                            <w:tab w:val="right" w:pos="8306"/>
                          </w:tabs>
                          <w:jc w:val="center"/>
                          <w:rPr>
                            <w:sz w:val="20"/>
                          </w:rPr>
                        </w:pPr>
                        <w:r>
                          <w:rPr>
                            <w:sz w:val="20"/>
                          </w:rPr>
                          <w:t>Regbis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r>
                          <w:rPr>
                            <w:sz w:val="20"/>
                            <w:vertAlign w:val="superscript"/>
                          </w:rPr>
                          <w:t>x</w:t>
                        </w:r>
                        <w:r>
                          <w:rPr>
                            <w:sz w:val="20"/>
                          </w:rPr>
                          <w:t xml:space="preserve"> !</w:t>
                        </w:r>
                      </w:p>
                      <w:p>
                        <w:pPr>
                          <w:tabs>
                            <w:tab w:val="center" w:pos="4153"/>
                            <w:tab w:val="right" w:pos="8306"/>
                          </w:tabs>
                          <w:jc w:val="center"/>
                          <w:rPr>
                            <w:sz w:val="20"/>
                          </w:rPr>
                        </w:pPr>
                        <w:r>
                          <w:rPr>
                            <w:sz w:val="20"/>
                          </w:rPr>
                          <w:t>Sinchroninis plaukimas</w:t>
                        </w:r>
                      </w:p>
                      <w:p>
                        <w:pPr>
                          <w:tabs>
                            <w:tab w:val="left" w:pos="1905"/>
                            <w:tab w:val="center" w:pos="4153"/>
                            <w:tab w:val="right" w:pos="8306"/>
                          </w:tabs>
                          <w:jc w:val="center"/>
                          <w:rPr>
                            <w:sz w:val="20"/>
                          </w:rPr>
                        </w:pPr>
                        <w:r>
                          <w:rPr>
                            <w:sz w:val="20"/>
                          </w:rPr>
                          <w:t>Povandeninis plaukimas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Krepšinis</w:t>
                        </w:r>
                        <w:r>
                          <w:rPr>
                            <w:sz w:val="20"/>
                            <w:vertAlign w:val="superscript"/>
                          </w:rPr>
                          <w:t>x</w:t>
                        </w:r>
                      </w:p>
                      <w:p>
                        <w:pPr>
                          <w:tabs>
                            <w:tab w:val="left" w:pos="1905"/>
                            <w:tab w:val="center" w:pos="4153"/>
                            <w:tab w:val="right" w:pos="8306"/>
                          </w:tabs>
                          <w:jc w:val="center"/>
                          <w:rPr>
                            <w:sz w:val="20"/>
                          </w:rPr>
                        </w:pPr>
                        <w:r>
                          <w:rPr>
                            <w:sz w:val="20"/>
                          </w:rPr>
                          <w:t>Biatlonas</w:t>
                        </w:r>
                      </w:p>
                      <w:p>
                        <w:pPr>
                          <w:tabs>
                            <w:tab w:val="left" w:pos="1905"/>
                            <w:tab w:val="center" w:pos="4153"/>
                            <w:tab w:val="right" w:pos="8306"/>
                          </w:tabs>
                          <w:jc w:val="center"/>
                          <w:rPr>
                            <w:sz w:val="20"/>
                            <w:vertAlign w:val="superscript"/>
                          </w:rPr>
                        </w:pPr>
                        <w:r>
                          <w:rPr>
                            <w:sz w:val="20"/>
                          </w:rPr>
                          <w:t>Ledo ritulys</w:t>
                        </w:r>
                        <w:r>
                          <w:rPr>
                            <w:sz w:val="20"/>
                            <w:vertAlign w:val="superscript"/>
                          </w:rPr>
                          <w:t>x</w:t>
                        </w:r>
                      </w:p>
                      <w:p>
                        <w:pPr>
                          <w:tabs>
                            <w:tab w:val="left" w:pos="1905"/>
                            <w:tab w:val="center" w:pos="4153"/>
                            <w:tab w:val="right" w:pos="8306"/>
                          </w:tabs>
                          <w:jc w:val="center"/>
                          <w:rPr>
                            <w:sz w:val="20"/>
                            <w:vertAlign w:val="superscript"/>
                          </w:rPr>
                        </w:pPr>
                        <w:r>
                          <w:rPr>
                            <w:sz w:val="20"/>
                          </w:rPr>
                          <w:t>Žolės riedulys</w:t>
                        </w:r>
                        <w:r>
                          <w:rPr>
                            <w:sz w:val="20"/>
                            <w:vertAlign w:val="superscript"/>
                          </w:rPr>
                          <w:t>x</w:t>
                        </w:r>
                      </w:p>
                      <w:p>
                        <w:pPr>
                          <w:tabs>
                            <w:tab w:val="left" w:pos="1905"/>
                            <w:tab w:val="center" w:pos="4153"/>
                            <w:tab w:val="right" w:pos="8306"/>
                          </w:tabs>
                          <w:jc w:val="center"/>
                          <w:rPr>
                            <w:sz w:val="20"/>
                            <w:vertAlign w:val="superscript"/>
                          </w:rPr>
                        </w:pPr>
                        <w:r>
                          <w:rPr>
                            <w:sz w:val="20"/>
                          </w:rPr>
                          <w:t>Futbolas</w:t>
                        </w:r>
                        <w:r>
                          <w:rPr>
                            <w:sz w:val="20"/>
                            <w:vertAlign w:val="superscript"/>
                          </w:rPr>
                          <w:t>x</w:t>
                        </w:r>
                      </w:p>
                      <w:p>
                        <w:pPr>
                          <w:tabs>
                            <w:tab w:val="left" w:pos="1905"/>
                            <w:tab w:val="center" w:pos="4153"/>
                            <w:tab w:val="right" w:pos="8306"/>
                          </w:tabs>
                          <w:jc w:val="center"/>
                          <w:rPr>
                            <w:sz w:val="20"/>
                          </w:rPr>
                        </w:pPr>
                        <w:r>
                          <w:rPr>
                            <w:sz w:val="20"/>
                          </w:rPr>
                          <w:t>Slidinėjimas (čiuožėjo žingsniu)</w:t>
                        </w:r>
                      </w:p>
                      <w:p>
                        <w:pPr>
                          <w:tabs>
                            <w:tab w:val="left" w:pos="1905"/>
                            <w:tab w:val="center" w:pos="4153"/>
                            <w:tab w:val="right" w:pos="8306"/>
                          </w:tabs>
                          <w:jc w:val="center"/>
                          <w:rPr>
                            <w:sz w:val="20"/>
                          </w:rPr>
                        </w:pPr>
                        <w:r>
                          <w:rPr>
                            <w:sz w:val="20"/>
                          </w:rPr>
                          <w:t>Lengvoji atletika (vidutinių ir ilgų distancijų bėgimas)</w:t>
                        </w:r>
                      </w:p>
                      <w:p>
                        <w:pPr>
                          <w:tabs>
                            <w:tab w:val="left" w:pos="1905"/>
                            <w:tab w:val="center" w:pos="4153"/>
                            <w:tab w:val="right" w:pos="8306"/>
                          </w:tabs>
                          <w:jc w:val="center"/>
                          <w:rPr>
                            <w:sz w:val="20"/>
                          </w:rPr>
                        </w:pPr>
                        <w:r>
                          <w:rPr>
                            <w:sz w:val="20"/>
                          </w:rPr>
                          <w:t>Šiuolaikinė penkiakovė</w:t>
                        </w:r>
                      </w:p>
                      <w:p>
                        <w:pPr>
                          <w:tabs>
                            <w:tab w:val="left" w:pos="1905"/>
                            <w:tab w:val="center" w:pos="4153"/>
                            <w:tab w:val="right" w:pos="8306"/>
                          </w:tabs>
                          <w:jc w:val="center"/>
                          <w:rPr>
                            <w:sz w:val="20"/>
                          </w:rPr>
                        </w:pPr>
                        <w:r>
                          <w:rPr>
                            <w:sz w:val="20"/>
                          </w:rPr>
                          <w:t>Plaukimas</w:t>
                        </w:r>
                      </w:p>
                      <w:p>
                        <w:pPr>
                          <w:tabs>
                            <w:tab w:val="left" w:pos="1905"/>
                            <w:tab w:val="center" w:pos="4153"/>
                            <w:tab w:val="right" w:pos="8306"/>
                          </w:tabs>
                          <w:jc w:val="center"/>
                          <w:rPr>
                            <w:sz w:val="20"/>
                          </w:rPr>
                        </w:pPr>
                        <w:r>
                          <w:rPr>
                            <w:sz w:val="20"/>
                          </w:rPr>
                          <w:t>Tenisas (vienetai)</w:t>
                        </w:r>
                      </w:p>
                      <w:p>
                        <w:pPr>
                          <w:tabs>
                            <w:tab w:val="left" w:pos="1905"/>
                            <w:tab w:val="center" w:pos="4153"/>
                            <w:tab w:val="right" w:pos="8306"/>
                          </w:tabs>
                          <w:jc w:val="center"/>
                          <w:rPr>
                            <w:sz w:val="20"/>
                          </w:rPr>
                        </w:pPr>
                        <w:r>
                          <w:rPr>
                            <w:sz w:val="20"/>
                          </w:rPr>
                          <w:t>Rankinis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III. </w:t>
                        </w:r>
                        <w:r>
                          <w:rPr>
                            <w:sz w:val="20"/>
                          </w:rPr>
                          <w:t>Aukštas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Bobslėjus!</w:t>
                        </w:r>
                      </w:p>
                      <w:p>
                        <w:pPr>
                          <w:tabs>
                            <w:tab w:val="center" w:pos="4153"/>
                            <w:tab w:val="right" w:pos="8306"/>
                          </w:tabs>
                          <w:jc w:val="center"/>
                          <w:rPr>
                            <w:sz w:val="20"/>
                          </w:rPr>
                        </w:pPr>
                        <w:r>
                          <w:rPr>
                            <w:sz w:val="20"/>
                          </w:rPr>
                          <w:t>Alpinizmas</w:t>
                        </w:r>
                      </w:p>
                      <w:p>
                        <w:pPr>
                          <w:tabs>
                            <w:tab w:val="center" w:pos="4153"/>
                            <w:tab w:val="right" w:pos="8306"/>
                          </w:tabs>
                          <w:jc w:val="center"/>
                          <w:rPr>
                            <w:sz w:val="20"/>
                            <w:vertAlign w:val="superscript"/>
                          </w:rPr>
                        </w:pPr>
                        <w:r>
                          <w:rPr>
                            <w:sz w:val="20"/>
                          </w:rPr>
                          <w:t>Kovų menai</w:t>
                        </w:r>
                        <w:r>
                          <w:rPr>
                            <w:sz w:val="20"/>
                            <w:vertAlign w:val="superscript"/>
                          </w:rPr>
                          <w:t>x</w:t>
                        </w:r>
                      </w:p>
                      <w:p>
                        <w:pPr>
                          <w:tabs>
                            <w:tab w:val="center" w:pos="4153"/>
                            <w:tab w:val="right" w:pos="8306"/>
                          </w:tabs>
                          <w:jc w:val="center"/>
                          <w:rPr>
                            <w:sz w:val="20"/>
                          </w:rPr>
                        </w:pPr>
                        <w:r>
                          <w:rPr>
                            <w:sz w:val="20"/>
                          </w:rPr>
                          <w:t>Sunkumų kilnojimas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p>
                      <w:p>
                        <w:pPr>
                          <w:tabs>
                            <w:tab w:val="left" w:pos="1905"/>
                            <w:tab w:val="center" w:pos="4153"/>
                            <w:tab w:val="right" w:pos="8306"/>
                          </w:tabs>
                          <w:jc w:val="center"/>
                          <w:rPr>
                            <w:sz w:val="20"/>
                          </w:rPr>
                        </w:pPr>
                        <w:r>
                          <w:rPr>
                            <w:sz w:val="20"/>
                          </w:rPr>
                          <w:t>Vandens slidės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Gimnastika</w:t>
                        </w:r>
                        <w:r>
                          <w:rPr>
                            <w:sz w:val="20"/>
                            <w:vertAlign w:val="superscript"/>
                          </w:rPr>
                          <w:t xml:space="preserve">x </w:t>
                        </w:r>
                        <w:r>
                          <w:rPr>
                            <w:sz w:val="20"/>
                          </w:rPr>
                          <w:t xml:space="preserve">! </w:t>
                        </w:r>
                      </w:p>
                      <w:p>
                        <w:pPr>
                          <w:tabs>
                            <w:tab w:val="left" w:pos="1905"/>
                            <w:tab w:val="center" w:pos="4153"/>
                            <w:tab w:val="right" w:pos="8306"/>
                          </w:tabs>
                          <w:jc w:val="center"/>
                          <w:rPr>
                            <w:sz w:val="20"/>
                          </w:rPr>
                        </w:pPr>
                        <w:r>
                          <w:rPr>
                            <w:sz w:val="20"/>
                          </w:rPr>
                          <w:t>Lengvoji atletika (metimai)</w:t>
                        </w:r>
                      </w:p>
                      <w:p>
                        <w:pPr>
                          <w:tabs>
                            <w:tab w:val="left" w:pos="1905"/>
                            <w:tab w:val="center" w:pos="4153"/>
                            <w:tab w:val="right" w:pos="8306"/>
                          </w:tabs>
                          <w:jc w:val="center"/>
                          <w:rPr>
                            <w:sz w:val="20"/>
                          </w:rPr>
                        </w:pPr>
                        <w:r>
                          <w:rPr>
                            <w:sz w:val="20"/>
                          </w:rPr>
                          <w:t>Buriavimas</w:t>
                        </w:r>
                        <w:r>
                          <w:rPr>
                            <w:vertAlign w:val="superscript"/>
                          </w:rPr>
                          <w:t>x</w:t>
                        </w:r>
                        <w:r>
                          <w:rPr>
                            <w:sz w:val="20"/>
                            <w:vertAlign w:val="superscript"/>
                          </w:rPr>
                          <w:t xml:space="preserve"> </w:t>
                        </w:r>
                        <w:r>
                          <w:rPr>
                            <w:sz w:val="20"/>
                          </w:rPr>
                          <w:t>!</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Kultūrizmas</w:t>
                        </w:r>
                        <w:r>
                          <w:rPr>
                            <w:sz w:val="20"/>
                            <w:vertAlign w:val="superscript"/>
                          </w:rPr>
                          <w:t>x</w:t>
                        </w:r>
                        <w:r>
                          <w:rPr>
                            <w:sz w:val="20"/>
                          </w:rPr>
                          <w:t xml:space="preserve"> !</w:t>
                        </w:r>
                      </w:p>
                      <w:p>
                        <w:pPr>
                          <w:tabs>
                            <w:tab w:val="center" w:pos="4153"/>
                            <w:tab w:val="right" w:pos="8306"/>
                          </w:tabs>
                          <w:jc w:val="center"/>
                          <w:rPr>
                            <w:sz w:val="20"/>
                          </w:rPr>
                        </w:pPr>
                        <w:r>
                          <w:rPr>
                            <w:sz w:val="20"/>
                          </w:rPr>
                          <w:t>Kalnų slidinėjimas</w:t>
                        </w:r>
                        <w:r>
                          <w:rPr>
                            <w:sz w:val="20"/>
                            <w:vertAlign w:val="superscript"/>
                          </w:rPr>
                          <w:t>x</w:t>
                        </w:r>
                        <w:r>
                          <w:rPr>
                            <w:sz w:val="20"/>
                          </w:rPr>
                          <w:t xml:space="preserve"> !</w:t>
                        </w:r>
                      </w:p>
                      <w:p>
                        <w:pPr>
                          <w:tabs>
                            <w:tab w:val="center" w:pos="4153"/>
                            <w:tab w:val="right" w:pos="8306"/>
                          </w:tabs>
                          <w:jc w:val="center"/>
                          <w:rPr>
                            <w:sz w:val="20"/>
                            <w:vertAlign w:val="superscript"/>
                          </w:rPr>
                        </w:pPr>
                        <w:r>
                          <w:rPr>
                            <w:sz w:val="20"/>
                          </w:rPr>
                          <w:t>Imtynės</w:t>
                        </w:r>
                        <w:r>
                          <w:rPr>
                            <w:sz w:val="20"/>
                            <w:vertAlign w:val="superscript"/>
                          </w:rPr>
                          <w:t>x</w:t>
                        </w:r>
                      </w:p>
                      <w:p>
                        <w:pPr>
                          <w:tabs>
                            <w:tab w:val="left" w:pos="1905"/>
                            <w:tab w:val="center" w:pos="4153"/>
                            <w:tab w:val="right" w:pos="8306"/>
                          </w:tabs>
                          <w:jc w:val="center"/>
                          <w:rPr>
                            <w:sz w:val="20"/>
                          </w:rPr>
                        </w:pPr>
                        <w:r>
                          <w:rPr>
                            <w:sz w:val="20"/>
                          </w:rPr>
                          <w:t>Snieglentės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Riedlentės</w:t>
                        </w:r>
                        <w:r>
                          <w:rPr>
                            <w:sz w:val="20"/>
                            <w:vertAlign w:val="superscript"/>
                          </w:rPr>
                          <w:t>x</w:t>
                        </w:r>
                        <w:r>
                          <w:rPr>
                            <w:sz w:val="20"/>
                          </w:rPr>
                          <w:t xml:space="preserve"> !</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Boksas</w:t>
                        </w:r>
                        <w:r>
                          <w:rPr>
                            <w:sz w:val="20"/>
                            <w:vertAlign w:val="superscript"/>
                          </w:rPr>
                          <w:t>x</w:t>
                        </w:r>
                      </w:p>
                      <w:p>
                        <w:pPr>
                          <w:tabs>
                            <w:tab w:val="left" w:pos="1905"/>
                            <w:tab w:val="center" w:pos="4153"/>
                            <w:tab w:val="right" w:pos="8306"/>
                          </w:tabs>
                          <w:jc w:val="center"/>
                          <w:rPr>
                            <w:sz w:val="20"/>
                          </w:rPr>
                        </w:pPr>
                        <w:r>
                          <w:rPr>
                            <w:sz w:val="20"/>
                          </w:rPr>
                          <w:t>Baidarių ir kanojų irklavimas</w:t>
                        </w:r>
                      </w:p>
                      <w:p>
                        <w:pPr>
                          <w:tabs>
                            <w:tab w:val="left" w:pos="1905"/>
                            <w:tab w:val="center" w:pos="4153"/>
                            <w:tab w:val="right" w:pos="8306"/>
                          </w:tabs>
                          <w:jc w:val="center"/>
                          <w:rPr>
                            <w:sz w:val="20"/>
                            <w:vertAlign w:val="superscript"/>
                          </w:rPr>
                        </w:pPr>
                        <w:r>
                          <w:rPr>
                            <w:sz w:val="20"/>
                          </w:rPr>
                          <w:t>Dviračių sportas</w:t>
                        </w:r>
                        <w:r>
                          <w:rPr>
                            <w:sz w:val="20"/>
                            <w:vertAlign w:val="superscript"/>
                          </w:rPr>
                          <w:t>x</w:t>
                        </w:r>
                      </w:p>
                      <w:p>
                        <w:pPr>
                          <w:tabs>
                            <w:tab w:val="left" w:pos="1905"/>
                            <w:tab w:val="center" w:pos="4153"/>
                            <w:tab w:val="right" w:pos="8306"/>
                          </w:tabs>
                          <w:jc w:val="center"/>
                          <w:rPr>
                            <w:sz w:val="20"/>
                          </w:rPr>
                        </w:pPr>
                        <w:r>
                          <w:rPr>
                            <w:sz w:val="20"/>
                          </w:rPr>
                          <w:t>Lengvoji atletika (dešimtkovė)</w:t>
                        </w:r>
                      </w:p>
                      <w:p>
                        <w:pPr>
                          <w:tabs>
                            <w:tab w:val="left" w:pos="1905"/>
                            <w:tab w:val="center" w:pos="4153"/>
                            <w:tab w:val="right" w:pos="8306"/>
                          </w:tabs>
                          <w:jc w:val="center"/>
                          <w:rPr>
                            <w:sz w:val="20"/>
                          </w:rPr>
                        </w:pPr>
                        <w:r>
                          <w:rPr>
                            <w:sz w:val="20"/>
                          </w:rPr>
                          <w:t>Irklavimas</w:t>
                        </w:r>
                      </w:p>
                      <w:p>
                        <w:pPr>
                          <w:tabs>
                            <w:tab w:val="center" w:pos="4153"/>
                            <w:tab w:val="right" w:pos="8306"/>
                          </w:tabs>
                          <w:jc w:val="center"/>
                          <w:rPr>
                            <w:sz w:val="20"/>
                          </w:rPr>
                        </w:pPr>
                        <w:r>
                          <w:rPr>
                            <w:sz w:val="20"/>
                          </w:rPr>
                          <w:t>Greitasis čiuožimas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Triatlonas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Dekatlonas</w:t>
                        </w:r>
                        <w:r>
                          <w:rPr>
                            <w:sz w:val="20"/>
                            <w:vertAlign w:val="superscript"/>
                          </w:rPr>
                          <w:t xml:space="preserve"> x </w:t>
                        </w:r>
                        <w:r>
                          <w:rPr>
                            <w:sz w:val="20"/>
                          </w:rPr>
                          <w:t>!</w:t>
                        </w:r>
                      </w:p>
                    </w:tc>
                  </w:tr>
                </w:tbl>
                <w:p>
                  <w:pPr>
                    <w:tabs>
                      <w:tab w:val="left" w:pos="1905"/>
                    </w:tabs>
                    <w:ind w:firstLine="567"/>
                    <w:jc w:val="both"/>
                  </w:pPr>
                </w:p>
                <w:p>
                  <w:pPr>
                    <w:tabs>
                      <w:tab w:val="left" w:pos="1905"/>
                    </w:tabs>
                    <w:ind w:firstLine="634"/>
                    <w:jc w:val="both"/>
                  </w:pPr>
                  <w:r>
                    <w:rPr>
                      <w:vertAlign w:val="superscript"/>
                    </w:rPr>
                    <w:t xml:space="preserve">x </w:t>
                  </w:r>
                  <w:r>
                    <w:t>– didelė su(si)žeidimų rizika; ! – didelė pasikartojančių sinkopių rizika.“</w:t>
                  </w:r>
                </w:p>
                <w:p>
                  <w:pPr>
                    <w:ind w:firstLine="567"/>
                    <w:jc w:val="both"/>
                  </w:pPr>
                </w:p>
              </w:sdtContent>
            </w:sdt>
          </w:sdtContent>
        </w:sdt>
        <w:sdt>
          <w:sdtPr>
            <w:alias w:val="skyrius"/>
            <w:tag w:val="part_445c60dff25a43aa86b618e36ec8bf04"/>
            <w:lock w:val="sdtLocked"/>
            <w:richText/>
          </w:sdtPr>
          <w:sdtContent>
            <w:p>
              <w:pPr>
                <w:jc w:val="center"/>
                <w:rPr>
                  <w:b/>
                  <w:caps/>
                </w:rPr>
              </w:pPr>
              <w:sdt>
                <w:sdtPr>
                  <w:alias w:val="Numeris"/>
                  <w:tag w:val="nr_445c60dff25a43aa86b618e36ec8bf04"/>
                  <w:lock w:val="sdtLocked"/>
                  <w:richText/>
                </w:sdtPr>
                <w:sdtContent>
                  <w:r>
                    <w:rPr>
                      <w:b/>
                    </w:rPr>
                    <w:t>II</w:t>
                  </w:r>
                </w:sdtContent>
              </w:sdt>
              <w:r>
                <w:rPr>
                  <w:b/>
                </w:rPr>
                <w:t xml:space="preserve">. </w:t>
              </w:r>
              <w:sdt>
                <w:sdtPr>
                  <w:alias w:val="Pavadinimas"/>
                  <w:tag w:val="title_445c60dff25a43aa86b618e36ec8bf04"/>
                  <w:lock w:val="sdtLocked"/>
                  <w:richText/>
                </w:sdtPr>
                <w:sdtContent>
                  <w:r>
                    <w:rPr>
                      <w:b/>
                      <w:caps/>
                    </w:rPr>
                    <w:t xml:space="preserve">ligų ir patologinių būsenų SĄRAŠAS, kurioms esant Ribojamas fizinis krŪvis arba nerekomenduojama sportuoti </w:t>
                  </w:r>
                </w:sdtContent>
              </w:sdt>
            </w:p>
            <w:p>
              <w:pPr>
                <w:jc w:val="center"/>
                <w:rPr>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8"/>
                <w:gridCol w:w="1932"/>
                <w:gridCol w:w="1188"/>
                <w:gridCol w:w="6"/>
                <w:gridCol w:w="37"/>
                <w:gridCol w:w="42"/>
                <w:gridCol w:w="41"/>
                <w:gridCol w:w="754"/>
                <w:gridCol w:w="1554"/>
                <w:gridCol w:w="385"/>
                <w:gridCol w:w="1943"/>
              </w:tblGrid>
              <w:tr>
                <w:trPr>
                  <w:trHeight w:val="20"/>
                  <w:tblHeader/>
                </w:trPr>
                <w:tc>
                  <w:tcPr>
                    <w:tcW w:w="1188" w:type="dxa"/>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Eil. Nr.</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Ligos ir patologinės būsenos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Asmenims, lankantiems sporto mokymo įstaigas, sporto klases, sporto gimnazijas; Lietuvos olimpinio sporto centro sportininkams, Lietuvos olimpinės rinktinės kandidatams ir sportininkams, esantiems šios rinktinės rezerve</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Sportuotojams, sveikos gyvensenos puoselėtojams, individualiai sportuojantiesiems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ūmios ligos ir lėtinių ligų paūmėjimo stadijos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Fizinio išsivystymo ypatybės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Ryškus fizinio vystymosi atsilikimas, trukdantis atlikti pratimus ir normatyvus, numatytus ugdymo programose; ryški kūno ir galūnių disproporcija. M95-M99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2.2.2.</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rankų deformacijos, trukdančios atlikti įvairius fizinius pratimus. M95</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2.2.3.</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krūtinės ląstos deformacija, trikdanti normalią krūtinės ląstos organų funkciją.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2.2.4.</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dubens deformacija, turinti įtakos laikysenai bei eisenos biomechanikai. M95,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2.2.5.</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Viena koja trumpesnė daugiau nei 3 cm (net esant visavertei eisenai); kojų deformacijos: iškrypimas į vidų („X“ formos) ar į išorę („O“ formos), kai atstumas tarp vidinių šlaunies krumplių arba vidinių kulkšnelių paviršiaus yra daugiau nei 12 cm.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Nervų ir psichikos ligos. Centrinės ir periferinės nervų sistemos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2.3.1.</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Psichoziniai ir nepsichoziniai psichikos sutrikimai dėl organinio galvos smegenų pakenkimo. Endogeninės psichozės: šizofrenija ir afektinės psichozės. Simptomatinės psichozės ir kiti egzogeninės etiologijos psichikos sutrikimai. G00-G09, F00-F09, F20-F29, F50-F59, F70-79, F99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2.3.2. </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Reakcinės psichozės ir neurotiniai sutrikimai. F40-48</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2.3.3.</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Protinis atsilikimas. F70-F79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2.3.4.</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Epilepsija. G40-47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eigą, nerekomenduojamos treniruotės vandenyje, aukštyje, su įrankiais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2.3.5.</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Centrinės nervų sistemos infekcinės, parazitinės, virusinės ligos ir jų padariniai. Galvos ir stuburo smegenų pažeidimai esant bendroms infekcijoms, ūmioms ir lėtinėms intoksikacijoms ir jų padariniai (asteninė, neurocirkuliacinė distonija, nuolatiniai išsėtiniai organiniai požymiai). G00-G09, G10-G13, G35-G37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2.3.6.</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traumos ir jų padariniai. S00-S09, T90</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Atsižvelgiant į traumos sunkumą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2.3.7.</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kraujagyslių ligos ir jų padariniai (subarachnoidiniai, vidiniai smegenų ir kiti intrakranijiniai kraujo išsiliejimai, infarktas, tranzitorinė smegenų išemija ir kt. G00-G09, G44, G45</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sunkumą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Vidaus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Įgimtos širdies ydos: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42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Prieširdžių pertvaros defektas (PPD). I51.0 nedidelis PPD, esant normaliam dešiniam skilveliui, be plaučių hipertenzijos;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0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PPD ir nepakitęs spaudimas plaučių arterijoje;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Galimos visos sporto šakos</w:t>
                    </w:r>
                  </w:p>
                </w:tc>
              </w:tr>
              <w:tr>
                <w:trPr>
                  <w:trHeight w:val="447"/>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IA klasės sporto šakos pagal statinio ir dinaminio krūvio klasifikaciją (toliau – SDK klasifikacija) </w:t>
                    </w:r>
                  </w:p>
                </w:tc>
              </w:tr>
              <w:tr>
                <w:trPr>
                  <w:trHeight w:val="186"/>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 esant plaučių arterijos vožtuvo stenozei, cianozei ir dideliam šuntui iš dešinės į kairę;</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Sportuoti nerekomenduojama</w:t>
                    </w:r>
                  </w:p>
                </w:tc>
              </w:tr>
              <w:tr>
                <w:trPr>
                  <w:trHeight w:val="70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po PPD uždarymo operacijos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Sportuoti gali po 3–6 mėn., jei nėra:</w:t>
                    </w:r>
                  </w:p>
                  <w:p>
                    <w:pPr>
                      <w:widowControl w:val="0"/>
                    </w:pPr>
                    <w:r>
                      <w:t>plaučių hipertenzijos, ritmo ir laidumo sutrikimų, miokardo disfunkcijos</w:t>
                    </w:r>
                  </w:p>
                </w:tc>
              </w:tr>
              <w:tr>
                <w:trPr>
                  <w:trHeight w:val="72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Skilvelių pertvaros defektas (SPD). I51.0 SPD ir 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SPD;</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Operacinis gydymas</w:t>
                    </w:r>
                  </w:p>
                </w:tc>
              </w:tr>
              <w:tr>
                <w:trPr>
                  <w:trHeight w:val="163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po SPD operacinio gydymo;</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Po 3–6 mėn. gali sportuoti, jei nėra nusiskundimų, nėra defekto recidyvo, plaučių arterijos hipertenzijos, tachikardijos, miokardo disfunkcijos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esant vidutinio laipsnio plaučių hipertenzijai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Atviras arterinis latakas (AAL). I70-I79 nedidelis AAL ir normalus kairysis skilvelis;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ar didelis AAL su kairiojo skilvelio padidėjimu;</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Būtinas operacinis gydymas </w:t>
                    </w:r>
                  </w:p>
                </w:tc>
              </w:tr>
              <w:tr>
                <w:trPr>
                  <w:trHeight w:val="97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3–6 mėn. po operacijos, pacientai be klinikinių simptomų, nesant plaučių hipertenzijos ir kairiojo skilvelio padidėjimo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Galimos visos sporto šakos </w:t>
                    </w:r>
                  </w:p>
                </w:tc>
              </w:tr>
              <w:tr>
                <w:trPr>
                  <w:trHeight w:val="43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Plaučių arterijos stenozė. I28</w:t>
                    </w:r>
                  </w:p>
                  <w:p>
                    <w:pPr>
                      <w:widowControl w:val="0"/>
                      <w:ind w:firstLine="67"/>
                    </w:pPr>
                    <w:r>
                      <w:t xml:space="preserve">jei maks. sistolinis gradientas per vožtuvą &lt;40 mm Hg ir normali dešiniojo skilvelio funkcija; </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 bet privalo tikrintis kasmet</w:t>
                    </w:r>
                  </w:p>
                </w:tc>
              </w:tr>
              <w:tr>
                <w:trPr>
                  <w:trHeight w:val="124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ind w:firstLine="67"/>
                    </w:pPr>
                    <w:r>
                      <w:t>jei maks. sistolinis gradientas &gt; 40 mm 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 dalyvauti IA ir IB klasės sporto šakose (pagal SDK klasifikaciją); siūlomas chirurginis gydymas</w:t>
                    </w:r>
                  </w:p>
                </w:tc>
              </w:tr>
              <w:tr>
                <w:trPr>
                  <w:trHeight w:val="81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ind w:firstLine="67"/>
                    </w:pPr>
                    <w:r>
                      <w:t>po operacijos, jei nėra klinikinių simptomų</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115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ind w:firstLine="67"/>
                    </w:pPr>
                    <w:r>
                      <w:t>Aortos vožtuvo stenozė (AVS). I35.2</w:t>
                    </w:r>
                  </w:p>
                  <w:p>
                    <w:pPr>
                      <w:widowControl w:val="0"/>
                    </w:pPr>
                    <w:r>
                      <w:t>nedidelė AVS ( jei normali EKG, fizinio krūvio tolerancija, nebuvę krūtinės skausmų, sinkopių, tachiaritmijų anamnezėje);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vidutinė AVS;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35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jei echoskopija nerodo KS hipertrofijos, jei krūvio metu nestebima išemijos ar tachiaritmijos epizodų,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ir IB sporto šakos</w:t>
                    </w:r>
                  </w:p>
                </w:tc>
              </w:tr>
              <w:tr>
                <w:trPr>
                  <w:trHeight w:val="61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jei normali krūvio trukmė ir kraujospūdžio kitimas; didelė AVS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88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Dviburis aortos vožtuvas (DAV) ir aortos šaknies dilatacija. I35.8</w:t>
                    </w:r>
                  </w:p>
                  <w:p>
                    <w:pPr>
                      <w:widowControl w:val="0"/>
                    </w:pPr>
                    <w:r>
                      <w:t>DAV + aortos šaknies dilatacija &lt;40 mm;</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DAV + aortos šaknies dilatacija 40–50 mm;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IIA ir IIB, vengti traumų</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DAV + aortos šaknies dilatacija &gt;45 mm;</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9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koarktacija (AK). I35.9</w:t>
                    </w:r>
                  </w:p>
                  <w:p>
                    <w:pPr>
                      <w:widowControl w:val="0"/>
                    </w:pPr>
                    <w:r>
                      <w:t>nedidelė AK, esant geroms kolateralėms, normaliam krūvio testui (AKS&lt;230 mmHg) ir mažam spaudimų gradientui tarp rankų ir kojų (&lt; 20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9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sistolinis gradientas tarp rankų ir kojų &gt;20 mm Hg ir sistolinis kraujospūdis krūvio metu &gt;230 mm Hg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 iki gydymo</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pirmaisiais metais po operacijos (nesant patologijos);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 IIIA, IIIB ir IIIC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pirmaisiais metais po operacijos, jei išlieka reikšminga aortos dilatacija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ir IB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Įgytos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91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Mitralinė stenozė (MS). I34</w:t>
                    </w:r>
                  </w:p>
                  <w:p>
                    <w:pPr>
                      <w:widowControl w:val="0"/>
                    </w:pPr>
                    <w:r>
                      <w:t>nedidelė MS + sinusinis ritmas + maksimalus spaudimas plaučių arterijoje &lt; 50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MS + sinusinis ritmas ar prieširdžių virpėjimas + maksimalus spaudimas plaučių arterijoje &lt; 50 mmHg;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ir IIB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didelė MS;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tabs>
                        <w:tab w:val="left" w:pos="1095"/>
                      </w:tabs>
                    </w:pPr>
                    <w:r>
                      <w:t>netiesioginio veikimo antikoaguliantus vartojantys pacientai (dėl PV)</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 išskyrus tas, kuriose galimos traumos</w:t>
                    </w:r>
                  </w:p>
                </w:tc>
              </w:tr>
              <w:tr>
                <w:trPr>
                  <w:trHeight w:val="108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nesandarumas (MVN). I34</w:t>
                    </w:r>
                  </w:p>
                  <w:p>
                    <w:pPr>
                      <w:widowControl w:val="0"/>
                    </w:pPr>
                    <w:r>
                      <w:t>nedidelis ar vidutinis MVN+sinusinis ritmas+nomalus KS dydis ir funkcija+normalus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581"/>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vidutinis MVN </w:t>
                    </w:r>
                    <w:r>
                      <w:rPr>
                        <w:lang w:val="pt-BR"/>
                      </w:rPr>
                      <w:t xml:space="preserve">+ </w:t>
                    </w:r>
                    <w:r>
                      <w:t>KS nedidelis padidėjimas;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didelis MVN</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49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stenozė (AVS). I35</w:t>
                    </w:r>
                  </w:p>
                  <w:p>
                    <w:pPr>
                      <w:widowControl w:val="0"/>
                    </w:pPr>
                    <w:r>
                      <w:t>nedidelė AVS;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bet sveikatą tikrintis ne rečiau kaip kartą per metus </w:t>
                    </w:r>
                  </w:p>
                </w:tc>
              </w:tr>
              <w:tr>
                <w:trPr>
                  <w:trHeight w:val="75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2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 jei fizinio krūvio testas neigiamas, nėra ST depresijos ir tachiaritmijų, normalus kraujospūdis;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didelė AVS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53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nesandarumas (AVN). I35.2–I35.8 nedidelis ar vidutinis:</w:t>
                    </w:r>
                  </w:p>
                  <w:p>
                    <w:pPr>
                      <w:widowControl w:val="0"/>
                    </w:pPr>
                    <w:r>
                      <w:t>a) jei KS diastolinis diametras (dd) normalus ar nežymiai padidėjęs;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2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b) jei KS diastolinis diametras </w:t>
                    </w:r>
                    <w:r>
                      <w:rPr>
                        <w:lang w:val="pt-BR"/>
                      </w:rPr>
                      <w:t xml:space="preserve">60–65 </w:t>
                    </w:r>
                    <w:r>
                      <w:t>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c) jei skilvelinės ekstrasistolės krūvio metu ar ramybėje;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AVN ir KS diastolinis diametras &gt; 65 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nedidelis AVN ir kylančios aortos dilatacija (45 mm), jei nėra Marfano sindromo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Triburio vožtuvo nesandarumas. I36, jei DS funkcija nesutrikusi, spaudimas DP &lt; 20 mm Hg</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4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Protezuoti širdies vožtuvai. T82</w:t>
                    </w:r>
                  </w:p>
                  <w:p>
                    <w:pPr>
                      <w:widowControl w:val="0"/>
                    </w:pPr>
                    <w:r>
                      <w:t>mitralinio vožtuvo bioprotezas (be antikoaguliantų, esant normaliai vožtuvo funkcijai ir KS būklei);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Pagal SDK klasifikaciją rekomenduojamos IA, IB, IIA sporto šakos</w:t>
                    </w:r>
                  </w:p>
                </w:tc>
              </w:tr>
              <w:tr>
                <w:trPr>
                  <w:trHeight w:val="252"/>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mechaninis ar biologinis aortos protezas (normali funkcija ir KS būklė);</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64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nepriklausomai nuo kitų sąlygų, sportininkai su vožtuvų protezais, vartojantys antikoaguliantus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 Nerekomenduojama, jei yra traumų pavojus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Genetinės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4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2.4.3.1.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prolapsas (MVP). I34</w:t>
                    </w:r>
                  </w:p>
                  <w:p>
                    <w:pPr>
                      <w:widowControl w:val="0"/>
                    </w:pPr>
                    <w:r>
                      <w:t>MVP, jei nėra:</w:t>
                    </w:r>
                  </w:p>
                  <w:p>
                    <w:pPr>
                      <w:widowControl w:val="0"/>
                    </w:pPr>
                    <w:r>
                      <w:t>a) sinkopių anamnezėje;</w:t>
                    </w:r>
                  </w:p>
                  <w:p>
                    <w:pPr>
                      <w:widowControl w:val="0"/>
                    </w:pPr>
                    <w:r>
                      <w:t xml:space="preserve">b) Holterio tyrime fiksuotų skilvelinių </w:t>
                    </w:r>
                  </w:p>
                  <w:p>
                    <w:pPr>
                      <w:widowControl w:val="0"/>
                    </w:pPr>
                    <w:r>
                      <w:t>ekstrasistolių;</w:t>
                    </w:r>
                  </w:p>
                  <w:p>
                    <w:pPr>
                      <w:widowControl w:val="0"/>
                    </w:pPr>
                    <w:r>
                      <w:t>c) supraventrikulinių paroksizmų;</w:t>
                    </w:r>
                  </w:p>
                  <w:p>
                    <w:pPr>
                      <w:widowControl w:val="0"/>
                    </w:pPr>
                    <w:r>
                      <w:t>d) vidutinio laipsnio miokardo nepakankamumo;</w:t>
                    </w:r>
                  </w:p>
                  <w:p>
                    <w:pPr>
                      <w:widowControl w:val="0"/>
                    </w:pPr>
                    <w:r>
                      <w:t>e) kairiojo skilvelio IF &lt; 50 %;</w:t>
                    </w:r>
                  </w:p>
                  <w:p>
                    <w:pPr>
                      <w:widowControl w:val="0"/>
                    </w:pPr>
                    <w:r>
                      <w:t>f) buvusios embolijos;</w:t>
                    </w:r>
                  </w:p>
                  <w:p>
                    <w:pPr>
                      <w:widowControl w:val="0"/>
                    </w:pPr>
                    <w:r>
                      <w:t>g) staigių mirčių šeimoje dėl MVP.</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w:t>
                    </w:r>
                  </w:p>
                </w:tc>
              </w:tr>
              <w:tr>
                <w:trPr>
                  <w:trHeight w:val="419"/>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MVP ir minėti pakitimai</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Marfano sindromas. Q87.4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sporto šakos IA ir IIA , jei nėra:</w:t>
                    </w:r>
                  </w:p>
                  <w:p>
                    <w:pPr>
                      <w:widowControl w:val="0"/>
                    </w:pPr>
                    <w:r>
                      <w:t>a) aortos šaknies dilatacijos;</w:t>
                    </w:r>
                  </w:p>
                  <w:p>
                    <w:pPr>
                      <w:widowControl w:val="0"/>
                    </w:pPr>
                    <w:r>
                      <w:t>b) vidutinio ar didelio mitralinio nesandarumo;</w:t>
                    </w:r>
                  </w:p>
                  <w:p>
                    <w:pPr>
                      <w:widowControl w:val="0"/>
                    </w:pPr>
                    <w:r>
                      <w:t xml:space="preserve">c) staigios mirties </w:t>
                    </w:r>
                  </w:p>
                  <w:p>
                    <w:pPr>
                      <w:widowControl w:val="0"/>
                    </w:pPr>
                    <w:r>
                      <w:t>šeimyninės anamnezės dėl Marfano sindromo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Visos kardiomiopatijos. I42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Reumatas, širdies reumatinės ligos (reumatoidinis perikarditas, miokarditas, reumatinės širdies vožtuvų ydos). I05-I09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Praėjus dviem metams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Nereumatiniai miokarditai, endokarditai. I30-I52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nesukėlusiu miokardosklerozės, ir neturintys širdies ritmo bei laidumo sutrikimų, gerai toleruojantys fizinį krūvį, gali pradėti sportuoti praėjus 24 mėn. po visiško pasveikimo</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nesulėlusiu miokardosklerozės, ir neturintys širdies ritmo bei laidumo sutrikimų, gerai toleruojantys fizinį krūvį, gali pradėti sportuoti praėjus 24 mėn.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Širdies ritmo ir laidumo sutrikimai.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tabs>
                        <w:tab w:val="left" w:pos="0"/>
                        <w:tab w:val="left" w:pos="64"/>
                        <w:tab w:val="left" w:pos="727"/>
                      </w:tabs>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Aritmogeninė dešiniojo skilvelio displazija (monomorfinė kairiosios Hiso pluošto kojytės blokados morfologijos su ašies nuokrypiu į kairę su skilvelių tachikardija).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Supraventrikulinė tachikardija.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Po kateterinės abliacijos gydymo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WPW sindromas. I45.6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Prieširdžių virpėjimas.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Dažnos skilvelinės ekstrosistolės, registruojamos EKG fizinio krūvio metu. I49.4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Neurokardiogeninės sinkopės. I51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rPr>
                        <w:lang w:val="en-GB"/>
                      </w:rPr>
                    </w:pPr>
                    <w:r>
                      <w:t>2.4.6.</w:t>
                    </w:r>
                    <w:r>
                      <w:rPr>
                        <w:lang w:val="en-GB"/>
                      </w:rPr>
                      <w:t>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Gyvybei grėsmingos skilvelių tachiaritmijos (visos skilvelių tachikardijos kartu esant struktūrinei širdies ligai, </w:t>
                    </w:r>
                    <w:r>
                      <w:rPr>
                        <w:i/>
                      </w:rPr>
                      <w:t>Torsade de pointes,</w:t>
                    </w:r>
                    <w:r>
                      <w:t xml:space="preserve"> polimorfinė skilvelinė tachikardija, skilvelių virpėjimas).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Katecholaminerginė skilvelių tachikardija. I47.1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Ilgo QT sindromas (II derivacijoje &gt;440 ms vyrams ir &gt;460 ms moterims).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Brugada sindromas (dešinės Hiso pluošto kojytės blokada ir ST pakilimas V</w:t>
                    </w:r>
                    <w:r>
                      <w:rPr>
                        <w:vertAlign w:val="subscript"/>
                      </w:rPr>
                      <w:t>1</w:t>
                    </w:r>
                    <w:r>
                      <w:t>-V</w:t>
                    </w:r>
                    <w:r>
                      <w:rPr>
                        <w:vertAlign w:val="subscript"/>
                      </w:rPr>
                      <w:t>3</w:t>
                    </w:r>
                    <w:r>
                      <w:t>).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 laipsnio AV blokada bei II laipsnio Venkebacho tipo blokada, išnykstanti krūvio metu.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II laipsnio II tipo ar visiška blokada, susijusi su simptomais.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su implantuotu EKS</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Hipertoninė liga. I10-I15</w:t>
                    </w:r>
                  </w:p>
                  <w:p>
                    <w:pPr>
                      <w:widowControl w:val="0"/>
                    </w:pPr>
                    <w:r>
                      <w:t>maža rizika širdies-kraujagyslių sistemai;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w:t>
                    </w:r>
                  </w:p>
                </w:tc>
              </w:tr>
              <w:tr>
                <w:trPr>
                  <w:trHeight w:val="1042"/>
                </w:trPr>
                <w:tc>
                  <w:tcPr>
                    <w:tcW w:w="1188" w:type="dxa"/>
                    <w:vMerge/>
                    <w:tcBorders>
                      <w:top w:val="single" w:sz="4" w:space="0" w:color="auto"/>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IIIC hipertoninės ligos stadija) </w:t>
                    </w:r>
                  </w:p>
                </w:tc>
              </w:tr>
              <w:tr>
                <w:trPr>
                  <w:trHeight w:val="152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aukšta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IIIA–IIIC hipertoninės ligos stadija) </w:t>
                    </w:r>
                  </w:p>
                </w:tc>
              </w:tr>
              <w:tr>
                <w:trPr>
                  <w:trHeight w:val="76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labai aukšta rizika</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rekomenduojami IA, IB klasės sportiniai žaidimai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Išeminė širdies liga. I20-I25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Neurocirkuliacinė distonija (hipertenzinio, hipotenzinio, kardialinio ar mišraus tipo). I70-I79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susirgimo sunkumą ir simptomus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nespecifinės plaučių ir pleuros ligos, ne tuberkuliozinės kilmės diseminuojančios plaučių ligos (įskaitant ligas su nereikšmingu kvėpavimo funkcijos sutrikimu).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susirgimo sunkumą ir simptomus, kvėpavimo funkcijos sutrikimus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Bronchinė astma. J45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Nerekomenduojama fizinio krūvio išprovokuotai astmai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bet išlikus bronchų reaktyvumo pokyčiams, galima leisti kultivuoti atskiras sporto šakas, atsižvelgiant į plaučių funkcijos būklę. Nerekomenduojamos sporto šakos, ugdančios ištvermę, žiemos sporto šakos, sporto pratybos salėse, kuriose naudojama daug talko, kanifolijos ir pan.</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Skrandžio ir 12-pirštės žarnos opos paūmėjimo, remisijos stadijos, esant virškinimo funkcijos sutrikimų ir dažnų paūmėjimų.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Sergantiems asmenims, esant 6 metų remisijai ir neturintiems virškinimo funkcijos sutrikimų, nerekomenduojamos ištvermę ugdančios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Kitos skrandžio ir 12-pirštės žarnos ligos: </w:t>
                    </w:r>
                  </w:p>
                  <w:p>
                    <w:pPr>
                      <w:widowControl w:val="0"/>
                    </w:pPr>
                    <w:r>
                      <w:t>autoimuninis gastritas ir ypatingos gastritų formos (granuliomatozinis, eozinofilinis, hipertrofinis, limfocitinis), tulžies pūslės ir jo latakų, kasos, plonojo ir storojo žarnyno ligos, esant reikšmingiems ir vidutiniams funkcijų sutrikimams ir dažniems paūmėjimams. K80-K87, K90-K93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helikobakteriniu gastritu, galima sportuoti tik po atitinkamo gydymo. Asmenims, sergantiems lėtiniu gastritu ir gastroduodenitu, kai funkcijos sutrikimai nereikšmingi ir reti priepuoliai, taip pat sergantiems tulžies latakų diskinezija su retais priepuoliais, galima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kepenų ligos (įskaitant nepiktybinę hiperbilirubinemiją, hepatitą A, B, C, kepenų cirozę). K80-K87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Stemplės ligos (ezofagitai, opos) – iki visiško pasveikimo; kardiospazmai, stenozė, divertikulai, esant ryškiems ir vidutiniams funkcijos sutrikimams.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inkstų ligos (lėtinis glomerulonefritas, lėtinis pirminis pielonefritas, nefrosklerozė, nefrotinis sindromas, pirminis inkstų susiraukšlėjimas, inkstų amiloidozė, lėtinis intersticinis nefritas ir kitos nefropatijos). N08, N10-N16, N17-N19, N25-N29, N30-N39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Pielonefritas (antrinis), hidronefrozė, inkstų akmenligė. N20-N23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instrumentiniu būdu pašalintam ar savaiminiam vieno akmens išėjimui iš šlapimo takų (geldelės, šlapimtakio, šlapimo pūslės), jei akmenys nebuvo skaldomi šlapimo sistemoje, smulkūs (iki 0,5 cm) pavieniai inkstų ir šlapimo pūslės konkrementai, kurie patvirtinami tik ultragarsiniu ištyrimu, be pakitimų šlapime, vienpusei ar abipusei I stadijos nefroptozei, nėra draudžiama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Sisteminės jungiamojo audinio ligos. M00-M99, M30-M36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Sąnarių ligos: reumatinis artritas, artritai kartu su spondyloartrozėmis, ankilozuojantis spondyloartritas, osteoartrozės, metaboliniai artritai, infekcinių artritų padariniai. M00-M25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Sisteminiai vaskulitai.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w:t>
                    </w:r>
                  </w:p>
                </w:tc>
                <w:tc>
                  <w:tcPr>
                    <w:tcW w:w="7882" w:type="dxa"/>
                    <w:gridSpan w:val="10"/>
                    <w:tcBorders>
                      <w:right w:val="single" w:sz="4" w:space="0" w:color="auto"/>
                    </w:tcBorders>
                  </w:tcPr>
                  <w:p>
                    <w:pPr>
                      <w:widowControl w:val="0"/>
                      <w:jc w:val="center"/>
                    </w:pPr>
                    <w:r>
                      <w:t>Kraujo ir kraujodaros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Patvarūs periferinio kraujo sudėties pakitimai (leukocitų kiekis &lt;4,0x10</w:t>
                    </w:r>
                    <w:r>
                      <w:rPr>
                        <w:vertAlign w:val="superscript"/>
                      </w:rPr>
                      <w:t>9</w:t>
                    </w:r>
                    <w:r>
                      <w:t>/l arba &gt;9,0x10</w:t>
                    </w:r>
                    <w:r>
                      <w:rPr>
                        <w:vertAlign w:val="superscript"/>
                      </w:rPr>
                      <w:t>9</w:t>
                    </w:r>
                    <w:r>
                      <w:t>/l, trombocitų kiekis &lt;180,0x10</w:t>
                    </w:r>
                    <w:r>
                      <w:rPr>
                        <w:vertAlign w:val="superscript"/>
                      </w:rPr>
                      <w:t>9</w:t>
                    </w:r>
                    <w:r>
                      <w:t xml:space="preserve">/l, hemoglobino kiekis </w:t>
                    </w:r>
                    <w:r>
                      <w:rPr>
                        <w:vanish/>
                      </w:rPr>
                      <w:t>&lt;=</w:t>
                    </w:r>
                    <w:r>
                      <w:t>?135–160?</w:t>
                    </w:r>
                    <w:r>
                      <w:rPr>
                        <w:vanish/>
                      </w:rPr>
                      <w:t>&gt;=</w:t>
                    </w:r>
                    <w:r>
                      <w:t xml:space="preserve"> g/l vyrams ir </w:t>
                    </w:r>
                    <w:r>
                      <w:rPr>
                        <w:vanish/>
                      </w:rPr>
                      <w:t>&lt;=</w:t>
                    </w:r>
                    <w:r>
                      <w:t>?120–150</w:t>
                    </w:r>
                    <w:r>
                      <w:rPr>
                        <w:vanish/>
                      </w:rPr>
                      <w:t>&gt;=</w:t>
                    </w:r>
                    <w:r>
                      <w:t>? moterims. R70-R79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right="-108"/>
                    </w:pPr>
                    <w:r>
                      <w:t>Nerekomenduojama, kol neišaiškinta priežastis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Kitos kraujo ir kraujodaros organų ligos. D70-D77</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Ūmi spindulinė bet kokios stadijos liga anamnezėje, taip pat praeityje gautas apspinduliavimas avarijos metu arba atsitiktinio apspinduliavimo dozes, 5 kartus viršijančios metines leistinas normas (tai yra 76/87). D80-D89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Endokrininės sistemos ligos, mitybos ir medžiagų apykaitos sutrikimai (paprasta struma, netoksinė struma, tireotoksikozė, tireoiditas, hipotireozė, cukrinis diabetas, akromegalija, podagra, III–IV laipsnio nutukimas. E00-E07, E65-E68, E70-E90</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II–III laipsnio nutukimui spręsti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Chirurginės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ir jo ligų padariniai (spondiliozė ir su ja susijusi būklė, tarpslankstelinių diskų ligos, kitos stuburo ligos, pasireiškiančios stuburo padėties sutrikimais sagitalinėje plokštumoje: rachitinė kifozė, tuberkuliozinė kifozė, Sheuerman-Mau liga, Kalve liga, skoliotinė liga, išreikšto nestabilumo požymiai). M40-M54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krūtinės ląstos, rankų ir kojų, dubens lūžimų padariniai, esant funkcijų sutrikimams. S00-S99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Aortos, magistralinių ir periferinių arterijų ir venų, limfagyslių ligos ir jų padariniai: obliteruojantys endarteritai, aneurizmos, flebitai, flebotrombozės, varikozinė ir potrombolitinė liga, limfedema (dramblialigė), varikozinių venų išsiplėtimas (vidutinio ir ryškaus laipsnio), angiotrofoneurozės, hemangiomos.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Stambių sąnarių, kaulų, kremzlių chirurginės ligos, osteopatijos, įgytos kaulų ir raumenų deformacijos (pažeidimai sąnario viduje, osteomielitai, periostitai, kiti kaulų pažeidimai, deformuojantis osteitas ir osteopatijos, osteochondropatijos, sąnarių patvarios kontraktūros), kitos sąnarių ir kremzlių ligos bei pažeidimai. M30-M79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Šių ligų atveju sprendžiama individualiai, atsižvelgiant į sporto šakos specifiką</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Šių ligų atveju sprendžiama individualiai, atsižvelgiant į sporto šakos specifiką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Įsisenėjęs arba įprastas stambių sąnarių išnirimas, įvykstantis esant nedideliems fiziniams krūviams. S00-S99, T90-T98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Plaštakos pirštų nebuvimas arba jų defektai, trukdantys plaštakos funkcijai. S60-S69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Pėdos pirštų nebuvimas arba jų defektai, trukdantys visavertiškai atramai, apsunkinantys ėjimą ir avalynės dėvėjimą. S90-S99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Plokščia pėda ir kitos pėdos deformacijos, esant reikšmingam ar vidutiniam jos funkcijos sutrikimui. Jei vienos kojos plokščiapėdystė II laipsnio, o kitos I laipsnio, sprendimas priimamas pagal II laipsnio plokščiapėdystę. M90-M99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I laipsnio plokščiapėdystę, arba II laipsnio, jei nėra kulnikaulio artrozės,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Išvaržos (kirkšnies, pilvo, kitos pilvo ertmės išvaržos).Vieno ar abiejų kirkšnies žiedų didėjimas standinantis, išvaržos palpavimo metu per pilvaplėvę čiuopiasi pilvo ertmės turinys. K40-K46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mažai bambos išvaržai, baltosios linijos lipomai ir kirkšnies žiedų praplatėjimui fizinio krūvio metu ir standinantis (kai pilvo ertmės turinys neužčiuopiamas) nėra draudžiama sportuoti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Hemarojus, esant dažniems paūmėjimams ir antrinei anemijai, iškrentant mazgams (II–III stadija). Recidyvuojanti išangės įplėša.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Tiesiosios žarnos visų sienelių išsikišimas standinantis.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Odos ir poodinės ląstelienos sužeidimų padariniai, trikdantys judesių funkcijas arba apsunkinantys drabužių, avalynės ar sportinio inventoriaus dėvėjimą. L80-L99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Po operacijų ar sužeidimų nesutvirtėję randai, apsunkinantys fizinių pratimų atlikimą; randai, turintys polinkį išopėti; randai, sulipę su aplinkiniais audiniais ir trukdantys judėti per vieną ar kitą sąnarį fizinių pratimų metu.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Krūtinės liaukų ligos. C30-C39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Piktybiniai augliai bet kokios lokalizacijos. C00-D48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Nepiktybiniai augliai, kol visiškai pasveikstama. D10-D36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Otorinolaringologiniai susirgimai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Gerklų, kaklo dalies trachėjos ligos ir pažeidimai, sukeliantys net ir nereikšmingus kvėpavimo ir balso funkcijos sutrikimus. Q30-Q34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pertvaros defektai su ryškiais nosies kvėpavimo funkcijos sutrikimais (operacijos atliekamos nuo 15 metų). J34, 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Išorinės ausies ligos – iki visiško pasveikimo. H60-H62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Eustachijaus kanalo ligos – iki visiško pasveikimo. H68-H69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Vienos ar abiejų ausų pūliniai epitimpanitai arba visų formų ir stadijų mezotimpanitai. H66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Stabilūs persirgto otito padariniai (stabilūs būgnelio randiniai pakitimai, jų perforacija). H72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Otosklerozė, labirintopatija, kochlearinio nervo uždegimas ir kiti kurtumo požymiai arba stabilus klausos pablogėjimas viena ar abiem ausimis. H80-H83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Sutrikęs praeinamumas per Eustachijaus vamzdį ir ausies barofunkcijos sutrikimas. 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Vestibulinis vegetacinis sutrikimas net ir vidutinio laipsnio. H81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priedėlių ligos – iki visiško pasveikimo. J00-J99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burnos ruimo, ryklės, gerklų ir trachėjos audinių lėtiniai pakitimai ir deformacijos. J30-J39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Viršutinių kvėpavimo takų ligos (nosies ertmės polipai), adenoidai, lėtinis dekompensuotas tonzilitas – iki visiško pasveikimo. J00-J06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Ozena. J31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Anosmija (kvapo nejutimas). J34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kuriems buvo laikinai sutrikusios funkcijos po LOR lėtinių ligų paūmėjimo, traumų ar chirurginio gydymo.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Infekcinės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Infekcinės ir parazitinės ligos: žarnyno infekcijos, bakterinės zoonozės, bakterinės ir virusinės ligos, tarp jų perduodamos nariuotakojų, ligos sukeliamos chlamidijų, riketsiozių ir kitos ligos, nepasiduodančios arba sunkiai pasiduodančios gydymui, įskaitant laikinus funkcinius sutrikimus po ūmių infekcinių ar parazitinių ligų. A00-A99, B00-B99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serologinės ar alerginės reakcijos teigiamos, bet klinikinių ligos požymių nėra, sportavimo klausimas sprendžiamas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 Jei serologinės ar alerginės reakcijos teigiamos, bet klinikinių ligos požymių nėra, sportavimo klausimas sprendžiamas individualiai.</w:t>
                    </w:r>
                  </w:p>
                  <w:p>
                    <w:pPr>
                      <w:widowControl w:val="0"/>
                    </w:pPr>
                    <w:r>
                      <w:t>b) Asmenims, persirgusiems virusiniu hepatitu, šiltine, paratifu, nesant kepenų ir virškinamojo trakto funkcinių sutrikimų, galima leisti sportuoti, bet ne anksčiau kaip praėjus 6 mėn. po stacionarinio gydymo (nerekomenduojamos ištvermės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Kvėpavimo organų tuberkuliozė: plaučių, bronchų, tarpusienio limfmazgių, pleuros, taip pat ir neaktyvi, po persirgtos ligos esant mažiems (nežymiems) liekamiesiems pakitimams, įskaitant išgydytą spontaninę tuberkuliozę.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 krūtinės ląstos organų tuberkuliozė: periferinių ar pilvaplėvės mazgų, perikardo, žarnyno, kaulų ir sąnarių, šlapimo ir lyties organų, akių, odos, kitų organų.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kuriems yra neaktyvi kvėpavimo organų ir tarpusienio tuberkuliozė, t. y. jei per 5 metus po gydymo nepastebėta jokių suaktyvėjimo reiškinių, po dispanserizacijos nutraukimo ir nesant jokių liekamųjų pakitimų,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Odos ir venerinės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Infekcijos ir kitos odos ir poodžio uždegiminės ligos, sunkiai pasiduodančios gydymui; išplitusios formos lėtinės egzemos, difuzinis neurodermatitas su išplitusia lichenifikacija, pūslelinė, herpinis dermatitas, išplitusi psoriazė, išplitusi absceduojanti ir lėtinė opinė piodermija, ribotos ir dažnos recidyvinės egzemos formos, difuzinis neurodermatitas su odos paviršiaus židinine lichenifikacija, diskoidinė raudonoji vilkligė, fotodermatitai. L00-L99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odos ir poodžio ligos: lėtinė dilgėlinė, recidyvinė Kvinkės edema, ribota sklerodermija. L50-L75</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ŽIV viruso sukeltos ligos, įskaitant ŽIV infekavimą. B20-B24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Dažniausiai lytiškai santykiaujant plintančios infekcijos. A50-A64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Grybelinės ligos. B35-B49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sergantiems grybelinėmis ligomis, gali būti leidžiama sportuoti visiškai pasveikus ir nutraukus dispanserizaciją.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grybelinėmis ligomis, gali būti leidžiama sportuoti visiškai pasveikus ir nutraukus dispanserizaciją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Lytinių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Vyrų lytinių organų ligos (hiperplazijos, priešinės liaukos uždegimai ir kitos ligos, sėklidžių vandenė, orchitas ir epididimitas, fimozė ir apyvarpės perteklius, kitos varpos ligos; sėklidės viržėlio vandenė, kitos vyrų lytinių organų ligos), esant reikšmingiems ir vidutiniams funkcijų sutrikimams. N40-N51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ligos (vulvos, makšties, Bartolinio liaukos, kiaušidžių, gimdos, dubens organų, pilvaplėvės). N70-N77</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venų varikozinis išsiplėtimas.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kraurozė.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Genitalinė ir ekstragenitalinė endometriozė. N80</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2.10.6.</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Ryškiai netaisyklinga moters lytinių organų padėtis. N80-N98</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2.10.7.</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Išreikšta arba lydima funkcijos sutrikimų moters lyties organų įgimta anomalija, lyties organų neišsivystymas (išreikštas lyties organų infantilizmas), hermofrodizmas. N99, Q50-Q56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2.10.8.</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nusileidimas ir iškritimas. N81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Odontologinės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Dantų raidos ir dygimo sutrikimai: 10 ir daugiau dantų nebuvimas vieno žandikaulio lanke arba jų korekcija nuimamais protezais; 8 krūminių dantų nebuvimas vieno žandikaulio lanke arba 4 krūminių dantų nebuvimas viršutinio žandikaulio lanko vienoje pusėje ir 4 krūminių dantų nebuvimas apatinio žandikaulio lanko kitoje pusėje arba korekcija nuimamais protezais.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dantų ir veido anomalijos, žandikaulių ligos, darančios didelę ir vidutinę įtaką kvėpavimo, uoslės, kramtymo, rijimo bei kalbos funkcijoms.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Nepagydomos kietųjų danties audinių, pulpos ir periapikalinių audinių, dantenų ir periodonto, seilių liaukų, liežuvio ir burnos gleivinės ligos.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Akių ligos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Lagoftalmas, vokų išvirtimas ir blakstienų augimas į akies obuolio pusę (trichiazė), sukeliantis akies dirginimą, trikdantis akies funkciją, vokų suaugimas, voko suaugimas su akies obuoliu, ribojantis arba trikdantis akies judesius ir regėjimą (net vienos akies). H00-H06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Voko ptozė, pažeidžianti, veikianti vienos arba abiejų akių regėjimą. H02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Nuolatinis nepagydomas ašarojimas, esant ašarų sistemos ligoms. 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Dažnai paūmėjančios lėtinės junginės, ragenos, uvealinio trakto ir tinklainės uždegiminės ir degeneracinės ligos. H10-H13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ligos.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atrofija.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Ryški įgimta ir įgyta katarakta (ir trauminė). H15-22, H25-H28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Stiklakūnio drumstumas ir destrukcija. H43-H45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apvalkalų įgimti ir įgyti defektai, trikdantys regėjimą. H30-H36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lang w:val="en-US"/>
                      </w:rPr>
                    </w:pPr>
                    <w:r>
                      <w:t>Afakija. H27.0</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dugno pakitimai.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Būklė po akies obuolio prasiskverbiančio pažeidimo. 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Svetimkūnis akyje, kurio neįmanoma pašalinti. H59 </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Vienos arba abiejų akių regėjimo laukas susiaurėjęs 20</w:t>
                    </w:r>
                    <w:r>
                      <w:rPr>
                        <w:vertAlign w:val="superscript"/>
                      </w:rPr>
                      <w:t>o</w:t>
                    </w:r>
                    <w:r>
                      <w:t xml:space="preserve"> ir daugiau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judėjimo aparato sutrikimai.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Ryškus nistagmas, labai sutrikdantis regėjimą.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Bendrakryptis žvairumas daugiau nei 20</w:t>
                    </w:r>
                    <w:r>
                      <w:rPr>
                        <w:vertAlign w:val="superscript"/>
                      </w:rPr>
                      <w:t>o</w:t>
                    </w:r>
                    <w:r>
                      <w:t xml:space="preserve">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Spalvinio matymo trūkumai. H53-H54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r>
                      <w:rPr>
                        <w:highlight w:val="yellow"/>
                      </w:rPr>
                      <w:t xml:space="preserve">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Refrakcijos sutrikimai: bendrai visoms sporto šakoms – kai regėjimas: a) abiejų akių mažiau kaip 0,6 (be korekcijos); b) ne mažiau kaip 0,6 vienos (stipresnės ) akies ir 0,3 – kitos (silpnesnės) akies (be korekcijos); kontraindikacijos atskiroms sporto šakoms (lentelėje).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Pr>
                  <w:p>
                    <w:pPr>
                      <w:widowControl w:val="0"/>
                    </w:pPr>
                    <w:r>
                      <w:rPr>
                        <w:caps/>
                      </w:rPr>
                      <w:t>2.13.</w:t>
                    </w:r>
                  </w:p>
                </w:tc>
                <w:tc>
                  <w:tcPr>
                    <w:tcW w:w="7882" w:type="dxa"/>
                    <w:gridSpan w:val="10"/>
                    <w:tcBorders>
                      <w:right w:val="single" w:sz="4" w:space="0" w:color="auto"/>
                    </w:tcBorders>
                  </w:tcPr>
                  <w:p>
                    <w:pPr>
                      <w:widowControl w:val="0"/>
                      <w:jc w:val="center"/>
                    </w:pPr>
                    <w:r>
                      <w:rPr>
                        <w:caps/>
                      </w:rPr>
                      <w:t>refrakcijos anomalijos</w:t>
                    </w:r>
                  </w:p>
                </w:tc>
              </w:tr>
              <w:tr>
                <w:trPr>
                  <w:trHeight w:val="20"/>
                </w:trPr>
                <w:tc>
                  <w:tcPr>
                    <w:tcW w:w="1188" w:type="dxa"/>
                  </w:tcPr>
                  <w:p>
                    <w:pPr>
                      <w:widowControl w:val="0"/>
                    </w:pPr>
                  </w:p>
                </w:tc>
                <w:tc>
                  <w:tcPr>
                    <w:tcW w:w="1932" w:type="dxa"/>
                  </w:tcPr>
                  <w:p>
                    <w:pPr>
                      <w:widowControl w:val="0"/>
                    </w:pPr>
                    <w:r>
                      <w:t xml:space="preserve">Sporto šakos, kurias galima kultivuoti nenaudojant regėjimo korekcijos </w:t>
                    </w:r>
                  </w:p>
                </w:tc>
                <w:tc>
                  <w:tcPr>
                    <w:tcW w:w="2068" w:type="dxa"/>
                    <w:gridSpan w:val="6"/>
                  </w:tcPr>
                  <w:p>
                    <w:pPr>
                      <w:widowControl w:val="0"/>
                    </w:pPr>
                    <w:r>
                      <w:t>Sporto šakos, kurias kultivuojant leidžiama regėjimo korekcija</w:t>
                    </w:r>
                  </w:p>
                </w:tc>
                <w:tc>
                  <w:tcPr>
                    <w:tcW w:w="1939" w:type="dxa"/>
                    <w:gridSpan w:val="2"/>
                  </w:tcPr>
                  <w:p>
                    <w:pPr>
                      <w:widowControl w:val="0"/>
                    </w:pPr>
                    <w:r>
                      <w:t>Sporto šakos, kurias kultivuojant neleidžiama regėjimo korekcija</w:t>
                    </w:r>
                  </w:p>
                </w:tc>
                <w:tc>
                  <w:tcPr>
                    <w:tcW w:w="1943" w:type="dxa"/>
                  </w:tcPr>
                  <w:p>
                    <w:pPr>
                      <w:widowControl w:val="0"/>
                    </w:pPr>
                    <w:r>
                      <w:t>Sporto šakos, kurias kultivuojant sumažėjęs regėjimas pavojingas, o korekcijos naudojimas neleistinas</w:t>
                    </w:r>
                  </w:p>
                </w:tc>
              </w:tr>
              <w:tr>
                <w:trPr>
                  <w:trHeight w:val="20"/>
                </w:trPr>
                <w:tc>
                  <w:tcPr>
                    <w:tcW w:w="1188" w:type="dxa"/>
                  </w:tcPr>
                  <w:p>
                    <w:pPr>
                      <w:widowControl w:val="0"/>
                    </w:pPr>
                    <w:r>
                      <w:t>2.13.1.</w:t>
                    </w:r>
                  </w:p>
                </w:tc>
                <w:tc>
                  <w:tcPr>
                    <w:tcW w:w="1932" w:type="dxa"/>
                  </w:tcPr>
                  <w:p>
                    <w:pPr>
                      <w:widowControl w:val="0"/>
                    </w:pPr>
                    <w:r>
                      <w:t>Lengvosios atletikos rūšys (ėjimas, metimai, krosai, šuoliai su kartimi)</w:t>
                    </w:r>
                  </w:p>
                </w:tc>
                <w:tc>
                  <w:tcPr>
                    <w:tcW w:w="2068" w:type="dxa"/>
                    <w:gridSpan w:val="6"/>
                  </w:tcPr>
                  <w:p>
                    <w:pPr>
                      <w:widowControl w:val="0"/>
                    </w:pPr>
                    <w:r>
                      <w:t>Sportinė ir meninė gimnastika</w:t>
                    </w:r>
                  </w:p>
                </w:tc>
                <w:tc>
                  <w:tcPr>
                    <w:tcW w:w="1939" w:type="dxa"/>
                    <w:gridSpan w:val="2"/>
                  </w:tcPr>
                  <w:p>
                    <w:pPr>
                      <w:widowControl w:val="0"/>
                    </w:pPr>
                    <w:r>
                      <w:t>Visos imtynių rūšys</w:t>
                    </w:r>
                  </w:p>
                </w:tc>
                <w:tc>
                  <w:tcPr>
                    <w:tcW w:w="1943" w:type="dxa"/>
                  </w:tcPr>
                  <w:p>
                    <w:pPr>
                      <w:widowControl w:val="0"/>
                    </w:pPr>
                    <w:r>
                      <w:t>Motosportas</w:t>
                    </w:r>
                  </w:p>
                </w:tc>
              </w:tr>
              <w:tr>
                <w:trPr>
                  <w:trHeight w:val="20"/>
                </w:trPr>
                <w:tc>
                  <w:tcPr>
                    <w:tcW w:w="1188" w:type="dxa"/>
                  </w:tcPr>
                  <w:p>
                    <w:pPr>
                      <w:widowControl w:val="0"/>
                    </w:pPr>
                    <w:r>
                      <w:t>2.13.2.</w:t>
                    </w:r>
                  </w:p>
                </w:tc>
                <w:tc>
                  <w:tcPr>
                    <w:tcW w:w="1932" w:type="dxa"/>
                  </w:tcPr>
                  <w:p>
                    <w:pPr>
                      <w:widowControl w:val="0"/>
                    </w:pPr>
                    <w:r>
                      <w:t>Sunkioji atletika</w:t>
                    </w:r>
                  </w:p>
                </w:tc>
                <w:tc>
                  <w:tcPr>
                    <w:tcW w:w="2068" w:type="dxa"/>
                    <w:gridSpan w:val="6"/>
                  </w:tcPr>
                  <w:p>
                    <w:pPr>
                      <w:widowControl w:val="0"/>
                    </w:pPr>
                    <w:r>
                      <w:t>Lengvoji atletika</w:t>
                    </w:r>
                  </w:p>
                </w:tc>
                <w:tc>
                  <w:tcPr>
                    <w:tcW w:w="1939" w:type="dxa"/>
                    <w:gridSpan w:val="2"/>
                  </w:tcPr>
                  <w:p>
                    <w:pPr>
                      <w:widowControl w:val="0"/>
                    </w:pPr>
                    <w:r>
                      <w:t>Boksas</w:t>
                    </w:r>
                  </w:p>
                </w:tc>
                <w:tc>
                  <w:tcPr>
                    <w:tcW w:w="1943" w:type="dxa"/>
                  </w:tcPr>
                  <w:p>
                    <w:pPr>
                      <w:widowControl w:val="0"/>
                    </w:pPr>
                    <w:r>
                      <w:t>Žirgų sportas</w:t>
                    </w:r>
                  </w:p>
                </w:tc>
              </w:tr>
              <w:tr>
                <w:trPr>
                  <w:trHeight w:val="20"/>
                </w:trPr>
                <w:tc>
                  <w:tcPr>
                    <w:tcW w:w="1188" w:type="dxa"/>
                  </w:tcPr>
                  <w:p>
                    <w:pPr>
                      <w:widowControl w:val="0"/>
                    </w:pPr>
                    <w:r>
                      <w:t>2.13.3.</w:t>
                    </w:r>
                  </w:p>
                </w:tc>
                <w:tc>
                  <w:tcPr>
                    <w:tcW w:w="1932" w:type="dxa"/>
                  </w:tcPr>
                  <w:p>
                    <w:pPr>
                      <w:widowControl w:val="0"/>
                    </w:pPr>
                    <w:r>
                      <w:t>Greitasis čiuožimas</w:t>
                    </w:r>
                  </w:p>
                </w:tc>
                <w:tc>
                  <w:tcPr>
                    <w:tcW w:w="2068" w:type="dxa"/>
                    <w:gridSpan w:val="6"/>
                  </w:tcPr>
                  <w:p>
                    <w:pPr>
                      <w:widowControl w:val="0"/>
                    </w:pPr>
                    <w:r>
                      <w:t>Slidinėjimas</w:t>
                    </w:r>
                  </w:p>
                </w:tc>
                <w:tc>
                  <w:tcPr>
                    <w:tcW w:w="1939" w:type="dxa"/>
                    <w:gridSpan w:val="2"/>
                  </w:tcPr>
                  <w:p>
                    <w:pPr>
                      <w:widowControl w:val="0"/>
                    </w:pPr>
                    <w:r>
                      <w:t>Futbolas</w:t>
                    </w:r>
                  </w:p>
                </w:tc>
                <w:tc>
                  <w:tcPr>
                    <w:tcW w:w="1943" w:type="dxa"/>
                  </w:tcPr>
                  <w:p>
                    <w:pPr>
                      <w:widowControl w:val="0"/>
                    </w:pPr>
                    <w:r>
                      <w:t>Buriavimas</w:t>
                    </w:r>
                  </w:p>
                </w:tc>
              </w:tr>
              <w:tr>
                <w:trPr>
                  <w:trHeight w:val="20"/>
                </w:trPr>
                <w:tc>
                  <w:tcPr>
                    <w:tcW w:w="1188" w:type="dxa"/>
                  </w:tcPr>
                  <w:p>
                    <w:pPr>
                      <w:widowControl w:val="0"/>
                    </w:pPr>
                    <w:r>
                      <w:t>2.13.4.</w:t>
                    </w:r>
                  </w:p>
                </w:tc>
                <w:tc>
                  <w:tcPr>
                    <w:tcW w:w="1932" w:type="dxa"/>
                  </w:tcPr>
                  <w:p>
                    <w:pPr>
                      <w:widowControl w:val="0"/>
                    </w:pPr>
                    <w:r>
                      <w:t>Dailusis čiuožimas</w:t>
                    </w:r>
                  </w:p>
                </w:tc>
                <w:tc>
                  <w:tcPr>
                    <w:tcW w:w="2068" w:type="dxa"/>
                    <w:gridSpan w:val="6"/>
                  </w:tcPr>
                  <w:p>
                    <w:pPr>
                      <w:widowControl w:val="0"/>
                    </w:pPr>
                    <w:r>
                      <w:t>Greitasis čiuožimas</w:t>
                    </w:r>
                  </w:p>
                </w:tc>
                <w:tc>
                  <w:tcPr>
                    <w:tcW w:w="1939" w:type="dxa"/>
                    <w:gridSpan w:val="2"/>
                  </w:tcPr>
                  <w:p>
                    <w:pPr>
                      <w:widowControl w:val="0"/>
                    </w:pPr>
                    <w:r>
                      <w:t>Ledo rutulys</w:t>
                    </w:r>
                  </w:p>
                </w:tc>
                <w:tc>
                  <w:tcPr>
                    <w:tcW w:w="1943" w:type="dxa"/>
                  </w:tcPr>
                  <w:p>
                    <w:pPr>
                      <w:widowControl w:val="0"/>
                    </w:pPr>
                    <w:r>
                      <w:t>Vandens motosportas</w:t>
                    </w:r>
                  </w:p>
                </w:tc>
              </w:tr>
              <w:tr>
                <w:trPr>
                  <w:trHeight w:val="20"/>
                </w:trPr>
                <w:tc>
                  <w:tcPr>
                    <w:tcW w:w="1188" w:type="dxa"/>
                  </w:tcPr>
                  <w:p>
                    <w:pPr>
                      <w:widowControl w:val="0"/>
                    </w:pPr>
                    <w:r>
                      <w:t>2.13.5.</w:t>
                    </w:r>
                  </w:p>
                </w:tc>
                <w:tc>
                  <w:tcPr>
                    <w:tcW w:w="1932" w:type="dxa"/>
                  </w:tcPr>
                  <w:p>
                    <w:pPr>
                      <w:widowControl w:val="0"/>
                    </w:pPr>
                    <w:r>
                      <w:t>Plaukimas</w:t>
                    </w:r>
                  </w:p>
                </w:tc>
                <w:tc>
                  <w:tcPr>
                    <w:tcW w:w="2068" w:type="dxa"/>
                    <w:gridSpan w:val="6"/>
                  </w:tcPr>
                  <w:p>
                    <w:pPr>
                      <w:widowControl w:val="0"/>
                    </w:pPr>
                    <w:r>
                      <w:t>Dailusis čiuožimas</w:t>
                    </w:r>
                  </w:p>
                </w:tc>
                <w:tc>
                  <w:tcPr>
                    <w:tcW w:w="1939" w:type="dxa"/>
                    <w:gridSpan w:val="2"/>
                  </w:tcPr>
                  <w:p>
                    <w:pPr>
                      <w:widowControl w:val="0"/>
                    </w:pPr>
                    <w:r>
                      <w:t>Vandensvydis</w:t>
                    </w:r>
                  </w:p>
                </w:tc>
                <w:tc>
                  <w:tcPr>
                    <w:tcW w:w="1943" w:type="dxa"/>
                  </w:tcPr>
                  <w:p>
                    <w:pPr>
                      <w:widowControl w:val="0"/>
                    </w:pPr>
                    <w:r>
                      <w:t>Kalnų slidinėjimas</w:t>
                    </w:r>
                  </w:p>
                </w:tc>
              </w:tr>
              <w:tr>
                <w:trPr>
                  <w:trHeight w:val="20"/>
                </w:trPr>
                <w:tc>
                  <w:tcPr>
                    <w:tcW w:w="1188" w:type="dxa"/>
                  </w:tcPr>
                  <w:p>
                    <w:pPr>
                      <w:widowControl w:val="0"/>
                    </w:pPr>
                    <w:r>
                      <w:t>2.13.6.</w:t>
                    </w:r>
                  </w:p>
                </w:tc>
                <w:tc>
                  <w:tcPr>
                    <w:tcW w:w="1932" w:type="dxa"/>
                  </w:tcPr>
                  <w:p>
                    <w:pPr>
                      <w:widowControl w:val="0"/>
                    </w:pPr>
                    <w:r>
                      <w:t>Irklavimas</w:t>
                    </w:r>
                  </w:p>
                </w:tc>
                <w:tc>
                  <w:tcPr>
                    <w:tcW w:w="2068" w:type="dxa"/>
                    <w:gridSpan w:val="6"/>
                  </w:tcPr>
                  <w:p>
                    <w:pPr>
                      <w:widowControl w:val="0"/>
                    </w:pPr>
                    <w:r>
                      <w:t>Fechtavimasis</w:t>
                    </w:r>
                  </w:p>
                </w:tc>
                <w:tc>
                  <w:tcPr>
                    <w:tcW w:w="1939" w:type="dxa"/>
                    <w:gridSpan w:val="2"/>
                  </w:tcPr>
                  <w:p>
                    <w:pPr>
                      <w:widowControl w:val="0"/>
                    </w:pPr>
                    <w:r>
                      <w:t>Motosportas</w:t>
                    </w:r>
                  </w:p>
                </w:tc>
                <w:tc>
                  <w:tcPr>
                    <w:tcW w:w="1943" w:type="dxa"/>
                  </w:tcPr>
                  <w:p>
                    <w:pPr>
                      <w:widowControl w:val="0"/>
                    </w:pPr>
                    <w:r>
                      <w:t>Šuoliai į vandenį</w:t>
                    </w:r>
                  </w:p>
                </w:tc>
              </w:tr>
              <w:tr>
                <w:trPr>
                  <w:trHeight w:val="20"/>
                </w:trPr>
                <w:tc>
                  <w:tcPr>
                    <w:tcW w:w="1188" w:type="dxa"/>
                  </w:tcPr>
                  <w:p>
                    <w:pPr>
                      <w:widowControl w:val="0"/>
                    </w:pPr>
                    <w:r>
                      <w:t>2.13.7.</w:t>
                    </w:r>
                  </w:p>
                </w:tc>
                <w:tc>
                  <w:tcPr>
                    <w:tcW w:w="1932" w:type="dxa"/>
                    <w:tcBorders>
                      <w:bottom w:val="single" w:sz="4" w:space="0" w:color="auto"/>
                    </w:tcBorders>
                  </w:tcPr>
                  <w:p>
                    <w:pPr>
                      <w:widowControl w:val="0"/>
                    </w:pPr>
                  </w:p>
                </w:tc>
                <w:tc>
                  <w:tcPr>
                    <w:tcW w:w="2068" w:type="dxa"/>
                    <w:gridSpan w:val="6"/>
                  </w:tcPr>
                  <w:p>
                    <w:pPr>
                      <w:widowControl w:val="0"/>
                    </w:pPr>
                    <w:r>
                      <w:t>Irklavimas</w:t>
                    </w:r>
                  </w:p>
                </w:tc>
                <w:tc>
                  <w:tcPr>
                    <w:tcW w:w="1939" w:type="dxa"/>
                    <w:gridSpan w:val="2"/>
                  </w:tcPr>
                  <w:p>
                    <w:pPr>
                      <w:widowControl w:val="0"/>
                    </w:pPr>
                    <w:r>
                      <w:t>Žirgų sportas</w:t>
                    </w:r>
                  </w:p>
                </w:tc>
                <w:tc>
                  <w:tcPr>
                    <w:tcW w:w="1943" w:type="dxa"/>
                    <w:tcBorders>
                      <w:bottom w:val="single" w:sz="4" w:space="0" w:color="auto"/>
                    </w:tcBorders>
                  </w:tcPr>
                  <w:p>
                    <w:pPr>
                      <w:widowControl w:val="0"/>
                    </w:pPr>
                    <w:r>
                      <w:t>Alpinizmas</w:t>
                    </w:r>
                  </w:p>
                </w:tc>
              </w:tr>
              <w:tr>
                <w:trPr>
                  <w:trHeight w:val="20"/>
                </w:trPr>
                <w:tc>
                  <w:tcPr>
                    <w:tcW w:w="1188" w:type="dxa"/>
                  </w:tcPr>
                  <w:p>
                    <w:pPr>
                      <w:widowControl w:val="0"/>
                    </w:pPr>
                    <w:r>
                      <w:t>2.13.8.</w:t>
                    </w:r>
                  </w:p>
                </w:tc>
                <w:tc>
                  <w:tcPr>
                    <w:tcW w:w="1932" w:type="dxa"/>
                    <w:tcBorders>
                      <w:bottom w:val="nil"/>
                    </w:tcBorders>
                    <w:shd w:val="clear" w:color="auto" w:fill="auto"/>
                  </w:tcPr>
                  <w:p>
                    <w:pPr>
                      <w:widowControl w:val="0"/>
                    </w:pPr>
                  </w:p>
                </w:tc>
                <w:tc>
                  <w:tcPr>
                    <w:tcW w:w="2068" w:type="dxa"/>
                    <w:gridSpan w:val="6"/>
                  </w:tcPr>
                  <w:p>
                    <w:pPr>
                      <w:widowControl w:val="0"/>
                    </w:pPr>
                    <w:r>
                      <w:t>Šaudymas</w:t>
                    </w:r>
                  </w:p>
                </w:tc>
                <w:tc>
                  <w:tcPr>
                    <w:tcW w:w="1939" w:type="dxa"/>
                    <w:gridSpan w:val="2"/>
                  </w:tcPr>
                  <w:p>
                    <w:pPr>
                      <w:widowControl w:val="0"/>
                    </w:pPr>
                    <w:r>
                      <w:t>Šuoliai į vandenį</w:t>
                    </w:r>
                  </w:p>
                </w:tc>
                <w:tc>
                  <w:tcPr>
                    <w:tcW w:w="1943" w:type="dxa"/>
                    <w:tcBorders>
                      <w:bottom w:val="nil"/>
                    </w:tcBorders>
                    <w:shd w:val="clear" w:color="auto" w:fill="auto"/>
                  </w:tcPr>
                  <w:p>
                    <w:pPr>
                      <w:widowControl w:val="0"/>
                    </w:pPr>
                  </w:p>
                </w:tc>
              </w:tr>
              <w:tr>
                <w:trPr>
                  <w:trHeight w:val="20"/>
                </w:trPr>
                <w:tc>
                  <w:tcPr>
                    <w:tcW w:w="1188" w:type="dxa"/>
                  </w:tcPr>
                  <w:p>
                    <w:pPr>
                      <w:widowControl w:val="0"/>
                    </w:pPr>
                    <w:r>
                      <w:t>2.13.9.</w:t>
                    </w:r>
                  </w:p>
                </w:tc>
                <w:tc>
                  <w:tcPr>
                    <w:tcW w:w="1932" w:type="dxa"/>
                    <w:tcBorders>
                      <w:top w:val="nil"/>
                      <w:bottom w:val="nil"/>
                    </w:tcBorders>
                    <w:shd w:val="clear" w:color="auto" w:fill="auto"/>
                  </w:tcPr>
                  <w:p>
                    <w:pPr>
                      <w:widowControl w:val="0"/>
                    </w:pPr>
                  </w:p>
                </w:tc>
                <w:tc>
                  <w:tcPr>
                    <w:tcW w:w="2068" w:type="dxa"/>
                    <w:gridSpan w:val="6"/>
                  </w:tcPr>
                  <w:p>
                    <w:pPr>
                      <w:widowControl w:val="0"/>
                    </w:pPr>
                    <w:r>
                      <w:t>Sunkioji atletika</w:t>
                    </w:r>
                  </w:p>
                </w:tc>
                <w:tc>
                  <w:tcPr>
                    <w:tcW w:w="1939" w:type="dxa"/>
                    <w:gridSpan w:val="2"/>
                  </w:tcPr>
                  <w:p>
                    <w:pPr>
                      <w:widowControl w:val="0"/>
                    </w:pPr>
                    <w:r>
                      <w:t>Šuoliai su slidėmis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2.13.10.</w:t>
                    </w:r>
                  </w:p>
                </w:tc>
                <w:tc>
                  <w:tcPr>
                    <w:tcW w:w="1932" w:type="dxa"/>
                    <w:tcBorders>
                      <w:top w:val="nil"/>
                      <w:bottom w:val="nil"/>
                    </w:tcBorders>
                    <w:shd w:val="clear" w:color="auto" w:fill="auto"/>
                  </w:tcPr>
                  <w:p>
                    <w:pPr>
                      <w:widowControl w:val="0"/>
                    </w:pPr>
                  </w:p>
                </w:tc>
                <w:tc>
                  <w:tcPr>
                    <w:tcW w:w="2068" w:type="dxa"/>
                    <w:gridSpan w:val="6"/>
                  </w:tcPr>
                  <w:p>
                    <w:pPr>
                      <w:widowControl w:val="0"/>
                    </w:pPr>
                    <w:r>
                      <w:t xml:space="preserve">Tenisas </w:t>
                    </w:r>
                  </w:p>
                </w:tc>
                <w:tc>
                  <w:tcPr>
                    <w:tcW w:w="1939" w:type="dxa"/>
                    <w:gridSpan w:val="2"/>
                    <w:tcBorders>
                      <w:bottom w:val="single" w:sz="4" w:space="0" w:color="auto"/>
                    </w:tcBorders>
                  </w:tcPr>
                  <w:p>
                    <w:pPr>
                      <w:widowControl w:val="0"/>
                    </w:pPr>
                    <w:r>
                      <w:t>Alpinizmas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2.13.11.</w:t>
                    </w:r>
                  </w:p>
                </w:tc>
                <w:tc>
                  <w:tcPr>
                    <w:tcW w:w="1932" w:type="dxa"/>
                    <w:tcBorders>
                      <w:top w:val="nil"/>
                      <w:bottom w:val="nil"/>
                    </w:tcBorders>
                    <w:shd w:val="clear" w:color="auto" w:fill="auto"/>
                  </w:tcPr>
                  <w:p>
                    <w:pPr>
                      <w:widowControl w:val="0"/>
                    </w:pPr>
                  </w:p>
                </w:tc>
                <w:tc>
                  <w:tcPr>
                    <w:tcW w:w="2068" w:type="dxa"/>
                    <w:gridSpan w:val="6"/>
                  </w:tcPr>
                  <w:p>
                    <w:pPr>
                      <w:widowControl w:val="0"/>
                    </w:pPr>
                    <w:r>
                      <w:t>Krepšinis</w:t>
                    </w:r>
                  </w:p>
                </w:tc>
                <w:tc>
                  <w:tcPr>
                    <w:tcW w:w="1939" w:type="dxa"/>
                    <w:gridSpan w:val="2"/>
                    <w:tcBorders>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2.13.12.</w:t>
                    </w:r>
                  </w:p>
                </w:tc>
                <w:tc>
                  <w:tcPr>
                    <w:tcW w:w="1932" w:type="dxa"/>
                    <w:tcBorders>
                      <w:top w:val="nil"/>
                      <w:bottom w:val="nil"/>
                    </w:tcBorders>
                    <w:shd w:val="clear" w:color="auto" w:fill="auto"/>
                  </w:tcPr>
                  <w:p>
                    <w:pPr>
                      <w:widowControl w:val="0"/>
                    </w:pPr>
                  </w:p>
                </w:tc>
                <w:tc>
                  <w:tcPr>
                    <w:tcW w:w="2068" w:type="dxa"/>
                    <w:gridSpan w:val="6"/>
                  </w:tcPr>
                  <w:p>
                    <w:pPr>
                      <w:widowControl w:val="0"/>
                    </w:pPr>
                    <w:r>
                      <w:t>Tinklinis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2.13.13.</w:t>
                    </w:r>
                  </w:p>
                </w:tc>
                <w:tc>
                  <w:tcPr>
                    <w:tcW w:w="1932" w:type="dxa"/>
                    <w:tcBorders>
                      <w:top w:val="nil"/>
                      <w:bottom w:val="nil"/>
                    </w:tcBorders>
                    <w:shd w:val="clear" w:color="auto" w:fill="auto"/>
                  </w:tcPr>
                  <w:p>
                    <w:pPr>
                      <w:widowControl w:val="0"/>
                    </w:pPr>
                  </w:p>
                </w:tc>
                <w:tc>
                  <w:tcPr>
                    <w:tcW w:w="2068" w:type="dxa"/>
                    <w:gridSpan w:val="6"/>
                  </w:tcPr>
                  <w:p>
                    <w:pPr>
                      <w:widowControl w:val="0"/>
                    </w:pPr>
                    <w:r>
                      <w:t>Dviračių sportas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2.13.14.</w:t>
                    </w:r>
                  </w:p>
                </w:tc>
                <w:tc>
                  <w:tcPr>
                    <w:tcW w:w="1932" w:type="dxa"/>
                    <w:tcBorders>
                      <w:top w:val="nil"/>
                    </w:tcBorders>
                    <w:shd w:val="clear" w:color="auto" w:fill="auto"/>
                  </w:tcPr>
                  <w:p>
                    <w:pPr>
                      <w:widowControl w:val="0"/>
                    </w:pPr>
                  </w:p>
                </w:tc>
                <w:tc>
                  <w:tcPr>
                    <w:tcW w:w="2068" w:type="dxa"/>
                    <w:gridSpan w:val="6"/>
                  </w:tcPr>
                  <w:p>
                    <w:pPr>
                      <w:widowControl w:val="0"/>
                    </w:pPr>
                    <w:r>
                      <w:t>Kėgliai</w:t>
                    </w:r>
                  </w:p>
                </w:tc>
                <w:tc>
                  <w:tcPr>
                    <w:tcW w:w="1939" w:type="dxa"/>
                    <w:gridSpan w:val="2"/>
                    <w:tcBorders>
                      <w:top w:val="nil"/>
                    </w:tcBorders>
                    <w:shd w:val="clear" w:color="auto" w:fill="auto"/>
                  </w:tcPr>
                  <w:p>
                    <w:pPr>
                      <w:widowControl w:val="0"/>
                    </w:pPr>
                  </w:p>
                </w:tc>
                <w:tc>
                  <w:tcPr>
                    <w:tcW w:w="1943" w:type="dxa"/>
                    <w:tcBorders>
                      <w:top w:val="nil"/>
                    </w:tcBorders>
                    <w:shd w:val="clear" w:color="auto" w:fill="auto"/>
                  </w:tcPr>
                  <w:p>
                    <w:pPr>
                      <w:widowControl w:val="0"/>
                    </w:pPr>
                  </w:p>
                </w:tc>
              </w:tr>
            </w:tbl>
            <w:p>
              <w:pPr>
                <w:widowControl w:val="0"/>
                <w:suppressAutoHyphens/>
                <w:ind w:firstLine="567"/>
                <w:jc w:val="both"/>
                <w:rPr>
                  <w:color w:val="000000"/>
                </w:rPr>
              </w:pPr>
            </w:p>
            <w:p>
              <w:pPr>
                <w:widowControl w:val="0"/>
                <w:suppressAutoHyphens/>
                <w:ind w:firstLine="567"/>
                <w:jc w:val="both"/>
                <w:rPr>
                  <w:color w:val="000000"/>
                </w:rPr>
                <w:sectPr>
                  <w:pgSz w:w="11907" w:h="16840" w:code="9"/>
                  <w:pgMar w:top="1134" w:right="1134" w:bottom="1134" w:left="1701" w:header="567" w:footer="284" w:gutter="0"/>
                  <w:pgNumType w:start="1"/>
                  <w:cols w:space="1296"/>
                  <w:titlePg/>
                  <w:docGrid w:linePitch="360"/>
                </w:sectPr>
              </w:pPr>
            </w:p>
            <w:p>
              <w:pPr>
                <w:widowControl w:val="0"/>
                <w:suppressAutoHyphens/>
                <w:jc w:val="center"/>
                <w:rPr>
                  <w:color w:val="000000"/>
                </w:rPr>
              </w:pPr>
            </w:p>
          </w:sdtContent>
        </w:sdt>
        <w:sdt>
          <w:sdtPr>
            <w:alias w:val="skyrius"/>
            <w:tag w:val="part_c1a1094e2b3840b590b89d810116cc44"/>
            <w:lock w:val="sdtLocked"/>
            <w:richText/>
          </w:sdtPr>
          <w:sdtContent>
            <w:p>
              <w:pPr>
                <w:jc w:val="center"/>
                <w:rPr>
                  <w:b/>
                </w:rPr>
              </w:pPr>
              <w:sdt>
                <w:sdtPr>
                  <w:alias w:val="Numeris"/>
                  <w:tag w:val="nr_c1a1094e2b3840b590b89d810116cc44"/>
                  <w:lock w:val="sdtLocked"/>
                  <w:richText/>
                </w:sdtPr>
                <w:sdtContent>
                  <w:r>
                    <w:rPr>
                      <w:b/>
                    </w:rPr>
                    <w:t>III</w:t>
                  </w:r>
                </w:sdtContent>
              </w:sdt>
              <w:r>
                <w:rPr>
                  <w:b/>
                </w:rPr>
                <w:t xml:space="preserve">. </w:t>
              </w:r>
              <w:sdt>
                <w:sdtPr>
                  <w:alias w:val="Pavadinimas"/>
                  <w:tag w:val="title_c1a1094e2b3840b590b89d810116cc44"/>
                  <w:lock w:val="sdtLocked"/>
                  <w:richText/>
                </w:sdtPr>
                <w:sdtContent>
                  <w:r>
                    <w:rPr>
                      <w:b/>
                    </w:rPr>
                    <w:t xml:space="preserve">SPORTUOJANČIŲ ASMENŲ SVEIKATOS IŠTYRIMO PERIODIŠKUMAS </w:t>
                  </w:r>
                  <w:r>
                    <w:rPr>
                      <w:b/>
                      <w:caps/>
                    </w:rPr>
                    <w:t>ir PASLAUGŲ MASTAS</w:t>
                  </w:r>
                  <w:r>
                    <w:rPr>
                      <w:b/>
                    </w:rPr>
                    <w:t xml:space="preserve"> </w:t>
                  </w:r>
                </w:sdtContent>
              </w:sdt>
            </w:p>
            <w:p>
              <w:pPr>
                <w:jc w:val="center"/>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8"/>
                <w:gridCol w:w="2280"/>
                <w:gridCol w:w="1459"/>
                <w:gridCol w:w="2644"/>
                <w:gridCol w:w="3465"/>
                <w:gridCol w:w="4254"/>
              </w:tblGrid>
              <w:tr>
                <w:trPr>
                  <w:trHeight w:val="20"/>
                  <w:tblHeader/>
                </w:trPr>
                <w:tc>
                  <w:tcPr>
                    <w:tcW w:w="638" w:type="dxa"/>
                  </w:tcPr>
                  <w:p>
                    <w:pPr>
                      <w:jc w:val="center"/>
                      <w:rPr>
                        <w:bCs/>
                        <w:sz w:val="20"/>
                      </w:rPr>
                    </w:pPr>
                    <w:r>
                      <w:rPr>
                        <w:bCs/>
                        <w:sz w:val="20"/>
                      </w:rPr>
                      <w:t>Eil. Nr.</w:t>
                    </w:r>
                  </w:p>
                </w:tc>
                <w:tc>
                  <w:tcPr>
                    <w:tcW w:w="2280" w:type="dxa"/>
                    <w:shd w:val="clear" w:color="auto" w:fill="auto"/>
                  </w:tcPr>
                  <w:p>
                    <w:pPr>
                      <w:jc w:val="center"/>
                      <w:rPr>
                        <w:bCs/>
                        <w:sz w:val="20"/>
                      </w:rPr>
                    </w:pPr>
                    <w:r>
                      <w:rPr>
                        <w:bCs/>
                        <w:sz w:val="20"/>
                      </w:rPr>
                      <w:t>Sportininkai, sporto šakos</w:t>
                    </w:r>
                  </w:p>
                </w:tc>
                <w:tc>
                  <w:tcPr>
                    <w:tcW w:w="1459" w:type="dxa"/>
                    <w:shd w:val="clear" w:color="auto" w:fill="auto"/>
                  </w:tcPr>
                  <w:p>
                    <w:pPr>
                      <w:jc w:val="center"/>
                      <w:rPr>
                        <w:bCs/>
                        <w:sz w:val="20"/>
                      </w:rPr>
                    </w:pPr>
                    <w:r>
                      <w:rPr>
                        <w:bCs/>
                        <w:sz w:val="20"/>
                      </w:rPr>
                      <w:t>Tikrinimų periodiškumas</w:t>
                    </w:r>
                  </w:p>
                </w:tc>
                <w:tc>
                  <w:tcPr>
                    <w:tcW w:w="2644" w:type="dxa"/>
                  </w:tcPr>
                  <w:p>
                    <w:pPr>
                      <w:jc w:val="center"/>
                      <w:rPr>
                        <w:bCs/>
                        <w:sz w:val="20"/>
                      </w:rPr>
                    </w:pPr>
                    <w:r>
                      <w:rPr>
                        <w:bCs/>
                        <w:sz w:val="20"/>
                      </w:rPr>
                      <w:t>Tikrinantys specialistai</w:t>
                    </w:r>
                  </w:p>
                </w:tc>
                <w:tc>
                  <w:tcPr>
                    <w:tcW w:w="3465" w:type="dxa"/>
                    <w:tcBorders>
                      <w:bottom w:val="single" w:sz="4" w:space="0" w:color="auto"/>
                    </w:tcBorders>
                    <w:shd w:val="clear" w:color="auto" w:fill="auto"/>
                  </w:tcPr>
                  <w:p>
                    <w:pPr>
                      <w:jc w:val="center"/>
                      <w:rPr>
                        <w:bCs/>
                        <w:sz w:val="20"/>
                      </w:rPr>
                    </w:pPr>
                    <w:r>
                      <w:rPr>
                        <w:bCs/>
                        <w:sz w:val="20"/>
                      </w:rPr>
                      <w:t>Tyrimų apimtis</w:t>
                    </w:r>
                  </w:p>
                </w:tc>
                <w:tc>
                  <w:tcPr>
                    <w:tcW w:w="4254" w:type="dxa"/>
                    <w:tcBorders>
                      <w:bottom w:val="single" w:sz="4" w:space="0" w:color="auto"/>
                    </w:tcBorders>
                    <w:shd w:val="clear" w:color="auto" w:fill="auto"/>
                  </w:tcPr>
                  <w:p>
                    <w:pPr>
                      <w:jc w:val="center"/>
                      <w:rPr>
                        <w:bCs/>
                        <w:sz w:val="20"/>
                      </w:rPr>
                    </w:pPr>
                    <w:r>
                      <w:rPr>
                        <w:bCs/>
                        <w:sz w:val="20"/>
                      </w:rPr>
                      <w:t>Pastabos</w:t>
                    </w:r>
                  </w:p>
                </w:tc>
              </w:tr>
              <w:tr>
                <w:trPr>
                  <w:trHeight w:val="510"/>
                </w:trPr>
                <w:tc>
                  <w:tcPr>
                    <w:tcW w:w="638" w:type="dxa"/>
                    <w:vMerge w:val="restart"/>
                  </w:tcPr>
                  <w:p>
                    <w:pPr>
                      <w:rPr>
                        <w:bCs/>
                        <w:sz w:val="20"/>
                        <w:lang w:val="en-US"/>
                      </w:rPr>
                    </w:pPr>
                    <w:r>
                      <w:rPr>
                        <w:bCs/>
                        <w:sz w:val="20"/>
                      </w:rPr>
                      <w:t>3.1.</w:t>
                    </w:r>
                  </w:p>
                </w:tc>
                <w:tc>
                  <w:tcPr>
                    <w:tcW w:w="2280" w:type="dxa"/>
                    <w:vMerge w:val="restart"/>
                    <w:shd w:val="clear" w:color="auto" w:fill="auto"/>
                  </w:tcPr>
                  <w:p>
                    <w:pPr>
                      <w:rPr>
                        <w:bCs/>
                        <w:sz w:val="20"/>
                      </w:rPr>
                    </w:pPr>
                    <w:r>
                      <w:rPr>
                        <w:bCs/>
                        <w:sz w:val="20"/>
                      </w:rPr>
                      <w:t>Sporto mokymo įstaigų pradinio rengimo grupės nariai</w:t>
                    </w:r>
                  </w:p>
                </w:tc>
                <w:tc>
                  <w:tcPr>
                    <w:tcW w:w="1459" w:type="dxa"/>
                    <w:vMerge w:val="restart"/>
                    <w:shd w:val="clear" w:color="auto" w:fill="auto"/>
                  </w:tcPr>
                  <w:p>
                    <w:pPr>
                      <w:rPr>
                        <w:bCs/>
                        <w:sz w:val="20"/>
                      </w:rPr>
                    </w:pPr>
                    <w:r>
                      <w:rPr>
                        <w:bCs/>
                        <w:sz w:val="20"/>
                      </w:rPr>
                      <w:t>1 kartą per 4 mėn.</w:t>
                    </w:r>
                  </w:p>
                </w:tc>
                <w:tc>
                  <w:tcPr>
                    <w:tcW w:w="2644" w:type="dxa"/>
                    <w:vMerge w:val="restart"/>
                  </w:tcPr>
                  <w:p>
                    <w:pPr>
                      <w:rPr>
                        <w:bCs/>
                        <w:sz w:val="20"/>
                        <w:lang w:val="pt-BR"/>
                      </w:rPr>
                    </w:pPr>
                    <w:r>
                      <w:rPr>
                        <w:bCs/>
                        <w:sz w:val="20"/>
                      </w:rPr>
                      <w:t>Šeimos medicinos paslaugas teikiantys gydytojai, oftalmologas, neurologas, otori</w:t>
                    </w:r>
                    <w:r>
                      <w:rPr>
                        <w:bCs/>
                        <w:sz w:val="20"/>
                        <w:lang w:val="pt-BR"/>
                      </w:rPr>
                      <w:t>nolaringologas, traumatologas ortopedas ir kiti specialistai pagal indikacijas</w:t>
                    </w:r>
                  </w:p>
                </w:tc>
                <w:tc>
                  <w:tcPr>
                    <w:tcW w:w="3465" w:type="dxa"/>
                    <w:tcBorders>
                      <w:bottom w:val="nil"/>
                    </w:tcBorders>
                    <w:shd w:val="clear" w:color="auto" w:fill="auto"/>
                  </w:tcPr>
                  <w:p>
                    <w:pPr>
                      <w:rPr>
                        <w:bCs/>
                        <w:sz w:val="20"/>
                        <w:lang w:val="pt-BR"/>
                      </w:rPr>
                    </w:pPr>
                    <w:r>
                      <w:rPr>
                        <w:bCs/>
                        <w:sz w:val="20"/>
                        <w:lang w:val="pt-BR"/>
                      </w:rPr>
                      <w:t>Fizinio išsivystymo ir judamojo aparato funkcinės būklės įvertinimas;</w:t>
                    </w:r>
                  </w:p>
                </w:tc>
                <w:tc>
                  <w:tcPr>
                    <w:tcW w:w="4254" w:type="dxa"/>
                    <w:tcBorders>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regos įvertinimas;</w:t>
                    </w:r>
                  </w:p>
                </w:tc>
                <w:tc>
                  <w:tcPr>
                    <w:tcW w:w="4254" w:type="dxa"/>
                    <w:tcBorders>
                      <w:top w:val="nil"/>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bendri kraujo ir šlapimo tyrimai;</w:t>
                    </w:r>
                  </w:p>
                </w:tc>
                <w:tc>
                  <w:tcPr>
                    <w:tcW w:w="4254" w:type="dxa"/>
                    <w:tcBorders>
                      <w:top w:val="nil"/>
                      <w:bottom w:val="nil"/>
                    </w:tcBorders>
                    <w:shd w:val="clear" w:color="auto" w:fill="auto"/>
                  </w:tcPr>
                  <w:p>
                    <w:pPr>
                      <w:rPr>
                        <w:bCs/>
                        <w:sz w:val="20"/>
                        <w:lang w:val="pt-BR"/>
                      </w:rPr>
                    </w:pPr>
                    <w:r>
                      <w:rPr>
                        <w:bCs/>
                        <w:sz w:val="20"/>
                        <w:lang w:val="pt-BR"/>
                      </w:rPr>
                      <w:t>Kartą per metus, esant indikacijų</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elektrokardiograma ramybėje;</w:t>
                    </w:r>
                  </w:p>
                </w:tc>
                <w:tc>
                  <w:tcPr>
                    <w:tcW w:w="4254" w:type="dxa"/>
                    <w:tcBorders>
                      <w:top w:val="nil"/>
                      <w:bottom w:val="nil"/>
                    </w:tcBorders>
                    <w:shd w:val="clear" w:color="auto" w:fill="auto"/>
                  </w:tcPr>
                  <w:p>
                    <w:pPr>
                      <w:rPr>
                        <w:bCs/>
                        <w:sz w:val="20"/>
                        <w:lang w:val="pt-BR"/>
                      </w:rPr>
                    </w:pPr>
                    <w:r>
                      <w:rPr>
                        <w:bCs/>
                        <w:sz w:val="20"/>
                        <w:lang w:val="pt-BR"/>
                      </w:rPr>
                      <w:t>Kiekvienos apžiūros metu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kitų specialistų privalomi tyimai pagal indikacijas, tarp jų elektrokardiograma su apkrova;</w:t>
                    </w:r>
                  </w:p>
                </w:tc>
                <w:tc>
                  <w:tcPr>
                    <w:tcW w:w="4254" w:type="dxa"/>
                    <w:tcBorders>
                      <w:top w:val="nil"/>
                      <w:bottom w:val="nil"/>
                    </w:tcBorders>
                    <w:shd w:val="clear" w:color="auto" w:fill="auto"/>
                  </w:tcPr>
                  <w:p>
                    <w:pPr>
                      <w:rPr>
                        <w:bCs/>
                        <w:sz w:val="20"/>
                        <w:lang w:val="pt-BR"/>
                      </w:rPr>
                    </w:pPr>
                    <w:r>
                      <w:rPr>
                        <w:bCs/>
                        <w:sz w:val="20"/>
                        <w:lang w:val="pt-BR"/>
                      </w:rPr>
                      <w:t>Pirmos apžiūros metu</w:t>
                    </w:r>
                  </w:p>
                </w:tc>
              </w:tr>
              <w:tr>
                <w:trPr>
                  <w:trHeight w:val="75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Borders>
                      <w:bottom w:val="single" w:sz="4" w:space="0" w:color="auto"/>
                    </w:tcBorders>
                  </w:tcPr>
                  <w:p>
                    <w:pPr>
                      <w:rPr>
                        <w:bCs/>
                        <w:sz w:val="20"/>
                      </w:rPr>
                    </w:pPr>
                  </w:p>
                </w:tc>
                <w:tc>
                  <w:tcPr>
                    <w:tcW w:w="3465" w:type="dxa"/>
                    <w:tcBorders>
                      <w:top w:val="nil"/>
                      <w:bottom w:val="single" w:sz="4" w:space="0" w:color="auto"/>
                    </w:tcBorders>
                    <w:shd w:val="clear" w:color="auto" w:fill="auto"/>
                  </w:tcPr>
                  <w:p>
                    <w:pPr>
                      <w:rPr>
                        <w:bCs/>
                        <w:sz w:val="20"/>
                        <w:lang w:val="pt-BR"/>
                      </w:rPr>
                    </w:pPr>
                    <w:r>
                      <w:rPr>
                        <w:bCs/>
                        <w:sz w:val="20"/>
                        <w:lang w:val="pt-BR"/>
                      </w:rPr>
                      <w:t>ergometrija arba fizinio krūvio mėginys, atsižvelgiant į tiriamojo amžių, registruojant atsigavimą 3–5 min.</w:t>
                    </w:r>
                  </w:p>
                </w:tc>
                <w:tc>
                  <w:tcPr>
                    <w:tcW w:w="4254" w:type="dxa"/>
                    <w:tcBorders>
                      <w:top w:val="nil"/>
                      <w:bottom w:val="single" w:sz="4" w:space="0" w:color="auto"/>
                    </w:tcBorders>
                    <w:shd w:val="clear" w:color="auto" w:fill="auto"/>
                  </w:tcPr>
                  <w:p>
                    <w:pPr>
                      <w:rPr>
                        <w:bCs/>
                        <w:sz w:val="20"/>
                        <w:lang w:val="pt-BR"/>
                      </w:rPr>
                    </w:pPr>
                    <w:r>
                      <w:rPr>
                        <w:bCs/>
                        <w:sz w:val="20"/>
                        <w:lang w:val="pt-BR"/>
                      </w:rPr>
                      <w:t>Pagal indikacijas</w:t>
                    </w:r>
                  </w:p>
                </w:tc>
              </w:tr>
              <w:tr>
                <w:trPr>
                  <w:trHeight w:val="495"/>
                </w:trPr>
                <w:tc>
                  <w:tcPr>
                    <w:tcW w:w="638" w:type="dxa"/>
                    <w:vMerge w:val="restart"/>
                  </w:tcPr>
                  <w:p>
                    <w:pPr>
                      <w:rPr>
                        <w:bCs/>
                        <w:sz w:val="20"/>
                        <w:lang w:val="pt-BR"/>
                      </w:rPr>
                    </w:pPr>
                    <w:r>
                      <w:rPr>
                        <w:bCs/>
                        <w:sz w:val="20"/>
                        <w:lang w:val="pt-BR"/>
                      </w:rPr>
                      <w:t>3.2.</w:t>
                    </w:r>
                  </w:p>
                </w:tc>
                <w:tc>
                  <w:tcPr>
                    <w:tcW w:w="2280" w:type="dxa"/>
                    <w:vMerge w:val="restart"/>
                    <w:shd w:val="clear" w:color="auto" w:fill="auto"/>
                  </w:tcPr>
                  <w:p>
                    <w:pPr>
                      <w:rPr>
                        <w:bCs/>
                        <w:sz w:val="20"/>
                        <w:lang w:val="pt-BR"/>
                      </w:rPr>
                    </w:pPr>
                    <w:r>
                      <w:rPr>
                        <w:bCs/>
                        <w:sz w:val="20"/>
                        <w:lang w:val="pt-BR"/>
                      </w:rPr>
                      <w:t>Reguliariai sportuojantys ir dalyvaujantys sporto varžybose (sporto klubų nariai, sporto mokymo įstaigų, sporto centrų auklėtiniai)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t-BR"/>
                      </w:rPr>
                    </w:pPr>
                    <w:r>
                      <w:rPr>
                        <w:bCs/>
                        <w:sz w:val="20"/>
                        <w:lang w:val="pt-BR"/>
                      </w:rPr>
                      <w:t xml:space="preserve">Sporto medicinos gydytojas </w:t>
                    </w:r>
                  </w:p>
                </w:tc>
                <w:tc>
                  <w:tcPr>
                    <w:tcW w:w="3465" w:type="dxa"/>
                    <w:tcBorders>
                      <w:bottom w:val="nil"/>
                    </w:tcBorders>
                    <w:shd w:val="clear" w:color="auto" w:fill="auto"/>
                  </w:tcPr>
                  <w:p>
                    <w:pPr>
                      <w:rPr>
                        <w:bCs/>
                        <w:sz w:val="20"/>
                        <w:lang w:val="pt-BR"/>
                      </w:rPr>
                    </w:pPr>
                    <w:r>
                      <w:rPr>
                        <w:bCs/>
                        <w:sz w:val="20"/>
                        <w:lang w:val="pt-BR"/>
                      </w:rPr>
                      <w:t>Kaip 3.1 punkte ir papildomai:</w:t>
                    </w:r>
                  </w:p>
                  <w:p>
                    <w:pPr>
                      <w:rPr>
                        <w:bCs/>
                        <w:sz w:val="20"/>
                        <w:lang w:val="pt-BR"/>
                      </w:rPr>
                    </w:pPr>
                    <w:r>
                      <w:rPr>
                        <w:bCs/>
                        <w:sz w:val="20"/>
                        <w:lang w:val="pt-BR"/>
                      </w:rPr>
                      <w:t>plaučių funkcijos mėginiai;</w:t>
                    </w:r>
                  </w:p>
                </w:tc>
                <w:tc>
                  <w:tcPr>
                    <w:tcW w:w="4254" w:type="dxa"/>
                    <w:tcBorders>
                      <w:bottom w:val="nil"/>
                    </w:tcBorders>
                    <w:shd w:val="clear" w:color="auto" w:fill="auto"/>
                  </w:tcPr>
                  <w:p>
                    <w:pPr>
                      <w:tabs>
                        <w:tab w:val="left" w:pos="4572"/>
                        <w:tab w:val="left" w:pos="4662"/>
                        <w:tab w:val="left" w:pos="4842"/>
                      </w:tabs>
                      <w:ind w:right="1006"/>
                      <w:rPr>
                        <w:bCs/>
                        <w:sz w:val="20"/>
                        <w:lang w:val="pt-BR"/>
                      </w:rPr>
                    </w:pPr>
                    <w:r>
                      <w:rPr>
                        <w:bCs/>
                        <w:sz w:val="20"/>
                        <w:lang w:val="pt-BR"/>
                      </w:rPr>
                      <w:t>Pirmos apžiūros metu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lang w:val="pt-BR"/>
                      </w:rPr>
                    </w:pPr>
                  </w:p>
                </w:tc>
                <w:tc>
                  <w:tcPr>
                    <w:tcW w:w="3465" w:type="dxa"/>
                    <w:tcBorders>
                      <w:top w:val="nil"/>
                      <w:bottom w:val="nil"/>
                    </w:tcBorders>
                    <w:shd w:val="clear" w:color="auto" w:fill="auto"/>
                  </w:tcPr>
                  <w:p>
                    <w:pPr>
                      <w:rPr>
                        <w:bCs/>
                        <w:sz w:val="20"/>
                        <w:lang w:val="pt-BR"/>
                      </w:rPr>
                    </w:pPr>
                    <w:r>
                      <w:rPr>
                        <w:bCs/>
                        <w:sz w:val="20"/>
                        <w:lang w:val="pt-BR"/>
                      </w:rPr>
                      <w:t xml:space="preserve">EKG su fizine apkrova ir registruojant atsigavimo periode 3–5 min. </w:t>
                    </w:r>
                  </w:p>
                </w:tc>
                <w:tc>
                  <w:tcPr>
                    <w:tcW w:w="4254" w:type="dxa"/>
                    <w:tcBorders>
                      <w:top w:val="nil"/>
                      <w:bottom w:val="nil"/>
                    </w:tcBorders>
                    <w:shd w:val="clear" w:color="auto" w:fill="auto"/>
                  </w:tcPr>
                  <w:p>
                    <w:pPr>
                      <w:tabs>
                        <w:tab w:val="left" w:pos="4572"/>
                        <w:tab w:val="left" w:pos="4662"/>
                        <w:tab w:val="left" w:pos="4842"/>
                      </w:tabs>
                      <w:ind w:right="1006"/>
                      <w:rPr>
                        <w:bCs/>
                        <w:sz w:val="20"/>
                        <w:lang w:val="pt-BR"/>
                      </w:rPr>
                    </w:pPr>
                    <w:r>
                      <w:rPr>
                        <w:bCs/>
                        <w:sz w:val="20"/>
                        <w:lang w:val="nl-NL"/>
                      </w:rPr>
                      <w:t>Kartą per metus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lang w:val="pt-BR"/>
                      </w:rPr>
                    </w:pPr>
                    <w:r>
                      <w:rPr>
                        <w:bCs/>
                        <w:sz w:val="20"/>
                      </w:rPr>
                      <w:t>š</w:t>
                    </w:r>
                    <w:r>
                      <w:rPr>
                        <w:bCs/>
                        <w:sz w:val="20"/>
                        <w:lang w:val="pt-BR"/>
                      </w:rPr>
                      <w:t>irdies echoskopija</w:t>
                    </w:r>
                  </w:p>
                </w:tc>
                <w:tc>
                  <w:tcPr>
                    <w:tcW w:w="4254" w:type="dxa"/>
                    <w:tcBorders>
                      <w:top w:val="nil"/>
                      <w:bottom w:val="nil"/>
                    </w:tcBorders>
                    <w:shd w:val="clear" w:color="auto" w:fill="auto"/>
                  </w:tcPr>
                  <w:p>
                    <w:pPr>
                      <w:rPr>
                        <w:bCs/>
                        <w:sz w:val="20"/>
                        <w:lang w:val="pt-BR"/>
                      </w:rPr>
                    </w:pPr>
                    <w:r>
                      <w:rPr>
                        <w:bCs/>
                        <w:sz w:val="20"/>
                        <w:lang w:val="pt-BR"/>
                      </w:rPr>
                      <w:t>Reguliariai sportuojant 1 kartą per metus arba pagal indikacijas</w:t>
                    </w:r>
                  </w:p>
                </w:tc>
              </w:tr>
              <w:tr>
                <w:trPr>
                  <w:trHeight w:val="84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oftalmologas, neurologas, otori</w:t>
                    </w:r>
                    <w:r>
                      <w:rPr>
                        <w:bCs/>
                        <w:sz w:val="20"/>
                        <w:lang w:val="pt-BR"/>
                      </w:rPr>
                      <w:t xml:space="preserve">nolaringologas, traumatologas ortopedas ir kiti specialistai pagal indikacijas </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tabs>
                        <w:tab w:val="left" w:pos="4572"/>
                        <w:tab w:val="left" w:pos="4662"/>
                        <w:tab w:val="left" w:pos="4842"/>
                      </w:tabs>
                      <w:ind w:right="1006"/>
                      <w:rPr>
                        <w:bCs/>
                        <w:sz w:val="20"/>
                        <w:lang w:val="nl-NL"/>
                      </w:rPr>
                    </w:pPr>
                    <w:r>
                      <w:rPr>
                        <w:bCs/>
                        <w:sz w:val="20"/>
                        <w:lang w:val="pt-BR"/>
                      </w:rPr>
                      <w:t>Pagal indikacijas</w:t>
                    </w:r>
                  </w:p>
                </w:tc>
              </w:tr>
              <w:tr>
                <w:trPr>
                  <w:trHeight w:val="20"/>
                </w:trPr>
                <w:tc>
                  <w:tcPr>
                    <w:tcW w:w="638" w:type="dxa"/>
                  </w:tcPr>
                  <w:p>
                    <w:pPr>
                      <w:widowControl w:val="0"/>
                      <w:rPr>
                        <w:bCs/>
                        <w:sz w:val="20"/>
                        <w:lang w:val="pt-BR"/>
                      </w:rPr>
                    </w:pPr>
                    <w:r>
                      <w:rPr>
                        <w:bCs/>
                        <w:sz w:val="20"/>
                        <w:lang w:val="pt-BR"/>
                      </w:rPr>
                      <w:t>3.3</w:t>
                    </w:r>
                  </w:p>
                </w:tc>
                <w:tc>
                  <w:tcPr>
                    <w:tcW w:w="2280" w:type="dxa"/>
                    <w:shd w:val="clear" w:color="auto" w:fill="auto"/>
                  </w:tcPr>
                  <w:p>
                    <w:pPr>
                      <w:widowControl w:val="0"/>
                      <w:rPr>
                        <w:bCs/>
                        <w:sz w:val="20"/>
                        <w:lang w:val="pt-BR"/>
                      </w:rPr>
                    </w:pPr>
                    <w:r>
                      <w:rPr>
                        <w:bCs/>
                        <w:sz w:val="20"/>
                        <w:lang w:val="pt-BR"/>
                      </w:rPr>
                      <w:t xml:space="preserve">Lietuvos olimpinės rinktinės ir sporto šakų rinktinių nariai </w:t>
                    </w:r>
                  </w:p>
                </w:tc>
                <w:tc>
                  <w:tcPr>
                    <w:tcW w:w="1459" w:type="dxa"/>
                    <w:shd w:val="clear" w:color="auto" w:fill="auto"/>
                  </w:tcPr>
                  <w:p>
                    <w:pPr>
                      <w:widowControl w:val="0"/>
                      <w:rPr>
                        <w:bCs/>
                        <w:sz w:val="20"/>
                      </w:rPr>
                    </w:pPr>
                    <w:r>
                      <w:rPr>
                        <w:bCs/>
                        <w:sz w:val="20"/>
                      </w:rPr>
                      <w:t>1 kartą per 3–4 mėn.</w:t>
                    </w:r>
                  </w:p>
                </w:tc>
                <w:tc>
                  <w:tcPr>
                    <w:tcW w:w="2644" w:type="dxa"/>
                  </w:tcPr>
                  <w:p>
                    <w:pPr>
                      <w:widowControl w:val="0"/>
                      <w:rPr>
                        <w:bCs/>
                        <w:sz w:val="20"/>
                        <w:lang w:val="pt-BR"/>
                      </w:rPr>
                    </w:pPr>
                    <w:r>
                      <w:rPr>
                        <w:bCs/>
                        <w:sz w:val="20"/>
                        <w:lang w:val="pt-BR"/>
                      </w:rPr>
                      <w:t xml:space="preserve">Sporto medicinos gydytojas, </w:t>
                    </w:r>
                    <w:r>
                      <w:rPr>
                        <w:bCs/>
                        <w:sz w:val="20"/>
                      </w:rPr>
                      <w:t>oftalmologas, neurologas, otori</w:t>
                    </w:r>
                    <w:r>
                      <w:rPr>
                        <w:bCs/>
                        <w:sz w:val="20"/>
                        <w:lang w:val="pt-BR"/>
                      </w:rPr>
                      <w:t xml:space="preserve">nolaringologas, traumatologas ortopedas, kiti specialistai pagal indikacijas </w:t>
                    </w:r>
                  </w:p>
                </w:tc>
                <w:tc>
                  <w:tcPr>
                    <w:tcW w:w="3465" w:type="dxa"/>
                    <w:shd w:val="clear" w:color="auto" w:fill="auto"/>
                  </w:tcPr>
                  <w:p>
                    <w:pPr>
                      <w:widowControl w:val="0"/>
                      <w:rPr>
                        <w:bCs/>
                        <w:sz w:val="20"/>
                        <w:lang w:val="pt-BR"/>
                      </w:rPr>
                    </w:pPr>
                    <w:r>
                      <w:rPr>
                        <w:bCs/>
                        <w:sz w:val="20"/>
                        <w:lang w:val="pt-BR"/>
                      </w:rPr>
                      <w:t>Išplėstiniai, etapiniai ir operatyviniai tyrimai pagal atskirą sporto šakų atstovų ištyrimo programą, patvirtintą bendru Kūno kultūros ir sporto departamento generalinio direktoriaus ir sveikatos apsaugos ministro įsakymu.</w:t>
                    </w:r>
                  </w:p>
                </w:tc>
                <w:tc>
                  <w:tcPr>
                    <w:tcW w:w="4254" w:type="dxa"/>
                    <w:shd w:val="clear" w:color="auto" w:fill="auto"/>
                  </w:tcPr>
                  <w:p>
                    <w:pPr>
                      <w:widowControl w:val="0"/>
                      <w:rPr>
                        <w:bCs/>
                        <w:sz w:val="20"/>
                        <w:lang w:val="pt-BR"/>
                      </w:rPr>
                    </w:pPr>
                    <w:r>
                      <w:rPr>
                        <w:bCs/>
                        <w:sz w:val="20"/>
                        <w:lang w:val="pt-BR"/>
                      </w:rPr>
                      <w:t>Olimpinių rinktinių narių išsamūs tyrimai atliekami Vilniaus sporto medicinos centre. Kituose sporto medicinos centruose išsamūs tyrimai olimpiečiams atliekami tik suderinus su LOSC ar VSMC</w:t>
                    </w:r>
                  </w:p>
                </w:tc>
              </w:tr>
              <w:tr>
                <w:trPr>
                  <w:trHeight w:val="20"/>
                </w:trPr>
                <w:tc>
                  <w:tcPr>
                    <w:tcW w:w="638" w:type="dxa"/>
                  </w:tcPr>
                  <w:p>
                    <w:pPr>
                      <w:rPr>
                        <w:bCs/>
                        <w:sz w:val="20"/>
                      </w:rPr>
                    </w:pPr>
                    <w:r>
                      <w:rPr>
                        <w:bCs/>
                        <w:sz w:val="20"/>
                      </w:rPr>
                      <w:t>3.4.</w:t>
                    </w:r>
                  </w:p>
                </w:tc>
                <w:tc>
                  <w:tcPr>
                    <w:tcW w:w="2280" w:type="dxa"/>
                    <w:shd w:val="clear" w:color="auto" w:fill="auto"/>
                  </w:tcPr>
                  <w:p>
                    <w:pPr>
                      <w:rPr>
                        <w:bCs/>
                        <w:sz w:val="20"/>
                      </w:rPr>
                    </w:pPr>
                    <w:r>
                      <w:rPr>
                        <w:bCs/>
                        <w:sz w:val="20"/>
                      </w:rPr>
                      <w:t>Neįgalieji sportininkai</w:t>
                    </w:r>
                  </w:p>
                </w:tc>
                <w:tc>
                  <w:tcPr>
                    <w:tcW w:w="1459" w:type="dxa"/>
                    <w:shd w:val="clear" w:color="auto" w:fill="auto"/>
                  </w:tcPr>
                  <w:p>
                    <w:pPr>
                      <w:rPr>
                        <w:bCs/>
                        <w:sz w:val="20"/>
                      </w:rPr>
                    </w:pPr>
                    <w:r>
                      <w:rPr>
                        <w:bCs/>
                        <w:sz w:val="20"/>
                      </w:rPr>
                      <w:t>1 kartą per 6 mėn.</w:t>
                    </w:r>
                  </w:p>
                </w:tc>
                <w:tc>
                  <w:tcPr>
                    <w:tcW w:w="2644" w:type="dxa"/>
                    <w:tcBorders>
                      <w:bottom w:val="single" w:sz="4" w:space="0" w:color="auto"/>
                    </w:tcBorders>
                  </w:tcPr>
                  <w:p>
                    <w:pPr>
                      <w:rPr>
                        <w:bCs/>
                        <w:sz w:val="20"/>
                      </w:rPr>
                    </w:pPr>
                    <w:r>
                      <w:rPr>
                        <w:bCs/>
                        <w:sz w:val="20"/>
                      </w:rPr>
                      <w:t>Sporto medicinos, fizinės medicinos ir reabilitacijos gydytojas ir kiti specialistai pagal indikacijas</w:t>
                    </w:r>
                  </w:p>
                </w:tc>
                <w:tc>
                  <w:tcPr>
                    <w:tcW w:w="3465" w:type="dxa"/>
                    <w:tcBorders>
                      <w:bottom w:val="single" w:sz="4" w:space="0" w:color="auto"/>
                    </w:tcBorders>
                    <w:shd w:val="clear" w:color="auto" w:fill="auto"/>
                  </w:tcPr>
                  <w:p>
                    <w:pPr>
                      <w:rPr>
                        <w:bCs/>
                        <w:sz w:val="20"/>
                        <w:lang w:val="pt-BR"/>
                      </w:rPr>
                    </w:pPr>
                    <w:r>
                      <w:rPr>
                        <w:bCs/>
                        <w:sz w:val="20"/>
                      </w:rPr>
                      <w:t>Pradedant sportuoti nus</w:t>
                    </w:r>
                    <w:r>
                      <w:rPr>
                        <w:bCs/>
                        <w:sz w:val="20"/>
                        <w:lang w:val="pt-BR"/>
                      </w:rPr>
                      <w:t>tatoma medicininė-funkcinė klasifikacija. Fizinio išsivystymo ir judamojo aparato funkcinės būklės įvertinimas (matuojama be protezų), regos aštrumas. Bendri kraujo ir šlapimo tyrimai. EKG ramybės būsenos (neįgaliesiems su judamojo aparato negalia, su cerebriniu paralyžiumi ir stuburo smegenų pažeidimu). Kurtiesiems ir blogai matantiems – EKG ramybės būsenos ir su apkrova</w:t>
                    </w:r>
                  </w:p>
                </w:tc>
                <w:tc>
                  <w:tcPr>
                    <w:tcW w:w="4254" w:type="dxa"/>
                    <w:tcBorders>
                      <w:bottom w:val="single" w:sz="4" w:space="0" w:color="auto"/>
                    </w:tcBorders>
                    <w:shd w:val="clear" w:color="auto" w:fill="auto"/>
                  </w:tcPr>
                  <w:p>
                    <w:pPr>
                      <w:ind w:firstLine="55"/>
                      <w:rPr>
                        <w:bCs/>
                        <w:sz w:val="20"/>
                        <w:lang w:val="pt-BR"/>
                      </w:rPr>
                    </w:pPr>
                  </w:p>
                </w:tc>
              </w:tr>
              <w:tr>
                <w:trPr>
                  <w:trHeight w:val="184"/>
                </w:trPr>
                <w:tc>
                  <w:tcPr>
                    <w:tcW w:w="638" w:type="dxa"/>
                    <w:vMerge w:val="restart"/>
                  </w:tcPr>
                  <w:p>
                    <w:pPr>
                      <w:rPr>
                        <w:bCs/>
                        <w:sz w:val="20"/>
                        <w:lang w:val="pt-BR"/>
                      </w:rPr>
                    </w:pPr>
                    <w:r>
                      <w:rPr>
                        <w:bCs/>
                        <w:sz w:val="20"/>
                        <w:lang w:val="pt-BR"/>
                      </w:rPr>
                      <w:t>3.5.</w:t>
                    </w:r>
                  </w:p>
                </w:tc>
                <w:tc>
                  <w:tcPr>
                    <w:tcW w:w="2280" w:type="dxa"/>
                    <w:vMerge w:val="restart"/>
                    <w:shd w:val="clear" w:color="auto" w:fill="auto"/>
                  </w:tcPr>
                  <w:p>
                    <w:pPr>
                      <w:rPr>
                        <w:bCs/>
                        <w:sz w:val="20"/>
                      </w:rPr>
                    </w:pPr>
                    <w:r>
                      <w:rPr>
                        <w:bCs/>
                        <w:sz w:val="20"/>
                        <w:lang w:val="pt-BR"/>
                      </w:rPr>
                      <w:t>Bokso, kikbokso, Rytų kovų menų treniruotes lankantys sportininkai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shd w:val="clear" w:color="auto" w:fill="auto"/>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lang w:val="pt-BR"/>
                      </w:rPr>
                    </w:pPr>
                    <w:r>
                      <w:rPr>
                        <w:bCs/>
                        <w:sz w:val="20"/>
                      </w:rPr>
                      <w:t xml:space="preserve">plaučių funkcijos </w:t>
                    </w:r>
                    <w:r>
                      <w:rPr>
                        <w:bCs/>
                        <w:sz w:val="20"/>
                        <w:lang w:val="pt-BR"/>
                      </w:rPr>
                      <w:t>tyrimai;</w:t>
                    </w:r>
                  </w:p>
                </w:tc>
                <w:tc>
                  <w:tcPr>
                    <w:tcW w:w="4254" w:type="dxa"/>
                    <w:tcBorders>
                      <w:bottom w:val="nil"/>
                    </w:tcBorders>
                    <w:shd w:val="clear" w:color="auto" w:fill="auto"/>
                  </w:tcPr>
                  <w:p>
                    <w:pPr>
                      <w:rPr>
                        <w:bCs/>
                        <w:sz w:val="20"/>
                        <w:lang w:val="pt-BR"/>
                      </w:rPr>
                    </w:pPr>
                    <w:r>
                      <w:rPr>
                        <w:bCs/>
                        <w:sz w:val="20"/>
                        <w:lang w:val="pt-BR"/>
                      </w:rPr>
                      <w:t>Pagal indikacijas</w:t>
                    </w:r>
                  </w:p>
                </w:tc>
              </w:tr>
              <w:tr>
                <w:trPr>
                  <w:trHeight w:val="247"/>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shd w:val="clear" w:color="auto" w:fill="auto"/>
                  </w:tcPr>
                  <w:p>
                    <w:pPr>
                      <w:rPr>
                        <w:bCs/>
                        <w:sz w:val="20"/>
                      </w:rPr>
                    </w:pPr>
                  </w:p>
                </w:tc>
                <w:tc>
                  <w:tcPr>
                    <w:tcW w:w="3465" w:type="dxa"/>
                    <w:tcBorders>
                      <w:top w:val="nil"/>
                      <w:bottom w:val="nil"/>
                    </w:tcBorders>
                    <w:shd w:val="clear" w:color="auto" w:fill="auto"/>
                  </w:tcPr>
                  <w:p>
                    <w:pPr>
                      <w:rPr>
                        <w:bCs/>
                        <w:sz w:val="20"/>
                      </w:rPr>
                    </w:pPr>
                    <w:r>
                      <w:rPr>
                        <w:bCs/>
                        <w:sz w:val="20"/>
                        <w:lang w:val="pt-BR"/>
                      </w:rPr>
                      <w:t xml:space="preserve">galimi papildomi tyrimai, atsižvelgiant į sporto šakos specifiką </w:t>
                    </w:r>
                  </w:p>
                </w:tc>
                <w:tc>
                  <w:tcPr>
                    <w:tcW w:w="4254" w:type="dxa"/>
                    <w:tcBorders>
                      <w:top w:val="nil"/>
                      <w:bottom w:val="nil"/>
                    </w:tcBorders>
                    <w:shd w:val="clear" w:color="auto" w:fill="auto"/>
                  </w:tcPr>
                  <w:p>
                    <w:pPr>
                      <w:rPr>
                        <w:bCs/>
                        <w:sz w:val="20"/>
                        <w:lang w:val="pt-BR"/>
                      </w:rPr>
                    </w:pPr>
                    <w:r>
                      <w:rPr>
                        <w:bCs/>
                        <w:sz w:val="20"/>
                        <w:lang w:val="pt-BR"/>
                      </w:rPr>
                      <w:t>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shd w:val="clear" w:color="auto" w:fill="auto"/>
                  </w:tcPr>
                  <w:p>
                    <w:pPr>
                      <w:rPr>
                        <w:bCs/>
                        <w:sz w:val="20"/>
                      </w:rPr>
                    </w:pPr>
                    <w:r>
                      <w:rPr>
                        <w:bCs/>
                        <w:sz w:val="20"/>
                      </w:rPr>
                      <w:t>oftalmologas, neurologas, otorinolaringologas</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Kartą per metus arba pagal indikacijas</w:t>
                    </w:r>
                  </w:p>
                </w:tc>
              </w:tr>
              <w:tr>
                <w:trPr>
                  <w:trHeight w:val="20"/>
                </w:trPr>
                <w:tc>
                  <w:tcPr>
                    <w:tcW w:w="638" w:type="dxa"/>
                  </w:tcPr>
                  <w:p>
                    <w:pPr>
                      <w:rPr>
                        <w:bCs/>
                        <w:sz w:val="20"/>
                        <w:lang w:val="pt-BR"/>
                      </w:rPr>
                    </w:pPr>
                    <w:r>
                      <w:rPr>
                        <w:bCs/>
                        <w:sz w:val="20"/>
                        <w:lang w:val="pt-BR"/>
                      </w:rPr>
                      <w:t>3.6.</w:t>
                    </w:r>
                  </w:p>
                </w:tc>
                <w:tc>
                  <w:tcPr>
                    <w:tcW w:w="2280" w:type="dxa"/>
                    <w:shd w:val="clear" w:color="auto" w:fill="auto"/>
                  </w:tcPr>
                  <w:p>
                    <w:pPr>
                      <w:rPr>
                        <w:bCs/>
                        <w:sz w:val="20"/>
                        <w:lang w:val="pt-BR"/>
                      </w:rPr>
                    </w:pPr>
                    <w:r>
                      <w:rPr>
                        <w:bCs/>
                        <w:sz w:val="20"/>
                      </w:rPr>
                      <w:t>Bokso treniruotes lankantys sportininkai</w:t>
                    </w:r>
                  </w:p>
                </w:tc>
                <w:tc>
                  <w:tcPr>
                    <w:tcW w:w="1459" w:type="dxa"/>
                    <w:shd w:val="clear" w:color="auto" w:fill="auto"/>
                  </w:tcPr>
                  <w:p>
                    <w:pPr>
                      <w:rPr>
                        <w:bCs/>
                        <w:sz w:val="20"/>
                      </w:rPr>
                    </w:pPr>
                    <w:r>
                      <w:rPr>
                        <w:bCs/>
                        <w:sz w:val="20"/>
                      </w:rPr>
                      <w:t>Patikrinimas prieš varžybas</w:t>
                    </w:r>
                  </w:p>
                </w:tc>
                <w:tc>
                  <w:tcPr>
                    <w:tcW w:w="2644" w:type="dxa"/>
                    <w:tcBorders>
                      <w:bottom w:val="single" w:sz="4" w:space="0" w:color="auto"/>
                    </w:tcBorders>
                    <w:shd w:val="clear" w:color="auto" w:fill="auto"/>
                  </w:tcPr>
                  <w:p>
                    <w:pPr>
                      <w:rPr>
                        <w:bCs/>
                        <w:sz w:val="20"/>
                        <w:lang w:val="pt-BR"/>
                      </w:rPr>
                    </w:pPr>
                    <w:r>
                      <w:rPr>
                        <w:bCs/>
                        <w:sz w:val="20"/>
                        <w:lang w:val="pt-BR"/>
                      </w:rPr>
                      <w:t>Sporto medicinos gydytojas, oftalmologas, neurologas, otorinolaringologas</w:t>
                    </w:r>
                  </w:p>
                </w:tc>
                <w:tc>
                  <w:tcPr>
                    <w:tcW w:w="3465" w:type="dxa"/>
                    <w:tcBorders>
                      <w:bottom w:val="single" w:sz="4" w:space="0" w:color="auto"/>
                    </w:tcBorders>
                    <w:shd w:val="clear" w:color="auto" w:fill="auto"/>
                  </w:tcPr>
                  <w:p>
                    <w:pPr>
                      <w:rPr>
                        <w:bCs/>
                        <w:sz w:val="20"/>
                        <w:lang w:val="pt-BR"/>
                      </w:rPr>
                    </w:pPr>
                  </w:p>
                </w:tc>
                <w:tc>
                  <w:tcPr>
                    <w:tcW w:w="4254" w:type="dxa"/>
                    <w:tcBorders>
                      <w:bottom w:val="single" w:sz="4" w:space="0" w:color="auto"/>
                    </w:tcBorders>
                    <w:shd w:val="clear" w:color="auto" w:fill="auto"/>
                  </w:tcPr>
                  <w:p>
                    <w:pPr>
                      <w:rPr>
                        <w:bCs/>
                        <w:sz w:val="20"/>
                        <w:lang w:val="pt-BR"/>
                      </w:rPr>
                    </w:pPr>
                    <w:r>
                      <w:rPr>
                        <w:bCs/>
                        <w:sz w:val="20"/>
                        <w:lang w:val="pt-BR"/>
                      </w:rPr>
                      <w:t>Tikrinama likus 10–14 dienų iki varžybų</w:t>
                    </w:r>
                  </w:p>
                </w:tc>
              </w:tr>
              <w:tr>
                <w:trPr>
                  <w:trHeight w:val="70"/>
                </w:trPr>
                <w:tc>
                  <w:tcPr>
                    <w:tcW w:w="638" w:type="dxa"/>
                    <w:vMerge w:val="restart"/>
                  </w:tcPr>
                  <w:p>
                    <w:pPr>
                      <w:rPr>
                        <w:bCs/>
                        <w:sz w:val="20"/>
                        <w:lang w:val="pt-BR"/>
                      </w:rPr>
                    </w:pPr>
                    <w:r>
                      <w:rPr>
                        <w:bCs/>
                        <w:sz w:val="20"/>
                        <w:lang w:val="pt-BR"/>
                      </w:rPr>
                      <w:t>3.7.</w:t>
                    </w:r>
                  </w:p>
                </w:tc>
                <w:tc>
                  <w:tcPr>
                    <w:tcW w:w="2280" w:type="dxa"/>
                    <w:vMerge w:val="restart"/>
                    <w:shd w:val="clear" w:color="auto" w:fill="auto"/>
                  </w:tcPr>
                  <w:p>
                    <w:pPr>
                      <w:rPr>
                        <w:bCs/>
                        <w:sz w:val="20"/>
                      </w:rPr>
                    </w:pPr>
                    <w:r>
                      <w:rPr>
                        <w:bCs/>
                        <w:sz w:val="20"/>
                        <w:lang w:val="pt-BR"/>
                      </w:rPr>
                      <w:t>Pova</w:t>
                    </w:r>
                    <w:r>
                      <w:rPr>
                        <w:bCs/>
                        <w:sz w:val="20"/>
                      </w:rPr>
                      <w:t>ndeninis sportas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rPr>
                    </w:pPr>
                    <w:r>
                      <w:rPr>
                        <w:bCs/>
                        <w:sz w:val="20"/>
                      </w:rPr>
                      <w:t>plaučių funkcijos rodikliai;</w:t>
                    </w:r>
                  </w:p>
                </w:tc>
                <w:tc>
                  <w:tcPr>
                    <w:tcW w:w="4254" w:type="dxa"/>
                    <w:tcBorders>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ortostatinis mėginys;</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345"/>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kvėpavimo sulaikymo mėginiai</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neurologas, otorinolaringologas</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ind w:right="196"/>
                      <w:rPr>
                        <w:bCs/>
                        <w:sz w:val="20"/>
                      </w:rPr>
                    </w:pPr>
                    <w:r>
                      <w:rPr>
                        <w:bCs/>
                        <w:sz w:val="20"/>
                      </w:rPr>
                      <w:t>Kiekvienos apžiūros metu</w:t>
                    </w:r>
                  </w:p>
                </w:tc>
              </w:tr>
              <w:tr>
                <w:trPr>
                  <w:cantSplit/>
                  <w:trHeight w:val="144"/>
                </w:trPr>
                <w:tc>
                  <w:tcPr>
                    <w:tcW w:w="638" w:type="dxa"/>
                    <w:vMerge w:val="restart"/>
                  </w:tcPr>
                  <w:p>
                    <w:pPr>
                      <w:rPr>
                        <w:bCs/>
                        <w:sz w:val="20"/>
                        <w:lang w:val="pl-PL"/>
                      </w:rPr>
                    </w:pPr>
                    <w:r>
                      <w:rPr>
                        <w:bCs/>
                        <w:sz w:val="20"/>
                        <w:lang w:val="pl-PL"/>
                      </w:rPr>
                      <w:t>3.8.</w:t>
                    </w:r>
                  </w:p>
                </w:tc>
                <w:tc>
                  <w:tcPr>
                    <w:tcW w:w="2280" w:type="dxa"/>
                    <w:vMerge w:val="restart"/>
                    <w:shd w:val="clear" w:color="auto" w:fill="auto"/>
                  </w:tcPr>
                  <w:p>
                    <w:pPr>
                      <w:rPr>
                        <w:bCs/>
                        <w:sz w:val="20"/>
                        <w:lang w:val="pl-PL"/>
                      </w:rPr>
                    </w:pPr>
                    <w:r>
                      <w:rPr>
                        <w:bCs/>
                        <w:sz w:val="20"/>
                        <w:lang w:val="pl-PL"/>
                      </w:rPr>
                      <w:t>Triatlonas, labai ilgų nuotolių (maratono – 42,125; 50 km) bėgimas, slidin</w:t>
                    </w:r>
                    <w:r>
                      <w:rPr>
                        <w:bCs/>
                        <w:sz w:val="20"/>
                      </w:rPr>
                      <w:t>ė</w:t>
                    </w:r>
                    <w:r>
                      <w:rPr>
                        <w:bCs/>
                        <w:sz w:val="20"/>
                        <w:lang w:val="pl-PL"/>
                      </w:rPr>
                      <w:t>jimas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l-PL"/>
                      </w:rPr>
                    </w:pPr>
                    <w:r>
                      <w:rPr>
                        <w:bCs/>
                        <w:sz w:val="20"/>
                        <w:lang w:val="pl-PL"/>
                      </w:rPr>
                      <w:t>Sporto medicinos gydytojas</w:t>
                    </w:r>
                  </w:p>
                </w:tc>
                <w:tc>
                  <w:tcPr>
                    <w:tcW w:w="3465" w:type="dxa"/>
                    <w:tcBorders>
                      <w:bottom w:val="nil"/>
                    </w:tcBorders>
                    <w:shd w:val="clear" w:color="auto" w:fill="auto"/>
                  </w:tcPr>
                  <w:p>
                    <w:pPr>
                      <w:rPr>
                        <w:bCs/>
                        <w:sz w:val="20"/>
                        <w:lang w:val="pl-PL"/>
                      </w:rPr>
                    </w:pPr>
                    <w:r>
                      <w:rPr>
                        <w:bCs/>
                        <w:sz w:val="20"/>
                        <w:lang w:val="pl-PL"/>
                      </w:rPr>
                      <w:t>Kaip 3.1 punkte</w:t>
                    </w:r>
                    <w:r>
                      <w:rPr>
                        <w:bCs/>
                        <w:sz w:val="20"/>
                      </w:rPr>
                      <w:t xml:space="preserve"> </w:t>
                    </w:r>
                    <w:r>
                      <w:rPr>
                        <w:bCs/>
                        <w:sz w:val="20"/>
                        <w:lang w:val="pl-PL"/>
                      </w:rPr>
                      <w:t>ir papildomai:</w:t>
                    </w:r>
                  </w:p>
                  <w:p>
                    <w:pPr>
                      <w:rPr>
                        <w:bCs/>
                        <w:sz w:val="20"/>
                        <w:lang w:val="pl-PL"/>
                      </w:rPr>
                    </w:pPr>
                    <w:r>
                      <w:rPr>
                        <w:bCs/>
                        <w:sz w:val="20"/>
                        <w:lang w:val="pl-PL"/>
                      </w:rPr>
                      <w:t>plaučių funkcijos tyrimai</w:t>
                    </w:r>
                  </w:p>
                </w:tc>
                <w:tc>
                  <w:tcPr>
                    <w:tcW w:w="4254" w:type="dxa"/>
                    <w:tcBorders>
                      <w:bottom w:val="nil"/>
                    </w:tcBorders>
                    <w:shd w:val="clear" w:color="auto" w:fill="auto"/>
                  </w:tcPr>
                  <w:p>
                    <w:pPr>
                      <w:rPr>
                        <w:bCs/>
                        <w:sz w:val="20"/>
                        <w:lang w:val="pt-BR"/>
                      </w:rPr>
                    </w:pPr>
                    <w:r>
                      <w:rPr>
                        <w:bCs/>
                        <w:sz w:val="20"/>
                        <w:lang w:val="pl-PL"/>
                      </w:rPr>
                      <w:t>Kiekvienos apžiūros metu</w:t>
                    </w:r>
                  </w:p>
                </w:tc>
              </w:tr>
              <w:tr>
                <w:trPr>
                  <w:cantSplit/>
                  <w:trHeight w:val="70"/>
                </w:trPr>
                <w:tc>
                  <w:tcPr>
                    <w:tcW w:w="638" w:type="dxa"/>
                    <w:vMerge/>
                  </w:tcPr>
                  <w:p>
                    <w:pPr>
                      <w:rPr>
                        <w:bCs/>
                        <w:sz w:val="20"/>
                        <w:lang w:val="pl-PL"/>
                      </w:rPr>
                    </w:pPr>
                  </w:p>
                </w:tc>
                <w:tc>
                  <w:tcPr>
                    <w:tcW w:w="2280" w:type="dxa"/>
                    <w:vMerge/>
                    <w:shd w:val="clear" w:color="auto" w:fill="auto"/>
                  </w:tcPr>
                  <w:p>
                    <w:pPr>
                      <w:rPr>
                        <w:bCs/>
                        <w:sz w:val="20"/>
                        <w:lang w:val="pl-PL"/>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lang w:val="pl-PL"/>
                      </w:rPr>
                    </w:pPr>
                    <w:r>
                      <w:rPr>
                        <w:bCs/>
                        <w:sz w:val="20"/>
                        <w:lang w:val="pl-PL"/>
                      </w:rPr>
                      <w:t>oftalmologas, neurologas, traumatologas ortopedas, otorinolaringologas ir kiti specialistai</w:t>
                    </w:r>
                  </w:p>
                </w:tc>
                <w:tc>
                  <w:tcPr>
                    <w:tcW w:w="3465" w:type="dxa"/>
                    <w:tcBorders>
                      <w:top w:val="nil"/>
                      <w:bottom w:val="single" w:sz="4" w:space="0" w:color="auto"/>
                    </w:tcBorders>
                    <w:shd w:val="clear" w:color="auto" w:fill="auto"/>
                  </w:tcPr>
                  <w:p>
                    <w:pPr>
                      <w:rPr>
                        <w:bCs/>
                        <w:sz w:val="20"/>
                        <w:lang w:val="pl-PL"/>
                      </w:rPr>
                    </w:pPr>
                  </w:p>
                </w:tc>
                <w:tc>
                  <w:tcPr>
                    <w:tcW w:w="4254" w:type="dxa"/>
                    <w:tcBorders>
                      <w:top w:val="nil"/>
                      <w:bottom w:val="single" w:sz="4" w:space="0" w:color="auto"/>
                    </w:tcBorders>
                    <w:shd w:val="clear" w:color="auto" w:fill="auto"/>
                  </w:tcPr>
                  <w:p>
                    <w:pPr>
                      <w:rPr>
                        <w:bCs/>
                        <w:sz w:val="20"/>
                        <w:lang w:val="pl-PL"/>
                      </w:rPr>
                    </w:pPr>
                    <w:r>
                      <w:rPr>
                        <w:bCs/>
                        <w:sz w:val="20"/>
                        <w:lang w:val="pt-BR"/>
                      </w:rPr>
                      <w:t xml:space="preserve">Pagal indikacijas </w:t>
                    </w:r>
                  </w:p>
                </w:tc>
              </w:tr>
              <w:tr>
                <w:trPr>
                  <w:trHeight w:val="360"/>
                </w:trPr>
                <w:tc>
                  <w:tcPr>
                    <w:tcW w:w="638" w:type="dxa"/>
                    <w:vMerge w:val="restart"/>
                  </w:tcPr>
                  <w:p>
                    <w:pPr>
                      <w:rPr>
                        <w:bCs/>
                        <w:sz w:val="20"/>
                        <w:lang w:val="pt-BR"/>
                      </w:rPr>
                    </w:pPr>
                    <w:r>
                      <w:rPr>
                        <w:bCs/>
                        <w:sz w:val="20"/>
                        <w:lang w:val="pt-BR"/>
                      </w:rPr>
                      <w:t>3.9.</w:t>
                    </w:r>
                  </w:p>
                </w:tc>
                <w:tc>
                  <w:tcPr>
                    <w:tcW w:w="2280" w:type="dxa"/>
                    <w:vMerge w:val="restart"/>
                    <w:shd w:val="clear" w:color="auto" w:fill="auto"/>
                  </w:tcPr>
                  <w:p>
                    <w:pPr>
                      <w:rPr>
                        <w:bCs/>
                        <w:sz w:val="20"/>
                        <w:lang w:val="pt-BR"/>
                      </w:rPr>
                    </w:pPr>
                    <w:r>
                      <w:rPr>
                        <w:bCs/>
                        <w:sz w:val="20"/>
                        <w:lang w:val="pt-BR"/>
                      </w:rPr>
                      <w:t>Triatlonas, labai ilgų nuotolių (42,125; 50 km maratono) bėgimas, slidin</w:t>
                    </w:r>
                    <w:r>
                      <w:rPr>
                        <w:bCs/>
                        <w:sz w:val="20"/>
                      </w:rPr>
                      <w:t>ė</w:t>
                    </w:r>
                    <w:r>
                      <w:rPr>
                        <w:bCs/>
                        <w:sz w:val="20"/>
                        <w:lang w:val="pt-BR"/>
                      </w:rPr>
                      <w:t xml:space="preserve">jimas </w:t>
                    </w:r>
                  </w:p>
                </w:tc>
                <w:tc>
                  <w:tcPr>
                    <w:tcW w:w="1459" w:type="dxa"/>
                    <w:vMerge w:val="restart"/>
                    <w:shd w:val="clear" w:color="auto" w:fill="auto"/>
                  </w:tcPr>
                  <w:p>
                    <w:pPr>
                      <w:rPr>
                        <w:bCs/>
                        <w:sz w:val="20"/>
                      </w:rPr>
                    </w:pPr>
                    <w:r>
                      <w:rPr>
                        <w:bCs/>
                        <w:sz w:val="20"/>
                      </w:rPr>
                      <w:t>Patikrinimas prieš varžybas</w:t>
                    </w:r>
                  </w:p>
                </w:tc>
                <w:tc>
                  <w:tcPr>
                    <w:tcW w:w="2644" w:type="dxa"/>
                    <w:tcBorders>
                      <w:bottom w:val="nil"/>
                    </w:tcBorders>
                  </w:tcPr>
                  <w:p>
                    <w:pPr>
                      <w:rPr>
                        <w:bCs/>
                        <w:sz w:val="20"/>
                        <w:lang w:val="pt-BR"/>
                      </w:rPr>
                    </w:pPr>
                    <w:r>
                      <w:rPr>
                        <w:bCs/>
                        <w:sz w:val="20"/>
                        <w:lang w:val="pt-BR"/>
                      </w:rPr>
                      <w:t>Sporto medicinos gydytojas</w:t>
                    </w:r>
                  </w:p>
                </w:tc>
                <w:tc>
                  <w:tcPr>
                    <w:tcW w:w="3465" w:type="dxa"/>
                    <w:tcBorders>
                      <w:bottom w:val="nil"/>
                    </w:tcBorders>
                    <w:shd w:val="clear" w:color="auto" w:fill="auto"/>
                  </w:tcPr>
                  <w:p>
                    <w:pPr>
                      <w:rPr>
                        <w:bCs/>
                        <w:sz w:val="20"/>
                        <w:lang w:val="pt-BR"/>
                      </w:rPr>
                    </w:pPr>
                    <w:r>
                      <w:rPr>
                        <w:bCs/>
                        <w:sz w:val="20"/>
                        <w:lang w:val="pt-BR"/>
                      </w:rPr>
                      <w:t>Ramybės, krūvio EKG, atsigavimo periode 3–5 min.</w:t>
                    </w:r>
                  </w:p>
                </w:tc>
                <w:tc>
                  <w:tcPr>
                    <w:tcW w:w="4254" w:type="dxa"/>
                    <w:tcBorders>
                      <w:bottom w:val="nil"/>
                    </w:tcBorders>
                    <w:shd w:val="clear" w:color="auto" w:fill="auto"/>
                  </w:tcPr>
                  <w:p>
                    <w:pPr>
                      <w:rPr>
                        <w:bCs/>
                        <w:sz w:val="20"/>
                      </w:rPr>
                    </w:pP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lang w:val="pt-BR"/>
                      </w:rPr>
                    </w:pPr>
                    <w:r>
                      <w:rPr>
                        <w:bCs/>
                        <w:sz w:val="20"/>
                        <w:lang w:val="pt-BR"/>
                      </w:rPr>
                      <w:t>kiti specialistai</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Pagal indikacijas</w:t>
                    </w:r>
                  </w:p>
                </w:tc>
              </w:tr>
              <w:tr>
                <w:trPr>
                  <w:trHeight w:val="70"/>
                </w:trPr>
                <w:tc>
                  <w:tcPr>
                    <w:tcW w:w="638" w:type="dxa"/>
                    <w:vMerge w:val="restart"/>
                  </w:tcPr>
                  <w:p>
                    <w:pPr>
                      <w:rPr>
                        <w:bCs/>
                        <w:sz w:val="20"/>
                      </w:rPr>
                    </w:pPr>
                    <w:r>
                      <w:rPr>
                        <w:bCs/>
                        <w:sz w:val="20"/>
                      </w:rPr>
                      <w:t>3.10.</w:t>
                    </w:r>
                  </w:p>
                </w:tc>
                <w:tc>
                  <w:tcPr>
                    <w:tcW w:w="2280" w:type="dxa"/>
                    <w:vMerge w:val="restart"/>
                    <w:shd w:val="clear" w:color="auto" w:fill="auto"/>
                  </w:tcPr>
                  <w:p>
                    <w:pPr>
                      <w:rPr>
                        <w:bCs/>
                        <w:sz w:val="20"/>
                      </w:rPr>
                    </w:pPr>
                    <w:r>
                      <w:rPr>
                        <w:bCs/>
                        <w:sz w:val="20"/>
                      </w:rPr>
                      <w:t xml:space="preserve">Techninės sporto šakos (auto-, motosportas, kartingai, motorlaiviai ir kt.) </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lang w:val="pt-BR"/>
                      </w:rPr>
                    </w:pPr>
                    <w:r>
                      <w:rPr>
                        <w:bCs/>
                        <w:sz w:val="20"/>
                        <w:lang w:val="nl-NL"/>
                      </w:rPr>
                      <w:t>1 kartą per metus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otorinolaringologas,</w:t>
                    </w:r>
                  </w:p>
                  <w:p>
                    <w:pPr>
                      <w:rPr>
                        <w:bCs/>
                        <w:sz w:val="20"/>
                      </w:rPr>
                    </w:pPr>
                    <w:r>
                      <w:rPr>
                        <w:bCs/>
                        <w:sz w:val="20"/>
                      </w:rPr>
                      <w:t>kiti specialistai</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rPr>
                        <w:bCs/>
                        <w:sz w:val="20"/>
                        <w:lang w:val="nl-NL"/>
                      </w:rPr>
                    </w:pPr>
                    <w:r>
                      <w:rPr>
                        <w:bCs/>
                        <w:sz w:val="20"/>
                        <w:lang w:val="pt-BR"/>
                      </w:rPr>
                      <w:t>Pagal indikacijas</w:t>
                    </w:r>
                  </w:p>
                </w:tc>
              </w:tr>
              <w:tr>
                <w:trPr>
                  <w:trHeight w:val="345"/>
                </w:trPr>
                <w:tc>
                  <w:tcPr>
                    <w:tcW w:w="638" w:type="dxa"/>
                    <w:vMerge w:val="restart"/>
                  </w:tcPr>
                  <w:p>
                    <w:pPr>
                      <w:ind w:right="-8407"/>
                      <w:rPr>
                        <w:bCs/>
                        <w:sz w:val="20"/>
                      </w:rPr>
                    </w:pPr>
                    <w:r>
                      <w:rPr>
                        <w:bCs/>
                        <w:sz w:val="20"/>
                      </w:rPr>
                      <w:t>3.11.</w:t>
                    </w:r>
                  </w:p>
                </w:tc>
                <w:tc>
                  <w:tcPr>
                    <w:tcW w:w="2280" w:type="dxa"/>
                    <w:vMerge w:val="restart"/>
                    <w:shd w:val="clear" w:color="auto" w:fill="auto"/>
                  </w:tcPr>
                  <w:p>
                    <w:pPr>
                      <w:ind w:right="-8407"/>
                      <w:rPr>
                        <w:bCs/>
                        <w:sz w:val="20"/>
                      </w:rPr>
                    </w:pPr>
                    <w:r>
                      <w:rPr>
                        <w:bCs/>
                        <w:sz w:val="20"/>
                      </w:rPr>
                      <w:t>Sportuotojai</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rPr>
                    </w:pPr>
                  </w:p>
                </w:tc>
              </w:tr>
              <w:tr>
                <w:trPr>
                  <w:trHeight w:val="330"/>
                </w:trPr>
                <w:tc>
                  <w:tcPr>
                    <w:tcW w:w="638" w:type="dxa"/>
                    <w:vMerge/>
                  </w:tcPr>
                  <w:p>
                    <w:pPr>
                      <w:ind w:right="-8407"/>
                      <w:rPr>
                        <w:bCs/>
                        <w:sz w:val="20"/>
                      </w:rPr>
                    </w:pPr>
                  </w:p>
                </w:tc>
                <w:tc>
                  <w:tcPr>
                    <w:tcW w:w="2280" w:type="dxa"/>
                    <w:vMerge/>
                    <w:shd w:val="clear" w:color="auto" w:fill="auto"/>
                  </w:tcPr>
                  <w:p>
                    <w:pPr>
                      <w:ind w:right="-8407"/>
                      <w:rPr>
                        <w:bCs/>
                        <w:sz w:val="20"/>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Kiti specialistai</w:t>
                    </w:r>
                  </w:p>
                </w:tc>
                <w:tc>
                  <w:tcPr>
                    <w:tcW w:w="3465" w:type="dxa"/>
                    <w:tcBorders>
                      <w:top w:val="nil"/>
                    </w:tcBorders>
                    <w:shd w:val="clear" w:color="auto" w:fill="auto"/>
                  </w:tcPr>
                  <w:p>
                    <w:pPr>
                      <w:rPr>
                        <w:bCs/>
                        <w:sz w:val="20"/>
                      </w:rPr>
                    </w:pPr>
                  </w:p>
                </w:tc>
                <w:tc>
                  <w:tcPr>
                    <w:tcW w:w="4254" w:type="dxa"/>
                    <w:tcBorders>
                      <w:top w:val="nil"/>
                    </w:tcBorders>
                    <w:shd w:val="clear" w:color="auto" w:fill="auto"/>
                  </w:tcPr>
                  <w:p>
                    <w:pPr>
                      <w:rPr>
                        <w:bCs/>
                        <w:sz w:val="20"/>
                      </w:rPr>
                    </w:pPr>
                    <w:r>
                      <w:rPr>
                        <w:bCs/>
                        <w:sz w:val="20"/>
                      </w:rPr>
                      <w:t>Pagal indikacijas</w:t>
                    </w:r>
                  </w:p>
                </w:tc>
              </w:tr>
            </w:tbl>
            <w:p>
              <w:pPr>
                <w:widowControl w:val="0"/>
                <w:suppressAutoHyphens/>
                <w:ind w:firstLine="567"/>
                <w:jc w:val="both"/>
                <w:rPr>
                  <w:color w:val="000000"/>
                </w:rPr>
              </w:pPr>
            </w:p>
            <w:p>
              <w:pPr>
                <w:widowControl w:val="0"/>
                <w:suppressAutoHyphens/>
                <w:ind w:firstLine="567"/>
                <w:jc w:val="both"/>
                <w:rPr>
                  <w:color w:val="000000"/>
                </w:rPr>
              </w:pPr>
            </w:p>
            <w:p>
              <w:pPr>
                <w:widowControl w:val="0"/>
                <w:suppressAutoHyphens/>
                <w:ind w:firstLine="567"/>
                <w:jc w:val="both"/>
                <w:rPr>
                  <w:color w:val="000000"/>
                </w:rPr>
                <w:sectPr>
                  <w:pgSz w:w="16840" w:h="11907" w:orient="landscape" w:code="9"/>
                  <w:pgMar w:top="1134" w:right="1134" w:bottom="1701" w:left="1134" w:header="567" w:footer="284" w:gutter="0"/>
                  <w:cols w:space="1296"/>
                  <w:docGrid w:linePitch="360"/>
                </w:sectPr>
              </w:pPr>
            </w:p>
          </w:sdtContent>
        </w:sdt>
        <w:sdt>
          <w:sdtPr>
            <w:alias w:val="skyrius"/>
            <w:tag w:val="part_db8ba70d495a479c947d7f86ea83ac4a"/>
            <w:lock w:val="sdtLocked"/>
            <w:richText/>
          </w:sdtPr>
          <w:sdtContent>
            <w:p>
              <w:pPr>
                <w:jc w:val="center"/>
                <w:rPr>
                  <w:bCs/>
                  <w:caps/>
                </w:rPr>
              </w:pPr>
              <w:sdt>
                <w:sdtPr>
                  <w:alias w:val="Numeris"/>
                  <w:tag w:val="nr_db8ba70d495a479c947d7f86ea83ac4a"/>
                  <w:lock w:val="sdtLocked"/>
                  <w:richText/>
                </w:sdtPr>
                <w:sdtContent>
                  <w:r>
                    <w:rPr>
                      <w:b/>
                      <w:bCs/>
                      <w:caps/>
                    </w:rPr>
                    <w:t>IV</w:t>
                  </w:r>
                </w:sdtContent>
              </w:sdt>
              <w:r>
                <w:rPr>
                  <w:b/>
                  <w:bCs/>
                  <w:caps/>
                </w:rPr>
                <w:t xml:space="preserve">. </w:t>
              </w:r>
              <w:sdt>
                <w:sdtPr>
                  <w:alias w:val="Pavadinimas"/>
                  <w:tag w:val="title_db8ba70d495a479c947d7f86ea83ac4a"/>
                  <w:lock w:val="sdtLocked"/>
                  <w:richText/>
                </w:sdtPr>
                <w:sdtContent>
                  <w:r>
                    <w:rPr>
                      <w:b/>
                      <w:bCs/>
                      <w:caps/>
                    </w:rPr>
                    <w:t>detalUs sporto medicinOs centruose teikiamų asmens sveikatos priežiūros paslaugų sąrašas</w:t>
                  </w:r>
                </w:sdtContent>
              </w:sdt>
            </w:p>
            <w:p>
              <w:pPr>
                <w:rPr>
                  <w:bCs/>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8"/>
                <w:gridCol w:w="7762"/>
              </w:tblGrid>
              <w:tr>
                <w:trPr>
                  <w:trHeight w:val="334"/>
                  <w:tblHeader/>
                </w:trPr>
                <w:tc>
                  <w:tcPr>
                    <w:tcW w:w="1308"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Eil. Nr.</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jc w:val="center"/>
                      <w:rPr>
                        <w:bCs/>
                      </w:rPr>
                    </w:pPr>
                    <w:r>
                      <w:rPr>
                        <w:bCs/>
                      </w:rPr>
                      <w:t>PASLAUGOS (pateikiamas minimalus paslaugų mastas, kuris apmokamas biudžeto lėšomis)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SPORTO MEDICINOS GYDYTOJO </w:t>
                    </w:r>
                  </w:p>
                </w:tc>
              </w:tr>
              <w:tr>
                <w:trPr>
                  <w:trHeight w:val="27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nil"/>
                      <w:right w:val="single" w:sz="4" w:space="0" w:color="auto"/>
                    </w:tcBorders>
                    <w:shd w:val="clear" w:color="auto" w:fill="auto"/>
                  </w:tcPr>
                  <w:p>
                    <w:pPr>
                      <w:ind w:firstLine="55"/>
                      <w:rPr>
                        <w:bCs/>
                        <w:sz w:val="20"/>
                      </w:rPr>
                    </w:pPr>
                    <w:r>
                      <w:rPr>
                        <w:bCs/>
                        <w:sz w:val="20"/>
                      </w:rPr>
                      <w:t>Sportininkų sveikatos ištyrimas:</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fizinio išsivystymo, judamojo aparato funkcinės būklės įvertinimas;</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regos aštrumo nustatymas;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plaučių gyvybinės talpos nustatymas;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išsamus sportinės bei ligos anamnezės surinkimas;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palpacija (ypač kreipiant dėmesį į judamąjį aparatą);</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auskultacija (širdies, plaučių);</w:t>
                    </w:r>
                  </w:p>
                </w:tc>
              </w:tr>
              <w:tr>
                <w:trPr>
                  <w:trHeight w:val="1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burnos ertmės apžiūra;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pulso tyrimas ir arterinio kraujo spaudimo matavimas netiesioginiu būdu;</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kūno temperatūros matavimas;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sportuojančių kūno masės komponentų nustatymas ir įvertinimas.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Reikalingų tyrimų paskyrimas (hematologinių, bendraklinikinių, biocheminių, elektrokardiogramos, echoskopijos, spiroergometrijos, rentgeno, magnetinio rezonanso, kompiuterinės tomografijos).</w:t>
                    </w:r>
                  </w:p>
                </w:tc>
              </w:tr>
              <w:tr>
                <w:trPr>
                  <w:trHeight w:val="15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širdies ir kraujagyslių sistemos funkcinės būklės nustatymas specialiais testais: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20 pritūpimų vietoje;</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15 sek. maksimalaus bėgimo vietoje, aukštai keliant kelius;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3 min. bėgimu vietoje, 180 žingsnių per minutę tempu;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4.1.3.4.</w:t>
                    </w:r>
                  </w:p>
                </w:tc>
                <w:tc>
                  <w:tcPr>
                    <w:tcW w:w="7762" w:type="dxa"/>
                    <w:tcBorders>
                      <w:top w:val="nil"/>
                      <w:left w:val="single" w:sz="4" w:space="0" w:color="auto"/>
                      <w:bottom w:val="nil"/>
                      <w:right w:val="single" w:sz="4" w:space="0" w:color="auto"/>
                    </w:tcBorders>
                    <w:shd w:val="clear" w:color="auto" w:fill="auto"/>
                  </w:tcPr>
                  <w:p>
                    <w:pPr>
                      <w:ind w:firstLine="55"/>
                      <w:rPr>
                        <w:bCs/>
                        <w:sz w:val="20"/>
                      </w:rPr>
                    </w:pPr>
                    <w:r>
                      <w:rPr>
                        <w:bCs/>
                        <w:i/>
                        <w:sz w:val="20"/>
                      </w:rPr>
                      <w:t>Astrando step</w:t>
                    </w:r>
                    <w:r>
                      <w:rPr>
                        <w:bCs/>
                        <w:sz w:val="20"/>
                      </w:rPr>
                      <w:t xml:space="preserve"> testu;</w:t>
                    </w:r>
                  </w:p>
                </w:tc>
              </w:tr>
              <w:tr>
                <w:trPr>
                  <w:trHeight w:val="136"/>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4.1.3.5.</w:t>
                    </w:r>
                  </w:p>
                </w:tc>
                <w:tc>
                  <w:tcPr>
                    <w:tcW w:w="7762" w:type="dxa"/>
                    <w:tcBorders>
                      <w:top w:val="nil"/>
                      <w:left w:val="single" w:sz="4" w:space="0" w:color="auto"/>
                      <w:bottom w:val="nil"/>
                      <w:right w:val="single" w:sz="4" w:space="0" w:color="auto"/>
                    </w:tcBorders>
                    <w:shd w:val="clear" w:color="auto" w:fill="auto"/>
                  </w:tcPr>
                  <w:p>
                    <w:pPr>
                      <w:rPr>
                        <w:bCs/>
                        <w:sz w:val="20"/>
                      </w:rPr>
                    </w:pPr>
                    <w:r>
                      <w:rPr>
                        <w:bCs/>
                        <w:i/>
                        <w:sz w:val="20"/>
                      </w:rPr>
                      <w:t>Harvardo step</w:t>
                    </w:r>
                    <w:r>
                      <w:rPr>
                        <w:bCs/>
                        <w:sz w:val="20"/>
                      </w:rPr>
                      <w:t xml:space="preserve"> testu; </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kvėpavimo sulaikymo mėginiu (pagal Serkiną);</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ortostatiniu mėginiu.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Sportininkų sveikatos ir funkcinės būklės analizė ir kitų duomenų įvertinimas.</w:t>
                    </w:r>
                  </w:p>
                </w:tc>
              </w:tr>
              <w:tr>
                <w:trPr>
                  <w:trHeight w:val="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Susirgusių ir traumuotų sportininkų gydymas pagal kompetenciją.</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Atsigavimo programų sudarymas.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Rekomendacijų dėl sveikatos stiprinimo, traumų profilaktikos, treniruočių režimo teikimas.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Medicininių, funkcinių tyrimų duomenų, atliktų treniruočių, mokomųjų-treniravimo stovyklų ar varžybų metu, analizė, išvadų teikimas. </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sveikatos stebėjimo kortelės (forma Nr. 61/a), asmens sveikatos istorijos (forma Nr. 025/a-LK) pildymas.</w:t>
                    </w:r>
                  </w:p>
                </w:tc>
              </w:tr>
              <w:tr>
                <w:trPr>
                  <w:trHeight w:val="285"/>
                </w:trPr>
                <w:tc>
                  <w:tcPr>
                    <w:tcW w:w="1308" w:type="dxa"/>
                    <w:tcBorders>
                      <w:top w:val="nil"/>
                      <w:left w:val="single" w:sz="4" w:space="0" w:color="auto"/>
                      <w:bottom w:val="nil"/>
                      <w:right w:val="single" w:sz="4" w:space="0" w:color="auto"/>
                    </w:tcBorders>
                    <w:shd w:val="clear" w:color="auto" w:fill="auto"/>
                  </w:tcPr>
                  <w:p>
                    <w:pPr>
                      <w:rPr>
                        <w:bCs/>
                        <w:sz w:val="20"/>
                      </w:rPr>
                    </w:pP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Sporto varžybų paraiškų medicininis patvirtinimas.</w:t>
                    </w:r>
                  </w:p>
                </w:tc>
              </w:tr>
              <w:tr>
                <w:trPr>
                  <w:trHeight w:val="33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Susirgusių sportininkų nukreipimas konsultacijoms ir stacionariniam gydymui į antrojo ir trečiojo lygio asmens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sveikatos priežiūros įstaigas.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Būtinosios pagalbos teikimas.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Receptų medikamentams, vitaminams išrašymas bei jų naudojimo aiškinimas.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caps/>
                        <w:sz w:val="20"/>
                      </w:rPr>
                      <w:t xml:space="preserve">Klinikinės fiziologijos </w:t>
                    </w:r>
                  </w:p>
                </w:tc>
              </w:tr>
              <w:tr>
                <w:trPr>
                  <w:trHeight w:val="21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4.2.1.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lang w:val="pt-BR"/>
                      </w:rPr>
                      <w:t>Anamnezės patikslinimas.</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Elektrokardiogramos esant ramybės būsenos registravimas (12, 18 derivacijų) ir jos interpretavimas.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Elektrokardiograma su medikamentais (kalio chlorido, atropino, nitroglicerino) ir jos interpretacija.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dviratiniu ergometru (testas PWC</w:t>
                    </w:r>
                    <w:r>
                      <w:rPr>
                        <w:bCs/>
                        <w:sz w:val="20"/>
                        <w:vertAlign w:val="subscript"/>
                        <w:lang w:val="pt-BR"/>
                      </w:rPr>
                      <w:t xml:space="preserve">170, </w:t>
                    </w:r>
                    <w:r>
                      <w:rPr>
                        <w:bCs/>
                        <w:sz w:val="20"/>
                        <w:lang w:val="pt-BR"/>
                      </w:rPr>
                      <w:t>tolerancijos standartiniams krūviams).</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irklavimo ergometru.</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baidarių ergometru.</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4.2.7.</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bėgtakiu (tredmilu).</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4.2.8.</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Ortostatinis mėginys. </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4.2.9.</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Spiroergometrijos tyrimas (testuojant dviratiniu, irklavimo, baidarių ergometrais, bėgtakiu).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4.2.10.</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echoskopija (doplerinė, vienmatė ir dvimatė).</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4.2.11.</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Kompiuterizuota spirografija.</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Arterinio kraujo spaudimo matavimas esant ramybės būsenos ir fizinio krūvio metu netiesioginiu būdu.</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veiklos stebėjimas ergometrijos ar spiroergometrijos metu.</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Defibriliatoriaus naudojimas.</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Anaerobinio slenksčio nustatymas, atliekant laktato mėginį.</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rPr>
                      <w:t>Reakcijos greičio matavimas.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4.2.17.</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i/>
                        <w:sz w:val="20"/>
                      </w:rPr>
                      <w:t>Teping</w:t>
                    </w:r>
                    <w:r>
                      <w:rPr>
                        <w:bCs/>
                        <w:sz w:val="20"/>
                      </w:rPr>
                      <w:t xml:space="preserve"> testo atlikimas ir įvertinimas.</w:t>
                    </w:r>
                  </w:p>
                </w:tc>
              </w:tr>
              <w:tr>
                <w:tblPrEx>
                  <w:tblBorders>
                    <w:insideH w:val="none" w:sz="0" w:space="0" w:color="auto"/>
                    <w:insideV w:val="none" w:sz="0" w:space="0" w:color="auto"/>
                  </w:tblBorders>
                </w:tblPrEx>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4.3.</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widowControl w:val="0"/>
                      <w:rPr>
                        <w:bCs/>
                        <w:sz w:val="20"/>
                        <w:lang w:val="pt-BR"/>
                      </w:rPr>
                    </w:pPr>
                    <w:r>
                      <w:rPr>
                        <w:bCs/>
                        <w:sz w:val="20"/>
                        <w:lang w:val="pt-BR"/>
                      </w:rPr>
                      <w:t xml:space="preserve">KLINIKINĖS LABORATORIJOS </w:t>
                    </w:r>
                  </w:p>
                </w:tc>
              </w:tr>
              <w:tr>
                <w:tblPrEx>
                  <w:tblBorders>
                    <w:insideH w:val="none" w:sz="0" w:space="0" w:color="auto"/>
                    <w:insideV w:val="none" w:sz="0" w:space="0" w:color="auto"/>
                  </w:tblBorders>
                </w:tblPrEx>
                <w:trPr>
                  <w:trHeight w:val="1380"/>
                </w:trPr>
                <w:tc>
                  <w:tcPr>
                    <w:tcW w:w="1308" w:type="dxa"/>
                    <w:tcBorders>
                      <w:top w:val="single" w:sz="4" w:space="0" w:color="auto"/>
                      <w:bottom w:val="nil"/>
                      <w:right w:val="single" w:sz="4" w:space="0" w:color="auto"/>
                    </w:tcBorders>
                    <w:shd w:val="clear" w:color="auto" w:fill="auto"/>
                  </w:tcPr>
                  <w:p>
                    <w:pPr>
                      <w:rPr>
                        <w:bCs/>
                        <w:sz w:val="20"/>
                      </w:rPr>
                    </w:pPr>
                    <w:r>
                      <w:rPr>
                        <w:bCs/>
                        <w:sz w:val="20"/>
                      </w:rPr>
                      <w:t>4.3.1.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Automatizuotas kraujo tyrimas:</w:t>
                    </w:r>
                  </w:p>
                  <w:p>
                    <w:pPr>
                      <w:rPr>
                        <w:bCs/>
                        <w:sz w:val="20"/>
                      </w:rPr>
                    </w:pPr>
                    <w:r>
                      <w:rPr>
                        <w:bCs/>
                        <w:sz w:val="20"/>
                      </w:rPr>
                      <w:t>eritrocitų kiekis;</w:t>
                    </w:r>
                  </w:p>
                  <w:p>
                    <w:pPr>
                      <w:rPr>
                        <w:bCs/>
                        <w:sz w:val="20"/>
                      </w:rPr>
                    </w:pPr>
                    <w:r>
                      <w:rPr>
                        <w:bCs/>
                        <w:sz w:val="20"/>
                      </w:rPr>
                      <w:t>hemoglobino kiekis;</w:t>
                    </w:r>
                  </w:p>
                  <w:p>
                    <w:pPr>
                      <w:rPr>
                        <w:bCs/>
                        <w:sz w:val="20"/>
                      </w:rPr>
                    </w:pPr>
                    <w:r>
                      <w:rPr>
                        <w:bCs/>
                        <w:sz w:val="20"/>
                      </w:rPr>
                      <w:t>leukocitų kiekis;</w:t>
                    </w:r>
                  </w:p>
                  <w:p>
                    <w:pPr>
                      <w:rPr>
                        <w:bCs/>
                        <w:sz w:val="20"/>
                      </w:rPr>
                    </w:pPr>
                    <w:r>
                      <w:rPr>
                        <w:bCs/>
                        <w:sz w:val="20"/>
                      </w:rPr>
                      <w:t>trombocitų kiekis;</w:t>
                    </w:r>
                  </w:p>
                  <w:p>
                    <w:pPr>
                      <w:rPr>
                        <w:rFonts w:ascii="TimesLT" w:hAnsi="TimesLT"/>
                        <w:bCs/>
                        <w:sz w:val="20"/>
                        <w:lang w:val="pt-BR"/>
                      </w:rPr>
                    </w:pPr>
                    <w:r>
                      <w:rPr>
                        <w:bCs/>
                        <w:sz w:val="20"/>
                      </w:rPr>
                      <w:t>leukocitų diferencinis pasiskirstymas;</w:t>
                    </w:r>
                  </w:p>
                </w:tc>
              </w:tr>
              <w:tr>
                <w:tblPrEx>
                  <w:tblBorders>
                    <w:insideH w:val="none" w:sz="0" w:space="0" w:color="auto"/>
                    <w:insideV w:val="none" w:sz="0" w:space="0" w:color="auto"/>
                  </w:tblBorders>
                </w:tblPrEx>
                <w:trPr>
                  <w:trHeight w:val="165"/>
                </w:trPr>
                <w:tc>
                  <w:tcPr>
                    <w:tcW w:w="1308" w:type="dxa"/>
                    <w:tcBorders>
                      <w:top w:val="nil"/>
                      <w:bottom w:val="nil"/>
                      <w:right w:val="single" w:sz="4" w:space="0" w:color="auto"/>
                    </w:tcBorders>
                    <w:shd w:val="clear" w:color="auto" w:fill="auto"/>
                  </w:tcPr>
                  <w:p>
                    <w:pPr>
                      <w:rPr>
                        <w:bCs/>
                        <w:sz w:val="20"/>
                      </w:rPr>
                    </w:pPr>
                    <w:r>
                      <w:rPr>
                        <w:bCs/>
                        <w:sz w:val="20"/>
                      </w:rPr>
                      <w:t>4.3.2.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Leukocitų diferencinio pasiskirstymo skaičiavimas mikroskopu.</w:t>
                    </w:r>
                  </w:p>
                </w:tc>
              </w:tr>
              <w:tr>
                <w:tblPrEx>
                  <w:tblBorders>
                    <w:insideH w:val="none" w:sz="0" w:space="0" w:color="auto"/>
                    <w:insideV w:val="none" w:sz="0" w:space="0" w:color="auto"/>
                  </w:tblBorders>
                </w:tblPrEx>
                <w:trPr>
                  <w:trHeight w:val="105"/>
                </w:trPr>
                <w:tc>
                  <w:tcPr>
                    <w:tcW w:w="1308" w:type="dxa"/>
                    <w:tcBorders>
                      <w:top w:val="nil"/>
                      <w:bottom w:val="nil"/>
                      <w:right w:val="single" w:sz="4" w:space="0" w:color="auto"/>
                    </w:tcBorders>
                    <w:shd w:val="clear" w:color="auto" w:fill="auto"/>
                  </w:tcPr>
                  <w:p>
                    <w:pPr>
                      <w:rPr>
                        <w:bCs/>
                        <w:sz w:val="20"/>
                      </w:rPr>
                    </w:pPr>
                    <w:r>
                      <w:rPr>
                        <w:bCs/>
                        <w:sz w:val="20"/>
                      </w:rPr>
                      <w:t>4.3.3.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Kraujo tyrimas eritrocitų nusėdimo greičiui (ENG) nustatyti.</w:t>
                    </w:r>
                  </w:p>
                </w:tc>
              </w:tr>
              <w:tr>
                <w:tblPrEx>
                  <w:tblBorders>
                    <w:insideH w:val="none" w:sz="0" w:space="0" w:color="auto"/>
                    <w:insideV w:val="none" w:sz="0" w:space="0" w:color="auto"/>
                  </w:tblBorders>
                </w:tblPrEx>
                <w:trPr>
                  <w:trHeight w:val="2021"/>
                </w:trPr>
                <w:tc>
                  <w:tcPr>
                    <w:tcW w:w="1308" w:type="dxa"/>
                    <w:tcBorders>
                      <w:top w:val="nil"/>
                      <w:bottom w:val="nil"/>
                      <w:right w:val="single" w:sz="4" w:space="0" w:color="auto"/>
                    </w:tcBorders>
                    <w:shd w:val="clear" w:color="auto" w:fill="auto"/>
                  </w:tcPr>
                  <w:p>
                    <w:pPr>
                      <w:rPr>
                        <w:bCs/>
                        <w:sz w:val="20"/>
                      </w:rPr>
                    </w:pPr>
                    <w:r>
                      <w:rPr>
                        <w:bCs/>
                        <w:sz w:val="20"/>
                      </w:rPr>
                      <w:t xml:space="preserve">4.3.4. </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Automatizuotas šlapimo tyrimas:</w:t>
                    </w:r>
                  </w:p>
                  <w:p>
                    <w:pPr>
                      <w:rPr>
                        <w:bCs/>
                        <w:sz w:val="20"/>
                      </w:rPr>
                    </w:pPr>
                    <w:r>
                      <w:rPr>
                        <w:bCs/>
                        <w:sz w:val="20"/>
                      </w:rPr>
                      <w:t>lyginamasis svoris;</w:t>
                    </w:r>
                  </w:p>
                  <w:p>
                    <w:pPr>
                      <w:rPr>
                        <w:bCs/>
                        <w:sz w:val="20"/>
                      </w:rPr>
                    </w:pPr>
                    <w:r>
                      <w:rPr>
                        <w:bCs/>
                        <w:sz w:val="20"/>
                      </w:rPr>
                      <w:t>šarmų-rūgščių pusiausvyra (PH);</w:t>
                    </w:r>
                  </w:p>
                  <w:p>
                    <w:pPr>
                      <w:rPr>
                        <w:bCs/>
                        <w:sz w:val="20"/>
                      </w:rPr>
                    </w:pPr>
                    <w:r>
                      <w:rPr>
                        <w:bCs/>
                        <w:sz w:val="20"/>
                      </w:rPr>
                      <w:t>baltymas;</w:t>
                    </w:r>
                  </w:p>
                  <w:p>
                    <w:pPr>
                      <w:rPr>
                        <w:bCs/>
                        <w:sz w:val="20"/>
                      </w:rPr>
                    </w:pPr>
                    <w:r>
                      <w:rPr>
                        <w:bCs/>
                        <w:sz w:val="20"/>
                      </w:rPr>
                      <w:t>bilirubinas;</w:t>
                    </w:r>
                  </w:p>
                  <w:p>
                    <w:pPr>
                      <w:rPr>
                        <w:bCs/>
                        <w:sz w:val="20"/>
                      </w:rPr>
                    </w:pPr>
                    <w:r>
                      <w:rPr>
                        <w:bCs/>
                        <w:sz w:val="20"/>
                      </w:rPr>
                      <w:t>urobilinogenas;</w:t>
                    </w:r>
                  </w:p>
                  <w:p>
                    <w:pPr>
                      <w:rPr>
                        <w:bCs/>
                        <w:sz w:val="20"/>
                      </w:rPr>
                    </w:pPr>
                    <w:r>
                      <w:rPr>
                        <w:bCs/>
                        <w:sz w:val="20"/>
                      </w:rPr>
                      <w:t>ketonai;</w:t>
                    </w:r>
                  </w:p>
                  <w:p>
                    <w:pPr>
                      <w:rPr>
                        <w:bCs/>
                        <w:sz w:val="20"/>
                      </w:rPr>
                    </w:pPr>
                    <w:r>
                      <w:rPr>
                        <w:bCs/>
                        <w:sz w:val="20"/>
                      </w:rPr>
                      <w:t>eritrocitai;</w:t>
                    </w:r>
                  </w:p>
                  <w:p>
                    <w:pPr>
                      <w:rPr>
                        <w:bCs/>
                        <w:sz w:val="20"/>
                      </w:rPr>
                    </w:pPr>
                    <w:r>
                      <w:rPr>
                        <w:bCs/>
                        <w:sz w:val="20"/>
                      </w:rPr>
                      <w:t>leukocitai;</w:t>
                    </w:r>
                  </w:p>
                  <w:p>
                    <w:pPr>
                      <w:rPr>
                        <w:bCs/>
                        <w:sz w:val="20"/>
                      </w:rPr>
                    </w:pPr>
                    <w:r>
                      <w:rPr>
                        <w:bCs/>
                        <w:sz w:val="20"/>
                      </w:rPr>
                      <w:t>bakterijos.</w:t>
                    </w:r>
                  </w:p>
                </w:tc>
              </w:tr>
              <w:tr>
                <w:tblPrEx>
                  <w:tblBorders>
                    <w:insideH w:val="none" w:sz="0" w:space="0" w:color="auto"/>
                    <w:insideV w:val="none" w:sz="0" w:space="0" w:color="auto"/>
                  </w:tblBorders>
                </w:tblPrEx>
                <w:trPr>
                  <w:trHeight w:val="285"/>
                </w:trPr>
                <w:tc>
                  <w:tcPr>
                    <w:tcW w:w="1308" w:type="dxa"/>
                    <w:tcBorders>
                      <w:top w:val="nil"/>
                      <w:bottom w:val="nil"/>
                      <w:right w:val="single" w:sz="4" w:space="0" w:color="auto"/>
                    </w:tcBorders>
                    <w:shd w:val="clear" w:color="auto" w:fill="auto"/>
                  </w:tcPr>
                  <w:p>
                    <w:pPr>
                      <w:rPr>
                        <w:bCs/>
                        <w:sz w:val="20"/>
                      </w:rPr>
                    </w:pPr>
                    <w:r>
                      <w:rPr>
                        <w:bCs/>
                        <w:sz w:val="20"/>
                      </w:rPr>
                      <w:t>4.3.5.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Šlapimo nuosėdų mikroskopinis tyrimas.</w:t>
                    </w:r>
                  </w:p>
                </w:tc>
              </w:tr>
              <w:tr>
                <w:tblPrEx>
                  <w:tblBorders>
                    <w:insideH w:val="none" w:sz="0" w:space="0" w:color="auto"/>
                    <w:insideV w:val="none" w:sz="0" w:space="0" w:color="auto"/>
                  </w:tblBorders>
                </w:tblPrEx>
                <w:trPr>
                  <w:trHeight w:val="3373"/>
                </w:trPr>
                <w:tc>
                  <w:tcPr>
                    <w:tcW w:w="1308" w:type="dxa"/>
                    <w:tcBorders>
                      <w:top w:val="nil"/>
                      <w:bottom w:val="single" w:sz="4" w:space="0" w:color="auto"/>
                      <w:right w:val="single" w:sz="4" w:space="0" w:color="auto"/>
                    </w:tcBorders>
                    <w:shd w:val="clear" w:color="auto" w:fill="auto"/>
                  </w:tcPr>
                  <w:p>
                    <w:pPr>
                      <w:rPr>
                        <w:bCs/>
                        <w:sz w:val="20"/>
                      </w:rPr>
                    </w:pPr>
                    <w:r>
                      <w:rPr>
                        <w:bCs/>
                        <w:sz w:val="20"/>
                      </w:rPr>
                      <w:t xml:space="preserve">4.3.6. </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 xml:space="preserve">Automatizuotas biocheminis kraujo tyrimas: </w:t>
                    </w:r>
                  </w:p>
                  <w:p>
                    <w:pPr>
                      <w:rPr>
                        <w:bCs/>
                        <w:sz w:val="20"/>
                      </w:rPr>
                    </w:pPr>
                    <w:r>
                      <w:rPr>
                        <w:bCs/>
                        <w:sz w:val="20"/>
                      </w:rPr>
                      <w:t>bendrojo cholesterolio koncentracija;</w:t>
                    </w:r>
                  </w:p>
                  <w:p>
                    <w:pPr>
                      <w:rPr>
                        <w:bCs/>
                        <w:sz w:val="20"/>
                      </w:rPr>
                    </w:pPr>
                    <w:r>
                      <w:rPr>
                        <w:bCs/>
                        <w:sz w:val="20"/>
                      </w:rPr>
                      <w:t>didelio tankio lipoproteinų cholesterolio koncentracija;</w:t>
                    </w:r>
                  </w:p>
                  <w:p>
                    <w:pPr>
                      <w:rPr>
                        <w:bCs/>
                        <w:sz w:val="20"/>
                      </w:rPr>
                    </w:pPr>
                    <w:r>
                      <w:rPr>
                        <w:bCs/>
                        <w:sz w:val="20"/>
                      </w:rPr>
                      <w:t>trigliceridai;</w:t>
                    </w:r>
                  </w:p>
                  <w:p>
                    <w:pPr>
                      <w:rPr>
                        <w:bCs/>
                        <w:sz w:val="20"/>
                      </w:rPr>
                    </w:pPr>
                    <w:r>
                      <w:rPr>
                        <w:bCs/>
                        <w:sz w:val="20"/>
                      </w:rPr>
                      <w:t>bilirubinas;</w:t>
                    </w:r>
                  </w:p>
                  <w:p>
                    <w:pPr>
                      <w:rPr>
                        <w:bCs/>
                        <w:sz w:val="20"/>
                      </w:rPr>
                    </w:pPr>
                    <w:r>
                      <w:rPr>
                        <w:bCs/>
                        <w:sz w:val="20"/>
                      </w:rPr>
                      <w:t>amilazė;</w:t>
                    </w:r>
                  </w:p>
                  <w:p>
                    <w:pPr>
                      <w:rPr>
                        <w:bCs/>
                        <w:sz w:val="20"/>
                      </w:rPr>
                    </w:pPr>
                    <w:r>
                      <w:rPr>
                        <w:bCs/>
                        <w:sz w:val="20"/>
                      </w:rPr>
                      <w:t>kasos amilazė;</w:t>
                    </w:r>
                  </w:p>
                  <w:p>
                    <w:pPr>
                      <w:rPr>
                        <w:bCs/>
                        <w:sz w:val="20"/>
                      </w:rPr>
                    </w:pPr>
                    <w:r>
                      <w:rPr>
                        <w:bCs/>
                        <w:sz w:val="20"/>
                      </w:rPr>
                      <w:t>aspartataminotransferazė (GOT);</w:t>
                    </w:r>
                  </w:p>
                  <w:p>
                    <w:pPr>
                      <w:rPr>
                        <w:bCs/>
                        <w:sz w:val="20"/>
                      </w:rPr>
                    </w:pPr>
                    <w:r>
                      <w:rPr>
                        <w:bCs/>
                        <w:sz w:val="20"/>
                      </w:rPr>
                      <w:t>alaninaminotransferazės (GPT);</w:t>
                    </w:r>
                  </w:p>
                  <w:p>
                    <w:pPr>
                      <w:rPr>
                        <w:bCs/>
                        <w:sz w:val="20"/>
                      </w:rPr>
                    </w:pPr>
                    <w:r>
                      <w:rPr>
                        <w:bCs/>
                        <w:sz w:val="20"/>
                      </w:rPr>
                      <w:t>gama gliutamintransferazė (GGT);</w:t>
                    </w:r>
                  </w:p>
                  <w:p>
                    <w:pPr>
                      <w:rPr>
                        <w:bCs/>
                        <w:sz w:val="20"/>
                      </w:rPr>
                    </w:pPr>
                    <w:r>
                      <w:rPr>
                        <w:bCs/>
                        <w:sz w:val="20"/>
                      </w:rPr>
                      <w:t>kalis;</w:t>
                    </w:r>
                  </w:p>
                  <w:p>
                    <w:pPr>
                      <w:rPr>
                        <w:bCs/>
                        <w:sz w:val="20"/>
                      </w:rPr>
                    </w:pPr>
                    <w:r>
                      <w:rPr>
                        <w:bCs/>
                        <w:sz w:val="20"/>
                      </w:rPr>
                      <w:t>šlapalas;</w:t>
                    </w:r>
                  </w:p>
                  <w:p>
                    <w:pPr>
                      <w:rPr>
                        <w:bCs/>
                        <w:sz w:val="20"/>
                      </w:rPr>
                    </w:pPr>
                    <w:r>
                      <w:rPr>
                        <w:bCs/>
                        <w:sz w:val="20"/>
                      </w:rPr>
                      <w:t>šlapimo rūgštis;</w:t>
                    </w:r>
                  </w:p>
                  <w:p>
                    <w:pPr>
                      <w:rPr>
                        <w:bCs/>
                        <w:sz w:val="20"/>
                      </w:rPr>
                    </w:pPr>
                    <w:r>
                      <w:rPr>
                        <w:bCs/>
                        <w:sz w:val="20"/>
                      </w:rPr>
                      <w:t>kreatinkinazė (CK);</w:t>
                    </w:r>
                  </w:p>
                  <w:p>
                    <w:pPr>
                      <w:rPr>
                        <w:bCs/>
                        <w:sz w:val="20"/>
                      </w:rPr>
                    </w:pPr>
                    <w:r>
                      <w:rPr>
                        <w:bCs/>
                        <w:sz w:val="20"/>
                      </w:rPr>
                      <w:t>kreatininas;</w:t>
                    </w:r>
                  </w:p>
                  <w:p>
                    <w:pPr>
                      <w:rPr>
                        <w:bCs/>
                        <w:sz w:val="20"/>
                      </w:rPr>
                    </w:pPr>
                    <w:r>
                      <w:rPr>
                        <w:bCs/>
                        <w:sz w:val="20"/>
                      </w:rPr>
                      <w:t>gliukozė.</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4.4.</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FIZINĖS MEDICINOS IR REABILITACIJOS GYDYTOJO</w:t>
                    </w:r>
                  </w:p>
                  <w:p>
                    <w:pPr>
                      <w:ind w:firstLine="50"/>
                      <w:rPr>
                        <w:bCs/>
                        <w:sz w:val="20"/>
                      </w:rPr>
                    </w:pPr>
                    <w:r>
                      <w:rPr>
                        <w:bCs/>
                        <w:sz w:val="20"/>
                      </w:rPr>
                      <w:t xml:space="preserve">(fizinės medicinos ir reabilitacijos gydytojas, dirbantis Sporto medicinos centre, teikia trumpalaikes – iki 14 d. </w:t>
                    </w:r>
                    <w:r>
                      <w:rPr>
                        <w:bCs/>
                        <w:sz w:val="20"/>
                        <w:u w:val="single"/>
                      </w:rPr>
                      <w:t xml:space="preserve">nemedikamentinio gydymo paslaugas </w:t>
                    </w:r>
                    <w:r>
                      <w:rPr>
                        <w:bCs/>
                        <w:sz w:val="20"/>
                      </w:rPr>
                      <w:t xml:space="preserve">ir vykdo sportininkų atsigavimą skatinančias programas, panaudojant nemedikamentines priemones; esant indikacijoms ilgalaikiam nemedikamentiniam gydymui ir reabilitacijai – siunčia sportininkus į ambulatorinės reabilitacijos paslaugas teikiančias asmens sveikatos priežiūros įstaigas, vadovaudamasis šias paslaugas reglamentuojančiu Lietuvos Respublikos sveikatos apsaugos ministro 2008 m. sausio 17 d. įsakymu Nr. V-50 „Dėl medicininės reabilitacijos ir sanatorinio (antirecidyvinio) gydymo organizavimo“. </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w:t>
                    </w:r>
                  </w:p>
                </w:tc>
                <w:tc>
                  <w:tcPr>
                    <w:tcW w:w="7762" w:type="dxa"/>
                    <w:tcBorders>
                      <w:top w:val="single" w:sz="4" w:space="0" w:color="auto"/>
                      <w:left w:val="single" w:sz="4" w:space="0" w:color="auto"/>
                      <w:bottom w:val="nil"/>
                    </w:tcBorders>
                    <w:shd w:val="clear" w:color="auto" w:fill="auto"/>
                  </w:tcPr>
                  <w:p>
                    <w:pPr>
                      <w:rPr>
                        <w:bCs/>
                        <w:sz w:val="20"/>
                      </w:rPr>
                    </w:pPr>
                    <w:r>
                      <w:rPr>
                        <w:bCs/>
                        <w:sz w:val="20"/>
                      </w:rPr>
                      <w:t>Nemedikamentiniam gydymui siųstų sportininkų ištyrimas:</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4.4.1.1.</w:t>
                    </w:r>
                  </w:p>
                </w:tc>
                <w:tc>
                  <w:tcPr>
                    <w:tcW w:w="7762" w:type="dxa"/>
                    <w:tcBorders>
                      <w:top w:val="nil"/>
                      <w:left w:val="single" w:sz="4" w:space="0" w:color="auto"/>
                      <w:bottom w:val="nil"/>
                    </w:tcBorders>
                    <w:shd w:val="clear" w:color="auto" w:fill="auto"/>
                  </w:tcPr>
                  <w:p>
                    <w:pPr>
                      <w:rPr>
                        <w:bCs/>
                        <w:sz w:val="20"/>
                      </w:rPr>
                    </w:pPr>
                    <w:r>
                      <w:rPr>
                        <w:bCs/>
                        <w:sz w:val="20"/>
                      </w:rPr>
                      <w:t>sąnarių goniometrija;</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4.4.1.2.</w:t>
                    </w:r>
                  </w:p>
                </w:tc>
                <w:tc>
                  <w:tcPr>
                    <w:tcW w:w="7762" w:type="dxa"/>
                    <w:tcBorders>
                      <w:top w:val="nil"/>
                      <w:left w:val="single" w:sz="4" w:space="0" w:color="auto"/>
                      <w:bottom w:val="nil"/>
                    </w:tcBorders>
                    <w:shd w:val="clear" w:color="auto" w:fill="auto"/>
                  </w:tcPr>
                  <w:p>
                    <w:pPr>
                      <w:rPr>
                        <w:bCs/>
                        <w:sz w:val="20"/>
                      </w:rPr>
                    </w:pPr>
                    <w:r>
                      <w:rPr>
                        <w:bCs/>
                        <w:sz w:val="20"/>
                      </w:rPr>
                      <w:t>pėdos skliautų ištyrimas ir įvertinimas;</w:t>
                    </w:r>
                  </w:p>
                </w:tc>
              </w:tr>
              <w:tr>
                <w:tblPrEx>
                  <w:tblBorders>
                    <w:insideH w:val="none" w:sz="0" w:space="0" w:color="auto"/>
                    <w:insideV w:val="none" w:sz="0" w:space="0" w:color="auto"/>
                  </w:tblBorders>
                </w:tblPrEx>
                <w:trPr>
                  <w:trHeight w:val="120"/>
                </w:trPr>
                <w:tc>
                  <w:tcPr>
                    <w:tcW w:w="1308" w:type="dxa"/>
                    <w:tcBorders>
                      <w:right w:val="single" w:sz="4" w:space="0" w:color="auto"/>
                    </w:tcBorders>
                    <w:shd w:val="clear" w:color="auto" w:fill="auto"/>
                  </w:tcPr>
                  <w:p>
                    <w:pPr>
                      <w:rPr>
                        <w:bCs/>
                        <w:sz w:val="20"/>
                      </w:rPr>
                    </w:pPr>
                    <w:r>
                      <w:rPr>
                        <w:bCs/>
                        <w:sz w:val="20"/>
                      </w:rPr>
                      <w:t>4.4.1.3.</w:t>
                    </w:r>
                  </w:p>
                </w:tc>
                <w:tc>
                  <w:tcPr>
                    <w:tcW w:w="7762" w:type="dxa"/>
                    <w:tcBorders>
                      <w:top w:val="nil"/>
                      <w:left w:val="single" w:sz="4" w:space="0" w:color="auto"/>
                      <w:bottom w:val="nil"/>
                    </w:tcBorders>
                    <w:shd w:val="clear" w:color="auto" w:fill="auto"/>
                  </w:tcPr>
                  <w:p>
                    <w:pPr>
                      <w:rPr>
                        <w:bCs/>
                        <w:sz w:val="20"/>
                      </w:rPr>
                    </w:pPr>
                    <w:r>
                      <w:rPr>
                        <w:bCs/>
                        <w:sz w:val="20"/>
                      </w:rPr>
                      <w:t>elektrodiagnostika;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4.4.1.4.</w:t>
                    </w:r>
                  </w:p>
                </w:tc>
                <w:tc>
                  <w:tcPr>
                    <w:tcW w:w="7762" w:type="dxa"/>
                    <w:tcBorders>
                      <w:top w:val="nil"/>
                      <w:left w:val="single" w:sz="4" w:space="0" w:color="auto"/>
                      <w:bottom w:val="nil"/>
                    </w:tcBorders>
                    <w:shd w:val="clear" w:color="auto" w:fill="auto"/>
                  </w:tcPr>
                  <w:p>
                    <w:pPr>
                      <w:rPr>
                        <w:bCs/>
                        <w:sz w:val="20"/>
                      </w:rPr>
                    </w:pPr>
                    <w:r>
                      <w:rPr>
                        <w:bCs/>
                        <w:sz w:val="20"/>
                      </w:rPr>
                      <w:t>raumenų jėgos, ištvermės, galūnių apimties ir ilgio matavimai;</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4.4.1.5.</w:t>
                    </w:r>
                  </w:p>
                </w:tc>
                <w:tc>
                  <w:tcPr>
                    <w:tcW w:w="7762" w:type="dxa"/>
                    <w:tcBorders>
                      <w:top w:val="nil"/>
                      <w:left w:val="single" w:sz="4" w:space="0" w:color="auto"/>
                      <w:bottom w:val="nil"/>
                    </w:tcBorders>
                    <w:shd w:val="clear" w:color="auto" w:fill="auto"/>
                  </w:tcPr>
                  <w:p>
                    <w:pPr>
                      <w:rPr>
                        <w:bCs/>
                        <w:sz w:val="20"/>
                      </w:rPr>
                    </w:pPr>
                    <w:r>
                      <w:rPr>
                        <w:bCs/>
                        <w:sz w:val="20"/>
                      </w:rPr>
                      <w:t>įvairių organų ir sistemų funkcijų testavimas;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4.4.1.6.</w:t>
                    </w:r>
                  </w:p>
                </w:tc>
                <w:tc>
                  <w:tcPr>
                    <w:tcW w:w="7762" w:type="dxa"/>
                    <w:tcBorders>
                      <w:top w:val="nil"/>
                      <w:left w:val="single" w:sz="4" w:space="0" w:color="auto"/>
                      <w:bottom w:val="nil"/>
                    </w:tcBorders>
                    <w:shd w:val="clear" w:color="auto" w:fill="auto"/>
                  </w:tcPr>
                  <w:p>
                    <w:pPr>
                      <w:rPr>
                        <w:bCs/>
                        <w:sz w:val="20"/>
                      </w:rPr>
                    </w:pPr>
                    <w:r>
                      <w:rPr>
                        <w:bCs/>
                        <w:sz w:val="20"/>
                      </w:rPr>
                      <w:t>rentgenologinių, laboratorinių tyrimų, EKG, sonoskopijų paskyrimas;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4.4.1.7.</w:t>
                    </w:r>
                  </w:p>
                </w:tc>
                <w:tc>
                  <w:tcPr>
                    <w:tcW w:w="7762" w:type="dxa"/>
                    <w:tcBorders>
                      <w:top w:val="nil"/>
                      <w:left w:val="single" w:sz="4" w:space="0" w:color="auto"/>
                      <w:bottom w:val="nil"/>
                    </w:tcBorders>
                    <w:shd w:val="clear" w:color="auto" w:fill="auto"/>
                  </w:tcPr>
                  <w:p>
                    <w:pPr>
                      <w:rPr>
                        <w:bCs/>
                        <w:sz w:val="20"/>
                      </w:rPr>
                    </w:pPr>
                    <w:r>
                      <w:rPr>
                        <w:bCs/>
                        <w:sz w:val="20"/>
                      </w:rPr>
                      <w:t>receptų išrašymas, medikamentų 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w:t>
                    </w:r>
                  </w:p>
                </w:tc>
                <w:tc>
                  <w:tcPr>
                    <w:tcW w:w="7762" w:type="dxa"/>
                    <w:tcBorders>
                      <w:top w:val="nil"/>
                      <w:left w:val="single" w:sz="4" w:space="0" w:color="auto"/>
                      <w:bottom w:val="nil"/>
                    </w:tcBorders>
                    <w:shd w:val="clear" w:color="auto" w:fill="auto"/>
                  </w:tcPr>
                  <w:p>
                    <w:pPr>
                      <w:rPr>
                        <w:bCs/>
                        <w:sz w:val="20"/>
                      </w:rPr>
                    </w:pPr>
                    <w:r>
                      <w:rPr>
                        <w:bCs/>
                        <w:sz w:val="20"/>
                      </w:rPr>
                      <w:t>Nemedikamentinio gydymo ir nemedikamentinės atsigavimo programos dalies sudarymas:</w:t>
                    </w:r>
                  </w:p>
                </w:tc>
              </w:tr>
              <w:tr>
                <w:tblPrEx>
                  <w:tblBorders>
                    <w:insideH w:val="none" w:sz="0" w:space="0" w:color="auto"/>
                    <w:insideV w:val="none" w:sz="0" w:space="0" w:color="auto"/>
                  </w:tblBorders>
                </w:tblPrEx>
                <w:trPr>
                  <w:trHeight w:val="240"/>
                </w:trPr>
                <w:tc>
                  <w:tcPr>
                    <w:tcW w:w="1308" w:type="dxa"/>
                    <w:tcBorders>
                      <w:right w:val="single" w:sz="4" w:space="0" w:color="auto"/>
                    </w:tcBorders>
                    <w:shd w:val="clear" w:color="auto" w:fill="auto"/>
                  </w:tcPr>
                  <w:p>
                    <w:pPr>
                      <w:rPr>
                        <w:bCs/>
                        <w:sz w:val="20"/>
                      </w:rPr>
                    </w:pPr>
                    <w:r>
                      <w:rPr>
                        <w:bCs/>
                        <w:sz w:val="20"/>
                      </w:rPr>
                      <w:t>4.4.2.1.</w:t>
                    </w:r>
                  </w:p>
                </w:tc>
                <w:tc>
                  <w:tcPr>
                    <w:tcW w:w="7762" w:type="dxa"/>
                    <w:tcBorders>
                      <w:top w:val="nil"/>
                      <w:left w:val="single" w:sz="4" w:space="0" w:color="auto"/>
                      <w:bottom w:val="nil"/>
                    </w:tcBorders>
                    <w:shd w:val="clear" w:color="auto" w:fill="auto"/>
                  </w:tcPr>
                  <w:p>
                    <w:pPr>
                      <w:rPr>
                        <w:bCs/>
                        <w:sz w:val="20"/>
                      </w:rPr>
                    </w:pPr>
                    <w:r>
                      <w:rPr>
                        <w:bCs/>
                        <w:sz w:val="20"/>
                        <w:lang w:val="pt-BR"/>
                      </w:rPr>
                      <w:t>kineziterapijos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4.4.2.2.</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fizioterapijos procedūrų paskyrimas;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4.4.2.3.</w:t>
                    </w:r>
                  </w:p>
                </w:tc>
                <w:tc>
                  <w:tcPr>
                    <w:tcW w:w="7762" w:type="dxa"/>
                    <w:tcBorders>
                      <w:top w:val="nil"/>
                      <w:left w:val="single" w:sz="4" w:space="0" w:color="auto"/>
                      <w:bottom w:val="nil"/>
                    </w:tcBorders>
                    <w:shd w:val="clear" w:color="auto" w:fill="auto"/>
                  </w:tcPr>
                  <w:p>
                    <w:pPr>
                      <w:rPr>
                        <w:bCs/>
                        <w:sz w:val="20"/>
                        <w:lang w:val="pt-BR"/>
                      </w:rPr>
                    </w:pPr>
                    <w:r>
                      <w:rPr>
                        <w:bCs/>
                        <w:sz w:val="20"/>
                        <w:lang w:val="pt-BR"/>
                      </w:rPr>
                      <w:t>masažo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Fizinės medicinos ir reabilitacijos gydytojų atliekamos procedūros: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4.4.3.1.</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lazeriu;</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4.4.3.2.</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šalčiu (krioterapija);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griaučių-raumenų stimuliacija.</w:t>
                    </w:r>
                  </w:p>
                </w:tc>
              </w:tr>
              <w:tr>
                <w:tblPrEx>
                  <w:tblBorders>
                    <w:insideH w:val="none" w:sz="0" w:space="0" w:color="auto"/>
                    <w:insideV w:val="none" w:sz="0" w:space="0" w:color="auto"/>
                  </w:tblBorders>
                </w:tblPrEx>
                <w:trPr>
                  <w:trHeight w:val="180"/>
                </w:trPr>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4.5.</w:t>
                    </w:r>
                  </w:p>
                </w:tc>
                <w:tc>
                  <w:tcPr>
                    <w:tcW w:w="7762" w:type="dxa"/>
                    <w:tcBorders>
                      <w:top w:val="single" w:sz="4" w:space="0" w:color="auto"/>
                      <w:left w:val="single" w:sz="4" w:space="0" w:color="auto"/>
                      <w:bottom w:val="single" w:sz="4" w:space="0" w:color="auto"/>
                    </w:tcBorders>
                    <w:shd w:val="clear" w:color="auto" w:fill="auto"/>
                  </w:tcPr>
                  <w:p>
                    <w:pPr>
                      <w:widowControl w:val="0"/>
                      <w:rPr>
                        <w:bCs/>
                        <w:sz w:val="20"/>
                      </w:rPr>
                    </w:pPr>
                    <w:r>
                      <w:rPr>
                        <w:bCs/>
                        <w:sz w:val="20"/>
                      </w:rPr>
                      <w:t xml:space="preserve">KINEZITERAPEUTO </w:t>
                    </w:r>
                  </w:p>
                </w:tc>
              </w:tr>
              <w:tr>
                <w:tblPrEx>
                  <w:tblBorders>
                    <w:insideH w:val="none" w:sz="0" w:space="0" w:color="auto"/>
                    <w:insideV w:val="none" w:sz="0" w:space="0" w:color="auto"/>
                  </w:tblBorders>
                </w:tblPrEx>
                <w:trPr>
                  <w:trHeight w:val="70"/>
                </w:trPr>
                <w:tc>
                  <w:tcPr>
                    <w:tcW w:w="1308" w:type="dxa"/>
                    <w:tcBorders>
                      <w:top w:val="single" w:sz="4" w:space="0" w:color="auto"/>
                      <w:right w:val="single" w:sz="4" w:space="0" w:color="auto"/>
                    </w:tcBorders>
                    <w:shd w:val="clear" w:color="auto" w:fill="auto"/>
                  </w:tcPr>
                  <w:p>
                    <w:pPr>
                      <w:widowControl w:val="0"/>
                      <w:rPr>
                        <w:bCs/>
                        <w:sz w:val="20"/>
                      </w:rPr>
                    </w:pPr>
                    <w:r>
                      <w:rPr>
                        <w:bCs/>
                        <w:sz w:val="20"/>
                      </w:rPr>
                      <w:t>4.5.1.</w:t>
                    </w:r>
                  </w:p>
                </w:tc>
                <w:tc>
                  <w:tcPr>
                    <w:tcW w:w="7762" w:type="dxa"/>
                    <w:tcBorders>
                      <w:top w:val="single" w:sz="4" w:space="0" w:color="auto"/>
                      <w:left w:val="single" w:sz="4" w:space="0" w:color="auto"/>
                      <w:bottom w:val="nil"/>
                    </w:tcBorders>
                    <w:shd w:val="clear" w:color="auto" w:fill="auto"/>
                  </w:tcPr>
                  <w:p>
                    <w:pPr>
                      <w:widowControl w:val="0"/>
                      <w:rPr>
                        <w:bCs/>
                        <w:sz w:val="20"/>
                      </w:rPr>
                    </w:pPr>
                    <w:r>
                      <w:rPr>
                        <w:bCs/>
                        <w:sz w:val="20"/>
                      </w:rPr>
                      <w:t>Kineziterapijos procedūros (grupinės, individualios):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4.5.1.1.</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vidaus ligomis;</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widowControl w:val="0"/>
                      <w:rPr>
                        <w:bCs/>
                        <w:sz w:val="20"/>
                      </w:rPr>
                    </w:pPr>
                    <w:r>
                      <w:rPr>
                        <w:bCs/>
                        <w:sz w:val="20"/>
                      </w:rPr>
                      <w:t>4.5.1.2.</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neurologinėmis ligomis;</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widowControl w:val="0"/>
                      <w:rPr>
                        <w:bCs/>
                        <w:sz w:val="20"/>
                      </w:rPr>
                    </w:pPr>
                    <w:r>
                      <w:rPr>
                        <w:bCs/>
                        <w:sz w:val="20"/>
                      </w:rPr>
                      <w:t>4.5.1.3.</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ortopedinėmis ligomis;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4.5.1.4.</w:t>
                    </w:r>
                  </w:p>
                </w:tc>
                <w:tc>
                  <w:tcPr>
                    <w:tcW w:w="7762" w:type="dxa"/>
                    <w:tcBorders>
                      <w:top w:val="nil"/>
                      <w:left w:val="single" w:sz="4" w:space="0" w:color="auto"/>
                      <w:bottom w:val="nil"/>
                    </w:tcBorders>
                    <w:shd w:val="clear" w:color="auto" w:fill="auto"/>
                  </w:tcPr>
                  <w:p>
                    <w:pPr>
                      <w:widowControl w:val="0"/>
                      <w:rPr>
                        <w:bCs/>
                        <w:sz w:val="20"/>
                      </w:rPr>
                    </w:pPr>
                    <w:r>
                      <w:rPr>
                        <w:bCs/>
                        <w:sz w:val="20"/>
                        <w:lang w:val="pl-PL"/>
                      </w:rPr>
                      <w:t>kineziterapija po traumų;</w:t>
                    </w:r>
                  </w:p>
                </w:tc>
              </w:tr>
              <w:tr>
                <w:tblPrEx>
                  <w:tblBorders>
                    <w:insideH w:val="none" w:sz="0" w:space="0" w:color="auto"/>
                    <w:insideV w:val="none" w:sz="0" w:space="0" w:color="auto"/>
                  </w:tblBorders>
                </w:tblPrEx>
                <w:trPr>
                  <w:trHeight w:val="149"/>
                </w:trPr>
                <w:tc>
                  <w:tcPr>
                    <w:tcW w:w="1308" w:type="dxa"/>
                    <w:tcBorders>
                      <w:right w:val="single" w:sz="4" w:space="0" w:color="auto"/>
                    </w:tcBorders>
                    <w:shd w:val="clear" w:color="auto" w:fill="auto"/>
                  </w:tcPr>
                  <w:p>
                    <w:pPr>
                      <w:widowControl w:val="0"/>
                      <w:rPr>
                        <w:bCs/>
                        <w:sz w:val="20"/>
                      </w:rPr>
                    </w:pPr>
                    <w:r>
                      <w:rPr>
                        <w:bCs/>
                        <w:sz w:val="20"/>
                      </w:rPr>
                      <w:t>4.5.2.</w:t>
                    </w:r>
                  </w:p>
                </w:tc>
                <w:tc>
                  <w:tcPr>
                    <w:tcW w:w="7762" w:type="dxa"/>
                    <w:tcBorders>
                      <w:top w:val="nil"/>
                      <w:left w:val="single" w:sz="4" w:space="0" w:color="auto"/>
                      <w:bottom w:val="single" w:sz="4" w:space="0" w:color="auto"/>
                    </w:tcBorders>
                    <w:shd w:val="clear" w:color="auto" w:fill="auto"/>
                  </w:tcPr>
                  <w:p>
                    <w:pPr>
                      <w:widowControl w:val="0"/>
                      <w:rPr>
                        <w:rFonts w:ascii="TimesLT" w:hAnsi="TimesLT"/>
                        <w:bCs/>
                        <w:sz w:val="20"/>
                        <w:lang w:val="pl-PL"/>
                      </w:rPr>
                    </w:pPr>
                    <w:r>
                      <w:rPr>
                        <w:rFonts w:ascii="TimesLT" w:hAnsi="TimesLT"/>
                        <w:bCs/>
                        <w:sz w:val="20"/>
                        <w:lang w:val="pl-PL"/>
                      </w:rPr>
                      <w:t>Mechanoterapija.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4.6.</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FIZIOTERAPIJOS </w:t>
                    </w:r>
                  </w:p>
                </w:tc>
              </w:tr>
              <w:tr>
                <w:tblPrEx>
                  <w:tblBorders>
                    <w:insideH w:val="none" w:sz="0" w:space="0" w:color="auto"/>
                    <w:insideV w:val="none" w:sz="0" w:space="0" w:color="auto"/>
                  </w:tblBorders>
                </w:tblPrEx>
                <w:trPr>
                  <w:trHeight w:val="210"/>
                </w:trPr>
                <w:tc>
                  <w:tcPr>
                    <w:tcW w:w="1308" w:type="dxa"/>
                    <w:tcBorders>
                      <w:right w:val="single" w:sz="4" w:space="0" w:color="auto"/>
                    </w:tcBorders>
                    <w:shd w:val="clear" w:color="auto" w:fill="auto"/>
                  </w:tcPr>
                  <w:p>
                    <w:pPr>
                      <w:rPr>
                        <w:bCs/>
                        <w:sz w:val="20"/>
                      </w:rPr>
                    </w:pPr>
                    <w:r>
                      <w:rPr>
                        <w:bCs/>
                        <w:sz w:val="20"/>
                      </w:rPr>
                      <w:t>4.6.1.</w:t>
                    </w:r>
                  </w:p>
                </w:tc>
                <w:tc>
                  <w:tcPr>
                    <w:tcW w:w="7762" w:type="dxa"/>
                    <w:tcBorders>
                      <w:top w:val="single" w:sz="4" w:space="0" w:color="auto"/>
                      <w:left w:val="single" w:sz="4" w:space="0" w:color="auto"/>
                      <w:bottom w:val="nil"/>
                    </w:tcBorders>
                    <w:shd w:val="clear" w:color="auto" w:fill="auto"/>
                  </w:tcPr>
                  <w:p>
                    <w:pPr>
                      <w:rPr>
                        <w:bCs/>
                        <w:sz w:val="20"/>
                      </w:rPr>
                    </w:pPr>
                    <w:r>
                      <w:rPr>
                        <w:bCs/>
                        <w:sz w:val="20"/>
                        <w:lang w:val="pt-BR"/>
                      </w:rPr>
                      <w:t>Ultragarso (su medikamentais ir be jų ) terapija.</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4.6.2.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Amplipulsterapija (su medikamentais ir be jų).</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4.6.3.</w:t>
                    </w:r>
                  </w:p>
                </w:tc>
                <w:tc>
                  <w:tcPr>
                    <w:tcW w:w="7762" w:type="dxa"/>
                    <w:tcBorders>
                      <w:top w:val="nil"/>
                      <w:left w:val="single" w:sz="4" w:space="0" w:color="auto"/>
                      <w:bottom w:val="nil"/>
                    </w:tcBorders>
                    <w:shd w:val="clear" w:color="auto" w:fill="auto"/>
                  </w:tcPr>
                  <w:p>
                    <w:pPr>
                      <w:rPr>
                        <w:bCs/>
                        <w:sz w:val="20"/>
                        <w:lang w:val="pt-BR"/>
                      </w:rPr>
                    </w:pPr>
                    <w:r>
                      <w:rPr>
                        <w:bCs/>
                        <w:sz w:val="20"/>
                        <w:lang w:val="pt-BR"/>
                      </w:rPr>
                      <w:t>Elektroforezė.</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4.6.4.</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elektrostimuliavimas..</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Ultravioletinių spindulių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bendra;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lokali;</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4.6.6.</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Ultraaukšto dažnio (UAD) terapija.</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4.6.7.</w:t>
                    </w:r>
                  </w:p>
                </w:tc>
                <w:tc>
                  <w:tcPr>
                    <w:tcW w:w="7762" w:type="dxa"/>
                    <w:tcBorders>
                      <w:top w:val="nil"/>
                      <w:left w:val="single" w:sz="4" w:space="0" w:color="auto"/>
                      <w:bottom w:val="nil"/>
                    </w:tcBorders>
                    <w:shd w:val="clear" w:color="auto" w:fill="auto"/>
                  </w:tcPr>
                  <w:p>
                    <w:pPr>
                      <w:rPr>
                        <w:bCs/>
                        <w:sz w:val="20"/>
                        <w:lang w:val="pt-BR"/>
                      </w:rPr>
                    </w:pPr>
                    <w:r>
                      <w:rPr>
                        <w:bCs/>
                        <w:sz w:val="20"/>
                        <w:lang w:val="pt-BR"/>
                      </w:rPr>
                      <w:t xml:space="preserve">Mikrobangų terapija. </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4.6.8.</w:t>
                    </w:r>
                  </w:p>
                </w:tc>
                <w:tc>
                  <w:tcPr>
                    <w:tcW w:w="7762" w:type="dxa"/>
                    <w:tcBorders>
                      <w:top w:val="nil"/>
                      <w:left w:val="single" w:sz="4" w:space="0" w:color="auto"/>
                      <w:bottom w:val="nil"/>
                    </w:tcBorders>
                    <w:shd w:val="clear" w:color="auto" w:fill="auto"/>
                  </w:tcPr>
                  <w:p>
                    <w:pPr>
                      <w:rPr>
                        <w:bCs/>
                        <w:sz w:val="20"/>
                        <w:lang w:val="pt-BR"/>
                      </w:rPr>
                    </w:pPr>
                    <w:r>
                      <w:rPr>
                        <w:bCs/>
                        <w:sz w:val="20"/>
                        <w:lang w:val="pt-BR"/>
                      </w:rPr>
                      <w:t>Interferencinių srovių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4.6.9.</w:t>
                    </w:r>
                  </w:p>
                </w:tc>
                <w:tc>
                  <w:tcPr>
                    <w:tcW w:w="7762" w:type="dxa"/>
                    <w:tcBorders>
                      <w:top w:val="nil"/>
                      <w:left w:val="single" w:sz="4" w:space="0" w:color="auto"/>
                      <w:bottom w:val="nil"/>
                    </w:tcBorders>
                    <w:shd w:val="clear" w:color="auto" w:fill="auto"/>
                  </w:tcPr>
                  <w:p>
                    <w:pPr>
                      <w:rPr>
                        <w:bCs/>
                        <w:sz w:val="20"/>
                        <w:lang w:val="pt-BR"/>
                      </w:rPr>
                    </w:pPr>
                    <w:r>
                      <w:rPr>
                        <w:bCs/>
                        <w:sz w:val="20"/>
                        <w:lang w:val="pt-BR"/>
                      </w:rPr>
                      <w:t>Darsonvalizacija.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Diadinamoterapija.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Veninės kraujotakos stimuliavimo 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4.6.12.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Transkutaninio stimuliavimo 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4.7.</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MASAŽO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w:t>
                    </w:r>
                  </w:p>
                </w:tc>
                <w:tc>
                  <w:tcPr>
                    <w:tcW w:w="7762" w:type="dxa"/>
                    <w:tcBorders>
                      <w:top w:val="single" w:sz="4" w:space="0" w:color="auto"/>
                      <w:left w:val="single" w:sz="4" w:space="0" w:color="auto"/>
                      <w:bottom w:val="nil"/>
                    </w:tcBorders>
                    <w:shd w:val="clear" w:color="auto" w:fill="auto"/>
                  </w:tcPr>
                  <w:p>
                    <w:pPr>
                      <w:rPr>
                        <w:bCs/>
                        <w:sz w:val="20"/>
                      </w:rPr>
                    </w:pPr>
                    <w:r>
                      <w:rPr>
                        <w:bCs/>
                        <w:caps/>
                        <w:sz w:val="20"/>
                      </w:rPr>
                      <w:t>A</w:t>
                    </w:r>
                    <w:r>
                      <w:rPr>
                        <w:bCs/>
                        <w:sz w:val="20"/>
                      </w:rPr>
                      <w:t>tskirų kūno sričių masažas</w:t>
                    </w:r>
                    <w:r>
                      <w:rPr>
                        <w:bCs/>
                        <w:caps/>
                        <w:sz w:val="20"/>
                      </w:rPr>
                      <w:t>:</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4.7.1.1.</w:t>
                    </w:r>
                  </w:p>
                </w:tc>
                <w:tc>
                  <w:tcPr>
                    <w:tcW w:w="7762" w:type="dxa"/>
                    <w:tcBorders>
                      <w:top w:val="nil"/>
                      <w:left w:val="single" w:sz="4" w:space="0" w:color="auto"/>
                      <w:bottom w:val="nil"/>
                    </w:tcBorders>
                    <w:shd w:val="clear" w:color="auto" w:fill="auto"/>
                  </w:tcPr>
                  <w:p>
                    <w:pPr>
                      <w:rPr>
                        <w:bCs/>
                        <w:caps/>
                        <w:sz w:val="20"/>
                      </w:rPr>
                    </w:pPr>
                    <w:r>
                      <w:rPr>
                        <w:bCs/>
                        <w:sz w:val="20"/>
                      </w:rPr>
                      <w:t>galvos;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4.7.1.2.</w:t>
                    </w:r>
                  </w:p>
                </w:tc>
                <w:tc>
                  <w:tcPr>
                    <w:tcW w:w="7762" w:type="dxa"/>
                    <w:tcBorders>
                      <w:top w:val="nil"/>
                      <w:left w:val="single" w:sz="4" w:space="0" w:color="auto"/>
                      <w:bottom w:val="nil"/>
                    </w:tcBorders>
                    <w:shd w:val="clear" w:color="auto" w:fill="auto"/>
                  </w:tcPr>
                  <w:p>
                    <w:pPr>
                      <w:rPr>
                        <w:bCs/>
                        <w:sz w:val="20"/>
                      </w:rPr>
                    </w:pPr>
                    <w:r>
                      <w:rPr>
                        <w:bCs/>
                        <w:sz w:val="20"/>
                      </w:rPr>
                      <w:t>veido;</w:t>
                    </w:r>
                  </w:p>
                </w:tc>
              </w:tr>
              <w:tr>
                <w:tblPrEx>
                  <w:tblBorders>
                    <w:insideH w:val="none" w:sz="0" w:space="0" w:color="auto"/>
                    <w:insideV w:val="none" w:sz="0" w:space="0" w:color="auto"/>
                  </w:tblBorders>
                </w:tblPrEx>
                <w:trPr>
                  <w:trHeight w:val="300"/>
                </w:trPr>
                <w:tc>
                  <w:tcPr>
                    <w:tcW w:w="1308" w:type="dxa"/>
                    <w:tcBorders>
                      <w:right w:val="single" w:sz="4" w:space="0" w:color="auto"/>
                    </w:tcBorders>
                    <w:shd w:val="clear" w:color="auto" w:fill="auto"/>
                  </w:tcPr>
                  <w:p>
                    <w:pPr>
                      <w:rPr>
                        <w:bCs/>
                        <w:sz w:val="20"/>
                      </w:rPr>
                    </w:pPr>
                    <w:r>
                      <w:rPr>
                        <w:bCs/>
                        <w:sz w:val="20"/>
                      </w:rPr>
                      <w:t>4.7.1.3.</w:t>
                    </w:r>
                  </w:p>
                </w:tc>
                <w:tc>
                  <w:tcPr>
                    <w:tcW w:w="7762" w:type="dxa"/>
                    <w:tcBorders>
                      <w:top w:val="nil"/>
                      <w:left w:val="single" w:sz="4" w:space="0" w:color="auto"/>
                      <w:bottom w:val="nil"/>
                    </w:tcBorders>
                    <w:shd w:val="clear" w:color="auto" w:fill="auto"/>
                  </w:tcPr>
                  <w:p>
                    <w:pPr>
                      <w:rPr>
                        <w:bCs/>
                        <w:sz w:val="20"/>
                      </w:rPr>
                    </w:pPr>
                    <w:r>
                      <w:rPr>
                        <w:bCs/>
                        <w:sz w:val="20"/>
                      </w:rPr>
                      <w:t>kaklo srities;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4.7.1.4.</w:t>
                    </w:r>
                  </w:p>
                </w:tc>
                <w:tc>
                  <w:tcPr>
                    <w:tcW w:w="7762" w:type="dxa"/>
                    <w:tcBorders>
                      <w:top w:val="nil"/>
                      <w:left w:val="single" w:sz="4" w:space="0" w:color="auto"/>
                      <w:bottom w:val="nil"/>
                    </w:tcBorders>
                    <w:shd w:val="clear" w:color="auto" w:fill="auto"/>
                  </w:tcPr>
                  <w:p>
                    <w:pPr>
                      <w:rPr>
                        <w:bCs/>
                        <w:sz w:val="20"/>
                      </w:rPr>
                    </w:pPr>
                    <w:r>
                      <w:rPr>
                        <w:bCs/>
                        <w:sz w:val="20"/>
                      </w:rPr>
                      <w:t>viršutinės galūnės, peties ir mentės srities arba visų viršutinės galūnės sąnarių;</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4.7.1.5.</w:t>
                    </w:r>
                  </w:p>
                </w:tc>
                <w:tc>
                  <w:tcPr>
                    <w:tcW w:w="7762" w:type="dxa"/>
                    <w:tcBorders>
                      <w:top w:val="nil"/>
                      <w:left w:val="single" w:sz="4" w:space="0" w:color="auto"/>
                      <w:bottom w:val="nil"/>
                    </w:tcBorders>
                    <w:shd w:val="clear" w:color="auto" w:fill="auto"/>
                  </w:tcPr>
                  <w:p>
                    <w:pPr>
                      <w:rPr>
                        <w:bCs/>
                        <w:sz w:val="20"/>
                      </w:rPr>
                    </w:pPr>
                    <w:r>
                      <w:rPr>
                        <w:bCs/>
                        <w:sz w:val="20"/>
                      </w:rPr>
                      <w:t>alkūnės sąnario;</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4.7.1.6.</w:t>
                    </w:r>
                  </w:p>
                </w:tc>
                <w:tc>
                  <w:tcPr>
                    <w:tcW w:w="7762" w:type="dxa"/>
                    <w:tcBorders>
                      <w:top w:val="nil"/>
                      <w:left w:val="single" w:sz="4" w:space="0" w:color="auto"/>
                      <w:bottom w:val="nil"/>
                    </w:tcBorders>
                    <w:shd w:val="clear" w:color="auto" w:fill="auto"/>
                  </w:tcPr>
                  <w:p>
                    <w:pPr>
                      <w:rPr>
                        <w:bCs/>
                        <w:sz w:val="20"/>
                      </w:rPr>
                    </w:pPr>
                    <w:r>
                      <w:rPr>
                        <w:bCs/>
                        <w:sz w:val="20"/>
                      </w:rPr>
                      <w:t>riešo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4.7.1.7.</w:t>
                    </w:r>
                  </w:p>
                </w:tc>
                <w:tc>
                  <w:tcPr>
                    <w:tcW w:w="7762" w:type="dxa"/>
                    <w:tcBorders>
                      <w:top w:val="nil"/>
                      <w:left w:val="single" w:sz="4" w:space="0" w:color="auto"/>
                      <w:bottom w:val="nil"/>
                    </w:tcBorders>
                    <w:shd w:val="clear" w:color="auto" w:fill="auto"/>
                  </w:tcPr>
                  <w:p>
                    <w:pPr>
                      <w:rPr>
                        <w:bCs/>
                        <w:sz w:val="20"/>
                      </w:rPr>
                    </w:pPr>
                    <w:r>
                      <w:rPr>
                        <w:bCs/>
                        <w:sz w:val="20"/>
                      </w:rPr>
                      <w:t>plaštakos ir dilbio;</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4.7.1.8.</w:t>
                    </w:r>
                  </w:p>
                </w:tc>
                <w:tc>
                  <w:tcPr>
                    <w:tcW w:w="7762" w:type="dxa"/>
                    <w:tcBorders>
                      <w:top w:val="nil"/>
                      <w:left w:val="single" w:sz="4" w:space="0" w:color="auto"/>
                      <w:bottom w:val="nil"/>
                    </w:tcBorders>
                    <w:shd w:val="clear" w:color="auto" w:fill="auto"/>
                  </w:tcPr>
                  <w:p>
                    <w:pPr>
                      <w:rPr>
                        <w:bCs/>
                        <w:sz w:val="20"/>
                      </w:rPr>
                    </w:pPr>
                    <w:r>
                      <w:rPr>
                        <w:bCs/>
                        <w:sz w:val="20"/>
                        <w:lang w:val="pt-BR"/>
                      </w:rPr>
                      <w:t>krūtinės ląstos (iš priekio ir nugaros);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w:t>
                    </w:r>
                  </w:p>
                </w:tc>
              </w:tr>
              <w:tr>
                <w:tblPrEx>
                  <w:tblBorders>
                    <w:insideH w:val="none" w:sz="0" w:space="0" w:color="auto"/>
                    <w:insideV w:val="none" w:sz="0" w:space="0" w:color="auto"/>
                  </w:tblBorders>
                </w:tblPrEx>
                <w:trPr>
                  <w:trHeight w:val="112"/>
                </w:trPr>
                <w:tc>
                  <w:tcPr>
                    <w:tcW w:w="1308" w:type="dxa"/>
                    <w:tcBorders>
                      <w:right w:val="single" w:sz="4" w:space="0" w:color="auto"/>
                    </w:tcBorders>
                    <w:shd w:val="clear" w:color="auto" w:fill="auto"/>
                  </w:tcPr>
                  <w:p>
                    <w:pPr>
                      <w:rPr>
                        <w:bCs/>
                        <w:sz w:val="20"/>
                      </w:rPr>
                    </w:pPr>
                    <w:r>
                      <w:rPr>
                        <w:bCs/>
                        <w:sz w:val="20"/>
                      </w:rPr>
                      <w:t>4.7.1.10.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pilvo raumenų;</w:t>
                    </w:r>
                  </w:p>
                </w:tc>
              </w:tr>
              <w:tr>
                <w:tblPrEx>
                  <w:tblBorders>
                    <w:insideH w:val="none" w:sz="0" w:space="0" w:color="auto"/>
                    <w:insideV w:val="none" w:sz="0" w:space="0" w:color="auto"/>
                  </w:tblBorders>
                </w:tblPrEx>
                <w:trPr>
                  <w:trHeight w:val="93"/>
                </w:trPr>
                <w:tc>
                  <w:tcPr>
                    <w:tcW w:w="1308" w:type="dxa"/>
                    <w:tcBorders>
                      <w:right w:val="single" w:sz="4" w:space="0" w:color="auto"/>
                    </w:tcBorders>
                    <w:shd w:val="clear" w:color="auto" w:fill="auto"/>
                  </w:tcPr>
                  <w:p>
                    <w:pPr>
                      <w:rPr>
                        <w:bCs/>
                        <w:sz w:val="20"/>
                      </w:rPr>
                    </w:pPr>
                    <w:r>
                      <w:rPr>
                        <w:bCs/>
                        <w:sz w:val="20"/>
                      </w:rPr>
                      <w:t>4.7.1.11.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juosmens ir kryžkaulio srities segmentinis;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 ir juosmens srities;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segmentinis kaklo, stuburo ir krūtinės srities;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4.7.1.14.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srities;</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4.7.1.15.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apatinių galūnių;</w:t>
                    </w:r>
                  </w:p>
                </w:tc>
              </w:tr>
              <w:tr>
                <w:tblPrEx>
                  <w:tblBorders>
                    <w:insideH w:val="none" w:sz="0" w:space="0" w:color="auto"/>
                    <w:insideV w:val="none" w:sz="0" w:space="0" w:color="auto"/>
                  </w:tblBorders>
                </w:tblPrEx>
                <w:trPr>
                  <w:trHeight w:val="224"/>
                </w:trPr>
                <w:tc>
                  <w:tcPr>
                    <w:tcW w:w="1308" w:type="dxa"/>
                    <w:tcBorders>
                      <w:right w:val="single" w:sz="4" w:space="0" w:color="auto"/>
                    </w:tcBorders>
                    <w:shd w:val="clear" w:color="auto" w:fill="auto"/>
                  </w:tcPr>
                  <w:p>
                    <w:pPr>
                      <w:rPr>
                        <w:bCs/>
                        <w:sz w:val="20"/>
                      </w:rPr>
                    </w:pPr>
                    <w:r>
                      <w:rPr>
                        <w:bCs/>
                        <w:sz w:val="20"/>
                      </w:rPr>
                      <w:t>4.7.1.16.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klubo sąnario;</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4.7.1.17.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kelio sąnario;</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čiurnos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pėdos ir blauzdos.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4.7.2.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Sportinis masažas.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4.8.</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OFTALMOLOGO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4.8.1.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4.8.2.</w:t>
                    </w:r>
                  </w:p>
                </w:tc>
                <w:tc>
                  <w:tcPr>
                    <w:tcW w:w="7762" w:type="dxa"/>
                    <w:tcBorders>
                      <w:top w:val="nil"/>
                      <w:left w:val="single" w:sz="4" w:space="0" w:color="auto"/>
                      <w:bottom w:val="nil"/>
                    </w:tcBorders>
                    <w:shd w:val="clear" w:color="auto" w:fill="auto"/>
                  </w:tcPr>
                  <w:p>
                    <w:pPr>
                      <w:rPr>
                        <w:bCs/>
                        <w:sz w:val="20"/>
                      </w:rPr>
                    </w:pPr>
                    <w:r>
                      <w:rPr>
                        <w:bCs/>
                        <w:sz w:val="20"/>
                      </w:rPr>
                      <w:t>Ligonio apžiūra, regos organų būklės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4.8.3.</w:t>
                    </w:r>
                  </w:p>
                </w:tc>
                <w:tc>
                  <w:tcPr>
                    <w:tcW w:w="7762" w:type="dxa"/>
                    <w:tcBorders>
                      <w:top w:val="nil"/>
                      <w:left w:val="single" w:sz="4" w:space="0" w:color="auto"/>
                      <w:bottom w:val="nil"/>
                    </w:tcBorders>
                    <w:shd w:val="clear" w:color="auto" w:fill="auto"/>
                  </w:tcPr>
                  <w:p>
                    <w:pPr>
                      <w:rPr>
                        <w:bCs/>
                        <w:sz w:val="20"/>
                      </w:rPr>
                    </w:pPr>
                    <w:r>
                      <w:rPr>
                        <w:bCs/>
                        <w:sz w:val="20"/>
                      </w:rPr>
                      <w:t>Papildomų ištyrimų atlikimas.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4.8.4.</w:t>
                    </w:r>
                  </w:p>
                </w:tc>
                <w:tc>
                  <w:tcPr>
                    <w:tcW w:w="7762" w:type="dxa"/>
                    <w:tcBorders>
                      <w:top w:val="nil"/>
                      <w:left w:val="single" w:sz="4" w:space="0" w:color="auto"/>
                      <w:bottom w:val="nil"/>
                    </w:tcBorders>
                    <w:shd w:val="clear" w:color="auto" w:fill="auto"/>
                  </w:tcPr>
                  <w:p>
                    <w:pPr>
                      <w:rPr>
                        <w:bCs/>
                        <w:sz w:val="20"/>
                      </w:rPr>
                    </w:pPr>
                    <w:r>
                      <w:rPr>
                        <w:bCs/>
                        <w:sz w:val="20"/>
                      </w:rPr>
                      <w:t>Rekomendacijų dėl galimybės treniruotis pagal pasirinktą sporto šaką teikimas.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4.8.5.</w:t>
                    </w:r>
                  </w:p>
                </w:tc>
                <w:tc>
                  <w:tcPr>
                    <w:tcW w:w="7762" w:type="dxa"/>
                    <w:tcBorders>
                      <w:top w:val="nil"/>
                      <w:left w:val="single" w:sz="4" w:space="0" w:color="auto"/>
                      <w:bottom w:val="nil"/>
                    </w:tcBorders>
                    <w:shd w:val="clear" w:color="auto" w:fill="auto"/>
                  </w:tcPr>
                  <w:p>
                    <w:pPr>
                      <w:rPr>
                        <w:bCs/>
                        <w:sz w:val="20"/>
                      </w:rPr>
                    </w:pPr>
                    <w:r>
                      <w:rPr>
                        <w:bCs/>
                        <w:sz w:val="20"/>
                        <w:lang w:val="pt-BR"/>
                      </w:rPr>
                      <w:t>Gydymo paskyrimas, receptų išrašymas, sekimas ir kontrolė.</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Rekomendacijos sveikatos išsaugojimo ir stiprinimo klausimais.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Būtinų veiksmų, reikalingų paciento sveikatai gerinti, vykdymas.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Profilaktinė regos organų apžiūra: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4.8.8.1.</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regėjimo aštrumo ištyrimas;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akinių parinkimas;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refrakcijos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spalvų jutimo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apžiūra plyšine lempa su akių dugno tyrimu „Volk linze”;</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padėties akiduobėje bei jų judrumo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akipločio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akispūdžio tyrimas;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4.8.9</w:t>
                    </w:r>
                  </w:p>
                </w:tc>
                <w:tc>
                  <w:tcPr>
                    <w:tcW w:w="7762" w:type="dxa"/>
                    <w:tcBorders>
                      <w:top w:val="nil"/>
                      <w:left w:val="single" w:sz="4" w:space="0" w:color="auto"/>
                      <w:bottom w:val="nil"/>
                    </w:tcBorders>
                    <w:shd w:val="clear" w:color="auto" w:fill="auto"/>
                  </w:tcPr>
                  <w:p>
                    <w:pPr>
                      <w:rPr>
                        <w:bCs/>
                        <w:sz w:val="20"/>
                        <w:lang w:val="pt-BR"/>
                      </w:rPr>
                    </w:pPr>
                    <w:r>
                      <w:rPr>
                        <w:bCs/>
                        <w:sz w:val="20"/>
                        <w:lang w:val="pt-BR"/>
                      </w:rPr>
                      <w:t>Lašų lašinimas ir tepalų įterpimas į jungties maišelį.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Vokų krašto uždegimų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Svetimkūnių pašalinimas iš jungties.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Konjunktyvitų diagnozavimas ir gydymas.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liaukų uždegimo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kanalo uždegimo diagnozavimas ir gydymas.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4.8.15.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Episklerito ir sklerito diagnozavimas ir gydymas.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4.8.16.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Tinklainės ligų diagnozavimas.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4.8.17.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Regos nervo ligų diagnozavimas ir gydymas.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Akiduobės ligų diagnozavimas ir gydymas.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4.8.19.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Pirmosios pagalbos suteikimas įvykus akių traumoms.</w:t>
                    </w:r>
                  </w:p>
                </w:tc>
              </w:tr>
              <w:tr>
                <w:tblPrEx>
                  <w:tblBorders>
                    <w:insideH w:val="none" w:sz="0" w:space="0" w:color="auto"/>
                    <w:insideV w:val="none" w:sz="0" w:space="0" w:color="auto"/>
                  </w:tblBorders>
                </w:tblPrEx>
                <w:trPr>
                  <w:trHeight w:val="62"/>
                </w:trPr>
                <w:tc>
                  <w:tcPr>
                    <w:tcW w:w="1308" w:type="dxa"/>
                    <w:tcBorders>
                      <w:right w:val="single" w:sz="4" w:space="0" w:color="auto"/>
                    </w:tcBorders>
                    <w:shd w:val="clear" w:color="auto" w:fill="auto"/>
                  </w:tcPr>
                  <w:p>
                    <w:pPr>
                      <w:rPr>
                        <w:bCs/>
                        <w:sz w:val="20"/>
                      </w:rPr>
                    </w:pPr>
                    <w:r>
                      <w:rPr>
                        <w:bCs/>
                        <w:sz w:val="20"/>
                      </w:rPr>
                      <w:t>4.8.20.</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Žvairumo nustatymas.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4.9.</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OTORINOLARINGOLOGO </w:t>
                    </w:r>
                  </w:p>
                </w:tc>
              </w:tr>
              <w:tr>
                <w:tblPrEx>
                  <w:tblBorders>
                    <w:insideH w:val="none" w:sz="0" w:space="0" w:color="auto"/>
                    <w:insideV w:val="none" w:sz="0" w:space="0" w:color="auto"/>
                  </w:tblBorders>
                </w:tblPrEx>
                <w:trPr>
                  <w:trHeight w:val="187"/>
                </w:trPr>
                <w:tc>
                  <w:tcPr>
                    <w:tcW w:w="1308" w:type="dxa"/>
                    <w:tcBorders>
                      <w:right w:val="single" w:sz="4" w:space="0" w:color="auto"/>
                    </w:tcBorders>
                    <w:shd w:val="clear" w:color="auto" w:fill="auto"/>
                  </w:tcPr>
                  <w:p>
                    <w:pPr>
                      <w:rPr>
                        <w:bCs/>
                        <w:sz w:val="20"/>
                        <w:lang w:val="en-US"/>
                      </w:rPr>
                    </w:pPr>
                    <w:r>
                      <w:rPr>
                        <w:bCs/>
                        <w:sz w:val="20"/>
                      </w:rPr>
                      <w:t>4.9.1.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4.9.2.</w:t>
                    </w:r>
                  </w:p>
                </w:tc>
                <w:tc>
                  <w:tcPr>
                    <w:tcW w:w="7762" w:type="dxa"/>
                    <w:tcBorders>
                      <w:top w:val="nil"/>
                      <w:left w:val="single" w:sz="4" w:space="0" w:color="auto"/>
                      <w:bottom w:val="nil"/>
                    </w:tcBorders>
                    <w:shd w:val="clear" w:color="auto" w:fill="auto"/>
                  </w:tcPr>
                  <w:p>
                    <w:pPr>
                      <w:rPr>
                        <w:bCs/>
                        <w:sz w:val="20"/>
                      </w:rPr>
                    </w:pPr>
                    <w:r>
                      <w:rPr>
                        <w:bCs/>
                        <w:sz w:val="20"/>
                      </w:rPr>
                      <w:t>Išorinių LOR organų apžiūra ir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w:t>
                    </w:r>
                  </w:p>
                </w:tc>
                <w:tc>
                  <w:tcPr>
                    <w:tcW w:w="7762" w:type="dxa"/>
                    <w:tcBorders>
                      <w:top w:val="nil"/>
                      <w:left w:val="single" w:sz="4" w:space="0" w:color="auto"/>
                      <w:bottom w:val="nil"/>
                    </w:tcBorders>
                    <w:shd w:val="clear" w:color="auto" w:fill="auto"/>
                  </w:tcPr>
                  <w:p>
                    <w:pPr>
                      <w:rPr>
                        <w:bCs/>
                        <w:sz w:val="20"/>
                      </w:rPr>
                    </w:pPr>
                    <w:r>
                      <w:rPr>
                        <w:bCs/>
                        <w:sz w:val="20"/>
                      </w:rPr>
                      <w:t>Nuoseklus LOR organų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4.9.3.1.</w:t>
                    </w:r>
                  </w:p>
                </w:tc>
                <w:tc>
                  <w:tcPr>
                    <w:tcW w:w="7762" w:type="dxa"/>
                    <w:tcBorders>
                      <w:top w:val="nil"/>
                      <w:left w:val="single" w:sz="4" w:space="0" w:color="auto"/>
                      <w:bottom w:val="nil"/>
                    </w:tcBorders>
                    <w:shd w:val="clear" w:color="auto" w:fill="auto"/>
                  </w:tcPr>
                  <w:p>
                    <w:pPr>
                      <w:rPr>
                        <w:bCs/>
                        <w:sz w:val="20"/>
                      </w:rPr>
                    </w:pPr>
                    <w:r>
                      <w:rPr>
                        <w:bCs/>
                        <w:sz w:val="20"/>
                      </w:rPr>
                      <w:t>Nosies apžiūra:</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4.9.3.1.1.</w:t>
                    </w:r>
                  </w:p>
                </w:tc>
                <w:tc>
                  <w:tcPr>
                    <w:tcW w:w="7762" w:type="dxa"/>
                    <w:tcBorders>
                      <w:top w:val="nil"/>
                      <w:left w:val="single" w:sz="4" w:space="0" w:color="auto"/>
                      <w:bottom w:val="nil"/>
                    </w:tcBorders>
                    <w:shd w:val="clear" w:color="auto" w:fill="auto"/>
                  </w:tcPr>
                  <w:p>
                    <w:pPr>
                      <w:rPr>
                        <w:bCs/>
                        <w:sz w:val="20"/>
                      </w:rPr>
                    </w:pPr>
                    <w:r>
                      <w:rPr>
                        <w:bCs/>
                        <w:sz w:val="20"/>
                      </w:rPr>
                      <w:t>išorinė nosies apžiūra;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4.9.3.1.2.</w:t>
                    </w:r>
                  </w:p>
                </w:tc>
                <w:tc>
                  <w:tcPr>
                    <w:tcW w:w="7762" w:type="dxa"/>
                    <w:tcBorders>
                      <w:top w:val="nil"/>
                      <w:left w:val="single" w:sz="4" w:space="0" w:color="auto"/>
                      <w:bottom w:val="nil"/>
                    </w:tcBorders>
                    <w:shd w:val="clear" w:color="auto" w:fill="auto"/>
                  </w:tcPr>
                  <w:p>
                    <w:pPr>
                      <w:rPr>
                        <w:bCs/>
                        <w:sz w:val="20"/>
                      </w:rPr>
                    </w:pPr>
                    <w:r>
                      <w:rPr>
                        <w:bCs/>
                        <w:sz w:val="20"/>
                      </w:rPr>
                      <w:t>priekinė nosies rinoskopija naudojant išplėtiklį;</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rPr>
                    </w:pPr>
                    <w:r>
                      <w:rPr>
                        <w:bCs/>
                        <w:sz w:val="20"/>
                      </w:rPr>
                      <w:t>4.9.3.1.3.</w:t>
                    </w:r>
                  </w:p>
                </w:tc>
                <w:tc>
                  <w:tcPr>
                    <w:tcW w:w="7762" w:type="dxa"/>
                    <w:tcBorders>
                      <w:top w:val="nil"/>
                      <w:left w:val="single" w:sz="4" w:space="0" w:color="auto"/>
                      <w:bottom w:val="nil"/>
                    </w:tcBorders>
                    <w:shd w:val="clear" w:color="auto" w:fill="auto"/>
                  </w:tcPr>
                  <w:p>
                    <w:pPr>
                      <w:rPr>
                        <w:bCs/>
                        <w:sz w:val="20"/>
                      </w:rPr>
                    </w:pPr>
                    <w:r>
                      <w:rPr>
                        <w:bCs/>
                        <w:sz w:val="20"/>
                      </w:rPr>
                      <w:t>gleivinės, nosies kriauklių, pertvaros būklės, išskyrų nosies ertmėje, papildomų darinių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4.9.3.1.4.</w:t>
                    </w:r>
                  </w:p>
                </w:tc>
                <w:tc>
                  <w:tcPr>
                    <w:tcW w:w="7762" w:type="dxa"/>
                    <w:tcBorders>
                      <w:top w:val="nil"/>
                      <w:left w:val="single" w:sz="4" w:space="0" w:color="auto"/>
                      <w:bottom w:val="nil"/>
                    </w:tcBorders>
                    <w:shd w:val="clear" w:color="auto" w:fill="auto"/>
                  </w:tcPr>
                  <w:p>
                    <w:pPr>
                      <w:rPr>
                        <w:bCs/>
                        <w:sz w:val="20"/>
                      </w:rPr>
                    </w:pPr>
                    <w:r>
                      <w:rPr>
                        <w:bCs/>
                        <w:sz w:val="20"/>
                      </w:rPr>
                      <w:t>kvėpavimo per nosį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4.9.3.1.5.</w:t>
                    </w:r>
                  </w:p>
                </w:tc>
                <w:tc>
                  <w:tcPr>
                    <w:tcW w:w="7762" w:type="dxa"/>
                    <w:tcBorders>
                      <w:top w:val="nil"/>
                      <w:left w:val="single" w:sz="4" w:space="0" w:color="auto"/>
                      <w:bottom w:val="nil"/>
                    </w:tcBorders>
                    <w:shd w:val="clear" w:color="auto" w:fill="auto"/>
                  </w:tcPr>
                  <w:p>
                    <w:pPr>
                      <w:rPr>
                        <w:bCs/>
                        <w:sz w:val="20"/>
                      </w:rPr>
                    </w:pPr>
                    <w:r>
                      <w:rPr>
                        <w:bCs/>
                        <w:sz w:val="20"/>
                      </w:rPr>
                      <w:t>prienosinių ančių fluorografinio bei rentgenografinio ištyrimo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4.9.3.2.</w:t>
                    </w:r>
                  </w:p>
                </w:tc>
                <w:tc>
                  <w:tcPr>
                    <w:tcW w:w="7762" w:type="dxa"/>
                    <w:tcBorders>
                      <w:top w:val="nil"/>
                      <w:left w:val="single" w:sz="4" w:space="0" w:color="auto"/>
                      <w:bottom w:val="nil"/>
                    </w:tcBorders>
                    <w:shd w:val="clear" w:color="auto" w:fill="auto"/>
                  </w:tcPr>
                  <w:p>
                    <w:pPr>
                      <w:rPr>
                        <w:bCs/>
                        <w:sz w:val="20"/>
                      </w:rPr>
                    </w:pPr>
                    <w:r>
                      <w:rPr>
                        <w:bCs/>
                        <w:sz w:val="20"/>
                      </w:rPr>
                      <w:t>Nosiaryklės apžiūra (nosiaryklės apžiūrėjimas užpakalinės rinoskopijos metodu ir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4.9.3.3.</w:t>
                    </w:r>
                  </w:p>
                </w:tc>
                <w:tc>
                  <w:tcPr>
                    <w:tcW w:w="7762" w:type="dxa"/>
                    <w:tcBorders>
                      <w:top w:val="nil"/>
                      <w:left w:val="single" w:sz="4" w:space="0" w:color="auto"/>
                      <w:bottom w:val="nil"/>
                    </w:tcBorders>
                    <w:shd w:val="clear" w:color="auto" w:fill="auto"/>
                  </w:tcPr>
                  <w:p>
                    <w:pPr>
                      <w:rPr>
                        <w:bCs/>
                        <w:sz w:val="20"/>
                      </w:rPr>
                    </w:pPr>
                    <w:r>
                      <w:rPr>
                        <w:bCs/>
                        <w:sz w:val="20"/>
                      </w:rPr>
                      <w:t>Ryklės ištyrimas (ryklės užpakalinės sienelės, gomurio lankų, tonzilių ir kaklo limfmazgių apžiūra ir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4.9.3.4.</w:t>
                    </w:r>
                  </w:p>
                </w:tc>
                <w:tc>
                  <w:tcPr>
                    <w:tcW w:w="7762" w:type="dxa"/>
                    <w:tcBorders>
                      <w:top w:val="nil"/>
                      <w:left w:val="single" w:sz="4" w:space="0" w:color="auto"/>
                      <w:bottom w:val="nil"/>
                    </w:tcBorders>
                    <w:shd w:val="clear" w:color="auto" w:fill="auto"/>
                  </w:tcPr>
                  <w:p>
                    <w:pPr>
                      <w:rPr>
                        <w:bCs/>
                        <w:sz w:val="20"/>
                      </w:rPr>
                    </w:pPr>
                    <w:r>
                      <w:rPr>
                        <w:bCs/>
                        <w:sz w:val="20"/>
                      </w:rPr>
                      <w:t>Gerklų ištyrimas: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lang w:val="en-US"/>
                      </w:rPr>
                      <w:t>4.9.3.4.1.</w:t>
                    </w:r>
                  </w:p>
                </w:tc>
                <w:tc>
                  <w:tcPr>
                    <w:tcW w:w="7762" w:type="dxa"/>
                    <w:tcBorders>
                      <w:top w:val="nil"/>
                      <w:left w:val="single" w:sz="4" w:space="0" w:color="auto"/>
                      <w:bottom w:val="nil"/>
                    </w:tcBorders>
                    <w:shd w:val="clear" w:color="auto" w:fill="auto"/>
                  </w:tcPr>
                  <w:p>
                    <w:pPr>
                      <w:rPr>
                        <w:bCs/>
                        <w:sz w:val="20"/>
                      </w:rPr>
                    </w:pPr>
                    <w:r>
                      <w:rPr>
                        <w:bCs/>
                        <w:sz w:val="20"/>
                      </w:rPr>
                      <w:t>viršutinių kvėpavimo takų būklės įvertinimas;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lang w:val="en-US"/>
                      </w:rPr>
                      <w:t>4.9.3.4.2.</w:t>
                    </w:r>
                  </w:p>
                </w:tc>
                <w:tc>
                  <w:tcPr>
                    <w:tcW w:w="7762" w:type="dxa"/>
                    <w:tcBorders>
                      <w:top w:val="nil"/>
                      <w:left w:val="single" w:sz="4" w:space="0" w:color="auto"/>
                      <w:bottom w:val="nil"/>
                    </w:tcBorders>
                    <w:shd w:val="clear" w:color="auto" w:fill="auto"/>
                  </w:tcPr>
                  <w:p>
                    <w:pPr>
                      <w:rPr>
                        <w:bCs/>
                        <w:sz w:val="20"/>
                      </w:rPr>
                    </w:pPr>
                    <w:r>
                      <w:rPr>
                        <w:bCs/>
                        <w:sz w:val="20"/>
                        <w:lang w:val="pt-BR"/>
                      </w:rPr>
                      <w:t>balso tembro, mikčiojimo ar kitų sutrikimų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antgerklio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balso klosčių būklės įvertinimas naudojant gerklų veidrodėlį;</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4.9.3.4.5.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papildomų darinių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gerklų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organų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4.9.3.5.1.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išorinės ausies, kaušelio, speninės ataugos ir landos apžiūra;</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4.9.3.5.2.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ausies būgnelio ir jo pakitimų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randų ir perforacijų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4.9.3.5.4.</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klausomojo vamzdžio funkcijos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lang w:val="en-US"/>
                      </w:rPr>
                    </w:pPr>
                    <w:r>
                      <w:rPr>
                        <w:bCs/>
                        <w:sz w:val="20"/>
                        <w:lang w:val="en-US"/>
                      </w:rPr>
                      <w:t>4.9.3.5.5.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kamertoninis tyrimas;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aštrumo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lang w:val="en-US"/>
                      </w:rPr>
                    </w:pPr>
                    <w:r>
                      <w:rPr>
                        <w:bCs/>
                        <w:sz w:val="20"/>
                        <w:lang w:val="en-US"/>
                      </w:rPr>
                      <w:t>4.9.3.5.7.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audiometrinio klausos ištyrimo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Atliekamos gydymo procedūros: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4.9.4.1.</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prapūtimas pagal Policerį;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hematomų punktavimas;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tvarsčių uždėjimas po punkcijos;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sieros kamščių plovimas;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kraujagyslių prideginimas;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punkcijos atlikimas;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4.9.4.7.</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priekin</w:t>
                    </w:r>
                    <w:r>
                      <w:rPr>
                        <w:bCs/>
                        <w:sz w:val="20"/>
                      </w:rPr>
                      <w:t>ė</w:t>
                    </w:r>
                    <w:r>
                      <w:rPr>
                        <w:bCs/>
                        <w:sz w:val="20"/>
                        <w:lang w:val="pt-BR"/>
                      </w:rPr>
                      <w:t xml:space="preserve"> tamponada;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paratonziliarinių injekcijų atlikimas;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paratonzilinio pūlinio punkcija ir invazija;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plovimas;</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4.9.4.11.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medikamentinis tepimas;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4.9.4.12.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ryklės prideginimas skystu azotu;</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gerklų instiliacija medikamentais.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4.10.</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ORTOPEDO TRAUMATOLOGO </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anamnezės surinkimas.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4.10.2.</w:t>
                    </w:r>
                  </w:p>
                </w:tc>
                <w:tc>
                  <w:tcPr>
                    <w:tcW w:w="7762" w:type="dxa"/>
                    <w:tcBorders>
                      <w:top w:val="nil"/>
                      <w:left w:val="single" w:sz="4" w:space="0" w:color="auto"/>
                      <w:bottom w:val="nil"/>
                    </w:tcBorders>
                    <w:shd w:val="clear" w:color="auto" w:fill="auto"/>
                  </w:tcPr>
                  <w:p>
                    <w:pPr>
                      <w:rPr>
                        <w:bCs/>
                        <w:sz w:val="20"/>
                      </w:rPr>
                    </w:pPr>
                    <w:r>
                      <w:rPr>
                        <w:bCs/>
                        <w:sz w:val="20"/>
                      </w:rPr>
                      <w:t>Ligonio apžiūrėjimas, palpacija, surinktų duomenų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4.10.3.</w:t>
                    </w:r>
                  </w:p>
                </w:tc>
                <w:tc>
                  <w:tcPr>
                    <w:tcW w:w="7762" w:type="dxa"/>
                    <w:tcBorders>
                      <w:top w:val="nil"/>
                      <w:left w:val="single" w:sz="4" w:space="0" w:color="auto"/>
                      <w:bottom w:val="nil"/>
                    </w:tcBorders>
                    <w:shd w:val="clear" w:color="auto" w:fill="auto"/>
                  </w:tcPr>
                  <w:p>
                    <w:pPr>
                      <w:rPr>
                        <w:bCs/>
                        <w:sz w:val="20"/>
                      </w:rPr>
                    </w:pPr>
                    <w:r>
                      <w:rPr>
                        <w:bCs/>
                        <w:sz w:val="20"/>
                      </w:rPr>
                      <w:t>Profilaktinis sveikatos tikrinimas.</w:t>
                    </w:r>
                  </w:p>
                </w:tc>
              </w:tr>
              <w:tr>
                <w:tblPrEx>
                  <w:tblBorders>
                    <w:insideH w:val="none" w:sz="0" w:space="0" w:color="auto"/>
                    <w:insideV w:val="none" w:sz="0" w:space="0" w:color="auto"/>
                  </w:tblBorders>
                </w:tblPrEx>
                <w:trPr>
                  <w:trHeight w:val="160"/>
                </w:trPr>
                <w:tc>
                  <w:tcPr>
                    <w:tcW w:w="1308" w:type="dxa"/>
                    <w:tcBorders>
                      <w:right w:val="single" w:sz="4" w:space="0" w:color="auto"/>
                    </w:tcBorders>
                    <w:shd w:val="clear" w:color="auto" w:fill="auto"/>
                  </w:tcPr>
                  <w:p>
                    <w:pPr>
                      <w:rPr>
                        <w:bCs/>
                        <w:sz w:val="20"/>
                      </w:rPr>
                    </w:pPr>
                    <w:r>
                      <w:rPr>
                        <w:bCs/>
                        <w:sz w:val="20"/>
                      </w:rPr>
                      <w:t>4.10.4.</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272"/>
                </w:trPr>
                <w:tc>
                  <w:tcPr>
                    <w:tcW w:w="1308" w:type="dxa"/>
                    <w:tcBorders>
                      <w:right w:val="single" w:sz="4" w:space="0" w:color="auto"/>
                    </w:tcBorders>
                    <w:shd w:val="clear" w:color="auto" w:fill="auto"/>
                  </w:tcPr>
                  <w:p>
                    <w:pPr>
                      <w:rPr>
                        <w:bCs/>
                        <w:sz w:val="20"/>
                      </w:rPr>
                    </w:pPr>
                    <w:r>
                      <w:rPr>
                        <w:bCs/>
                        <w:sz w:val="20"/>
                      </w:rPr>
                      <w:t>4.10.5.</w:t>
                    </w:r>
                  </w:p>
                </w:tc>
                <w:tc>
                  <w:tcPr>
                    <w:tcW w:w="7762" w:type="dxa"/>
                    <w:tcBorders>
                      <w:top w:val="nil"/>
                      <w:left w:val="single" w:sz="4" w:space="0" w:color="auto"/>
                      <w:bottom w:val="nil"/>
                    </w:tcBorders>
                    <w:shd w:val="clear" w:color="auto" w:fill="auto"/>
                  </w:tcPr>
                  <w:p>
                    <w:pPr>
                      <w:rPr>
                        <w:bCs/>
                        <w:sz w:val="20"/>
                      </w:rPr>
                    </w:pPr>
                    <w:r>
                      <w:rPr>
                        <w:bCs/>
                        <w:sz w:val="20"/>
                      </w:rPr>
                      <w:t>Tvarstymas.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4.10.6.</w:t>
                    </w:r>
                  </w:p>
                </w:tc>
                <w:tc>
                  <w:tcPr>
                    <w:tcW w:w="7762" w:type="dxa"/>
                    <w:tcBorders>
                      <w:top w:val="nil"/>
                      <w:left w:val="single" w:sz="4" w:space="0" w:color="auto"/>
                      <w:bottom w:val="nil"/>
                    </w:tcBorders>
                    <w:shd w:val="clear" w:color="auto" w:fill="auto"/>
                  </w:tcPr>
                  <w:p>
                    <w:pPr>
                      <w:rPr>
                        <w:bCs/>
                        <w:sz w:val="20"/>
                      </w:rPr>
                    </w:pPr>
                    <w:r>
                      <w:rPr>
                        <w:bCs/>
                        <w:sz w:val="20"/>
                      </w:rPr>
                      <w:t>Žaizdų perrišimas.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4.10.7.</w:t>
                    </w:r>
                  </w:p>
                </w:tc>
                <w:tc>
                  <w:tcPr>
                    <w:tcW w:w="7762" w:type="dxa"/>
                    <w:tcBorders>
                      <w:top w:val="nil"/>
                      <w:left w:val="single" w:sz="4" w:space="0" w:color="auto"/>
                      <w:bottom w:val="nil"/>
                    </w:tcBorders>
                    <w:shd w:val="clear" w:color="auto" w:fill="auto"/>
                  </w:tcPr>
                  <w:p>
                    <w:pPr>
                      <w:rPr>
                        <w:bCs/>
                        <w:sz w:val="20"/>
                      </w:rPr>
                    </w:pPr>
                    <w:r>
                      <w:rPr>
                        <w:bCs/>
                        <w:sz w:val="20"/>
                      </w:rPr>
                      <w:t>Žaizdų priežiūra.</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4.10.8.</w:t>
                    </w:r>
                  </w:p>
                </w:tc>
                <w:tc>
                  <w:tcPr>
                    <w:tcW w:w="7762" w:type="dxa"/>
                    <w:tcBorders>
                      <w:top w:val="nil"/>
                      <w:left w:val="single" w:sz="4" w:space="0" w:color="auto"/>
                      <w:bottom w:val="nil"/>
                    </w:tcBorders>
                    <w:shd w:val="clear" w:color="auto" w:fill="auto"/>
                  </w:tcPr>
                  <w:p>
                    <w:pPr>
                      <w:rPr>
                        <w:bCs/>
                        <w:sz w:val="20"/>
                      </w:rPr>
                    </w:pPr>
                    <w:r>
                      <w:rPr>
                        <w:bCs/>
                        <w:sz w:val="20"/>
                      </w:rPr>
                      <w:t>Išorinio kraujavimo stabdymas.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4.10.9.</w:t>
                    </w:r>
                  </w:p>
                </w:tc>
                <w:tc>
                  <w:tcPr>
                    <w:tcW w:w="7762" w:type="dxa"/>
                    <w:tcBorders>
                      <w:top w:val="nil"/>
                      <w:left w:val="single" w:sz="4" w:space="0" w:color="auto"/>
                      <w:bottom w:val="nil"/>
                    </w:tcBorders>
                    <w:shd w:val="clear" w:color="auto" w:fill="auto"/>
                  </w:tcPr>
                  <w:p>
                    <w:pPr>
                      <w:rPr>
                        <w:bCs/>
                        <w:sz w:val="20"/>
                      </w:rPr>
                    </w:pPr>
                    <w:r>
                      <w:rPr>
                        <w:bCs/>
                        <w:sz w:val="20"/>
                      </w:rPr>
                      <w:t>Vietinės blokados lidokainu, novokainu.</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4.10.10.</w:t>
                    </w:r>
                  </w:p>
                </w:tc>
                <w:tc>
                  <w:tcPr>
                    <w:tcW w:w="7762" w:type="dxa"/>
                    <w:tcBorders>
                      <w:top w:val="nil"/>
                      <w:left w:val="single" w:sz="4" w:space="0" w:color="auto"/>
                      <w:bottom w:val="nil"/>
                    </w:tcBorders>
                    <w:shd w:val="clear" w:color="auto" w:fill="auto"/>
                  </w:tcPr>
                  <w:p>
                    <w:pPr>
                      <w:rPr>
                        <w:bCs/>
                        <w:sz w:val="20"/>
                      </w:rPr>
                    </w:pPr>
                    <w:r>
                      <w:rPr>
                        <w:bCs/>
                        <w:sz w:val="20"/>
                      </w:rPr>
                      <w:t>Vietinė infiltracinė anestezija.</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4.10.11.</w:t>
                    </w:r>
                  </w:p>
                </w:tc>
                <w:tc>
                  <w:tcPr>
                    <w:tcW w:w="7762" w:type="dxa"/>
                    <w:tcBorders>
                      <w:top w:val="nil"/>
                      <w:left w:val="single" w:sz="4" w:space="0" w:color="auto"/>
                      <w:bottom w:val="nil"/>
                    </w:tcBorders>
                    <w:shd w:val="clear" w:color="auto" w:fill="auto"/>
                  </w:tcPr>
                  <w:p>
                    <w:pPr>
                      <w:rPr>
                        <w:bCs/>
                        <w:sz w:val="20"/>
                      </w:rPr>
                    </w:pPr>
                    <w:r>
                      <w:rPr>
                        <w:bCs/>
                        <w:sz w:val="20"/>
                      </w:rPr>
                      <w:t>Pirminis chirurginis žaizdų sutvarkymas.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4.10.12.</w:t>
                    </w:r>
                  </w:p>
                </w:tc>
                <w:tc>
                  <w:tcPr>
                    <w:tcW w:w="7762" w:type="dxa"/>
                    <w:tcBorders>
                      <w:top w:val="nil"/>
                      <w:left w:val="single" w:sz="4" w:space="0" w:color="auto"/>
                      <w:bottom w:val="nil"/>
                    </w:tcBorders>
                    <w:shd w:val="clear" w:color="auto" w:fill="auto"/>
                  </w:tcPr>
                  <w:p>
                    <w:pPr>
                      <w:rPr>
                        <w:bCs/>
                        <w:sz w:val="20"/>
                      </w:rPr>
                    </w:pPr>
                    <w:r>
                      <w:rPr>
                        <w:bCs/>
                        <w:sz w:val="20"/>
                      </w:rPr>
                      <w:t>Siūlų išėmimas.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4.10.13.</w:t>
                    </w:r>
                  </w:p>
                </w:tc>
                <w:tc>
                  <w:tcPr>
                    <w:tcW w:w="7762" w:type="dxa"/>
                    <w:tcBorders>
                      <w:top w:val="nil"/>
                      <w:left w:val="single" w:sz="4" w:space="0" w:color="auto"/>
                      <w:bottom w:val="nil"/>
                    </w:tcBorders>
                    <w:shd w:val="clear" w:color="auto" w:fill="auto"/>
                  </w:tcPr>
                  <w:p>
                    <w:pPr>
                      <w:rPr>
                        <w:bCs/>
                        <w:sz w:val="20"/>
                      </w:rPr>
                    </w:pPr>
                    <w:r>
                      <w:rPr>
                        <w:bCs/>
                        <w:sz w:val="20"/>
                      </w:rPr>
                      <w:t xml:space="preserve">Odos pūlingos infekcijos chirurginis gydymas. </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4.10.14.</w:t>
                    </w:r>
                  </w:p>
                </w:tc>
                <w:tc>
                  <w:tcPr>
                    <w:tcW w:w="7762" w:type="dxa"/>
                    <w:tcBorders>
                      <w:top w:val="nil"/>
                      <w:left w:val="single" w:sz="4" w:space="0" w:color="auto"/>
                      <w:bottom w:val="nil"/>
                    </w:tcBorders>
                    <w:shd w:val="clear" w:color="auto" w:fill="auto"/>
                  </w:tcPr>
                  <w:p>
                    <w:pPr>
                      <w:rPr>
                        <w:bCs/>
                        <w:sz w:val="20"/>
                      </w:rPr>
                    </w:pPr>
                    <w:r>
                      <w:rPr>
                        <w:bCs/>
                        <w:sz w:val="20"/>
                      </w:rPr>
                      <w:t>Sąnarių punkcijos.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4.10.15.</w:t>
                    </w:r>
                  </w:p>
                </w:tc>
                <w:tc>
                  <w:tcPr>
                    <w:tcW w:w="7762" w:type="dxa"/>
                    <w:tcBorders>
                      <w:top w:val="nil"/>
                      <w:left w:val="single" w:sz="4" w:space="0" w:color="auto"/>
                      <w:bottom w:val="nil"/>
                    </w:tcBorders>
                    <w:shd w:val="clear" w:color="auto" w:fill="auto"/>
                  </w:tcPr>
                  <w:p>
                    <w:pPr>
                      <w:rPr>
                        <w:bCs/>
                        <w:sz w:val="20"/>
                      </w:rPr>
                    </w:pPr>
                    <w:r>
                      <w:rPr>
                        <w:bCs/>
                        <w:sz w:val="20"/>
                      </w:rPr>
                      <w:t>Svetimkūnių, esančių odoje, šalinimas.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4.10.16.</w:t>
                    </w:r>
                  </w:p>
                </w:tc>
                <w:tc>
                  <w:tcPr>
                    <w:tcW w:w="7762" w:type="dxa"/>
                    <w:tcBorders>
                      <w:top w:val="nil"/>
                      <w:left w:val="single" w:sz="4" w:space="0" w:color="auto"/>
                      <w:bottom w:val="nil"/>
                    </w:tcBorders>
                    <w:shd w:val="clear" w:color="auto" w:fill="auto"/>
                  </w:tcPr>
                  <w:p>
                    <w:pPr>
                      <w:rPr>
                        <w:bCs/>
                        <w:sz w:val="20"/>
                      </w:rPr>
                    </w:pPr>
                    <w:r>
                      <w:rPr>
                        <w:bCs/>
                        <w:sz w:val="20"/>
                      </w:rPr>
                      <w:t>Įaugusio nago pašalinimas.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4.10.17.</w:t>
                    </w:r>
                  </w:p>
                </w:tc>
                <w:tc>
                  <w:tcPr>
                    <w:tcW w:w="7762" w:type="dxa"/>
                    <w:tcBorders>
                      <w:top w:val="nil"/>
                      <w:left w:val="single" w:sz="4" w:space="0" w:color="auto"/>
                      <w:bottom w:val="nil"/>
                    </w:tcBorders>
                    <w:shd w:val="clear" w:color="auto" w:fill="auto"/>
                  </w:tcPr>
                  <w:p>
                    <w:pPr>
                      <w:rPr>
                        <w:bCs/>
                        <w:sz w:val="20"/>
                      </w:rPr>
                    </w:pPr>
                    <w:r>
                      <w:rPr>
                        <w:bCs/>
                        <w:sz w:val="20"/>
                      </w:rPr>
                      <w:t>Venos punkcija.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4.10.18.</w:t>
                    </w:r>
                  </w:p>
                </w:tc>
                <w:tc>
                  <w:tcPr>
                    <w:tcW w:w="7762" w:type="dxa"/>
                    <w:tcBorders>
                      <w:top w:val="nil"/>
                      <w:left w:val="single" w:sz="4" w:space="0" w:color="auto"/>
                      <w:bottom w:val="nil"/>
                    </w:tcBorders>
                    <w:shd w:val="clear" w:color="auto" w:fill="auto"/>
                  </w:tcPr>
                  <w:p>
                    <w:pPr>
                      <w:rPr>
                        <w:bCs/>
                        <w:sz w:val="20"/>
                      </w:rPr>
                    </w:pPr>
                    <w:r>
                      <w:rPr>
                        <w:bCs/>
                        <w:sz w:val="20"/>
                      </w:rPr>
                      <w:t>Gipso tvarsčio uždėjimas ir nuėmimas.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4.10.19.</w:t>
                    </w:r>
                  </w:p>
                </w:tc>
                <w:tc>
                  <w:tcPr>
                    <w:tcW w:w="7762" w:type="dxa"/>
                    <w:tcBorders>
                      <w:top w:val="nil"/>
                      <w:left w:val="single" w:sz="4" w:space="0" w:color="auto"/>
                      <w:bottom w:val="nil"/>
                    </w:tcBorders>
                    <w:shd w:val="clear" w:color="auto" w:fill="auto"/>
                  </w:tcPr>
                  <w:p>
                    <w:pPr>
                      <w:rPr>
                        <w:bCs/>
                        <w:sz w:val="20"/>
                      </w:rPr>
                    </w:pPr>
                    <w:r>
                      <w:rPr>
                        <w:bCs/>
                        <w:sz w:val="20"/>
                      </w:rPr>
                      <w:t xml:space="preserve">Vaistų paskyrimas. Esant indikacijų, siuntimas fizinės medicinos ir reabilitacijos gydytojo konsultacijai dėl nemedikamentinio gydymo ir (ar) medicininės reabilitacijos. </w:t>
                    </w:r>
                  </w:p>
                </w:tc>
              </w:tr>
              <w:tr>
                <w:tblPrEx>
                  <w:tblBorders>
                    <w:insideH w:val="none" w:sz="0" w:space="0" w:color="auto"/>
                    <w:insideV w:val="none" w:sz="0" w:space="0" w:color="auto"/>
                  </w:tblBorders>
                </w:tblPrEx>
                <w:trPr>
                  <w:trHeight w:val="206"/>
                </w:trPr>
                <w:tc>
                  <w:tcPr>
                    <w:tcW w:w="1308" w:type="dxa"/>
                    <w:tcBorders>
                      <w:right w:val="single" w:sz="4" w:space="0" w:color="auto"/>
                    </w:tcBorders>
                    <w:shd w:val="clear" w:color="auto" w:fill="auto"/>
                  </w:tcPr>
                  <w:p>
                    <w:pPr>
                      <w:rPr>
                        <w:bCs/>
                        <w:sz w:val="20"/>
                      </w:rPr>
                    </w:pPr>
                    <w:r>
                      <w:rPr>
                        <w:bCs/>
                        <w:sz w:val="20"/>
                      </w:rPr>
                      <w:t>4.10.20.</w:t>
                    </w:r>
                  </w:p>
                </w:tc>
                <w:tc>
                  <w:tcPr>
                    <w:tcW w:w="7762" w:type="dxa"/>
                    <w:tcBorders>
                      <w:top w:val="nil"/>
                      <w:left w:val="single" w:sz="4" w:space="0" w:color="auto"/>
                      <w:bottom w:val="nil"/>
                    </w:tcBorders>
                    <w:shd w:val="clear" w:color="auto" w:fill="auto"/>
                  </w:tcPr>
                  <w:p>
                    <w:pPr>
                      <w:rPr>
                        <w:bCs/>
                        <w:sz w:val="20"/>
                      </w:rPr>
                    </w:pPr>
                    <w:r>
                      <w:rPr>
                        <w:bCs/>
                        <w:sz w:val="20"/>
                      </w:rPr>
                      <w:t>Raumenų ir skeleto, sąnarių ultragarsinis tyrimas.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4.10.21.</w:t>
                    </w:r>
                  </w:p>
                </w:tc>
                <w:tc>
                  <w:tcPr>
                    <w:tcW w:w="7762" w:type="dxa"/>
                    <w:tcBorders>
                      <w:top w:val="nil"/>
                      <w:left w:val="single" w:sz="4" w:space="0" w:color="auto"/>
                      <w:bottom w:val="nil"/>
                    </w:tcBorders>
                    <w:shd w:val="clear" w:color="auto" w:fill="auto"/>
                  </w:tcPr>
                  <w:p>
                    <w:pPr>
                      <w:rPr>
                        <w:bCs/>
                        <w:sz w:val="20"/>
                      </w:rPr>
                    </w:pPr>
                    <w:r>
                      <w:rPr>
                        <w:bCs/>
                        <w:sz w:val="20"/>
                      </w:rPr>
                      <w:t>Gydymo sekimas, koregavimas, kontrolė.</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4.10.22.</w:t>
                    </w:r>
                  </w:p>
                </w:tc>
                <w:tc>
                  <w:tcPr>
                    <w:tcW w:w="7762" w:type="dxa"/>
                    <w:tcBorders>
                      <w:top w:val="nil"/>
                      <w:left w:val="single" w:sz="4" w:space="0" w:color="auto"/>
                      <w:bottom w:val="single" w:sz="4" w:space="0" w:color="auto"/>
                    </w:tcBorders>
                    <w:shd w:val="clear" w:color="auto" w:fill="auto"/>
                  </w:tcPr>
                  <w:p>
                    <w:pPr>
                      <w:rPr>
                        <w:bCs/>
                        <w:sz w:val="20"/>
                      </w:rPr>
                    </w:pPr>
                    <w:r>
                      <w:rPr>
                        <w:bCs/>
                        <w:sz w:val="20"/>
                      </w:rPr>
                      <w:t>Rekomendacijos sveikatos išsaugojimo ir stiprinimo klausimais.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NEUROLOGO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4.11.1.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gyvenimo bei neurologinės anamnezės surinkimas.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tcBorders>
                    <w:shd w:val="clear" w:color="auto" w:fill="auto"/>
                  </w:tcPr>
                  <w:p>
                    <w:pPr>
                      <w:rPr>
                        <w:rFonts w:ascii="TimesLT" w:hAnsi="TimesLT"/>
                        <w:bCs/>
                        <w:sz w:val="20"/>
                      </w:rPr>
                    </w:pPr>
                    <w:r>
                      <w:rPr>
                        <w:bCs/>
                        <w:sz w:val="20"/>
                      </w:rPr>
                      <w:t>Neurologinis</w:t>
                    </w:r>
                    <w:r>
                      <w:rPr>
                        <w:rFonts w:ascii="TimesLT" w:hAnsi="TimesLT"/>
                        <w:bCs/>
                        <w:sz w:val="20"/>
                      </w:rPr>
                      <w:t xml:space="preserve"> </w:t>
                    </w:r>
                    <w:r>
                      <w:rPr>
                        <w:bCs/>
                        <w:sz w:val="20"/>
                      </w:rPr>
                      <w:t>ligonio apžiūrėjimas: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4.11.2.1.</w:t>
                    </w:r>
                  </w:p>
                </w:tc>
                <w:tc>
                  <w:tcPr>
                    <w:tcW w:w="7762" w:type="dxa"/>
                    <w:tcBorders>
                      <w:top w:val="nil"/>
                      <w:left w:val="single" w:sz="4" w:space="0" w:color="auto"/>
                      <w:bottom w:val="nil"/>
                    </w:tcBorders>
                    <w:shd w:val="clear" w:color="auto" w:fill="auto"/>
                  </w:tcPr>
                  <w:p>
                    <w:pPr>
                      <w:rPr>
                        <w:bCs/>
                        <w:sz w:val="20"/>
                      </w:rPr>
                    </w:pPr>
                    <w:r>
                      <w:rPr>
                        <w:bCs/>
                        <w:sz w:val="20"/>
                      </w:rPr>
                      <w:t>cerebro bulbarinių nervų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4.11.2.2.</w:t>
                    </w:r>
                  </w:p>
                </w:tc>
                <w:tc>
                  <w:tcPr>
                    <w:tcW w:w="7762" w:type="dxa"/>
                    <w:tcBorders>
                      <w:top w:val="nil"/>
                      <w:left w:val="single" w:sz="4" w:space="0" w:color="auto"/>
                      <w:bottom w:val="nil"/>
                    </w:tcBorders>
                    <w:shd w:val="clear" w:color="auto" w:fill="auto"/>
                  </w:tcPr>
                  <w:p>
                    <w:pPr>
                      <w:rPr>
                        <w:bCs/>
                        <w:sz w:val="20"/>
                      </w:rPr>
                    </w:pPr>
                    <w:r>
                      <w:rPr>
                        <w:bCs/>
                        <w:sz w:val="20"/>
                      </w:rPr>
                      <w:t>sausgyslinių, periostalinių refleksų ir patologinių refleksų buvimo nustatymas;</w:t>
                    </w:r>
                  </w:p>
                </w:tc>
              </w:tr>
              <w:tr>
                <w:tblPrEx>
                  <w:tblBorders>
                    <w:insideH w:val="none" w:sz="0" w:space="0" w:color="auto"/>
                    <w:insideV w:val="none" w:sz="0" w:space="0" w:color="auto"/>
                  </w:tblBorders>
                </w:tblPrEx>
                <w:trPr>
                  <w:trHeight w:val="58"/>
                </w:trPr>
                <w:tc>
                  <w:tcPr>
                    <w:tcW w:w="1308" w:type="dxa"/>
                    <w:tcBorders>
                      <w:right w:val="single" w:sz="4" w:space="0" w:color="auto"/>
                    </w:tcBorders>
                    <w:shd w:val="clear" w:color="auto" w:fill="auto"/>
                  </w:tcPr>
                  <w:p>
                    <w:pPr>
                      <w:rPr>
                        <w:bCs/>
                        <w:sz w:val="20"/>
                      </w:rPr>
                    </w:pPr>
                    <w:r>
                      <w:rPr>
                        <w:bCs/>
                        <w:sz w:val="20"/>
                      </w:rPr>
                      <w:t>4.11.2.3.</w:t>
                    </w:r>
                  </w:p>
                </w:tc>
                <w:tc>
                  <w:tcPr>
                    <w:tcW w:w="7762" w:type="dxa"/>
                    <w:tcBorders>
                      <w:top w:val="nil"/>
                      <w:left w:val="single" w:sz="4" w:space="0" w:color="auto"/>
                      <w:bottom w:val="nil"/>
                    </w:tcBorders>
                    <w:shd w:val="clear" w:color="auto" w:fill="auto"/>
                  </w:tcPr>
                  <w:p>
                    <w:pPr>
                      <w:rPr>
                        <w:bCs/>
                        <w:sz w:val="20"/>
                      </w:rPr>
                    </w:pPr>
                    <w:r>
                      <w:rPr>
                        <w:bCs/>
                        <w:sz w:val="20"/>
                        <w:lang w:val="pt-BR"/>
                      </w:rPr>
                      <w:t>galūnių skausminio, temperatūrinio jautrumo įvertinimas;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4.11.2.4.</w:t>
                    </w:r>
                  </w:p>
                </w:tc>
                <w:tc>
                  <w:tcPr>
                    <w:tcW w:w="7762" w:type="dxa"/>
                    <w:tcBorders>
                      <w:top w:val="nil"/>
                      <w:left w:val="single" w:sz="4" w:space="0" w:color="auto"/>
                      <w:bottom w:val="nil"/>
                    </w:tcBorders>
                    <w:shd w:val="clear" w:color="auto" w:fill="auto"/>
                  </w:tcPr>
                  <w:p>
                    <w:pPr>
                      <w:rPr>
                        <w:bCs/>
                        <w:sz w:val="20"/>
                      </w:rPr>
                    </w:pPr>
                    <w:r>
                      <w:rPr>
                        <w:bCs/>
                        <w:sz w:val="20"/>
                        <w:lang w:val="pt-BR"/>
                      </w:rPr>
                      <w:t>autonominės sistemos būklės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4.11.2.5.</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tonuso, meninginių simptomų bei magistralinių kraujagyslių auskultacija;</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4.11.2.6.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koordinacinių mėginių atlikimas;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4.11.2.7.</w:t>
                    </w:r>
                  </w:p>
                </w:tc>
                <w:tc>
                  <w:tcPr>
                    <w:tcW w:w="7762" w:type="dxa"/>
                    <w:tcBorders>
                      <w:top w:val="nil"/>
                      <w:left w:val="single" w:sz="4" w:space="0" w:color="auto"/>
                      <w:bottom w:val="nil"/>
                    </w:tcBorders>
                    <w:shd w:val="clear" w:color="auto" w:fill="auto"/>
                  </w:tcPr>
                  <w:p>
                    <w:pPr>
                      <w:rPr>
                        <w:bCs/>
                        <w:sz w:val="20"/>
                        <w:lang w:val="pt-BR"/>
                      </w:rPr>
                    </w:pPr>
                    <w:r>
                      <w:rPr>
                        <w:bCs/>
                        <w:sz w:val="20"/>
                        <w:lang w:val="pt-BR"/>
                      </w:rPr>
                      <w:t>eisenos, stuburo biomechanikos patikrinimas;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4.11.2.8.</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funkcijos įvertinimas, išaiškinant tempimo ir iškritimo požymius.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tcBorders>
                    <w:shd w:val="clear" w:color="auto" w:fill="auto"/>
                  </w:tcPr>
                  <w:p>
                    <w:pPr>
                      <w:rPr>
                        <w:bCs/>
                        <w:sz w:val="20"/>
                        <w:lang w:val="pt-BR"/>
                      </w:rPr>
                    </w:pPr>
                    <w:r>
                      <w:rPr>
                        <w:bCs/>
                        <w:sz w:val="20"/>
                      </w:rPr>
                      <w:t>Preliminarios diagnozės nustatymas.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tcBorders>
                    <w:shd w:val="clear" w:color="auto" w:fill="auto"/>
                  </w:tcPr>
                  <w:p>
                    <w:pPr>
                      <w:rPr>
                        <w:bCs/>
                        <w:sz w:val="20"/>
                      </w:rPr>
                    </w:pPr>
                    <w:r>
                      <w:rPr>
                        <w:bCs/>
                        <w:sz w:val="20"/>
                      </w:rPr>
                      <w:t>Profilaktinis neurologinis apžiūrėjimas.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4.11.5.1.</w:t>
                    </w:r>
                  </w:p>
                </w:tc>
                <w:tc>
                  <w:tcPr>
                    <w:tcW w:w="7762" w:type="dxa"/>
                    <w:tcBorders>
                      <w:top w:val="nil"/>
                      <w:left w:val="single" w:sz="4" w:space="0" w:color="auto"/>
                      <w:bottom w:val="nil"/>
                    </w:tcBorders>
                    <w:shd w:val="clear" w:color="auto" w:fill="auto"/>
                  </w:tcPr>
                  <w:p>
                    <w:pPr>
                      <w:rPr>
                        <w:bCs/>
                        <w:sz w:val="20"/>
                      </w:rPr>
                    </w:pPr>
                    <w:r>
                      <w:rPr>
                        <w:bCs/>
                        <w:sz w:val="20"/>
                      </w:rPr>
                      <w:t>rentgenogramų;</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4.11.5.2.</w:t>
                    </w:r>
                  </w:p>
                </w:tc>
                <w:tc>
                  <w:tcPr>
                    <w:tcW w:w="7762" w:type="dxa"/>
                    <w:tcBorders>
                      <w:top w:val="nil"/>
                      <w:left w:val="single" w:sz="4" w:space="0" w:color="auto"/>
                      <w:bottom w:val="nil"/>
                    </w:tcBorders>
                    <w:shd w:val="clear" w:color="auto" w:fill="auto"/>
                  </w:tcPr>
                  <w:p>
                    <w:pPr>
                      <w:rPr>
                        <w:bCs/>
                        <w:sz w:val="20"/>
                      </w:rPr>
                    </w:pPr>
                    <w:r>
                      <w:rPr>
                        <w:bCs/>
                        <w:sz w:val="20"/>
                      </w:rPr>
                      <w:t>kompiuterinės tomografijos;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4.11.5.3.</w:t>
                    </w:r>
                  </w:p>
                </w:tc>
                <w:tc>
                  <w:tcPr>
                    <w:tcW w:w="7762" w:type="dxa"/>
                    <w:tcBorders>
                      <w:top w:val="nil"/>
                      <w:left w:val="single" w:sz="4" w:space="0" w:color="auto"/>
                      <w:bottom w:val="nil"/>
                    </w:tcBorders>
                    <w:shd w:val="clear" w:color="auto" w:fill="auto"/>
                  </w:tcPr>
                  <w:p>
                    <w:pPr>
                      <w:rPr>
                        <w:bCs/>
                        <w:sz w:val="20"/>
                      </w:rPr>
                    </w:pPr>
                    <w:r>
                      <w:rPr>
                        <w:bCs/>
                        <w:sz w:val="20"/>
                      </w:rPr>
                      <w:t>magnetinio rezonanso tyrimo;</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4.11.5.4.</w:t>
                    </w:r>
                  </w:p>
                </w:tc>
                <w:tc>
                  <w:tcPr>
                    <w:tcW w:w="7762" w:type="dxa"/>
                    <w:tcBorders>
                      <w:top w:val="nil"/>
                      <w:left w:val="single" w:sz="4" w:space="0" w:color="auto"/>
                      <w:bottom w:val="nil"/>
                    </w:tcBorders>
                    <w:shd w:val="clear" w:color="auto" w:fill="auto"/>
                  </w:tcPr>
                  <w:p>
                    <w:pPr>
                      <w:rPr>
                        <w:bCs/>
                        <w:sz w:val="20"/>
                      </w:rPr>
                    </w:pPr>
                    <w:r>
                      <w:rPr>
                        <w:bCs/>
                        <w:sz w:val="20"/>
                      </w:rPr>
                      <w:t>akių dugno tyrimo;</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4.11.5.5.</w:t>
                    </w:r>
                  </w:p>
                </w:tc>
                <w:tc>
                  <w:tcPr>
                    <w:tcW w:w="7762" w:type="dxa"/>
                    <w:tcBorders>
                      <w:top w:val="nil"/>
                      <w:left w:val="single" w:sz="4" w:space="0" w:color="auto"/>
                      <w:bottom w:val="nil"/>
                    </w:tcBorders>
                    <w:shd w:val="clear" w:color="auto" w:fill="auto"/>
                  </w:tcPr>
                  <w:p>
                    <w:pPr>
                      <w:rPr>
                        <w:bCs/>
                        <w:sz w:val="20"/>
                      </w:rPr>
                    </w:pPr>
                    <w:r>
                      <w:rPr>
                        <w:bCs/>
                        <w:sz w:val="20"/>
                      </w:rPr>
                      <w:t>elektroencefalogramos;</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4.11.5.6.</w:t>
                    </w:r>
                  </w:p>
                </w:tc>
                <w:tc>
                  <w:tcPr>
                    <w:tcW w:w="7762" w:type="dxa"/>
                    <w:tcBorders>
                      <w:top w:val="nil"/>
                      <w:left w:val="single" w:sz="4" w:space="0" w:color="auto"/>
                      <w:bottom w:val="nil"/>
                    </w:tcBorders>
                    <w:shd w:val="clear" w:color="auto" w:fill="auto"/>
                  </w:tcPr>
                  <w:p>
                    <w:pPr>
                      <w:rPr>
                        <w:bCs/>
                        <w:sz w:val="20"/>
                      </w:rPr>
                    </w:pPr>
                    <w:r>
                      <w:rPr>
                        <w:bCs/>
                        <w:sz w:val="20"/>
                      </w:rPr>
                      <w:t>elektroneuroangiografijos;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4.11.5.7.</w:t>
                    </w:r>
                  </w:p>
                </w:tc>
                <w:tc>
                  <w:tcPr>
                    <w:tcW w:w="7762" w:type="dxa"/>
                    <w:tcBorders>
                      <w:top w:val="nil"/>
                      <w:left w:val="single" w:sz="4" w:space="0" w:color="auto"/>
                      <w:bottom w:val="nil"/>
                    </w:tcBorders>
                    <w:shd w:val="clear" w:color="auto" w:fill="auto"/>
                  </w:tcPr>
                  <w:p>
                    <w:pPr>
                      <w:rPr>
                        <w:bCs/>
                        <w:sz w:val="20"/>
                      </w:rPr>
                    </w:pPr>
                    <w:r>
                      <w:rPr>
                        <w:bCs/>
                        <w:sz w:val="20"/>
                      </w:rPr>
                      <w:t>laboratorinių bei klinikinių fiziologinių tyrimų.</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tcBorders>
                    <w:shd w:val="clear" w:color="auto" w:fill="auto"/>
                  </w:tcPr>
                  <w:p>
                    <w:pPr>
                      <w:rPr>
                        <w:bCs/>
                        <w:sz w:val="20"/>
                      </w:rPr>
                    </w:pPr>
                    <w:r>
                      <w:rPr>
                        <w:bCs/>
                        <w:sz w:val="20"/>
                      </w:rPr>
                      <w:t>Skiria gydytojų konsultacijas: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4.11.6.1.</w:t>
                    </w:r>
                  </w:p>
                </w:tc>
                <w:tc>
                  <w:tcPr>
                    <w:tcW w:w="7762" w:type="dxa"/>
                    <w:tcBorders>
                      <w:top w:val="nil"/>
                      <w:left w:val="single" w:sz="4" w:space="0" w:color="auto"/>
                      <w:bottom w:val="nil"/>
                    </w:tcBorders>
                    <w:shd w:val="clear" w:color="auto" w:fill="auto"/>
                  </w:tcPr>
                  <w:p>
                    <w:pPr>
                      <w:rPr>
                        <w:bCs/>
                        <w:sz w:val="20"/>
                      </w:rPr>
                    </w:pPr>
                    <w:r>
                      <w:rPr>
                        <w:bCs/>
                        <w:sz w:val="20"/>
                      </w:rPr>
                      <w:t>ortopedo traumatologo;</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4.11.6.2.</w:t>
                    </w:r>
                  </w:p>
                </w:tc>
                <w:tc>
                  <w:tcPr>
                    <w:tcW w:w="7762" w:type="dxa"/>
                    <w:tcBorders>
                      <w:top w:val="nil"/>
                      <w:left w:val="single" w:sz="4" w:space="0" w:color="auto"/>
                      <w:bottom w:val="nil"/>
                    </w:tcBorders>
                    <w:shd w:val="clear" w:color="auto" w:fill="auto"/>
                  </w:tcPr>
                  <w:p>
                    <w:pPr>
                      <w:rPr>
                        <w:bCs/>
                        <w:sz w:val="20"/>
                      </w:rPr>
                    </w:pPr>
                    <w:r>
                      <w:rPr>
                        <w:bCs/>
                        <w:sz w:val="20"/>
                      </w:rPr>
                      <w:t xml:space="preserve">neurochirurgo arba angiochirurgo. </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single" w:sz="4" w:space="0" w:color="auto"/>
                    </w:tcBorders>
                    <w:shd w:val="clear" w:color="auto" w:fill="auto"/>
                  </w:tcPr>
                  <w:p>
                    <w:pPr>
                      <w:rPr>
                        <w:bCs/>
                        <w:sz w:val="20"/>
                      </w:rPr>
                    </w:pPr>
                    <w:r>
                      <w:rPr>
                        <w:bCs/>
                        <w:sz w:val="20"/>
                      </w:rPr>
                      <w:t>Pacientų gydymas, skiriant medikamentinį gydymą.</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TEIKIAMOS PROCEDŪRŲ KABINETE</w:t>
                    </w:r>
                  </w:p>
                </w:tc>
              </w:tr>
              <w:tr>
                <w:tblPrEx>
                  <w:tblBorders>
                    <w:insideH w:val="none" w:sz="0" w:space="0" w:color="auto"/>
                    <w:insideV w:val="none" w:sz="0" w:space="0" w:color="auto"/>
                  </w:tblBorders>
                </w:tblPrEx>
                <w:trPr>
                  <w:trHeight w:val="205"/>
                </w:trPr>
                <w:tc>
                  <w:tcPr>
                    <w:tcW w:w="1308" w:type="dxa"/>
                    <w:tcBorders>
                      <w:right w:val="single" w:sz="4" w:space="0" w:color="auto"/>
                    </w:tcBorders>
                    <w:shd w:val="clear" w:color="auto" w:fill="auto"/>
                  </w:tcPr>
                  <w:p>
                    <w:pPr>
                      <w:rPr>
                        <w:bCs/>
                        <w:sz w:val="20"/>
                      </w:rPr>
                    </w:pPr>
                    <w:r>
                      <w:rPr>
                        <w:bCs/>
                        <w:sz w:val="20"/>
                      </w:rPr>
                      <w:t>4.12.1.</w:t>
                    </w:r>
                  </w:p>
                </w:tc>
                <w:tc>
                  <w:tcPr>
                    <w:tcW w:w="7762" w:type="dxa"/>
                    <w:tcBorders>
                      <w:top w:val="single" w:sz="4" w:space="0" w:color="auto"/>
                      <w:left w:val="single" w:sz="4" w:space="0" w:color="auto"/>
                      <w:bottom w:val="nil"/>
                    </w:tcBorders>
                    <w:shd w:val="clear" w:color="auto" w:fill="auto"/>
                  </w:tcPr>
                  <w:p>
                    <w:pPr>
                      <w:rPr>
                        <w:bCs/>
                        <w:sz w:val="20"/>
                      </w:rPr>
                    </w:pPr>
                    <w:r>
                      <w:rPr>
                        <w:bCs/>
                        <w:sz w:val="20"/>
                      </w:rPr>
                      <w:t>Injekcijos:</w:t>
                    </w:r>
                  </w:p>
                </w:tc>
              </w:tr>
              <w:tr>
                <w:tblPrEx>
                  <w:tblBorders>
                    <w:insideH w:val="none" w:sz="0" w:space="0" w:color="auto"/>
                    <w:insideV w:val="none" w:sz="0" w:space="0" w:color="auto"/>
                  </w:tblBorders>
                </w:tblPrEx>
                <w:trPr>
                  <w:trHeight w:val="132"/>
                </w:trPr>
                <w:tc>
                  <w:tcPr>
                    <w:tcW w:w="1308" w:type="dxa"/>
                    <w:tcBorders>
                      <w:right w:val="single" w:sz="4" w:space="0" w:color="auto"/>
                    </w:tcBorders>
                    <w:shd w:val="clear" w:color="auto" w:fill="auto"/>
                  </w:tcPr>
                  <w:p>
                    <w:pPr>
                      <w:rPr>
                        <w:bCs/>
                        <w:sz w:val="20"/>
                      </w:rPr>
                    </w:pPr>
                    <w:r>
                      <w:rPr>
                        <w:bCs/>
                        <w:sz w:val="20"/>
                      </w:rPr>
                      <w:t>4.12.1.1.</w:t>
                    </w:r>
                  </w:p>
                </w:tc>
                <w:tc>
                  <w:tcPr>
                    <w:tcW w:w="7762" w:type="dxa"/>
                    <w:tcBorders>
                      <w:top w:val="nil"/>
                      <w:left w:val="single" w:sz="4" w:space="0" w:color="auto"/>
                      <w:bottom w:val="nil"/>
                    </w:tcBorders>
                    <w:shd w:val="clear" w:color="auto" w:fill="auto"/>
                  </w:tcPr>
                  <w:p>
                    <w:pPr>
                      <w:rPr>
                        <w:bCs/>
                        <w:sz w:val="20"/>
                      </w:rPr>
                    </w:pPr>
                    <w:r>
                      <w:rPr>
                        <w:bCs/>
                        <w:sz w:val="20"/>
                      </w:rPr>
                      <w:t>į paodį;</w:t>
                    </w:r>
                  </w:p>
                </w:tc>
              </w:tr>
              <w:tr>
                <w:tblPrEx>
                  <w:tblBorders>
                    <w:insideH w:val="none" w:sz="0" w:space="0" w:color="auto"/>
                    <w:insideV w:val="none" w:sz="0" w:space="0" w:color="auto"/>
                  </w:tblBorders>
                </w:tblPrEx>
                <w:trPr>
                  <w:trHeight w:val="253"/>
                </w:trPr>
                <w:tc>
                  <w:tcPr>
                    <w:tcW w:w="1308" w:type="dxa"/>
                    <w:tcBorders>
                      <w:right w:val="single" w:sz="4" w:space="0" w:color="auto"/>
                    </w:tcBorders>
                    <w:shd w:val="clear" w:color="auto" w:fill="auto"/>
                  </w:tcPr>
                  <w:p>
                    <w:pPr>
                      <w:rPr>
                        <w:bCs/>
                        <w:sz w:val="20"/>
                      </w:rPr>
                    </w:pPr>
                    <w:r>
                      <w:rPr>
                        <w:bCs/>
                        <w:sz w:val="20"/>
                      </w:rPr>
                      <w:t>4.12.1.2.</w:t>
                    </w:r>
                  </w:p>
                </w:tc>
                <w:tc>
                  <w:tcPr>
                    <w:tcW w:w="7762" w:type="dxa"/>
                    <w:tcBorders>
                      <w:top w:val="nil"/>
                      <w:left w:val="single" w:sz="4" w:space="0" w:color="auto"/>
                      <w:bottom w:val="nil"/>
                    </w:tcBorders>
                    <w:shd w:val="clear" w:color="auto" w:fill="auto"/>
                  </w:tcPr>
                  <w:p>
                    <w:pPr>
                      <w:rPr>
                        <w:bCs/>
                        <w:sz w:val="20"/>
                      </w:rPr>
                    </w:pPr>
                    <w:r>
                      <w:rPr>
                        <w:bCs/>
                        <w:sz w:val="20"/>
                      </w:rPr>
                      <w:t>į raumenis;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4.12.1.3.</w:t>
                    </w:r>
                  </w:p>
                </w:tc>
                <w:tc>
                  <w:tcPr>
                    <w:tcW w:w="7762" w:type="dxa"/>
                    <w:tcBorders>
                      <w:top w:val="nil"/>
                      <w:left w:val="single" w:sz="4" w:space="0" w:color="auto"/>
                      <w:bottom w:val="nil"/>
                    </w:tcBorders>
                    <w:shd w:val="clear" w:color="auto" w:fill="auto"/>
                  </w:tcPr>
                  <w:p>
                    <w:pPr>
                      <w:rPr>
                        <w:bCs/>
                        <w:sz w:val="20"/>
                      </w:rPr>
                    </w:pPr>
                    <w:r>
                      <w:rPr>
                        <w:bCs/>
                        <w:sz w:val="20"/>
                      </w:rPr>
                      <w:t>į veną.</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4.12.2.</w:t>
                    </w:r>
                  </w:p>
                </w:tc>
                <w:tc>
                  <w:tcPr>
                    <w:tcW w:w="7762" w:type="dxa"/>
                    <w:tcBorders>
                      <w:top w:val="nil"/>
                      <w:left w:val="single" w:sz="4" w:space="0" w:color="auto"/>
                      <w:bottom w:val="nil"/>
                    </w:tcBorders>
                    <w:shd w:val="clear" w:color="auto" w:fill="auto"/>
                  </w:tcPr>
                  <w:p>
                    <w:pPr>
                      <w:rPr>
                        <w:bCs/>
                        <w:sz w:val="20"/>
                      </w:rPr>
                    </w:pPr>
                    <w:r>
                      <w:rPr>
                        <w:bCs/>
                        <w:sz w:val="20"/>
                      </w:rPr>
                      <w:t>Lašinės infuzijos.</w:t>
                    </w:r>
                  </w:p>
                </w:tc>
              </w:tr>
              <w:tr>
                <w:tblPrEx>
                  <w:tblBorders>
                    <w:insideH w:val="none" w:sz="0" w:space="0" w:color="auto"/>
                    <w:insideV w:val="none" w:sz="0" w:space="0" w:color="auto"/>
                  </w:tblBorders>
                </w:tblPrEx>
                <w:trPr>
                  <w:trHeight w:val="346"/>
                </w:trPr>
                <w:tc>
                  <w:tcPr>
                    <w:tcW w:w="1308" w:type="dxa"/>
                    <w:tcBorders>
                      <w:right w:val="single" w:sz="4" w:space="0" w:color="auto"/>
                    </w:tcBorders>
                    <w:shd w:val="clear" w:color="auto" w:fill="auto"/>
                  </w:tcPr>
                  <w:p>
                    <w:pPr>
                      <w:rPr>
                        <w:bCs/>
                        <w:sz w:val="20"/>
                      </w:rPr>
                    </w:pPr>
                    <w:r>
                      <w:rPr>
                        <w:bCs/>
                        <w:sz w:val="20"/>
                      </w:rPr>
                      <w:t>4.12.3.</w:t>
                    </w:r>
                  </w:p>
                </w:tc>
                <w:tc>
                  <w:tcPr>
                    <w:tcW w:w="7762" w:type="dxa"/>
                    <w:tcBorders>
                      <w:top w:val="nil"/>
                      <w:left w:val="single" w:sz="4" w:space="0" w:color="auto"/>
                      <w:bottom w:val="nil"/>
                    </w:tcBorders>
                    <w:shd w:val="clear" w:color="auto" w:fill="auto"/>
                  </w:tcPr>
                  <w:p>
                    <w:pPr>
                      <w:rPr>
                        <w:bCs/>
                        <w:sz w:val="20"/>
                      </w:rPr>
                    </w:pPr>
                    <w:r>
                      <w:rPr>
                        <w:bCs/>
                        <w:sz w:val="20"/>
                      </w:rPr>
                      <w:t>Skiepijimo procedūros.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4.12.4.</w:t>
                    </w:r>
                  </w:p>
                </w:tc>
                <w:tc>
                  <w:tcPr>
                    <w:tcW w:w="7762" w:type="dxa"/>
                    <w:tcBorders>
                      <w:top w:val="nil"/>
                      <w:left w:val="single" w:sz="4" w:space="0" w:color="auto"/>
                      <w:bottom w:val="nil"/>
                    </w:tcBorders>
                    <w:shd w:val="clear" w:color="auto" w:fill="auto"/>
                  </w:tcPr>
                  <w:p>
                    <w:pPr>
                      <w:rPr>
                        <w:bCs/>
                        <w:sz w:val="20"/>
                      </w:rPr>
                    </w:pPr>
                    <w:r>
                      <w:rPr>
                        <w:bCs/>
                        <w:sz w:val="20"/>
                      </w:rPr>
                      <w:t>Kraujo paėmimas: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4.12.4.1.</w:t>
                    </w:r>
                  </w:p>
                </w:tc>
                <w:tc>
                  <w:tcPr>
                    <w:tcW w:w="7762" w:type="dxa"/>
                    <w:tcBorders>
                      <w:top w:val="nil"/>
                      <w:left w:val="single" w:sz="4" w:space="0" w:color="auto"/>
                      <w:bottom w:val="nil"/>
                    </w:tcBorders>
                    <w:shd w:val="clear" w:color="auto" w:fill="auto"/>
                  </w:tcPr>
                  <w:p>
                    <w:pPr>
                      <w:rPr>
                        <w:bCs/>
                        <w:sz w:val="20"/>
                      </w:rPr>
                    </w:pPr>
                    <w:r>
                      <w:rPr>
                        <w:bCs/>
                        <w:sz w:val="20"/>
                      </w:rPr>
                      <w:t>biocheminiams tyrimams;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4.12.4.2.</w:t>
                    </w:r>
                  </w:p>
                </w:tc>
                <w:tc>
                  <w:tcPr>
                    <w:tcW w:w="7762" w:type="dxa"/>
                    <w:tcBorders>
                      <w:top w:val="nil"/>
                      <w:left w:val="single" w:sz="4" w:space="0" w:color="auto"/>
                      <w:bottom w:val="nil"/>
                    </w:tcBorders>
                    <w:shd w:val="clear" w:color="auto" w:fill="auto"/>
                  </w:tcPr>
                  <w:p>
                    <w:pPr>
                      <w:rPr>
                        <w:bCs/>
                        <w:sz w:val="20"/>
                      </w:rPr>
                    </w:pPr>
                    <w:r>
                      <w:rPr>
                        <w:bCs/>
                        <w:sz w:val="20"/>
                      </w:rPr>
                      <w:t>kraujo grupei nustatyti;</w:t>
                    </w:r>
                  </w:p>
                </w:tc>
              </w:tr>
              <w:tr>
                <w:tblPrEx>
                  <w:tblBorders>
                    <w:insideH w:val="none" w:sz="0" w:space="0" w:color="auto"/>
                    <w:insideV w:val="none" w:sz="0" w:space="0" w:color="auto"/>
                  </w:tblBorders>
                </w:tblPrEx>
                <w:trPr>
                  <w:trHeight w:val="216"/>
                </w:trPr>
                <w:tc>
                  <w:tcPr>
                    <w:tcW w:w="1308" w:type="dxa"/>
                    <w:tcBorders>
                      <w:right w:val="single" w:sz="4" w:space="0" w:color="auto"/>
                    </w:tcBorders>
                    <w:shd w:val="clear" w:color="auto" w:fill="auto"/>
                  </w:tcPr>
                  <w:p>
                    <w:pPr>
                      <w:rPr>
                        <w:bCs/>
                        <w:sz w:val="20"/>
                      </w:rPr>
                    </w:pPr>
                    <w:r>
                      <w:rPr>
                        <w:bCs/>
                        <w:sz w:val="20"/>
                      </w:rPr>
                      <w:t>4.12.4.3.</w:t>
                    </w:r>
                  </w:p>
                </w:tc>
                <w:tc>
                  <w:tcPr>
                    <w:tcW w:w="7762" w:type="dxa"/>
                    <w:tcBorders>
                      <w:top w:val="nil"/>
                      <w:left w:val="single" w:sz="4" w:space="0" w:color="auto"/>
                      <w:bottom w:val="single" w:sz="4" w:space="0" w:color="auto"/>
                    </w:tcBorders>
                    <w:shd w:val="clear" w:color="auto" w:fill="auto"/>
                  </w:tcPr>
                  <w:p>
                    <w:pPr>
                      <w:rPr>
                        <w:rFonts w:ascii="TimesLT" w:hAnsi="TimesLT"/>
                        <w:bCs/>
                        <w:sz w:val="20"/>
                      </w:rPr>
                    </w:pPr>
                    <w:r>
                      <w:rPr>
                        <w:rFonts w:ascii="TimesLT" w:hAnsi="TimesLT"/>
                        <w:bCs/>
                        <w:sz w:val="20"/>
                      </w:rPr>
                      <w:t>genetiniams tyrimams.</w:t>
                    </w:r>
                  </w:p>
                </w:tc>
              </w:tr>
            </w:tbl>
            <w:p>
              <w:pPr>
                <w:widowControl w:val="0"/>
                <w:suppressAutoHyphens/>
                <w:ind w:firstLine="567"/>
                <w:jc w:val="both"/>
                <w:rPr>
                  <w:color w:val="000000"/>
                </w:rPr>
              </w:pPr>
            </w:p>
          </w:sdtContent>
        </w:sdt>
        <w:sdt>
          <w:sdtPr>
            <w:alias w:val="skyrius"/>
            <w:tag w:val="part_78a2bf2665504a518a455938e84666a1"/>
            <w:lock w:val="sdtLocked"/>
            <w:richText/>
          </w:sdtPr>
          <w:sdtContent>
            <w:p>
              <w:pPr>
                <w:keepLines/>
                <w:widowControl w:val="0"/>
                <w:suppressAutoHyphens/>
                <w:jc w:val="center"/>
                <w:rPr>
                  <w:b/>
                  <w:bCs/>
                  <w:caps/>
                  <w:color w:val="000000"/>
                </w:rPr>
              </w:pPr>
              <w:sdt>
                <w:sdtPr>
                  <w:alias w:val="Numeris"/>
                  <w:tag w:val="nr_78a2bf2665504a518a455938e84666a1"/>
                  <w:lock w:val="sdtLocked"/>
                  <w:richText/>
                </w:sdtPr>
                <w:sdtContent>
                  <w:r>
                    <w:rPr>
                      <w:b/>
                      <w:bCs/>
                      <w:caps/>
                      <w:color w:val="000000"/>
                    </w:rPr>
                    <w:t>V</w:t>
                  </w:r>
                </w:sdtContent>
              </w:sdt>
              <w:r>
                <w:rPr>
                  <w:b/>
                  <w:bCs/>
                  <w:caps/>
                  <w:color w:val="000000"/>
                </w:rPr>
                <w:t xml:space="preserve">. </w:t>
              </w:r>
              <w:sdt>
                <w:sdtPr>
                  <w:alias w:val="Pavadinimas"/>
                  <w:tag w:val="title_78a2bf2665504a518a455938e84666a1"/>
                  <w:lock w:val="sdtLocked"/>
                  <w:richText/>
                </w:sdtPr>
                <w:sdtContent>
                  <w:r>
                    <w:rPr>
                      <w:b/>
                      <w:bCs/>
                      <w:caps/>
                      <w:color w:val="000000"/>
                    </w:rPr>
                    <w:t>MEDICINOS PAGALBOS TEIKIMAS SPORTO RENGINIŲ, ĮSKAITANT MOKOMĄSIAS TRENIRUOČIŲ STOVYKLAS, METU</w:t>
                  </w:r>
                </w:sdtContent>
              </w:sdt>
            </w:p>
            <w:p>
              <w:pPr>
                <w:widowControl w:val="0"/>
                <w:suppressAutoHyphens/>
                <w:ind w:firstLine="567"/>
                <w:jc w:val="both"/>
                <w:rPr>
                  <w:color w:val="000000"/>
                </w:rPr>
              </w:pPr>
            </w:p>
            <w:sdt>
              <w:sdtPr>
                <w:alias w:val="5 pr. 5.1 p."/>
                <w:tag w:val="part_bf0d5e6c4f6a4363af456d4f81d86b4d"/>
                <w:lock w:val="sdtLocked"/>
                <w:richText/>
              </w:sdtPr>
              <w:sdtContent>
                <w:p>
                  <w:pPr>
                    <w:widowControl w:val="0"/>
                    <w:suppressAutoHyphens/>
                    <w:ind w:firstLine="567"/>
                    <w:jc w:val="both"/>
                    <w:rPr>
                      <w:color w:val="000000"/>
                    </w:rPr>
                  </w:pPr>
                  <w:sdt>
                    <w:sdtPr>
                      <w:alias w:val="Numeris"/>
                      <w:tag w:val="nr_bf0d5e6c4f6a4363af456d4f81d86b4d"/>
                      <w:lock w:val="sdtLocked"/>
                      <w:richText/>
                    </w:sdtPr>
                    <w:sdtContent>
                      <w:r>
                        <w:rPr>
                          <w:color w:val="000000"/>
                        </w:rPr>
                        <w:t>5.1</w:t>
                      </w:r>
                    </w:sdtContent>
                  </w:sdt>
                  <w:r>
                    <w:rPr>
                      <w:color w:val="000000"/>
                    </w:rPr>
                    <w:t>. Sportininkas, dalyvaujantis sporto renginiuose (sporto varžybose arba treniruočių stovyklose), privalo būti pasitikrinęs sveikatą ir turėti gydytojo leidimą (forma Nr. 068/a), pasirašytą sporto medicinos gydytojo, o kur nėra – pirminės sveikatos priežiūros įstaigos profilaktinius sveikatos tikrinimus atliekančio šeimos medicinos paslaugas teikiančio gydytojo, patvirtintą asmens sveikatos priežiūros įstaigos spaudu.</w:t>
                  </w:r>
                </w:p>
              </w:sdtContent>
            </w:sdt>
            <w:sdt>
              <w:sdtPr>
                <w:alias w:val="5 pr. 5.2 p."/>
                <w:tag w:val="part_5038a3c6d1324dc7af592ffe02ad3a2a"/>
                <w:lock w:val="sdtLocked"/>
                <w:richText/>
              </w:sdtPr>
              <w:sdtContent>
                <w:p>
                  <w:pPr>
                    <w:widowControl w:val="0"/>
                    <w:suppressAutoHyphens/>
                    <w:ind w:firstLine="567"/>
                    <w:jc w:val="both"/>
                    <w:rPr>
                      <w:color w:val="000000"/>
                    </w:rPr>
                  </w:pPr>
                  <w:sdt>
                    <w:sdtPr>
                      <w:alias w:val="Numeris"/>
                      <w:tag w:val="nr_5038a3c6d1324dc7af592ffe02ad3a2a"/>
                      <w:lock w:val="sdtLocked"/>
                      <w:richText/>
                    </w:sdtPr>
                    <w:sdtContent>
                      <w:r>
                        <w:rPr>
                          <w:color w:val="000000"/>
                        </w:rPr>
                        <w:t>5.2</w:t>
                      </w:r>
                    </w:sdtContent>
                  </w:sdt>
                  <w:r>
                    <w:rPr>
                      <w:color w:val="000000"/>
                    </w:rPr>
                    <w:t>. Sporto renginių organizatoriai (vyriausiasis teisėjas, vyriausiasis treneris, stovyklos vadovas) atsakingi, kad visos sporto renginiuose dalyvaujančios komandos ar atskiri sportininkai turėtų teisingai įformintas sporto varžybų paraiškas arba gydytojo išduotus leidimus (forma Nr. 068/a).</w:t>
                  </w:r>
                </w:p>
              </w:sdtContent>
            </w:sdt>
            <w:sdt>
              <w:sdtPr>
                <w:alias w:val="5 pr. 5.3 p."/>
                <w:tag w:val="part_82778d9321414b7b8c139401a29ac851"/>
                <w:lock w:val="sdtLocked"/>
                <w:richText/>
              </w:sdtPr>
              <w:sdtContent>
                <w:p>
                  <w:pPr>
                    <w:widowControl w:val="0"/>
                    <w:suppressAutoHyphens/>
                    <w:ind w:firstLine="567"/>
                    <w:jc w:val="both"/>
                    <w:rPr>
                      <w:color w:val="000000"/>
                    </w:rPr>
                  </w:pPr>
                  <w:sdt>
                    <w:sdtPr>
                      <w:alias w:val="Numeris"/>
                      <w:tag w:val="nr_82778d9321414b7b8c139401a29ac851"/>
                      <w:lock w:val="sdtLocked"/>
                      <w:richText/>
                    </w:sdtPr>
                    <w:sdtContent>
                      <w:r>
                        <w:rPr>
                          <w:color w:val="000000"/>
                        </w:rPr>
                        <w:t>5.3</w:t>
                      </w:r>
                    </w:sdtContent>
                  </w:sdt>
                  <w:r>
                    <w:rPr>
                      <w:color w:val="000000"/>
                    </w:rPr>
                    <w:t>. Sporto varžybose dalyvaujančių asmenų grupės leidimas dalyvauti sporto renginyje gali būti įformintas patvirtinta sporto varžybų paraiška. Paraiškoje privalo būti nurodyta jos įforminimo data. Paraišką pasirašo ir už teisingą jos įforminimą atsako sporto medicinos gydytojas, o kur nėra – pirminės sveikatos priežiūros įstaigos profilaktinius sveikatos tikrinimus atliekantis šeimos medicinos paslaugas teikiantis gydytojas. Paraiška patvirtinama asmens sveikatos priežiūros įstaigos spaudu. Paraiška galioja ne ilgiau kaip 6 mėnesius.</w:t>
                  </w:r>
                </w:p>
              </w:sdtContent>
            </w:sdt>
            <w:sdt>
              <w:sdtPr>
                <w:alias w:val="5 pr. 5.4 p."/>
                <w:tag w:val="part_97ed670279e74658b3e33b43196d66eb"/>
                <w:lock w:val="sdtLocked"/>
                <w:richText/>
              </w:sdtPr>
              <w:sdtContent>
                <w:p>
                  <w:pPr>
                    <w:widowControl w:val="0"/>
                    <w:suppressAutoHyphens/>
                    <w:ind w:firstLine="567"/>
                    <w:jc w:val="both"/>
                    <w:rPr>
                      <w:color w:val="000000"/>
                    </w:rPr>
                  </w:pPr>
                  <w:sdt>
                    <w:sdtPr>
                      <w:alias w:val="Numeris"/>
                      <w:tag w:val="nr_97ed670279e74658b3e33b43196d66eb"/>
                      <w:lock w:val="sdtLocked"/>
                      <w:richText/>
                    </w:sdtPr>
                    <w:sdtContent>
                      <w:r>
                        <w:rPr>
                          <w:color w:val="000000"/>
                        </w:rPr>
                        <w:t>5.4</w:t>
                      </w:r>
                    </w:sdtContent>
                  </w:sdt>
                  <w:r>
                    <w:rPr>
                      <w:color w:val="000000"/>
                    </w:rPr>
                    <w:t>. Sporto renginių organizatoriai sporto renginių metu privalo:</w:t>
                  </w:r>
                </w:p>
                <w:sdt>
                  <w:sdtPr>
                    <w:alias w:val="5 pr. 5.4.1 p."/>
                    <w:tag w:val="part_6db25add32c34f10b31122ccaada9c2b"/>
                    <w:lock w:val="sdtLocked"/>
                    <w:richText/>
                  </w:sdtPr>
                  <w:sdtContent>
                    <w:p>
                      <w:pPr>
                        <w:widowControl w:val="0"/>
                        <w:suppressAutoHyphens/>
                        <w:ind w:firstLine="567"/>
                        <w:jc w:val="both"/>
                        <w:rPr>
                          <w:color w:val="000000"/>
                        </w:rPr>
                      </w:pPr>
                      <w:sdt>
                        <w:sdtPr>
                          <w:alias w:val="Numeris"/>
                          <w:tag w:val="nr_6db25add32c34f10b31122ccaada9c2b"/>
                          <w:lock w:val="sdtLocked"/>
                          <w:richText/>
                        </w:sdtPr>
                        <w:sdtContent>
                          <w:r>
                            <w:rPr>
                              <w:color w:val="000000"/>
                            </w:rPr>
                            <w:t>5.4.1</w:t>
                          </w:r>
                        </w:sdtContent>
                      </w:sdt>
                      <w:r>
                        <w:rPr>
                          <w:color w:val="000000"/>
                        </w:rPr>
                        <w:t>. užtikrinti reikiamą medicinos personalo skaičių, atsižvelgdami į sporto šaką, varžybų arba treniruočių stovyklos lygį ir dalyvių skaičių;</w:t>
                      </w:r>
                    </w:p>
                  </w:sdtContent>
                </w:sdt>
                <w:sdt>
                  <w:sdtPr>
                    <w:alias w:val="5 pr. 5.4.2 p."/>
                    <w:tag w:val="part_ba237b23359e405daacaff5284969a84"/>
                    <w:lock w:val="sdtLocked"/>
                    <w:richText/>
                  </w:sdtPr>
                  <w:sdtContent>
                    <w:p>
                      <w:pPr>
                        <w:widowControl w:val="0"/>
                        <w:suppressAutoHyphens/>
                        <w:ind w:firstLine="567"/>
                        <w:jc w:val="both"/>
                        <w:rPr>
                          <w:color w:val="000000"/>
                        </w:rPr>
                      </w:pPr>
                      <w:sdt>
                        <w:sdtPr>
                          <w:alias w:val="Numeris"/>
                          <w:tag w:val="nr_ba237b23359e405daacaff5284969a84"/>
                          <w:lock w:val="sdtLocked"/>
                          <w:richText/>
                        </w:sdtPr>
                        <w:sdtContent>
                          <w:r>
                            <w:rPr>
                              <w:color w:val="000000"/>
                            </w:rPr>
                            <w:t>5.4.2</w:t>
                          </w:r>
                        </w:sdtContent>
                      </w:sdt>
                      <w:r>
                        <w:rPr>
                          <w:color w:val="000000"/>
                        </w:rPr>
                        <w:t>. ne vėliau kaip prieš 14 dienų prieš sporto varžybų pradžią pateikti paraišką asmens sveikatos priežiūros įstaigai dėl medicinos personalo ar medicinos pagalbos automobilio, nurodydami varžybų vietą, laiką, vyriausiąjį teisėją ar atsakingą už varžybų organizavimą sporto darbuotoją, bei numatyti lėšų, reikalingų medikamentams įsigyti ir medicinos personalui už paslaugas apmokėti, kiekį;</w:t>
                      </w:r>
                    </w:p>
                  </w:sdtContent>
                </w:sdt>
                <w:sdt>
                  <w:sdtPr>
                    <w:alias w:val="5 pr. 5.4.3 p."/>
                    <w:tag w:val="part_4dd4f03fa2ae41b0bd787d4a39cb2bb8"/>
                    <w:lock w:val="sdtLocked"/>
                    <w:richText/>
                  </w:sdtPr>
                  <w:sdtContent>
                    <w:p>
                      <w:pPr>
                        <w:widowControl w:val="0"/>
                        <w:suppressAutoHyphens/>
                        <w:ind w:firstLine="567"/>
                        <w:jc w:val="both"/>
                        <w:rPr>
                          <w:color w:val="000000"/>
                        </w:rPr>
                      </w:pPr>
                      <w:sdt>
                        <w:sdtPr>
                          <w:alias w:val="Numeris"/>
                          <w:tag w:val="nr_4dd4f03fa2ae41b0bd787d4a39cb2bb8"/>
                          <w:lock w:val="sdtLocked"/>
                          <w:richText/>
                        </w:sdtPr>
                        <w:sdtContent>
                          <w:r>
                            <w:rPr>
                              <w:color w:val="000000"/>
                            </w:rPr>
                            <w:t>5.4.3</w:t>
                          </w:r>
                        </w:sdtContent>
                      </w:sdt>
                      <w:r>
                        <w:rPr>
                          <w:color w:val="000000"/>
                        </w:rPr>
                        <w:t>. sudaryti medicinos personalui tinkamas darbo sąlygas;</w:t>
                      </w:r>
                    </w:p>
                  </w:sdtContent>
                </w:sdt>
                <w:sdt>
                  <w:sdtPr>
                    <w:alias w:val="5 pr. 5.4.4 p."/>
                    <w:tag w:val="part_d34997ee9ba84163a66c291a83859638"/>
                    <w:lock w:val="sdtLocked"/>
                    <w:richText/>
                  </w:sdtPr>
                  <w:sdtContent>
                    <w:p>
                      <w:pPr>
                        <w:widowControl w:val="0"/>
                        <w:suppressAutoHyphens/>
                        <w:ind w:firstLine="567"/>
                        <w:jc w:val="both"/>
                        <w:rPr>
                          <w:color w:val="000000"/>
                          <w:spacing w:val="-2"/>
                        </w:rPr>
                      </w:pPr>
                      <w:sdt>
                        <w:sdtPr>
                          <w:alias w:val="Numeris"/>
                          <w:tag w:val="nr_d34997ee9ba84163a66c291a83859638"/>
                          <w:lock w:val="sdtLocked"/>
                          <w:richText/>
                        </w:sdtPr>
                        <w:sdtContent>
                          <w:r>
                            <w:rPr>
                              <w:color w:val="000000"/>
                              <w:spacing w:val="-2"/>
                            </w:rPr>
                            <w:t>5.4.4</w:t>
                          </w:r>
                        </w:sdtContent>
                      </w:sdt>
                      <w:r>
                        <w:rPr>
                          <w:color w:val="000000"/>
                          <w:spacing w:val="-2"/>
                        </w:rPr>
                        <w:t>. užtikrinti sužeisto, susirgusio sportininko, sporto renginio organizatorių ir žiūrovų transportavimą į gydymo įstaigą;</w:t>
                      </w:r>
                    </w:p>
                  </w:sdtContent>
                </w:sdt>
                <w:sdt>
                  <w:sdtPr>
                    <w:alias w:val="5 pr. 5.4.5 p."/>
                    <w:tag w:val="part_2d9c57ea409d437da2cf3cbba20f94ac"/>
                    <w:lock w:val="sdtLocked"/>
                    <w:richText/>
                  </w:sdtPr>
                  <w:sdtContent>
                    <w:p>
                      <w:pPr>
                        <w:widowControl w:val="0"/>
                        <w:suppressAutoHyphens/>
                        <w:ind w:firstLine="567"/>
                        <w:jc w:val="both"/>
                        <w:rPr>
                          <w:color w:val="000000"/>
                        </w:rPr>
                      </w:pPr>
                      <w:sdt>
                        <w:sdtPr>
                          <w:alias w:val="Numeris"/>
                          <w:tag w:val="nr_2d9c57ea409d437da2cf3cbba20f94ac"/>
                          <w:lock w:val="sdtLocked"/>
                          <w:richText/>
                        </w:sdtPr>
                        <w:sdtContent>
                          <w:r>
                            <w:rPr>
                              <w:color w:val="000000"/>
                            </w:rPr>
                            <w:t>5.4.5</w:t>
                          </w:r>
                        </w:sdtContent>
                      </w:sdt>
                      <w:r>
                        <w:rPr>
                          <w:color w:val="000000"/>
                        </w:rPr>
                        <w:t>. laiku atsiskaityti už suteiktas medicinos paslaugas sporto varžybų metu;</w:t>
                      </w:r>
                    </w:p>
                  </w:sdtContent>
                </w:sdt>
                <w:sdt>
                  <w:sdtPr>
                    <w:alias w:val="5 pr. 5.4.6 p."/>
                    <w:tag w:val="part_6f7e9fec47894b8ab9de696b5775c474"/>
                    <w:lock w:val="sdtLocked"/>
                    <w:richText/>
                  </w:sdtPr>
                  <w:sdtContent>
                    <w:p>
                      <w:pPr>
                        <w:widowControl w:val="0"/>
                        <w:suppressAutoHyphens/>
                        <w:ind w:firstLine="567"/>
                        <w:jc w:val="both"/>
                        <w:rPr>
                          <w:color w:val="000000"/>
                          <w:spacing w:val="-2"/>
                        </w:rPr>
                      </w:pPr>
                      <w:sdt>
                        <w:sdtPr>
                          <w:alias w:val="Numeris"/>
                          <w:tag w:val="nr_6f7e9fec47894b8ab9de696b5775c474"/>
                          <w:lock w:val="sdtLocked"/>
                          <w:richText/>
                        </w:sdtPr>
                        <w:sdtContent>
                          <w:r>
                            <w:rPr>
                              <w:color w:val="000000"/>
                              <w:spacing w:val="-2"/>
                            </w:rPr>
                            <w:t>5.4.6</w:t>
                          </w:r>
                        </w:sdtContent>
                      </w:sdt>
                      <w:r>
                        <w:rPr>
                          <w:color w:val="000000"/>
                          <w:spacing w:val="-2"/>
                        </w:rPr>
                        <w:t>. apmokėti įstaigai už sunaudotą tvarsliavą, įtvarus, medikamentus sporto varžybų metu, teikiant medicinos pagalbą.</w:t>
                      </w:r>
                    </w:p>
                  </w:sdtContent>
                </w:sdt>
              </w:sdtContent>
            </w:sdt>
            <w:sdt>
              <w:sdtPr>
                <w:alias w:val="5 pr. 5.5 p."/>
                <w:tag w:val="part_a26e03a627c64256a577a53e23f21174"/>
                <w:lock w:val="sdtLocked"/>
                <w:richText/>
              </w:sdtPr>
              <w:sdtContent>
                <w:p>
                  <w:pPr>
                    <w:widowControl w:val="0"/>
                    <w:suppressAutoHyphens/>
                    <w:ind w:firstLine="567"/>
                    <w:jc w:val="both"/>
                    <w:rPr>
                      <w:color w:val="000000"/>
                    </w:rPr>
                  </w:pPr>
                  <w:sdt>
                    <w:sdtPr>
                      <w:alias w:val="Numeris"/>
                      <w:tag w:val="nr_a26e03a627c64256a577a53e23f21174"/>
                      <w:lock w:val="sdtLocked"/>
                      <w:richText/>
                    </w:sdtPr>
                    <w:sdtContent>
                      <w:r>
                        <w:rPr>
                          <w:color w:val="000000"/>
                        </w:rPr>
                        <w:t>5.5</w:t>
                      </w:r>
                    </w:sdtContent>
                  </w:sdt>
                  <w:r>
                    <w:rPr>
                      <w:color w:val="000000"/>
                    </w:rPr>
                    <w:t>. Sporto renginius aptarnaujantis medicinos personalas privalo:</w:t>
                  </w:r>
                </w:p>
                <w:sdt>
                  <w:sdtPr>
                    <w:alias w:val="5 pr. 5.5.1 p."/>
                    <w:tag w:val="part_c8ceef2e9d824545987237f6fb9c383c"/>
                    <w:lock w:val="sdtLocked"/>
                    <w:richText/>
                  </w:sdtPr>
                  <w:sdtContent>
                    <w:p>
                      <w:pPr>
                        <w:widowControl w:val="0"/>
                        <w:suppressAutoHyphens/>
                        <w:ind w:firstLine="567"/>
                        <w:jc w:val="both"/>
                        <w:rPr>
                          <w:color w:val="000000"/>
                        </w:rPr>
                      </w:pPr>
                      <w:sdt>
                        <w:sdtPr>
                          <w:alias w:val="Numeris"/>
                          <w:tag w:val="nr_c8ceef2e9d824545987237f6fb9c383c"/>
                          <w:lock w:val="sdtLocked"/>
                          <w:richText/>
                        </w:sdtPr>
                        <w:sdtContent>
                          <w:r>
                            <w:rPr>
                              <w:color w:val="000000"/>
                            </w:rPr>
                            <w:t>5.5.1</w:t>
                          </w:r>
                        </w:sdtContent>
                      </w:sdt>
                      <w:r>
                        <w:rPr>
                          <w:color w:val="000000"/>
                        </w:rPr>
                        <w:t>. turėti pirmosios medicinos pagalbos medikamentus, tvarsliavą, įtvarus;</w:t>
                      </w:r>
                    </w:p>
                  </w:sdtContent>
                </w:sdt>
                <w:sdt>
                  <w:sdtPr>
                    <w:alias w:val="5 pr. 5.5.2 p."/>
                    <w:tag w:val="part_52c3120509e442f592886b224b1ba340"/>
                    <w:lock w:val="sdtLocked"/>
                    <w:richText/>
                  </w:sdtPr>
                  <w:sdtContent>
                    <w:p>
                      <w:pPr>
                        <w:widowControl w:val="0"/>
                        <w:suppressAutoHyphens/>
                        <w:ind w:firstLine="567"/>
                        <w:jc w:val="both"/>
                        <w:rPr>
                          <w:color w:val="000000"/>
                        </w:rPr>
                      </w:pPr>
                      <w:sdt>
                        <w:sdtPr>
                          <w:alias w:val="Numeris"/>
                          <w:tag w:val="nr_52c3120509e442f592886b224b1ba340"/>
                          <w:lock w:val="sdtLocked"/>
                          <w:richText/>
                        </w:sdtPr>
                        <w:sdtContent>
                          <w:r>
                            <w:rPr>
                              <w:color w:val="000000"/>
                            </w:rPr>
                            <w:t>5.5.2</w:t>
                          </w:r>
                        </w:sdtContent>
                      </w:sdt>
                      <w:r>
                        <w:rPr>
                          <w:color w:val="000000"/>
                        </w:rPr>
                        <w:t>. turėti aiškius skiriamuosius ženklus;</w:t>
                      </w:r>
                    </w:p>
                  </w:sdtContent>
                </w:sdt>
                <w:sdt>
                  <w:sdtPr>
                    <w:alias w:val="5 pr. 5.5.3 p."/>
                    <w:tag w:val="part_9884f1278be24316b77bbd965e2a5f6e"/>
                    <w:lock w:val="sdtLocked"/>
                    <w:richText/>
                  </w:sdtPr>
                  <w:sdtContent>
                    <w:p>
                      <w:pPr>
                        <w:widowControl w:val="0"/>
                        <w:suppressAutoHyphens/>
                        <w:ind w:firstLine="567"/>
                        <w:jc w:val="both"/>
                        <w:rPr>
                          <w:color w:val="000000"/>
                        </w:rPr>
                      </w:pPr>
                      <w:sdt>
                        <w:sdtPr>
                          <w:alias w:val="Numeris"/>
                          <w:tag w:val="nr_9884f1278be24316b77bbd965e2a5f6e"/>
                          <w:lock w:val="sdtLocked"/>
                          <w:richText/>
                        </w:sdtPr>
                        <w:sdtContent>
                          <w:r>
                            <w:rPr>
                              <w:color w:val="000000"/>
                            </w:rPr>
                            <w:t>5.5.3</w:t>
                          </w:r>
                        </w:sdtContent>
                      </w:sdt>
                      <w:r>
                        <w:rPr>
                          <w:color w:val="000000"/>
                        </w:rPr>
                        <w:t>. kvalifikuotai teikti neatidėliotiną medicinos pagalbą sporto varžybų metu;</w:t>
                      </w:r>
                    </w:p>
                  </w:sdtContent>
                </w:sdt>
                <w:sdt>
                  <w:sdtPr>
                    <w:alias w:val="5 pr. 5.5.4 p."/>
                    <w:tag w:val="part_9d052d96171a4523b90cc461ef3a4dec"/>
                    <w:lock w:val="sdtLocked"/>
                    <w:richText/>
                  </w:sdtPr>
                  <w:sdtContent>
                    <w:p>
                      <w:pPr>
                        <w:widowControl w:val="0"/>
                        <w:suppressAutoHyphens/>
                        <w:ind w:firstLine="567"/>
                        <w:jc w:val="both"/>
                        <w:rPr>
                          <w:color w:val="000000"/>
                        </w:rPr>
                      </w:pPr>
                      <w:sdt>
                        <w:sdtPr>
                          <w:alias w:val="Numeris"/>
                          <w:tag w:val="nr_9d052d96171a4523b90cc461ef3a4dec"/>
                          <w:lock w:val="sdtLocked"/>
                          <w:richText/>
                        </w:sdtPr>
                        <w:sdtContent>
                          <w:r>
                            <w:rPr>
                              <w:color w:val="000000"/>
                            </w:rPr>
                            <w:t>5.5.4</w:t>
                          </w:r>
                        </w:sdtContent>
                      </w:sdt>
                      <w:r>
                        <w:rPr>
                          <w:color w:val="000000"/>
                        </w:rPr>
                        <w:t>. registruoti sporto renginių metu įvykusias traumas bei susirgimus ir informuoti apie tai sporto renginių organizatorius, laiku pateikti informaciją (forma Nr. 062/a) medicinos personalą siuntusios asmens sveikatos priežiūros įstaigos vadovui ar atsakingam asmeniui;</w:t>
                      </w:r>
                    </w:p>
                  </w:sdtContent>
                </w:sdt>
                <w:sdt>
                  <w:sdtPr>
                    <w:alias w:val="5 pr. 5.5.5 p."/>
                    <w:tag w:val="part_8a1300d68761443f80d06a4c1fb3e792"/>
                    <w:lock w:val="sdtLocked"/>
                    <w:richText/>
                  </w:sdtPr>
                  <w:sdtContent>
                    <w:p>
                      <w:pPr>
                        <w:widowControl w:val="0"/>
                        <w:suppressAutoHyphens/>
                        <w:ind w:firstLine="567"/>
                        <w:jc w:val="both"/>
                        <w:rPr>
                          <w:color w:val="000000"/>
                        </w:rPr>
                      </w:pPr>
                      <w:sdt>
                        <w:sdtPr>
                          <w:alias w:val="Numeris"/>
                          <w:tag w:val="nr_8a1300d68761443f80d06a4c1fb3e792"/>
                          <w:lock w:val="sdtLocked"/>
                          <w:richText/>
                        </w:sdtPr>
                        <w:sdtContent>
                          <w:r>
                            <w:rPr>
                              <w:color w:val="000000"/>
                            </w:rPr>
                            <w:t>5.5.5</w:t>
                          </w:r>
                        </w:sdtContent>
                      </w:sdt>
                      <w:r>
                        <w:rPr>
                          <w:color w:val="000000"/>
                        </w:rPr>
                        <w:t>. apie sunkias sportines traumas (kaulų lūžimai, sąnarių išnirimai, raumenų ir sausgyslių nutrūkimai, galvos ir stuburo smegenų pažeidimas, vidaus organų pakenkimai), mirties atvejus sporto renginių metu pranešti (forma Nr. 062-1) Kūno kultūros ir sporto departamentui.</w:t>
                      </w:r>
                    </w:p>
                  </w:sdtContent>
                </w:sdt>
              </w:sdtContent>
            </w:sdt>
            <w:sdt>
              <w:sdtPr>
                <w:alias w:val="5 pr. 5.6 p."/>
                <w:tag w:val="part_b5063ee6b72b4417bd24978488055897"/>
                <w:lock w:val="sdtLocked"/>
                <w:richText/>
              </w:sdtPr>
              <w:sdtContent>
                <w:p>
                  <w:pPr>
                    <w:widowControl w:val="0"/>
                    <w:suppressAutoHyphens/>
                    <w:ind w:firstLine="567"/>
                    <w:jc w:val="both"/>
                    <w:rPr>
                      <w:color w:val="000000"/>
                    </w:rPr>
                  </w:pPr>
                  <w:sdt>
                    <w:sdtPr>
                      <w:alias w:val="Numeris"/>
                      <w:tag w:val="nr_b5063ee6b72b4417bd24978488055897"/>
                      <w:lock w:val="sdtLocked"/>
                      <w:richText/>
                    </w:sdtPr>
                    <w:sdtContent>
                      <w:r>
                        <w:rPr>
                          <w:color w:val="000000"/>
                        </w:rPr>
                        <w:t>5.6</w:t>
                      </w:r>
                    </w:sdtContent>
                  </w:sdt>
                  <w:r>
                    <w:rPr>
                      <w:color w:val="000000"/>
                    </w:rPr>
                    <w:t>. Sporto bazių, kuriose vyksta sporto renginiai, administracija visiškai atsako už jos patalpų, aikščių įrengimą ir inventoriaus kokybę bei saugumą sportuojančių asmenų ir žiūrovų sveikatai.</w:t>
                  </w:r>
                </w:p>
              </w:sdtContent>
            </w:sdt>
            <w:sdt>
              <w:sdtPr>
                <w:alias w:val="5 pr. 5.7 p."/>
                <w:tag w:val="part_3c05797def444c6b9ff5a10dd0e19950"/>
                <w:lock w:val="sdtLocked"/>
                <w:richText/>
              </w:sdtPr>
              <w:sdtContent>
                <w:p>
                  <w:pPr>
                    <w:widowControl w:val="0"/>
                    <w:suppressAutoHyphens/>
                    <w:ind w:firstLine="567"/>
                    <w:jc w:val="both"/>
                    <w:rPr>
                      <w:color w:val="000000"/>
                    </w:rPr>
                  </w:pPr>
                  <w:sdt>
                    <w:sdtPr>
                      <w:alias w:val="Numeris"/>
                      <w:tag w:val="nr_3c05797def444c6b9ff5a10dd0e19950"/>
                      <w:lock w:val="sdtLocked"/>
                      <w:richText/>
                    </w:sdtPr>
                    <w:sdtContent>
                      <w:r>
                        <w:rPr>
                          <w:color w:val="000000"/>
                        </w:rPr>
                        <w:t>5.7</w:t>
                      </w:r>
                    </w:sdtContent>
                  </w:sdt>
                  <w:r>
                    <w:rPr>
                      <w:color w:val="000000"/>
                    </w:rPr>
                    <w:t>. Jei medicinos personalo darbuotojas yra sporto bazės darbuotojas, jis privalo turėti pirmosios medicinos pagalbos medikamentus, tvarsliavą, įtvarus bei teikti neatidėliotiną medicinos pagalbą pagal savo kompetenciją.</w:t>
                  </w:r>
                </w:p>
              </w:sdtContent>
            </w:sdt>
            <w:sdt>
              <w:sdtPr>
                <w:alias w:val="5 pr. 5.8 p."/>
                <w:tag w:val="part_395f82fcf2e549cfb0604d0044543a7f"/>
                <w:lock w:val="sdtLocked"/>
                <w:richText/>
              </w:sdtPr>
              <w:sdtContent>
                <w:p>
                  <w:pPr>
                    <w:widowControl w:val="0"/>
                    <w:suppressAutoHyphens/>
                    <w:ind w:firstLine="567"/>
                    <w:jc w:val="both"/>
                    <w:rPr>
                      <w:color w:val="000000"/>
                      <w:spacing w:val="-2"/>
                    </w:rPr>
                  </w:pPr>
                  <w:sdt>
                    <w:sdtPr>
                      <w:alias w:val="Numeris"/>
                      <w:tag w:val="nr_395f82fcf2e549cfb0604d0044543a7f"/>
                      <w:lock w:val="sdtLocked"/>
                      <w:richText/>
                    </w:sdtPr>
                    <w:sdtContent>
                      <w:r>
                        <w:rPr>
                          <w:color w:val="000000"/>
                          <w:spacing w:val="-2"/>
                        </w:rPr>
                        <w:t>5.8</w:t>
                      </w:r>
                    </w:sdtContent>
                  </w:sdt>
                  <w:r>
                    <w:rPr>
                      <w:color w:val="000000"/>
                      <w:spacing w:val="-2"/>
                    </w:rPr>
                    <w:t>. Sporto bazės budėtojas (ne medicinos darbuotojas) privalo turėti pirmosios pagalbos priemonių vaistinėlę, neštuvus.</w:t>
                  </w:r>
                </w:p>
              </w:sdtContent>
            </w:sdt>
            <w:sdt>
              <w:sdtPr>
                <w:alias w:val="5 pr. 5.9 p."/>
                <w:tag w:val="part_d649c601636c451bad0f44e208fc1ec7"/>
                <w:lock w:val="sdtLocked"/>
                <w:richText/>
              </w:sdtPr>
              <w:sdtContent>
                <w:p>
                  <w:pPr>
                    <w:widowControl w:val="0"/>
                    <w:suppressAutoHyphens/>
                    <w:ind w:firstLine="567"/>
                    <w:jc w:val="both"/>
                    <w:rPr>
                      <w:color w:val="000000"/>
                    </w:rPr>
                  </w:pPr>
                  <w:sdt>
                    <w:sdtPr>
                      <w:alias w:val="Numeris"/>
                      <w:tag w:val="nr_d649c601636c451bad0f44e208fc1ec7"/>
                      <w:lock w:val="sdtLocked"/>
                      <w:richText/>
                    </w:sdtPr>
                    <w:sdtContent>
                      <w:r>
                        <w:rPr>
                          <w:color w:val="000000"/>
                        </w:rPr>
                        <w:t>5.9</w:t>
                      </w:r>
                    </w:sdtContent>
                  </w:sdt>
                  <w:r>
                    <w:rPr>
                      <w:color w:val="000000"/>
                    </w:rPr>
                    <w:t>. Pagal kiekvienos sporto šakos ar atskiros jos rungties sveikatos pažeidimo rizikos laipsnį skiriamas reikalingas medicinos personalas. Sporto šakos pagal pažeidimo lygį skirstomos į aukštos rizikos, vidutinės ir žemos rizikos:</w:t>
                  </w:r>
                </w:p>
                <w:sdt>
                  <w:sdtPr>
                    <w:alias w:val="5 pr. 5.9.1 p."/>
                    <w:tag w:val="part_33fcec917a034b4a8adf80c0aba9328e"/>
                    <w:lock w:val="sdtLocked"/>
                    <w:richText/>
                  </w:sdtPr>
                  <w:sdtContent>
                    <w:p>
                      <w:pPr>
                        <w:widowControl w:val="0"/>
                        <w:suppressAutoHyphens/>
                        <w:ind w:firstLine="567"/>
                        <w:jc w:val="both"/>
                        <w:rPr>
                          <w:color w:val="000000"/>
                        </w:rPr>
                      </w:pPr>
                      <w:sdt>
                        <w:sdtPr>
                          <w:alias w:val="Numeris"/>
                          <w:tag w:val="nr_33fcec917a034b4a8adf80c0aba9328e"/>
                          <w:lock w:val="sdtLocked"/>
                          <w:richText/>
                        </w:sdtPr>
                        <w:sdtContent>
                          <w:r>
                            <w:rPr>
                              <w:color w:val="000000"/>
                            </w:rPr>
                            <w:t>5.9.1</w:t>
                          </w:r>
                        </w:sdtContent>
                      </w:sdt>
                      <w:r>
                        <w:rPr>
                          <w:color w:val="000000"/>
                        </w:rPr>
                        <w:t>. Aukštos rizikos sporto šakos:</w:t>
                      </w:r>
                    </w:p>
                    <w:p>
                      <w:pPr>
                        <w:widowControl w:val="0"/>
                        <w:suppressAutoHyphens/>
                        <w:ind w:firstLine="567"/>
                        <w:jc w:val="both"/>
                        <w:rPr>
                          <w:color w:val="000000"/>
                        </w:rPr>
                      </w:pPr>
                      <w:r>
                        <w:rPr>
                          <w:color w:val="000000"/>
                        </w:rPr>
                        <w:t>Lengvoji atletika (maratonas, 30 km ir 50 km ėjimas, šuoliai su kartimi), boksas, šuoliai į vandenį, dviračių sportas, žirgų sportas (trikovė), fechtavimas, žolės riedulys, sportinė gimnastika, rankinis, ledo ritulys, dziudo, šiuolaikinė penkiakovė (jojimas), čiuožimas (dailusis, greitasis ir trumpasis), kalnų slidinėjimas (slalomas, šuoliai nuo tramplyno ir su snieglente), futbolas, regbis, karatė, taikvando, triatlonas, vandensvydis, sunkioji atletika, imtynės.</w:t>
                      </w:r>
                    </w:p>
                    <w:p>
                      <w:pPr>
                        <w:widowControl w:val="0"/>
                        <w:suppressAutoHyphens/>
                        <w:ind w:firstLine="567"/>
                        <w:jc w:val="both"/>
                        <w:rPr>
                          <w:color w:val="000000"/>
                        </w:rPr>
                      </w:pPr>
                      <w:r>
                        <w:rPr>
                          <w:color w:val="000000"/>
                        </w:rPr>
                        <w:t>Šių sporto varžybų medicininiam aptarnavimui rekomenduojamas minimalus medicinos personalo skaičius – 1 gydytojas, greitosios pagalbos automobilis su medicinos personalo brigada.</w:t>
                      </w:r>
                    </w:p>
                  </w:sdtContent>
                </w:sdt>
                <w:sdt>
                  <w:sdtPr>
                    <w:alias w:val="5 pr. 5.9.2 p."/>
                    <w:tag w:val="part_916854d8e0fb421d997646c3e063e560"/>
                    <w:lock w:val="sdtLocked"/>
                    <w:richText/>
                  </w:sdtPr>
                  <w:sdtContent>
                    <w:p>
                      <w:pPr>
                        <w:widowControl w:val="0"/>
                        <w:suppressAutoHyphens/>
                        <w:ind w:firstLine="567"/>
                        <w:jc w:val="both"/>
                        <w:rPr>
                          <w:color w:val="000000"/>
                        </w:rPr>
                      </w:pPr>
                      <w:sdt>
                        <w:sdtPr>
                          <w:alias w:val="Numeris"/>
                          <w:tag w:val="nr_916854d8e0fb421d997646c3e063e560"/>
                          <w:lock w:val="sdtLocked"/>
                          <w:richText/>
                        </w:sdtPr>
                        <w:sdtContent>
                          <w:r>
                            <w:rPr>
                              <w:color w:val="000000"/>
                            </w:rPr>
                            <w:t>5.9.2</w:t>
                          </w:r>
                        </w:sdtContent>
                      </w:sdt>
                      <w:r>
                        <w:rPr>
                          <w:color w:val="000000"/>
                        </w:rPr>
                        <w:t>. Vidutinės rizikos sporto šakos:</w:t>
                      </w:r>
                    </w:p>
                    <w:p>
                      <w:pPr>
                        <w:widowControl w:val="0"/>
                        <w:suppressAutoHyphens/>
                        <w:ind w:firstLine="567"/>
                        <w:jc w:val="both"/>
                        <w:rPr>
                          <w:color w:val="000000"/>
                        </w:rPr>
                      </w:pPr>
                      <w:r>
                        <w:rPr>
                          <w:color w:val="000000"/>
                        </w:rPr>
                        <w:t>Lengvoji atletika (išskyrus maratoną, 30 km, 50 km ėjimą, šuolį su kartimi), badmintonas, krepšinis, biatlonas, bobslėjus, rogučių sportas, slidinėjimas, baidarių-kanojų akademinis irklavimas, tenisas, buriavimas, tinklinis.</w:t>
                      </w:r>
                    </w:p>
                    <w:p>
                      <w:pPr>
                        <w:widowControl w:val="0"/>
                        <w:suppressAutoHyphens/>
                        <w:ind w:firstLine="567"/>
                        <w:jc w:val="both"/>
                        <w:rPr>
                          <w:color w:val="000000"/>
                        </w:rPr>
                      </w:pPr>
                      <w:r>
                        <w:rPr>
                          <w:color w:val="000000"/>
                        </w:rPr>
                        <w:t>Šių sporto varžybų medicininiam aptarnavimui rekomenduojama minimalus medicinos personalo skaičius – 1 gydytojas, 1 slaugytoja ir galimybė iškviesti greitosios pagalbos automobilį bei jam privažiuoti. Papildomai, atsižvelgiant į dalyvių skaičių, gali būti slaugytojų, kineziterapeutų, turinčių tvarstymo įgūdžių, masažuotojų.</w:t>
                      </w:r>
                    </w:p>
                  </w:sdtContent>
                </w:sdt>
                <w:sdt>
                  <w:sdtPr>
                    <w:alias w:val="5 pr. 5.9.3 p."/>
                    <w:tag w:val="part_49d26e4cf43a4c7492580fa09e97ba8a"/>
                    <w:lock w:val="sdtLocked"/>
                    <w:richText/>
                  </w:sdtPr>
                  <w:sdtContent>
                    <w:p>
                      <w:pPr>
                        <w:widowControl w:val="0"/>
                        <w:suppressAutoHyphens/>
                        <w:ind w:firstLine="567"/>
                        <w:jc w:val="both"/>
                        <w:rPr>
                          <w:color w:val="000000"/>
                        </w:rPr>
                      </w:pPr>
                      <w:sdt>
                        <w:sdtPr>
                          <w:alias w:val="Numeris"/>
                          <w:tag w:val="nr_49d26e4cf43a4c7492580fa09e97ba8a"/>
                          <w:lock w:val="sdtLocked"/>
                          <w:richText/>
                        </w:sdtPr>
                        <w:sdtContent>
                          <w:r>
                            <w:rPr>
                              <w:color w:val="000000"/>
                            </w:rPr>
                            <w:t>5.9.3</w:t>
                          </w:r>
                        </w:sdtContent>
                      </w:sdt>
                      <w:r>
                        <w:rPr>
                          <w:color w:val="000000"/>
                        </w:rPr>
                        <w:t>. Žemos rizikos sporto šakos:</w:t>
                      </w:r>
                    </w:p>
                    <w:p>
                      <w:pPr>
                        <w:widowControl w:val="0"/>
                        <w:suppressAutoHyphens/>
                        <w:ind w:firstLine="567"/>
                        <w:jc w:val="both"/>
                        <w:rPr>
                          <w:color w:val="000000"/>
                        </w:rPr>
                      </w:pPr>
                      <w:r>
                        <w:rPr>
                          <w:color w:val="000000"/>
                        </w:rPr>
                        <w:t>Nekontaktinės sporto šakos, tokios kaip šaudymas iš lanko, šaudymas, sinchroninis plaukimas, plaukimas, stalo tenisas. Šių sporto varžybų medicininiam aptarnavimui rekomenduojamas minimalus medicinos personalo skaičius – 1 slaugytoja ir galimybė iškviesti greitosios pagalbos automobilį. Papildomai gali būti kineziterapeutų, masažuotojų.</w:t>
                      </w:r>
                    </w:p>
                  </w:sdtContent>
                </w:sdt>
                <w:sdt>
                  <w:sdtPr>
                    <w:alias w:val="5 pr. 5.9.4 p."/>
                    <w:tag w:val="part_663374bfc32a49f6883e1cb55afbecc7"/>
                    <w:lock w:val="sdtLocked"/>
                    <w:richText/>
                  </w:sdtPr>
                  <w:sdtContent>
                    <w:p>
                      <w:pPr>
                        <w:widowControl w:val="0"/>
                        <w:suppressAutoHyphens/>
                        <w:ind w:firstLine="567"/>
                        <w:jc w:val="both"/>
                        <w:rPr>
                          <w:color w:val="000000"/>
                        </w:rPr>
                      </w:pPr>
                      <w:sdt>
                        <w:sdtPr>
                          <w:alias w:val="Numeris"/>
                          <w:tag w:val="nr_663374bfc32a49f6883e1cb55afbecc7"/>
                          <w:lock w:val="sdtLocked"/>
                          <w:richText/>
                        </w:sdtPr>
                        <w:sdtContent>
                          <w:r>
                            <w:rPr>
                              <w:color w:val="000000"/>
                            </w:rPr>
                            <w:t>5.9.4</w:t>
                          </w:r>
                        </w:sdtContent>
                      </w:sdt>
                      <w:r>
                        <w:rPr>
                          <w:color w:val="000000"/>
                        </w:rPr>
                        <w:t>. Kitos sporto šakos:</w:t>
                      </w:r>
                    </w:p>
                    <w:p>
                      <w:pPr>
                        <w:widowControl w:val="0"/>
                        <w:suppressAutoHyphens/>
                        <w:ind w:firstLine="567"/>
                        <w:jc w:val="both"/>
                        <w:rPr>
                          <w:color w:val="000000"/>
                        </w:rPr>
                      </w:pPr>
                      <w:r>
                        <w:rPr>
                          <w:color w:val="000000"/>
                        </w:rPr>
                        <w:t>Varžybos negali vykti be medicinos personalo. Kiekvieno renginio metu privalo būti asmuo, sugebantis teikti neatidėliotiną medicinos pagalbą.</w:t>
                      </w:r>
                    </w:p>
                  </w:sdtContent>
                </w:sdt>
              </w:sdtContent>
            </w:sdt>
            <w:sdt>
              <w:sdtPr>
                <w:alias w:val="5 pr. 5.10 p."/>
                <w:tag w:val="part_e3ffaf5ce6fa4074b7128b25da425da1"/>
                <w:lock w:val="sdtLocked"/>
                <w:richText/>
              </w:sdtPr>
              <w:sdtContent>
                <w:p>
                  <w:pPr>
                    <w:widowControl w:val="0"/>
                    <w:suppressAutoHyphens/>
                    <w:ind w:firstLine="567"/>
                    <w:jc w:val="both"/>
                    <w:rPr>
                      <w:color w:val="000000"/>
                    </w:rPr>
                  </w:pPr>
                  <w:sdt>
                    <w:sdtPr>
                      <w:alias w:val="Numeris"/>
                      <w:tag w:val="nr_e3ffaf5ce6fa4074b7128b25da425da1"/>
                      <w:lock w:val="sdtLocked"/>
                      <w:richText/>
                    </w:sdtPr>
                    <w:sdtContent>
                      <w:r>
                        <w:rPr>
                          <w:color w:val="000000"/>
                        </w:rPr>
                        <w:t>5.10</w:t>
                      </w:r>
                    </w:sdtContent>
                  </w:sdt>
                  <w:r>
                    <w:rPr>
                      <w:color w:val="000000"/>
                    </w:rPr>
                    <w:t>. Vykdant didelių sporto renginių medicininį aptarnavimą, būtina atsižvelgti į dalyvių bei galimų žiūrovų skaičių. Rekomenduotina prieš tokias varžybas medicinos atstovams kartu su varžybų organizatoriais aptarti medicinos personalo skaičių ir galimos medicinos pagalbos teikimo mastą. Labai svarbu užtikrinti neatidėliotinos medicinos pagalbos suteikimą bei evakuaciją tokių renginių atidarymų bei uždarymų metu, ypač jei jie vyksta šaltu ar karštu oru. Tam turi būti organizuotos padėjėjų iš sporto darbuotojų brigados.</w:t>
                  </w:r>
                </w:p>
              </w:sdtContent>
            </w:sdt>
            <w:sdt>
              <w:sdtPr>
                <w:alias w:val="5 pr. 5.11 p."/>
                <w:tag w:val="part_de10a88f08674aff90545f28d0ef20fc"/>
                <w:lock w:val="sdtLocked"/>
                <w:richText/>
              </w:sdtPr>
              <w:sdtContent>
                <w:p>
                  <w:pPr>
                    <w:widowControl w:val="0"/>
                    <w:suppressAutoHyphens/>
                    <w:ind w:firstLine="567"/>
                    <w:jc w:val="both"/>
                    <w:rPr>
                      <w:color w:val="000000"/>
                    </w:rPr>
                  </w:pPr>
                  <w:sdt>
                    <w:sdtPr>
                      <w:alias w:val="Numeris"/>
                      <w:tag w:val="nr_de10a88f08674aff90545f28d0ef20fc"/>
                      <w:lock w:val="sdtLocked"/>
                      <w:richText/>
                    </w:sdtPr>
                    <w:sdtContent>
                      <w:r>
                        <w:rPr>
                          <w:color w:val="000000"/>
                        </w:rPr>
                        <w:t>5.11</w:t>
                      </w:r>
                    </w:sdtContent>
                  </w:sdt>
                  <w:r>
                    <w:rPr>
                      <w:color w:val="000000"/>
                    </w:rPr>
                    <w:t>. Techninių sporto šakų varžybose (automobilių, motokroso, kartingų, laivų, aviacijos sporto, parašiutų sporto ir kt.), privalo būti greitosios medicinos pagalbos automobiliai su medikų brigadomis. Jų skaičius ir išdėstymas varžybų metų priklauso nuo sporto šakos.</w:t>
                  </w:r>
                </w:p>
              </w:sdtContent>
            </w:sdt>
            <w:sdt>
              <w:sdtPr>
                <w:alias w:val="5 pr. 5.12 p."/>
                <w:tag w:val="part_641de453e23e47a78b33cf8d3e5ae9df"/>
                <w:lock w:val="sdtLocked"/>
                <w:richText/>
              </w:sdtPr>
              <w:sdtContent>
                <w:p>
                  <w:pPr>
                    <w:keepNext/>
                    <w:keepLines/>
                    <w:pageBreakBefore/>
                    <w:widowControl w:val="0"/>
                    <w:suppressAutoHyphens/>
                    <w:ind w:firstLine="567"/>
                    <w:jc w:val="both"/>
                    <w:rPr>
                      <w:color w:val="000000"/>
                    </w:rPr>
                  </w:pPr>
                  <w:sdt>
                    <w:sdtPr>
                      <w:alias w:val="Numeris"/>
                      <w:tag w:val="nr_641de453e23e47a78b33cf8d3e5ae9df"/>
                      <w:lock w:val="sdtLocked"/>
                      <w:richText/>
                    </w:sdtPr>
                    <w:sdtContent>
                      <w:r>
                        <w:rPr>
                          <w:color w:val="000000"/>
                        </w:rPr>
                        <w:t>5.12</w:t>
                      </w:r>
                    </w:sdtContent>
                  </w:sdt>
                  <w:r>
                    <w:rPr>
                      <w:color w:val="000000"/>
                    </w:rPr>
                    <w:t xml:space="preserve">. Medicinos personalas, teikiantis medicinos pagalbą sporto varžybų metu, privalo turėti pirmosios medicinos pagalbos priemones, vadovaujantis Lietuvos Respublikos sveikatos apsaugos ministro 2003 m. liepos 11 d. įsakyme Nr. V-450 „Dėl sveikatos priežiūros ir farmacijos specialistų kompetencijos teikiant pirmąją medicinos pagalbą, pirmosios medicinos pagalbos vaistinėlių ir pirmosios pagalbos rinkinių“ (Žin., 2003, Nr. </w:t>
                  </w:r>
                  <w:hyperlink r:id="rId83" w:tgtFrame="_blank" w:history="1">
                    <w:r>
                      <w:rPr>
                        <w:color w:val="0000FF" w:themeColor="hyperlink"/>
                        <w:u w:val="single"/>
                      </w:rPr>
                      <w:t>79-3605</w:t>
                    </w:r>
                  </w:hyperlink>
                  <w:r>
                    <w:rPr>
                      <w:color w:val="000000"/>
                    </w:rPr>
                    <w:t>) pateiktais pirmosios medicinos pagalbos vaistinėlių ir pirmosios pagalbos rinkinių aprašymais.</w:t>
                  </w:r>
                </w:p>
                <w:p/>
              </w:sdtContent>
            </w:sdt>
          </w:sdtContent>
        </w:sdt>
        <w:sdt>
          <w:sdtPr>
            <w:alias w:val="pabaiga"/>
            <w:tag w:val="part_ca9e1f2e6aef4f108650d0708e1a4791"/>
            <w:lock w:val="sdtLocked"/>
            <w:richText/>
          </w:sdtPr>
          <w:sdtContent>
            <w:p>
              <w:pPr>
                <w:jc w:val="center"/>
                <w:rPr>
                  <w:color w:val="00000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050BC6517F">
            <w:r w:rsidRPr="00532B9F">
              <w:rPr>
                <w:rFonts w:ascii="Times New Roman" w:eastAsia="MS Mincho" w:hAnsi="Times New Roman"/>
                <w:sz w:val="20"/>
                <w:i/>
                <w:iCs/>
                <w:color w:val="0000FF" w:themeColor="hyperlink"/>
                <w:u w:val="single"/>
              </w:rPr>
              <w:t>V-184</w:t>
            </w:r>
          </w:fldSimple>
          <w:r>
            <w:rPr>
              <w:rFonts w:ascii="Times New Roman" w:eastAsia="MS Mincho" w:hAnsi="Times New Roman"/>
              <w:sz w:val="20"/>
              <w:i/>
              <w:iCs/>
            </w:rPr>
            <w:t>,
2011-02-28,
Žin., 2011, Nr.
29-1370 (2011-03-08), i. k. 1112250ISAK000V-184            </w:t>
          </w:r>
        </w:p>
        <w:p/>
      </w:sdtContent>
    </w:sdt>
    <w:sdt>
      <w:sdtPr>
        <w:alias w:val="pr."/>
        <w:tag w:val="part_e8a2e8c2ee184b4ca735be8a810442a7"/>
        <w:lock w:val="sdtLocked"/>
        <w:richText/>
      </w:sdtPr>
      <w:sdtContent>
        <w:p>
          <w:pPr>
            <w:ind w:firstLine="5387"/>
          </w:pPr>
        </w:p>
        <w:p>
          <w:pPr>
            <w:sectPr>
              <w:pgSz w:w="11907" w:h="16840" w:code="9"/>
              <w:pgMar w:top="1134" w:right="1134" w:bottom="1134" w:left="1701" w:header="567" w:footer="567" w:gutter="0"/>
              <w:cols w:space="1296"/>
              <w:titlePg/>
              <w:docGrid w:linePitch="360"/>
            </w:sectPr>
          </w:pPr>
        </w:p>
        <w:p>
          <w:pPr>
            <w:ind w:left="3894"/>
            <w:rPr>
              <w:bCs/>
              <w:caps/>
              <w:szCs w:val="24"/>
            </w:rPr>
          </w:pPr>
          <w:r>
            <w:rPr>
              <w:bCs/>
              <w:caps/>
              <w:szCs w:val="24"/>
            </w:rPr>
            <w:t>PATVIRTINTA</w:t>
          </w:r>
        </w:p>
        <w:p>
          <w:pPr>
            <w:ind w:left="3894"/>
            <w:rPr>
              <w:bCs/>
              <w:szCs w:val="24"/>
            </w:rPr>
          </w:pPr>
          <w:r>
            <w:rPr>
              <w:bCs/>
              <w:szCs w:val="24"/>
            </w:rPr>
            <w:t xml:space="preserve">Lietuvos Respublikos </w:t>
          </w:r>
        </w:p>
        <w:p>
          <w:pPr>
            <w:ind w:left="3894"/>
            <w:rPr>
              <w:bCs/>
              <w:szCs w:val="24"/>
            </w:rPr>
          </w:pPr>
          <w:r>
            <w:rPr>
              <w:bCs/>
              <w:szCs w:val="24"/>
            </w:rPr>
            <w:t>sveikatos</w:t>
          </w:r>
          <w:r>
            <w:rPr>
              <w:bCs/>
              <w:caps/>
              <w:szCs w:val="24"/>
            </w:rPr>
            <w:t xml:space="preserve"> </w:t>
          </w:r>
          <w:r>
            <w:rPr>
              <w:bCs/>
              <w:szCs w:val="24"/>
            </w:rPr>
            <w:t>apsaugos ministro</w:t>
          </w:r>
        </w:p>
        <w:p>
          <w:pPr>
            <w:ind w:left="3894"/>
            <w:rPr>
              <w:bCs/>
              <w:szCs w:val="24"/>
            </w:rPr>
          </w:pPr>
          <w:r>
            <w:rPr>
              <w:bCs/>
              <w:szCs w:val="24"/>
            </w:rPr>
            <w:t>2000 m. gegužės 31 d. įsakymu Nr. 301</w:t>
          </w:r>
        </w:p>
        <w:p>
          <w:pPr>
            <w:ind w:left="3894"/>
            <w:rPr>
              <w:bCs/>
              <w:szCs w:val="24"/>
            </w:rPr>
          </w:pPr>
          <w:r>
            <w:rPr>
              <w:bCs/>
              <w:szCs w:val="24"/>
            </w:rPr>
            <w:t xml:space="preserve">(Lietuvos Respublikos </w:t>
          </w:r>
        </w:p>
        <w:p>
          <w:pPr>
            <w:ind w:left="3894"/>
            <w:rPr>
              <w:bCs/>
              <w:szCs w:val="24"/>
            </w:rPr>
          </w:pPr>
          <w:r>
            <w:rPr>
              <w:bCs/>
              <w:szCs w:val="24"/>
            </w:rPr>
            <w:t xml:space="preserve">sveikatos apsaugos ministro </w:t>
          </w:r>
        </w:p>
        <w:p>
          <w:pPr>
            <w:ind w:left="3894"/>
            <w:rPr>
              <w:bCs/>
              <w:szCs w:val="24"/>
            </w:rPr>
          </w:pPr>
          <w:r>
            <w:rPr>
              <w:bCs/>
              <w:szCs w:val="24"/>
            </w:rPr>
            <w:t xml:space="preserve">2015 m. rugpjūčio 11 d. įsakymo </w:t>
          </w:r>
        </w:p>
        <w:p>
          <w:pPr>
            <w:ind w:left="3894"/>
            <w:rPr>
              <w:bCs/>
              <w:szCs w:val="24"/>
            </w:rPr>
          </w:pPr>
          <w:r>
            <w:rPr>
              <w:bCs/>
              <w:szCs w:val="24"/>
            </w:rPr>
            <w:t xml:space="preserve">Nr. V-943  redakcija)</w:t>
          </w:r>
        </w:p>
        <w:p>
          <w:pPr>
            <w:ind w:firstLine="4395"/>
            <w:rPr>
              <w:b/>
              <w:bCs/>
              <w:caps/>
              <w:color w:val="FF0000"/>
              <w:szCs w:val="24"/>
            </w:rPr>
          </w:pPr>
        </w:p>
        <w:p>
          <w:pPr>
            <w:jc w:val="center"/>
            <w:rPr>
              <w:rFonts w:ascii="TimesLT" w:hAnsi="TimesLT"/>
              <w:b/>
              <w:bCs/>
              <w:caps/>
              <w:sz w:val="20"/>
              <w:lang w:val="en-US"/>
            </w:rPr>
          </w:pPr>
          <w:sdt>
            <w:sdtPr>
              <w:alias w:val="Pavadinimas"/>
              <w:tag w:val="title_e8a2e8c2ee184b4ca735be8a810442a7"/>
              <w:lock w:val="sdtLocked"/>
              <w:richText/>
            </w:sdtPr>
            <w:sdtContent>
              <w:r>
                <w:rPr>
                  <w:b/>
                  <w:bCs/>
                  <w:caps/>
                  <w:szCs w:val="24"/>
                  <w:lang w:val="en-US"/>
                </w:rPr>
                <w:t>NEINFEKCINIŲ LIGŲ PROFILAKTIKOS IR KONTROLĖS TVARKA</w:t>
              </w:r>
            </w:sdtContent>
          </w:sdt>
        </w:p>
        <w:p>
          <w:pPr>
            <w:ind w:left="1080"/>
            <w:rPr>
              <w:b/>
              <w:bCs/>
              <w:caps/>
              <w:szCs w:val="24"/>
            </w:rPr>
          </w:pPr>
        </w:p>
        <w:sdt>
          <w:sdtPr>
            <w:alias w:val="pr. 1 p."/>
            <w:tag w:val="part_f4fd4f1b74e5432ea05fd0b05d5a3334"/>
            <w:lock w:val="sdtLocked"/>
            <w:richText/>
          </w:sdtPr>
          <w:sdtContent>
            <w:p>
              <w:pPr>
                <w:ind w:firstLine="312"/>
                <w:jc w:val="both"/>
                <w:rPr>
                  <w:szCs w:val="24"/>
                </w:rPr>
              </w:pPr>
              <w:sdt>
                <w:sdtPr>
                  <w:alias w:val="Numeris"/>
                  <w:tag w:val="nr_f4fd4f1b74e5432ea05fd0b05d5a3334"/>
                  <w:lock w:val="sdtLocked"/>
                  <w:richText/>
                </w:sdtPr>
                <w:sdtContent>
                  <w:r>
                    <w:rPr>
                      <w:szCs w:val="24"/>
                    </w:rPr>
                    <w:t>1</w:t>
                  </w:r>
                </w:sdtContent>
              </w:sdt>
              <w:r>
                <w:rPr>
                  <w:szCs w:val="24"/>
                </w:rPr>
                <w:t xml:space="preserve">. Neinfekcinių ligų profilaktikos ir kontrolės tvarka (toliau – Tvarka) nustato įvairaus amžiaus grupių asmenų sveikatos tyrimų, vykdant neinfekcinių ligų profilaktiką ir kontrolę, apimtį ir dažnį. </w:t>
              </w:r>
            </w:p>
          </w:sdtContent>
        </w:sdt>
        <w:sdt>
          <w:sdtPr>
            <w:alias w:val="pr. 2 p."/>
            <w:tag w:val="part_c3dd475fe76c46b99769af8cd74957a1"/>
            <w:lock w:val="sdtLocked"/>
            <w:richText/>
          </w:sdtPr>
          <w:sdtContent>
            <w:p>
              <w:pPr>
                <w:ind w:firstLine="312"/>
                <w:jc w:val="both"/>
                <w:rPr>
                  <w:szCs w:val="24"/>
                </w:rPr>
              </w:pPr>
              <w:sdt>
                <w:sdtPr>
                  <w:alias w:val="Numeris"/>
                  <w:tag w:val="nr_c3dd475fe76c46b99769af8cd74957a1"/>
                  <w:lock w:val="sdtLocked"/>
                  <w:richText/>
                </w:sdtPr>
                <w:sdtContent>
                  <w:r>
                    <w:rPr>
                      <w:szCs w:val="24"/>
                    </w:rPr>
                    <w:t>2</w:t>
                  </w:r>
                </w:sdtContent>
              </w:sdt>
              <w:r>
                <w:rPr>
                  <w:szCs w:val="24"/>
                </w:rPr>
                <w:t>.</w:t>
              </w:r>
              <w:r>
                <w:rPr>
                  <w:b/>
                  <w:bCs/>
                  <w:szCs w:val="24"/>
                </w:rPr>
                <w:t xml:space="preserve"> </w:t>
              </w:r>
              <w:r>
                <w:rPr>
                  <w:szCs w:val="24"/>
                </w:rPr>
                <w:t>Tvarkoje nustatyti tyrimai atliekami atsižvelgiant į asmenų amžiaus grupes.</w:t>
              </w:r>
            </w:p>
          </w:sdtContent>
        </w:sdt>
        <w:sdt>
          <w:sdtPr>
            <w:alias w:val="pr. 3 p."/>
            <w:tag w:val="part_351e11271719482896ddc0794d9f87ea"/>
            <w:lock w:val="sdtLocked"/>
            <w:richText/>
          </w:sdtPr>
          <w:sdtContent>
            <w:p>
              <w:pPr>
                <w:tabs>
                  <w:tab w:val="left" w:pos="426"/>
                  <w:tab w:val="left" w:pos="6050"/>
                </w:tabs>
                <w:ind w:firstLine="312"/>
                <w:jc w:val="both"/>
                <w:rPr>
                  <w:szCs w:val="24"/>
                  <w:lang w:val="en-US"/>
                </w:rPr>
              </w:pPr>
              <w:sdt>
                <w:sdtPr>
                  <w:alias w:val="Numeris"/>
                  <w:tag w:val="nr_351e11271719482896ddc0794d9f87ea"/>
                  <w:lock w:val="sdtLocked"/>
                  <w:richText/>
                </w:sdtPr>
                <w:sdtContent>
                  <w:r>
                    <w:rPr>
                      <w:szCs w:val="24"/>
                    </w:rPr>
                    <w:t>3</w:t>
                  </w:r>
                </w:sdtContent>
              </w:sdt>
              <w:r>
                <w:rPr>
                  <w:szCs w:val="24"/>
                </w:rPr>
                <w:t xml:space="preserve">. </w:t>
              </w:r>
              <w:r>
                <w:rPr>
                  <w:szCs w:val="24"/>
                  <w:lang w:val="en-US"/>
                </w:rPr>
                <w:t>Tvarkos 5.1</w:t>
              </w:r>
              <w:r>
                <w:rPr>
                  <w:rFonts w:ascii="TimesLT" w:hAnsi="TimesLT"/>
                  <w:sz w:val="20"/>
                  <w:lang w:val="en-US"/>
                </w:rPr>
                <w:t>–</w:t>
              </w:r>
              <w:r>
                <w:rPr>
                  <w:szCs w:val="24"/>
                  <w:lang w:val="en-US"/>
                </w:rPr>
                <w:t>5.7, 5.13</w:t>
              </w:r>
              <w:r>
                <w:rPr>
                  <w:rFonts w:ascii="TimesLT" w:hAnsi="TimesLT"/>
                  <w:sz w:val="20"/>
                  <w:lang w:val="en-US"/>
                </w:rPr>
                <w:t>–</w:t>
              </w:r>
              <w:r>
                <w:rPr>
                  <w:szCs w:val="24"/>
                  <w:lang w:val="en-US"/>
                </w:rPr>
                <w:t>5.17 papunčiuose numatytus tyrimus pagal kompetenciją atlieka šeimos gydytojas, o 5.8</w:t>
              </w:r>
              <w:r>
                <w:rPr>
                  <w:rFonts w:ascii="TimesLT" w:hAnsi="TimesLT"/>
                  <w:sz w:val="20"/>
                  <w:lang w:val="en-US"/>
                </w:rPr>
                <w:t>–</w:t>
              </w:r>
              <w:r>
                <w:rPr>
                  <w:szCs w:val="24"/>
                  <w:lang w:val="en-US"/>
                </w:rPr>
                <w:t>5.13 papunkčiuose nurodytus tyrimus atlieka šeimos gydytojas kartu su bendrosios praktikos slaugytoju, bendruomenės slaugytoju ar išplėstinės praktikos slaugytoju (universitetams parengus išplėstinės praktikos slaugytojus).</w:t>
              </w:r>
            </w:p>
          </w:sdtContent>
        </w:sdt>
        <w:sdt>
          <w:sdtPr>
            <w:alias w:val="pr. 4 p."/>
            <w:tag w:val="part_c8a10659270a444b95f50a9838e92a5b"/>
            <w:lock w:val="sdtLocked"/>
            <w:richText/>
          </w:sdtPr>
          <w:sdtContent>
            <w:p>
              <w:pPr>
                <w:tabs>
                  <w:tab w:val="left" w:pos="426"/>
                  <w:tab w:val="left" w:pos="6050"/>
                </w:tabs>
                <w:ind w:firstLine="312"/>
                <w:jc w:val="both"/>
                <w:rPr>
                  <w:szCs w:val="24"/>
                  <w:lang w:val="en-US"/>
                </w:rPr>
              </w:pPr>
              <w:sdt>
                <w:sdtPr>
                  <w:alias w:val="Numeris"/>
                  <w:tag w:val="nr_c8a10659270a444b95f50a9838e92a5b"/>
                  <w:lock w:val="sdtLocked"/>
                  <w:richText/>
                </w:sdtPr>
                <w:sdtContent>
                  <w:r>
                    <w:rPr>
                      <w:szCs w:val="24"/>
                    </w:rPr>
                    <w:t>4</w:t>
                  </w:r>
                </w:sdtContent>
              </w:sdt>
              <w:r>
                <w:rPr>
                  <w:szCs w:val="24"/>
                </w:rPr>
                <w:t>.Tvarkoje vartojamos sąvokos suprantamos taip, kaip apibrėžta įstatymuose.</w:t>
              </w:r>
            </w:p>
          </w:sdtContent>
        </w:sdt>
        <w:sdt>
          <w:sdtPr>
            <w:alias w:val="pr. 5 p."/>
            <w:tag w:val="part_1a3bb14f36c047f4a86f5eabda2870bf"/>
            <w:lock w:val="sdtLocked"/>
            <w:richText/>
          </w:sdtPr>
          <w:sdtContent>
            <w:p>
              <w:pPr>
                <w:ind w:firstLine="312"/>
                <w:jc w:val="both"/>
                <w:rPr>
                  <w:szCs w:val="24"/>
                </w:rPr>
              </w:pPr>
              <w:sdt>
                <w:sdtPr>
                  <w:alias w:val="Numeris"/>
                  <w:tag w:val="nr_1a3bb14f36c047f4a86f5eabda2870bf"/>
                  <w:lock w:val="sdtLocked"/>
                  <w:richText/>
                </w:sdtPr>
                <w:sdtContent>
                  <w:r>
                    <w:rPr>
                      <w:szCs w:val="24"/>
                    </w:rPr>
                    <w:t>5</w:t>
                  </w:r>
                </w:sdtContent>
              </w:sdt>
              <w:r>
                <w:rPr>
                  <w:szCs w:val="24"/>
                </w:rPr>
                <w:t>. Sveikatos tyrimų, vykdant neinfekcinių ligų profilaktiką ir kontrolę, apimtis ir dažnis:</w:t>
              </w:r>
            </w:p>
            <w:p>
              <w:pPr>
                <w:ind w:firstLine="312"/>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2243"/>
                <w:gridCol w:w="1583"/>
                <w:gridCol w:w="1586"/>
                <w:gridCol w:w="1586"/>
                <w:gridCol w:w="1594"/>
              </w:tblGrid>
              <w:tr>
                <w:tc>
                  <w:tcPr>
                    <w:tcW w:w="556" w:type="dxa"/>
                    <w:vMerge w:val="restart"/>
                    <w:shd w:val="clear" w:color="auto" w:fill="auto"/>
                  </w:tcPr>
                  <w:p>
                    <w:pPr>
                      <w:jc w:val="both"/>
                      <w:rPr>
                        <w:szCs w:val="24"/>
                      </w:rPr>
                    </w:pPr>
                    <w:r>
                      <w:rPr>
                        <w:szCs w:val="24"/>
                      </w:rPr>
                      <w:t>Eil.</w:t>
                    </w:r>
                  </w:p>
                  <w:p>
                    <w:pPr>
                      <w:jc w:val="both"/>
                      <w:rPr>
                        <w:szCs w:val="24"/>
                      </w:rPr>
                    </w:pPr>
                    <w:r>
                      <w:rPr>
                        <w:szCs w:val="24"/>
                      </w:rPr>
                      <w:t>Nr.</w:t>
                    </w:r>
                  </w:p>
                </w:tc>
                <w:tc>
                  <w:tcPr>
                    <w:tcW w:w="1710" w:type="dxa"/>
                    <w:vMerge w:val="restart"/>
                    <w:shd w:val="clear" w:color="auto" w:fill="auto"/>
                  </w:tcPr>
                  <w:p>
                    <w:pPr>
                      <w:jc w:val="both"/>
                      <w:rPr>
                        <w:szCs w:val="24"/>
                      </w:rPr>
                    </w:pPr>
                    <w:r>
                      <w:rPr>
                        <w:szCs w:val="24"/>
                      </w:rPr>
                      <w:t>Atliekami</w:t>
                    </w:r>
                  </w:p>
                  <w:p>
                    <w:pPr>
                      <w:jc w:val="both"/>
                      <w:rPr>
                        <w:szCs w:val="24"/>
                      </w:rPr>
                    </w:pPr>
                    <w:r>
                      <w:rPr>
                        <w:szCs w:val="24"/>
                      </w:rPr>
                      <w:t>tyrimai</w:t>
                    </w:r>
                  </w:p>
                </w:tc>
                <w:tc>
                  <w:tcPr>
                    <w:tcW w:w="7588" w:type="dxa"/>
                    <w:gridSpan w:val="4"/>
                    <w:shd w:val="clear" w:color="auto" w:fill="auto"/>
                  </w:tcPr>
                  <w:p>
                    <w:pPr>
                      <w:jc w:val="center"/>
                      <w:rPr>
                        <w:szCs w:val="24"/>
                      </w:rPr>
                    </w:pPr>
                    <w:r>
                      <w:rPr>
                        <w:szCs w:val="24"/>
                      </w:rPr>
                      <w:t>Tyrimų dažnis pagal amžiaus grupes</w:t>
                    </w:r>
                  </w:p>
                </w:tc>
              </w:tr>
              <w:tr>
                <w:tc>
                  <w:tcPr>
                    <w:tcW w:w="556" w:type="dxa"/>
                    <w:vMerge/>
                    <w:shd w:val="clear" w:color="auto" w:fill="auto"/>
                  </w:tcPr>
                  <w:p>
                    <w:pPr>
                      <w:jc w:val="both"/>
                      <w:rPr>
                        <w:szCs w:val="24"/>
                      </w:rPr>
                    </w:pPr>
                  </w:p>
                </w:tc>
                <w:tc>
                  <w:tcPr>
                    <w:tcW w:w="1710" w:type="dxa"/>
                    <w:vMerge/>
                    <w:shd w:val="clear" w:color="auto" w:fill="auto"/>
                  </w:tcPr>
                  <w:p>
                    <w:pPr>
                      <w:jc w:val="both"/>
                      <w:rPr>
                        <w:szCs w:val="24"/>
                      </w:rPr>
                    </w:pPr>
                  </w:p>
                </w:tc>
                <w:tc>
                  <w:tcPr>
                    <w:tcW w:w="1868" w:type="dxa"/>
                    <w:shd w:val="clear" w:color="auto" w:fill="auto"/>
                  </w:tcPr>
                  <w:p>
                    <w:pPr>
                      <w:jc w:val="both"/>
                      <w:rPr>
                        <w:szCs w:val="24"/>
                      </w:rPr>
                    </w:pPr>
                    <w:r>
                      <w:rPr>
                        <w:szCs w:val="24"/>
                      </w:rPr>
                      <w:t>Iki 18 metų</w:t>
                    </w:r>
                  </w:p>
                </w:tc>
                <w:tc>
                  <w:tcPr>
                    <w:tcW w:w="1882" w:type="dxa"/>
                    <w:shd w:val="clear" w:color="auto" w:fill="auto"/>
                  </w:tcPr>
                  <w:p>
                    <w:pPr>
                      <w:jc w:val="both"/>
                      <w:rPr>
                        <w:szCs w:val="24"/>
                      </w:rPr>
                    </w:pPr>
                    <w:r>
                      <w:rPr>
                        <w:szCs w:val="24"/>
                      </w:rPr>
                      <w:t>19</w:t>
                    </w:r>
                    <w:r>
                      <w:rPr>
                        <w:rFonts w:ascii="TimesLT" w:hAnsi="TimesLT"/>
                        <w:sz w:val="20"/>
                        <w:lang w:val="en-US"/>
                      </w:rPr>
                      <w:t>–</w:t>
                    </w:r>
                    <w:r>
                      <w:rPr>
                        <w:szCs w:val="24"/>
                      </w:rPr>
                      <w:t>40 m.</w:t>
                    </w:r>
                  </w:p>
                </w:tc>
                <w:tc>
                  <w:tcPr>
                    <w:tcW w:w="1882" w:type="dxa"/>
                    <w:shd w:val="clear" w:color="auto" w:fill="auto"/>
                  </w:tcPr>
                  <w:p>
                    <w:pPr>
                      <w:jc w:val="both"/>
                      <w:rPr>
                        <w:szCs w:val="24"/>
                      </w:rPr>
                    </w:pPr>
                    <w:r>
                      <w:rPr>
                        <w:szCs w:val="24"/>
                      </w:rPr>
                      <w:t>41</w:t>
                    </w:r>
                    <w:r>
                      <w:rPr>
                        <w:rFonts w:ascii="TimesLT" w:hAnsi="TimesLT"/>
                        <w:sz w:val="20"/>
                        <w:lang w:val="en-US"/>
                      </w:rPr>
                      <w:t>–</w:t>
                    </w:r>
                    <w:r>
                      <w:rPr>
                        <w:szCs w:val="24"/>
                      </w:rPr>
                      <w:t>65 m.</w:t>
                    </w:r>
                  </w:p>
                </w:tc>
                <w:tc>
                  <w:tcPr>
                    <w:tcW w:w="1956" w:type="dxa"/>
                    <w:shd w:val="clear" w:color="auto" w:fill="auto"/>
                  </w:tcPr>
                  <w:p>
                    <w:pPr>
                      <w:jc w:val="both"/>
                      <w:rPr>
                        <w:szCs w:val="24"/>
                      </w:rPr>
                    </w:pPr>
                    <w:r>
                      <w:rPr>
                        <w:szCs w:val="24"/>
                      </w:rPr>
                      <w:t>Nuo 65 metų</w:t>
                    </w:r>
                  </w:p>
                </w:tc>
              </w:tr>
              <w:tr>
                <w:tc>
                  <w:tcPr>
                    <w:tcW w:w="556" w:type="dxa"/>
                    <w:shd w:val="clear" w:color="auto" w:fill="auto"/>
                  </w:tcPr>
                  <w:p>
                    <w:pPr>
                      <w:jc w:val="both"/>
                      <w:rPr>
                        <w:szCs w:val="24"/>
                      </w:rPr>
                    </w:pPr>
                    <w:r>
                      <w:rPr>
                        <w:szCs w:val="24"/>
                      </w:rPr>
                      <w:t>5.1.</w:t>
                    </w:r>
                  </w:p>
                </w:tc>
                <w:tc>
                  <w:tcPr>
                    <w:tcW w:w="1710" w:type="dxa"/>
                    <w:shd w:val="clear" w:color="auto" w:fill="auto"/>
                  </w:tcPr>
                  <w:p>
                    <w:pPr>
                      <w:widowControl w:val="0"/>
                      <w:tabs>
                        <w:tab w:val="num" w:pos="360"/>
                      </w:tabs>
                      <w:rPr>
                        <w:szCs w:val="24"/>
                      </w:rPr>
                    </w:pPr>
                    <w:r>
                      <w:rPr>
                        <w:szCs w:val="24"/>
                      </w:rPr>
                      <w:t>Odos ir matomų</w:t>
                    </w:r>
                  </w:p>
                  <w:p>
                    <w:pPr>
                      <w:rPr>
                        <w:szCs w:val="24"/>
                      </w:rPr>
                    </w:pPr>
                    <w:r>
                      <w:rPr>
                        <w:szCs w:val="24"/>
                        <w:lang w:val="en-US"/>
                      </w:rPr>
                      <w:t>gleivinių apžiūra</w:t>
                    </w:r>
                  </w:p>
                </w:tc>
                <w:tc>
                  <w:tcPr>
                    <w:tcW w:w="1868"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 xml:space="preserve">1 kartą per 2 metus, jei nėra </w:t>
                    </w:r>
                  </w:p>
                  <w:p>
                    <w:pPr>
                      <w:widowControl w:val="0"/>
                      <w:tabs>
                        <w:tab w:val="num" w:pos="360"/>
                      </w:tabs>
                      <w:rPr>
                        <w:szCs w:val="24"/>
                      </w:rPr>
                    </w:pPr>
                    <w:r>
                      <w:rPr>
                        <w:szCs w:val="24"/>
                      </w:rPr>
                      <w:t>rizikos veiksnių, jei yra – 2 kar-</w:t>
                    </w:r>
                  </w:p>
                  <w:p>
                    <w:pPr>
                      <w:rPr>
                        <w:szCs w:val="24"/>
                      </w:rPr>
                    </w:pPr>
                    <w:r>
                      <w:rPr>
                        <w:szCs w:val="24"/>
                        <w:lang w:val="en-US"/>
                      </w:rPr>
                      <w:t>tus per metus</w:t>
                    </w:r>
                  </w:p>
                </w:tc>
                <w:tc>
                  <w:tcPr>
                    <w:tcW w:w="1956" w:type="dxa"/>
                    <w:shd w:val="clear" w:color="auto" w:fill="auto"/>
                  </w:tcPr>
                  <w:p>
                    <w:pPr>
                      <w:widowControl w:val="0"/>
                      <w:tabs>
                        <w:tab w:val="num" w:pos="360"/>
                      </w:tabs>
                      <w:rPr>
                        <w:szCs w:val="24"/>
                      </w:rPr>
                    </w:pPr>
                    <w:r>
                      <w:rPr>
                        <w:szCs w:val="24"/>
                      </w:rPr>
                      <w:t>1 kartą per 2 metus, jei nėra rizikos veiksnių, jei yra – 2 kartus per metus</w:t>
                    </w:r>
                  </w:p>
                </w:tc>
              </w:tr>
              <w:tr>
                <w:tc>
                  <w:tcPr>
                    <w:tcW w:w="556" w:type="dxa"/>
                    <w:shd w:val="clear" w:color="auto" w:fill="auto"/>
                  </w:tcPr>
                  <w:p>
                    <w:pPr>
                      <w:jc w:val="both"/>
                      <w:rPr>
                        <w:szCs w:val="24"/>
                      </w:rPr>
                    </w:pPr>
                    <w:r>
                      <w:rPr>
                        <w:szCs w:val="24"/>
                      </w:rPr>
                      <w:t>5.2.</w:t>
                    </w:r>
                  </w:p>
                </w:tc>
                <w:tc>
                  <w:tcPr>
                    <w:tcW w:w="1710" w:type="dxa"/>
                    <w:shd w:val="clear" w:color="auto" w:fill="auto"/>
                  </w:tcPr>
                  <w:p>
                    <w:pPr>
                      <w:rPr>
                        <w:szCs w:val="24"/>
                      </w:rPr>
                    </w:pPr>
                    <w:r>
                      <w:rPr>
                        <w:szCs w:val="24"/>
                        <w:lang w:val="en-US"/>
                      </w:rPr>
                      <w:t>Burnos apžiūra</w:t>
                    </w:r>
                  </w:p>
                </w:tc>
                <w:tc>
                  <w:tcPr>
                    <w:tcW w:w="1868"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956" w:type="dxa"/>
                    <w:shd w:val="clear" w:color="auto" w:fill="auto"/>
                  </w:tcPr>
                  <w:p>
                    <w:pPr>
                      <w:rPr>
                        <w:szCs w:val="24"/>
                      </w:rPr>
                    </w:pPr>
                    <w:r>
                      <w:rPr>
                        <w:szCs w:val="24"/>
                        <w:lang w:val="en-US"/>
                      </w:rPr>
                      <w:t>1 kartą per metus</w:t>
                    </w:r>
                  </w:p>
                </w:tc>
              </w:tr>
              <w:tr>
                <w:tc>
                  <w:tcPr>
                    <w:tcW w:w="556" w:type="dxa"/>
                    <w:shd w:val="clear" w:color="auto" w:fill="auto"/>
                  </w:tcPr>
                  <w:p>
                    <w:pPr>
                      <w:jc w:val="both"/>
                      <w:rPr>
                        <w:szCs w:val="24"/>
                      </w:rPr>
                    </w:pPr>
                    <w:r>
                      <w:rPr>
                        <w:szCs w:val="24"/>
                      </w:rPr>
                      <w:t>5.3.</w:t>
                    </w:r>
                  </w:p>
                </w:tc>
                <w:tc>
                  <w:tcPr>
                    <w:tcW w:w="1710" w:type="dxa"/>
                    <w:shd w:val="clear" w:color="auto" w:fill="auto"/>
                  </w:tcPr>
                  <w:p>
                    <w:pPr>
                      <w:rPr>
                        <w:szCs w:val="24"/>
                      </w:rPr>
                    </w:pPr>
                    <w:r>
                      <w:rPr>
                        <w:szCs w:val="24"/>
                        <w:lang w:val="en-US"/>
                      </w:rPr>
                      <w:t>Periferinių limfmazgių apčiuopa</w:t>
                    </w:r>
                  </w:p>
                </w:tc>
                <w:tc>
                  <w:tcPr>
                    <w:tcW w:w="1868"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956" w:type="dxa"/>
                    <w:shd w:val="clear" w:color="auto" w:fill="auto"/>
                  </w:tcPr>
                  <w:p>
                    <w:pPr>
                      <w:rPr>
                        <w:szCs w:val="24"/>
                      </w:rPr>
                    </w:pPr>
                    <w:r>
                      <w:rPr>
                        <w:szCs w:val="24"/>
                      </w:rPr>
                      <w:t>Kiekvieno profilaktinio tikrinimo metu</w:t>
                    </w:r>
                  </w:p>
                </w:tc>
              </w:tr>
              <w:tr>
                <w:tc>
                  <w:tcPr>
                    <w:tcW w:w="556" w:type="dxa"/>
                    <w:shd w:val="clear" w:color="auto" w:fill="auto"/>
                  </w:tcPr>
                  <w:p>
                    <w:pPr>
                      <w:jc w:val="both"/>
                      <w:rPr>
                        <w:szCs w:val="24"/>
                      </w:rPr>
                    </w:pPr>
                    <w:r>
                      <w:rPr>
                        <w:szCs w:val="24"/>
                      </w:rPr>
                      <w:t>5.4.</w:t>
                    </w:r>
                  </w:p>
                </w:tc>
                <w:tc>
                  <w:tcPr>
                    <w:tcW w:w="1710" w:type="dxa"/>
                    <w:shd w:val="clear" w:color="auto" w:fill="auto"/>
                  </w:tcPr>
                  <w:p>
                    <w:pPr>
                      <w:rPr>
                        <w:szCs w:val="24"/>
                      </w:rPr>
                    </w:pPr>
                    <w:r>
                      <w:rPr>
                        <w:szCs w:val="24"/>
                      </w:rPr>
                      <w:t>Krūtų apžiūra ir apčiuopa</w:t>
                    </w:r>
                  </w:p>
                  <w:p>
                    <w:pPr>
                      <w:rPr>
                        <w:szCs w:val="24"/>
                      </w:rPr>
                    </w:pPr>
                  </w:p>
                  <w:p>
                    <w:pPr>
                      <w:rPr>
                        <w:szCs w:val="24"/>
                      </w:rPr>
                    </w:pPr>
                  </w:p>
                  <w:p>
                    <w:pPr>
                      <w:rPr>
                        <w:szCs w:val="24"/>
                      </w:rPr>
                    </w:pPr>
                  </w:p>
                  <w:p>
                    <w:pPr>
                      <w:rPr>
                        <w:szCs w:val="24"/>
                      </w:rPr>
                    </w:pPr>
                    <w:r>
                      <w:rPr>
                        <w:szCs w:val="24"/>
                      </w:rPr>
                      <w:t>Mamografija</w:t>
                    </w:r>
                  </w:p>
                </w:tc>
                <w:tc>
                  <w:tcPr>
                    <w:tcW w:w="1868" w:type="dxa"/>
                    <w:shd w:val="clear" w:color="auto" w:fill="auto"/>
                  </w:tcPr>
                  <w:p>
                    <w:pPr>
                      <w:rPr>
                        <w:szCs w:val="24"/>
                      </w:rPr>
                    </w:pPr>
                    <w:r>
                      <w:rPr>
                        <w:szCs w:val="24"/>
                      </w:rPr>
                      <w:t>1 kartą per 2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50</w:t>
                    </w:r>
                    <w:r>
                      <w:rPr>
                        <w:rFonts w:ascii="TimesLT" w:hAnsi="TimesLT"/>
                        <w:sz w:val="20"/>
                        <w:lang w:val="en-US"/>
                      </w:rPr>
                      <w:t>–</w:t>
                    </w:r>
                    <w:r>
                      <w:rPr>
                        <w:szCs w:val="24"/>
                      </w:rPr>
                      <w:t>65 m. 1 kartą per 2 metus</w:t>
                    </w:r>
                  </w:p>
                </w:tc>
                <w:tc>
                  <w:tcPr>
                    <w:tcW w:w="1956"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65</w:t>
                    </w:r>
                    <w:r>
                      <w:rPr>
                        <w:rFonts w:ascii="TimesLT" w:hAnsi="TimesLT"/>
                        <w:sz w:val="20"/>
                        <w:lang w:val="en-US"/>
                      </w:rPr>
                      <w:t>–</w:t>
                    </w:r>
                    <w:r>
                      <w:rPr>
                        <w:szCs w:val="24"/>
                      </w:rPr>
                      <w:t>69 m. 1 kartą per 2 metus</w:t>
                    </w:r>
                  </w:p>
                </w:tc>
              </w:tr>
              <w:tr>
                <w:tc>
                  <w:tcPr>
                    <w:tcW w:w="556" w:type="dxa"/>
                    <w:shd w:val="clear" w:color="auto" w:fill="auto"/>
                  </w:tcPr>
                  <w:p>
                    <w:pPr>
                      <w:jc w:val="both"/>
                      <w:rPr>
                        <w:szCs w:val="24"/>
                      </w:rPr>
                    </w:pPr>
                    <w:r>
                      <w:rPr>
                        <w:szCs w:val="24"/>
                      </w:rPr>
                      <w:t>5.5.</w:t>
                    </w:r>
                  </w:p>
                </w:tc>
                <w:tc>
                  <w:tcPr>
                    <w:tcW w:w="1710" w:type="dxa"/>
                    <w:shd w:val="clear" w:color="auto" w:fill="auto"/>
                  </w:tcPr>
                  <w:p>
                    <w:pPr>
                      <w:rPr>
                        <w:szCs w:val="24"/>
                      </w:rPr>
                    </w:pPr>
                    <w:r>
                      <w:rPr>
                        <w:szCs w:val="24"/>
                      </w:rPr>
                      <w:t>Ginekologinė apžiūra</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Nuo 20 m. 1 kartą per metus, esant indikacijų – profilaktinis diagnostinis citologinis tyrimas</w:t>
                    </w:r>
                  </w:p>
                </w:tc>
                <w:tc>
                  <w:tcPr>
                    <w:tcW w:w="1882" w:type="dxa"/>
                    <w:shd w:val="clear" w:color="auto" w:fill="auto"/>
                  </w:tcPr>
                  <w:p>
                    <w:pPr>
                      <w:rPr>
                        <w:szCs w:val="24"/>
                      </w:rPr>
                    </w:pPr>
                    <w:r>
                      <w:rPr>
                        <w:szCs w:val="24"/>
                      </w:rPr>
                      <w:t>1 kartą per metus, esant indikacijų – diagnostinis citologinis tyrimas</w:t>
                    </w:r>
                  </w:p>
                </w:tc>
                <w:tc>
                  <w:tcPr>
                    <w:tcW w:w="1956" w:type="dxa"/>
                    <w:shd w:val="clear" w:color="auto" w:fill="auto"/>
                  </w:tcPr>
                  <w:p>
                    <w:pPr>
                      <w:rPr>
                        <w:szCs w:val="24"/>
                      </w:rPr>
                    </w:pPr>
                    <w:r>
                      <w:rPr>
                        <w:szCs w:val="24"/>
                      </w:rPr>
                      <w:t>1 kartą per metus, esant indikacijų – diagnostinis citologinis tyrimas</w:t>
                    </w:r>
                  </w:p>
                </w:tc>
              </w:tr>
              <w:tr>
                <w:tc>
                  <w:tcPr>
                    <w:tcW w:w="556" w:type="dxa"/>
                    <w:shd w:val="clear" w:color="auto" w:fill="auto"/>
                  </w:tcPr>
                  <w:p>
                    <w:pPr>
                      <w:jc w:val="both"/>
                      <w:rPr>
                        <w:szCs w:val="24"/>
                      </w:rPr>
                    </w:pPr>
                    <w:r>
                      <w:rPr>
                        <w:szCs w:val="24"/>
                      </w:rPr>
                      <w:t>5.6.</w:t>
                    </w:r>
                  </w:p>
                </w:tc>
                <w:tc>
                  <w:tcPr>
                    <w:tcW w:w="1710" w:type="dxa"/>
                    <w:shd w:val="clear" w:color="auto" w:fill="auto"/>
                  </w:tcPr>
                  <w:p>
                    <w:pPr>
                      <w:rPr>
                        <w:szCs w:val="24"/>
                      </w:rPr>
                    </w:pPr>
                    <w:r>
                      <w:rPr>
                        <w:szCs w:val="24"/>
                      </w:rPr>
                      <w:t>Tiesiosios žarnos ir su ja susijusių organų tyrimas pirštu</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41</w:t>
                    </w:r>
                    <w:r>
                      <w:rPr>
                        <w:rFonts w:ascii="TimesLT" w:hAnsi="TimesLT"/>
                        <w:sz w:val="20"/>
                        <w:lang w:val="en-US"/>
                      </w:rPr>
                      <w:t>–</w:t>
                    </w:r>
                    <w:r>
                      <w:rPr>
                        <w:szCs w:val="24"/>
                      </w:rPr>
                      <w:t>50 m. – 1 kartą per 2 metus, nuo 50 m. – 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5.7.</w:t>
                    </w:r>
                  </w:p>
                </w:tc>
                <w:tc>
                  <w:tcPr>
                    <w:tcW w:w="1710" w:type="dxa"/>
                    <w:shd w:val="clear" w:color="auto" w:fill="auto"/>
                  </w:tcPr>
                  <w:p>
                    <w:pPr>
                      <w:rPr>
                        <w:szCs w:val="24"/>
                      </w:rPr>
                    </w:pPr>
                    <w:r>
                      <w:rPr>
                        <w:szCs w:val="24"/>
                      </w:rPr>
                      <w:t>Plaučių rentgenologinis ištyrimas</w:t>
                    </w:r>
                  </w:p>
                </w:tc>
                <w:tc>
                  <w:tcPr>
                    <w:tcW w:w="1868"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956"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r>
              <w:tr>
                <w:tc>
                  <w:tcPr>
                    <w:tcW w:w="556" w:type="dxa"/>
                    <w:shd w:val="clear" w:color="auto" w:fill="auto"/>
                  </w:tcPr>
                  <w:p>
                    <w:pPr>
                      <w:jc w:val="both"/>
                      <w:rPr>
                        <w:szCs w:val="24"/>
                      </w:rPr>
                    </w:pPr>
                    <w:r>
                      <w:rPr>
                        <w:szCs w:val="24"/>
                      </w:rPr>
                      <w:t>5.8.</w:t>
                    </w:r>
                  </w:p>
                </w:tc>
                <w:tc>
                  <w:tcPr>
                    <w:tcW w:w="1710" w:type="dxa"/>
                    <w:shd w:val="clear" w:color="auto" w:fill="auto"/>
                  </w:tcPr>
                  <w:p>
                    <w:pPr>
                      <w:rPr>
                        <w:szCs w:val="24"/>
                      </w:rPr>
                    </w:pPr>
                    <w:r>
                      <w:rPr>
                        <w:szCs w:val="24"/>
                      </w:rPr>
                      <w:t>Svorio, ūgio matavimas</w:t>
                    </w:r>
                  </w:p>
                </w:tc>
                <w:tc>
                  <w:tcPr>
                    <w:tcW w:w="1868"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956" w:type="dxa"/>
                    <w:shd w:val="clear" w:color="auto" w:fill="auto"/>
                  </w:tcPr>
                  <w:p>
                    <w:pPr>
                      <w:rPr>
                        <w:szCs w:val="24"/>
                      </w:rPr>
                    </w:pPr>
                    <w:r>
                      <w:rPr>
                        <w:szCs w:val="24"/>
                      </w:rPr>
                      <w:t>1 kartą per metus, esant antsvoriui, 2 kartus per metus</w:t>
                    </w:r>
                  </w:p>
                </w:tc>
              </w:tr>
              <w:tr>
                <w:tc>
                  <w:tcPr>
                    <w:tcW w:w="556" w:type="dxa"/>
                    <w:shd w:val="clear" w:color="auto" w:fill="auto"/>
                  </w:tcPr>
                  <w:p>
                    <w:pPr>
                      <w:jc w:val="both"/>
                      <w:rPr>
                        <w:szCs w:val="24"/>
                      </w:rPr>
                    </w:pPr>
                    <w:r>
                      <w:rPr>
                        <w:szCs w:val="24"/>
                      </w:rPr>
                      <w:t>5.9.</w:t>
                    </w:r>
                  </w:p>
                </w:tc>
                <w:tc>
                  <w:tcPr>
                    <w:tcW w:w="1710" w:type="dxa"/>
                    <w:shd w:val="clear" w:color="auto" w:fill="auto"/>
                  </w:tcPr>
                  <w:p>
                    <w:pPr>
                      <w:rPr>
                        <w:szCs w:val="24"/>
                      </w:rPr>
                    </w:pPr>
                    <w:r>
                      <w:rPr>
                        <w:szCs w:val="24"/>
                      </w:rPr>
                      <w:t>Elektrokardiogramos atlikimas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p>
                    <w:pPr>
                      <w:rPr>
                        <w:szCs w:val="24"/>
                      </w:rPr>
                    </w:pPr>
                  </w:p>
                </w:tc>
              </w:tr>
              <w:tr>
                <w:tc>
                  <w:tcPr>
                    <w:tcW w:w="556" w:type="dxa"/>
                    <w:shd w:val="clear" w:color="auto" w:fill="auto"/>
                  </w:tcPr>
                  <w:p>
                    <w:pPr>
                      <w:jc w:val="both"/>
                      <w:rPr>
                        <w:szCs w:val="24"/>
                      </w:rPr>
                    </w:pPr>
                    <w:r>
                      <w:rPr>
                        <w:szCs w:val="24"/>
                      </w:rPr>
                      <w:t>5.10.</w:t>
                    </w:r>
                  </w:p>
                </w:tc>
                <w:tc>
                  <w:tcPr>
                    <w:tcW w:w="1710" w:type="dxa"/>
                    <w:shd w:val="clear" w:color="auto" w:fill="auto"/>
                  </w:tcPr>
                  <w:p>
                    <w:pPr>
                      <w:rPr>
                        <w:szCs w:val="24"/>
                      </w:rPr>
                    </w:pPr>
                    <w:r>
                      <w:rPr>
                        <w:szCs w:val="24"/>
                      </w:rPr>
                      <w:t>Arterinio kraujo spaudimo matavimas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5.11.</w:t>
                    </w:r>
                  </w:p>
                </w:tc>
                <w:tc>
                  <w:tcPr>
                    <w:tcW w:w="1710" w:type="dxa"/>
                    <w:shd w:val="clear" w:color="auto" w:fill="auto"/>
                  </w:tcPr>
                  <w:p>
                    <w:pPr>
                      <w:rPr>
                        <w:szCs w:val="24"/>
                      </w:rPr>
                    </w:pPr>
                    <w:r>
                      <w:rPr>
                        <w:szCs w:val="24"/>
                      </w:rPr>
                      <w:t>Regėjimo aštrumo nustatymas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5.12.</w:t>
                    </w:r>
                  </w:p>
                </w:tc>
                <w:tc>
                  <w:tcPr>
                    <w:tcW w:w="1710" w:type="dxa"/>
                    <w:shd w:val="clear" w:color="auto" w:fill="auto"/>
                  </w:tcPr>
                  <w:p>
                    <w:pPr>
                      <w:rPr>
                        <w:szCs w:val="24"/>
                      </w:rPr>
                    </w:pPr>
                    <w:r>
                      <w:rPr>
                        <w:szCs w:val="24"/>
                      </w:rPr>
                      <w:t>Klausos tikrinimas kalba ir šnabždesiu</w:t>
                    </w:r>
                  </w:p>
                </w:tc>
                <w:tc>
                  <w:tcPr>
                    <w:tcW w:w="1868"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5.13.</w:t>
                    </w:r>
                  </w:p>
                </w:tc>
                <w:tc>
                  <w:tcPr>
                    <w:tcW w:w="1710" w:type="dxa"/>
                    <w:shd w:val="clear" w:color="auto" w:fill="auto"/>
                  </w:tcPr>
                  <w:p>
                    <w:pPr>
                      <w:rPr>
                        <w:szCs w:val="24"/>
                      </w:rPr>
                    </w:pPr>
                    <w:r>
                      <w:rPr>
                        <w:szCs w:val="24"/>
                      </w:rPr>
                      <w:t>Akispūdžio matavimas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5.14.</w:t>
                    </w:r>
                  </w:p>
                </w:tc>
                <w:tc>
                  <w:tcPr>
                    <w:tcW w:w="1710" w:type="dxa"/>
                    <w:shd w:val="clear" w:color="auto" w:fill="auto"/>
                  </w:tcPr>
                  <w:p>
                    <w:pPr>
                      <w:rPr>
                        <w:szCs w:val="24"/>
                      </w:rPr>
                    </w:pPr>
                    <w:r>
                      <w:rPr>
                        <w:szCs w:val="24"/>
                      </w:rPr>
                      <w:t>Bendras kraujo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2  metus</w:t>
                    </w:r>
                  </w:p>
                </w:tc>
              </w:tr>
              <w:tr>
                <w:tc>
                  <w:tcPr>
                    <w:tcW w:w="556" w:type="dxa"/>
                    <w:shd w:val="clear" w:color="auto" w:fill="auto"/>
                  </w:tcPr>
                  <w:p>
                    <w:pPr>
                      <w:jc w:val="both"/>
                      <w:rPr>
                        <w:szCs w:val="24"/>
                      </w:rPr>
                    </w:pPr>
                    <w:r>
                      <w:rPr>
                        <w:szCs w:val="24"/>
                      </w:rPr>
                      <w:t>5.15.</w:t>
                    </w:r>
                  </w:p>
                </w:tc>
                <w:tc>
                  <w:tcPr>
                    <w:tcW w:w="1710" w:type="dxa"/>
                    <w:shd w:val="clear" w:color="auto" w:fill="auto"/>
                  </w:tcPr>
                  <w:p>
                    <w:pPr>
                      <w:rPr>
                        <w:szCs w:val="24"/>
                      </w:rPr>
                    </w:pPr>
                    <w:r>
                      <w:rPr>
                        <w:szCs w:val="24"/>
                      </w:rPr>
                      <w:t>Bendras šlapimo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metus</w:t>
                    </w:r>
                  </w:p>
                </w:tc>
              </w:tr>
              <w:tr>
                <w:tc>
                  <w:tcPr>
                    <w:tcW w:w="556" w:type="dxa"/>
                    <w:shd w:val="clear" w:color="auto" w:fill="auto"/>
                  </w:tcPr>
                  <w:p>
                    <w:pPr>
                      <w:jc w:val="both"/>
                      <w:rPr>
                        <w:szCs w:val="24"/>
                      </w:rPr>
                    </w:pPr>
                    <w:r>
                      <w:rPr>
                        <w:szCs w:val="24"/>
                      </w:rPr>
                      <w:t>5.16.</w:t>
                    </w:r>
                  </w:p>
                </w:tc>
                <w:tc>
                  <w:tcPr>
                    <w:tcW w:w="1710" w:type="dxa"/>
                    <w:shd w:val="clear" w:color="auto" w:fill="auto"/>
                  </w:tcPr>
                  <w:p>
                    <w:pPr>
                      <w:rPr>
                        <w:szCs w:val="24"/>
                      </w:rPr>
                    </w:pPr>
                    <w:r>
                      <w:rPr>
                        <w:szCs w:val="24"/>
                      </w:rPr>
                      <w:t>Gliukozės kiekio kraujyje ištyrimas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rPr>
                        <w:szCs w:val="24"/>
                      </w:rPr>
                    </w:pPr>
                    <w:r>
                      <w:rPr>
                        <w:szCs w:val="24"/>
                      </w:rPr>
                      <w:t>5.17.</w:t>
                    </w:r>
                  </w:p>
                </w:tc>
                <w:tc>
                  <w:tcPr>
                    <w:tcW w:w="1710" w:type="dxa"/>
                    <w:shd w:val="clear" w:color="auto" w:fill="auto"/>
                  </w:tcPr>
                  <w:p>
                    <w:pPr>
                      <w:rPr>
                        <w:szCs w:val="24"/>
                      </w:rPr>
                    </w:pPr>
                    <w:r>
                      <w:rPr>
                        <w:szCs w:val="24"/>
                      </w:rPr>
                      <w:t>Cholesterolio kiekio kraujyje ištyrimas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bl>
            <w:p>
              <w:pPr>
                <w:jc w:val="center"/>
                <w:rPr>
                  <w:color w:val="000000"/>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3b8044e611e58568ed613eb39a73">
            <w:r w:rsidRPr="00532B9F">
              <w:rPr>
                <w:rFonts w:ascii="Times New Roman" w:eastAsia="MS Mincho" w:hAnsi="Times New Roman"/>
                <w:sz w:val="20"/>
                <w:i/>
                <w:iCs/>
                <w:color w:val="0000FF" w:themeColor="hyperlink"/>
                <w:u w:val="single"/>
              </w:rPr>
              <w:t>V-943</w:t>
            </w:r>
          </w:fldSimple>
          <w:r>
            <w:rPr>
              <w:rFonts w:ascii="Times New Roman" w:eastAsia="MS Mincho" w:hAnsi="Times New Roman"/>
              <w:sz w:val="20"/>
              <w:i/>
              <w:iCs/>
            </w:rPr>
            <w:t>,
2015-08-11,
paskelbta TAR 2015-08-17, i. k. 2015-12372            </w:t>
          </w:r>
        </w:p>
        <w:p/>
      </w:sdtContent>
    </w:sdt>
    <w:sdt>
      <w:sdtPr>
        <w:alias w:val="7 pr."/>
        <w:tag w:val="part_4478c5b5bd2e41a5b907ff5600aa242d"/>
        <w:lock w:val="sdtLocked"/>
        <w:richText/>
      </w:sdtPr>
      <w:sdtContent>
        <w:p>
          <w:pPr>
            <w:ind w:left="5102"/>
            <w:sectPr>
              <w:pgSz w:w="11907" w:h="16840" w:code="9"/>
              <w:pgMar w:top="1134" w:right="1134" w:bottom="1134" w:left="1701" w:header="567" w:footer="567" w:gutter="0"/>
              <w:pgNumType w:start="1"/>
              <w:cols w:space="1296"/>
              <w:titlePg/>
              <w:docGrid w:linePitch="360"/>
            </w:sectPr>
          </w:pPr>
        </w:p>
        <w:p>
          <w:pPr>
            <w:ind w:left="5102"/>
          </w:pPr>
          <w:r>
            <w:t>PATVIRTINTA</w:t>
          </w:r>
        </w:p>
        <w:p>
          <w:pPr>
            <w:ind w:firstLine="5102"/>
          </w:pPr>
          <w:r>
            <w:t xml:space="preserve">Lietuvos Respublikos sveikatos </w:t>
          </w:r>
        </w:p>
        <w:p>
          <w:pPr>
            <w:ind w:firstLine="5102"/>
          </w:pPr>
          <w:r>
            <w:t xml:space="preserve">apsaugos ministro 2008 m. spalio 10 d. </w:t>
          </w:r>
        </w:p>
        <w:p>
          <w:pPr>
            <w:ind w:firstLine="5102"/>
          </w:pPr>
          <w:r>
            <w:t>įsakymu Nr. V-973</w:t>
          </w:r>
        </w:p>
        <w:p>
          <w:pPr>
            <w:ind w:firstLine="5102"/>
          </w:pPr>
          <w:sdt>
            <w:sdtPr>
              <w:alias w:val="Numeris"/>
              <w:tag w:val="nr_4478c5b5bd2e41a5b907ff5600aa242d"/>
              <w:lock w:val="sdtLocked"/>
              <w:richText/>
            </w:sdtPr>
            <w:sdtContent>
              <w:r>
                <w:t>7</w:t>
              </w:r>
            </w:sdtContent>
          </w:sdt>
          <w:r>
            <w:t xml:space="preserve"> priedas</w:t>
          </w:r>
        </w:p>
        <w:p>
          <w:pPr>
            <w:jc w:val="both"/>
          </w:pPr>
        </w:p>
        <w:p>
          <w:pPr>
            <w:jc w:val="center"/>
            <w:rPr>
              <w:b/>
              <w:bCs/>
            </w:rPr>
          </w:pPr>
          <w:sdt>
            <w:sdtPr>
              <w:alias w:val="Pavadinimas"/>
              <w:tag w:val="title_4478c5b5bd2e41a5b907ff5600aa242d"/>
              <w:lock w:val="sdtLocked"/>
              <w:richText/>
            </w:sdtPr>
            <w:sdtContent>
              <w:r>
                <w:rPr>
                  <w:b/>
                  <w:bCs/>
                </w:rPr>
                <w:t>VAIRUOTOJŲ SVEIKATOS TIKRINIMO REIKALAVIMŲ IR TVARKOS APRAŠAS</w:t>
              </w:r>
            </w:sdtContent>
          </w:sdt>
        </w:p>
        <w:p>
          <w:pPr>
            <w:jc w:val="center"/>
            <w:rPr>
              <w:b/>
              <w:bCs/>
            </w:rPr>
          </w:pPr>
        </w:p>
        <w:sdt>
          <w:sdtPr>
            <w:alias w:val="skyrius"/>
            <w:tag w:val="part_88359cb0a5bb43a18b4597425a46f9c3"/>
            <w:lock w:val="sdtLocked"/>
            <w:richText/>
          </w:sdtPr>
          <w:sdtContent>
            <w:p>
              <w:pPr>
                <w:jc w:val="center"/>
                <w:rPr>
                  <w:b/>
                  <w:bCs/>
                </w:rPr>
              </w:pPr>
              <w:sdt>
                <w:sdtPr>
                  <w:alias w:val="Numeris"/>
                  <w:tag w:val="nr_88359cb0a5bb43a18b4597425a46f9c3"/>
                  <w:lock w:val="sdtLocked"/>
                  <w:richText/>
                </w:sdtPr>
                <w:sdtContent>
                  <w:r>
                    <w:rPr>
                      <w:b/>
                      <w:bCs/>
                    </w:rPr>
                    <w:t>I</w:t>
                  </w:r>
                </w:sdtContent>
              </w:sdt>
              <w:r>
                <w:rPr>
                  <w:b/>
                  <w:bCs/>
                </w:rPr>
                <w:t xml:space="preserve">. </w:t>
              </w:r>
              <w:sdt>
                <w:sdtPr>
                  <w:alias w:val="Pavadinimas"/>
                  <w:tag w:val="title_88359cb0a5bb43a18b4597425a46f9c3"/>
                  <w:lock w:val="sdtLocked"/>
                  <w:richText/>
                </w:sdtPr>
                <w:sdtContent>
                  <w:r>
                    <w:rPr>
                      <w:b/>
                      <w:bCs/>
                    </w:rPr>
                    <w:t>BENDROSIOS NUOSTATOS</w:t>
                  </w:r>
                </w:sdtContent>
              </w:sdt>
            </w:p>
            <w:p>
              <w:pPr>
                <w:ind w:firstLine="567"/>
                <w:jc w:val="both"/>
              </w:pPr>
            </w:p>
            <w:sdt>
              <w:sdtPr>
                <w:alias w:val="7 pr. 1 p."/>
                <w:tag w:val="part_72cfb17836a048808178a0b7b325bd54"/>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72cfb17836a048808178a0b7b325bd54"/>
                      <w:lock w:val="sdtLocked"/>
                      <w:richText/>
                    </w:sdtPr>
                    <w:sdtContent>
                      <w:r>
                        <w:rPr>
                          <w:color w:val="000000"/>
                          <w:szCs w:val="24"/>
                        </w:rPr>
                        <w:t>1</w:t>
                      </w:r>
                    </w:sdtContent>
                  </w:sdt>
                  <w:r>
                    <w:rPr>
                      <w:color w:val="000000"/>
                      <w:szCs w:val="24"/>
                    </w:rPr>
                    <w:t>. Vairuotojų sveikatos tikrinimo tikslas – nustatyti, ar tikrinamo asmens sveikatos būklė atitinka minimalias sveikatos tinkamumo normas, taikomas asmenims, siekiantiems vairuoti ir vairuojantiems atitinkamos kategorijos motorines transporto priemones arba jų junginius su priekaba ir (ar) traktorius, savaeiges mašinas ir mechanizmus.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 p."/>
                <w:tag w:val="part_016bca409eb34383a43341de503f0cfe"/>
                <w:lock w:val="sdtLocked"/>
                <w:richText/>
              </w:sdtPr>
              <w:sdtContent>
                <w:p>
                  <w:pPr>
                    <w:ind w:firstLine="567"/>
                    <w:jc w:val="both"/>
                  </w:pPr>
                  <w:sdt>
                    <w:sdtPr>
                      <w:alias w:val="Numeris"/>
                      <w:tag w:val="nr_016bca409eb34383a43341de503f0cfe"/>
                      <w:lock w:val="sdtLocked"/>
                      <w:richText/>
                    </w:sdtPr>
                    <w:sdtContent>
                      <w:r>
                        <w:t>2</w:t>
                      </w:r>
                    </w:sdtContent>
                  </w:sdt>
                  <w:r>
                    <w:t>. Vairuotojų sveikatos tikrinimo reikalavimų ir tvarkos apraše (toliau – Aprašas) vartojamos sąvokos:</w:t>
                  </w:r>
                </w:p>
                <w:sdt>
                  <w:sdtPr>
                    <w:alias w:val="7 pr. 2.1 p."/>
                    <w:tag w:val="part_2f9572f96cab4c2c811910b3419e54c5"/>
                    <w:lock w:val="sdtLocked"/>
                    <w:richText/>
                  </w:sdtPr>
                  <w:sdtContent>
                    <w:p>
                      <w:pPr>
                        <w:ind w:firstLine="567"/>
                        <w:jc w:val="both"/>
                      </w:pPr>
                      <w:sdt>
                        <w:sdtPr>
                          <w:alias w:val="Numeris"/>
                          <w:tag w:val="nr_2f9572f96cab4c2c811910b3419e54c5"/>
                          <w:lock w:val="sdtLocked"/>
                          <w:richText/>
                        </w:sdtPr>
                        <w:sdtContent>
                          <w:r>
                            <w:t>2.1</w:t>
                          </w:r>
                        </w:sdtContent>
                      </w:sdt>
                      <w:r>
                        <w:t>. Transporto priemonė – priemonė žmonėms ir (arba) kroviniams, taip pat ant jos sumontuotai stacionariai įrangai vežti. Ši sąvoka taip pat apima traktorius, savaeiges mašinas ir eismui ne keliais skirtas transporto priemones.</w:t>
                      </w:r>
                    </w:p>
                  </w:sdtContent>
                </w:sdt>
                <w:sdt>
                  <w:sdtPr>
                    <w:alias w:val="7 pr. 2.2 p."/>
                    <w:tag w:val="part_35d9226dd33c41bea3ad9ad6965c0739"/>
                    <w:lock w:val="sdtLocked"/>
                    <w:richText/>
                  </w:sdtPr>
                  <w:sdtContent>
                    <w:p>
                      <w:pPr>
                        <w:ind w:firstLine="567"/>
                        <w:jc w:val="both"/>
                      </w:pPr>
                      <w:sdt>
                        <w:sdtPr>
                          <w:alias w:val="Numeris"/>
                          <w:tag w:val="nr_35d9226dd33c41bea3ad9ad6965c0739"/>
                          <w:lock w:val="sdtLocked"/>
                          <w:richText/>
                        </w:sdtPr>
                        <w:sdtContent>
                          <w:r>
                            <w:t>2.2</w:t>
                          </w:r>
                        </w:sdtContent>
                      </w:sdt>
                      <w:r>
                        <w:t>. Transporto priemonių vairuotojai, kurių kategorijos ir minimalus amžius, nuo kurio leidžiama įgyti teisę vairuoti, nurodyti 2 lentelėje, skirstomi į dvi grupes:</w:t>
                      </w:r>
                    </w:p>
                    <w:sdt>
                      <w:sdtPr>
                        <w:alias w:val="7 pr. 2.2.1 p."/>
                        <w:tag w:val="part_db0606159d2b43e186f6fc7f18c5aa5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db0606159d2b43e186f6fc7f18c5aa54"/>
                              <w:lock w:val="sdtLocked"/>
                              <w:richText/>
                            </w:sdtPr>
                            <w:sdtContent>
                              <w:r>
                                <w:rPr>
                                  <w:szCs w:val="24"/>
                                </w:rPr>
                                <w:t>2.2.1</w:t>
                              </w:r>
                            </w:sdtContent>
                          </w:sdt>
                          <w:r>
                            <w:rPr>
                              <w:szCs w:val="24"/>
                            </w:rPr>
                            <w:t>. 1 grupė – AM, A1, A2, A, B1, B ir BE kategorijų transporto priemonių vairuotojai;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7 pr. 2.2.2 p."/>
                        <w:tag w:val="part_c87cc59b158843fb91aac81b118b160a"/>
                        <w:lock w:val="sdtLocked"/>
                        <w:richText/>
                      </w:sdtPr>
                      <w:sdtContent>
                        <w:p>
                          <w:pPr>
                            <w:ind w:firstLine="567"/>
                            <w:jc w:val="both"/>
                          </w:pPr>
                          <w:sdt>
                            <w:sdtPr>
                              <w:alias w:val="Numeris"/>
                              <w:tag w:val="nr_c87cc59b158843fb91aac81b118b160a"/>
                              <w:lock w:val="sdtLocked"/>
                              <w:richText/>
                            </w:sdtPr>
                            <w:sdtContent>
                              <w:r>
                                <w:t>2.2.2</w:t>
                              </w:r>
                            </w:sdtContent>
                          </w:sdt>
                          <w:r>
                            <w:t>. 2 grupė – C1, C1E, C, CE, D1, D1E, D, DE ir T kategorijų transporto priemonių vairuotojai.</w:t>
                          </w:r>
                        </w:p>
                      </w:sdtContent>
                    </w:sdt>
                  </w:sdtContent>
                </w:sdt>
              </w:sdtContent>
            </w:sdt>
            <w:sdt>
              <w:sdtPr>
                <w:alias w:val="7 pr. 3 p."/>
                <w:tag w:val="part_e6544a50f68e4892be957615aa6a6aa5"/>
                <w:lock w:val="sdtLocked"/>
                <w:richText/>
              </w:sdtPr>
              <w:sdtContent>
                <w:p>
                  <w:pPr>
                    <w:ind w:firstLine="567"/>
                    <w:jc w:val="both"/>
                  </w:pPr>
                  <w:sdt>
                    <w:sdtPr>
                      <w:alias w:val="Numeris"/>
                      <w:tag w:val="nr_e6544a50f68e4892be957615aa6a6aa5"/>
                      <w:lock w:val="sdtLocked"/>
                      <w:richText/>
                    </w:sdtPr>
                    <w:sdtContent>
                      <w:r>
                        <w:t>3</w:t>
                      </w:r>
                    </w:sdtContent>
                  </w:sdt>
                  <w:r>
                    <w:t>. Šio aprašo nuostatos, skirtos 2 grupės vairuotojams, yra taikomos B kategorijos transporto priemonių vairuotojams, naudojantiems vairuotojo pažymėjimą profesiniams tikslams (lengvieji taksi automobiliai, greitosios pagalbos automobiliai ir pan.), bei traktorių ir savaeigių mašinų vairuotojams, dirbantiems pagal darbo sutartis.</w:t>
                  </w:r>
                </w:p>
              </w:sdtContent>
            </w:sdt>
            <w:sdt>
              <w:sdtPr>
                <w:alias w:val="7 pr. 4 p."/>
                <w:tag w:val="part_a6fb048b03e14a64ab0323fde91ed2cd"/>
                <w:lock w:val="sdtLocked"/>
                <w:richText/>
              </w:sdtPr>
              <w:sdtContent>
                <w:p>
                  <w:pPr>
                    <w:ind w:firstLine="567"/>
                    <w:jc w:val="both"/>
                  </w:pPr>
                  <w:sdt>
                    <w:sdtPr>
                      <w:alias w:val="Numeris"/>
                      <w:tag w:val="nr_a6fb048b03e14a64ab0323fde91ed2cd"/>
                      <w:lock w:val="sdtLocked"/>
                      <w:richText/>
                    </w:sdtPr>
                    <w:sdtContent>
                      <w:r>
                        <w:t>4</w:t>
                      </w:r>
                    </w:sdtContent>
                  </w:sdt>
                  <w:r>
                    <w:t>. Asmenys, siekiantys mokytis vairuoti ir pirmą kartą įgyti teisę vairuoti tam tikros kategorijos transporto priemones (įgyti pirmąjį vairuotojo pažymėjimą), (toliau – kandidatai), arba vairuotojai, norintys atnaujinti vairuotojo pažymėjimą, priskiriami prie tos grupės, kuriai jie priklausys, kai jiems bus išduotas pirmasis ar atnaujintas vairuotojo pažymėjimas.</w:t>
                  </w:r>
                </w:p>
              </w:sdtContent>
            </w:sdt>
            <w:sdt>
              <w:sdtPr>
                <w:alias w:val="7 pr. 5 p."/>
                <w:tag w:val="part_3da51edbbb5747ab99447069970b2d51"/>
                <w:lock w:val="sdtLocked"/>
                <w:richText/>
              </w:sdtPr>
              <w:sdtContent>
                <w:p>
                  <w:pPr>
                    <w:ind w:firstLine="567"/>
                    <w:jc w:val="both"/>
                  </w:pPr>
                  <w:sdt>
                    <w:sdtPr>
                      <w:alias w:val="Numeris"/>
                      <w:tag w:val="nr_3da51edbbb5747ab99447069970b2d51"/>
                      <w:lock w:val="sdtLocked"/>
                      <w:richText/>
                    </w:sdtPr>
                    <w:sdtContent>
                      <w:r>
                        <w:t>5</w:t>
                      </w:r>
                    </w:sdtContent>
                  </w:sdt>
                  <w:r>
                    <w:t xml:space="preserve">. Kitos apraše vartojamos sąvokos atitinka Lietuvos Respublikos saugaus eismo automobilių keliais įstatyme (Žin., 2000, Nr. </w:t>
                  </w:r>
                  <w:hyperlink r:id="rId46" w:tgtFrame="_blank" w:history="1">
                    <w:r>
                      <w:rPr>
                        <w:color w:val="0000FF" w:themeColor="hyperlink"/>
                        <w:u w:val="single"/>
                      </w:rPr>
                      <w:t>92-2883</w:t>
                    </w:r>
                  </w:hyperlink>
                  <w:r>
                    <w:t xml:space="preserve">; 2007, Nr. </w:t>
                  </w:r>
                  <w:hyperlink r:id="rId47" w:tgtFrame="_blank" w:history="1">
                    <w:r>
                      <w:rPr>
                        <w:color w:val="0000FF" w:themeColor="hyperlink"/>
                        <w:u w:val="single"/>
                      </w:rPr>
                      <w:t>128-5213</w:t>
                    </w:r>
                  </w:hyperlink>
                  <w:r>
                    <w:t>) (toliau – Saugaus eismo įstatymas) ir kituose teisės aktuose, reglamentuojančiuose sveikatos priežiūrą, apibrėžtas sąvokas.</w:t>
                  </w:r>
                </w:p>
                <w:p>
                  <w:pPr>
                    <w:ind w:firstLine="567"/>
                    <w:jc w:val="both"/>
                  </w:pPr>
                </w:p>
              </w:sdtContent>
            </w:sdt>
          </w:sdtContent>
        </w:sdt>
        <w:sdt>
          <w:sdtPr>
            <w:alias w:val="skyrius"/>
            <w:tag w:val="part_c2d8a0d16550498da09ed6a216621212"/>
            <w:lock w:val="sdtLocked"/>
            <w:richText/>
          </w:sdtPr>
          <w:sdtContent>
            <w:p>
              <w:pPr>
                <w:jc w:val="center"/>
                <w:rPr>
                  <w:b/>
                  <w:bCs/>
                </w:rPr>
              </w:pPr>
              <w:sdt>
                <w:sdtPr>
                  <w:alias w:val="Numeris"/>
                  <w:tag w:val="nr_c2d8a0d16550498da09ed6a216621212"/>
                  <w:lock w:val="sdtLocked"/>
                  <w:richText/>
                </w:sdtPr>
                <w:sdtContent>
                  <w:r>
                    <w:rPr>
                      <w:b/>
                      <w:bCs/>
                    </w:rPr>
                    <w:t>II</w:t>
                  </w:r>
                </w:sdtContent>
              </w:sdt>
              <w:r>
                <w:rPr>
                  <w:b/>
                  <w:bCs/>
                </w:rPr>
                <w:t xml:space="preserve">. </w:t>
              </w:r>
              <w:sdt>
                <w:sdtPr>
                  <w:alias w:val="Pavadinimas"/>
                  <w:tag w:val="title_c2d8a0d16550498da09ed6a216621212"/>
                  <w:lock w:val="sdtLocked"/>
                  <w:richText/>
                </w:sdtPr>
                <w:sdtContent>
                  <w:r>
                    <w:rPr>
                      <w:b/>
                      <w:bCs/>
                    </w:rPr>
                    <w:t>SVEIKATOS TIKRINIMO REIKALAVIMAI IR TVARKA</w:t>
                  </w:r>
                </w:sdtContent>
              </w:sdt>
            </w:p>
            <w:p>
              <w:pPr>
                <w:ind w:firstLine="567"/>
                <w:jc w:val="both"/>
              </w:pPr>
            </w:p>
            <w:sdt>
              <w:sdtPr>
                <w:alias w:val="7 pr. 6 p."/>
                <w:tag w:val="part_41bd4442dc2042d0924be8867d07726f"/>
                <w:lock w:val="sdtLocked"/>
                <w:richText/>
              </w:sdtPr>
              <w:sdtContent>
                <w:p>
                  <w:pPr>
                    <w:ind w:firstLine="567"/>
                    <w:jc w:val="both"/>
                  </w:pPr>
                  <w:sdt>
                    <w:sdtPr>
                      <w:alias w:val="Numeris"/>
                      <w:tag w:val="nr_41bd4442dc2042d0924be8867d07726f"/>
                      <w:lock w:val="sdtLocked"/>
                      <w:richText/>
                    </w:sdtPr>
                    <w:sdtContent>
                      <w:r>
                        <w:t>6</w:t>
                      </w:r>
                    </w:sdtContent>
                  </w:sdt>
                  <w:r>
                    <w:t>. Visi kandidatai bei 1 ir 2 grupės ir joms prilyginti vairuotojai privalo tikrintis sveikatą prieš įgydami šią teisę bei vėliau periodiškai šiame Apraše nustatyta tvarka.</w:t>
                  </w:r>
                </w:p>
              </w:sdtContent>
            </w:sdt>
            <w:sdt>
              <w:sdtPr>
                <w:alias w:val="7 pr. 7 p."/>
                <w:tag w:val="part_f38e7c27065a4c7384024f370ebc8183"/>
                <w:lock w:val="sdtLocked"/>
                <w:richText/>
              </w:sdtPr>
              <w:sdtContent>
                <w:p>
                  <w:pPr>
                    <w:ind w:firstLine="567"/>
                    <w:jc w:val="both"/>
                  </w:pPr>
                  <w:sdt>
                    <w:sdtPr>
                      <w:alias w:val="Numeris"/>
                      <w:tag w:val="nr_f38e7c27065a4c7384024f370ebc8183"/>
                      <w:lock w:val="sdtLocked"/>
                      <w:richText/>
                    </w:sdtPr>
                    <w:sdtContent>
                      <w:r>
                        <w:t>7</w:t>
                      </w:r>
                    </w:sdtContent>
                  </w:sdt>
                  <w:r>
                    <w:t>. Vairuotojų sveikatos tikrinimas atliekamas įstaigoje, turinčioje licenciją teikti sveikatos priežiūros paslaugas.</w:t>
                  </w:r>
                </w:p>
              </w:sdtContent>
            </w:sdt>
            <w:sdt>
              <w:sdtPr>
                <w:alias w:val="7 pr. 8 p."/>
                <w:tag w:val="part_57dfaae7e9784acf91b510d6f97e41bf"/>
                <w:lock w:val="sdtLocked"/>
                <w:richText/>
              </w:sdtPr>
              <w:sdtContent>
                <w:p>
                  <w:pPr>
                    <w:ind w:firstLine="567"/>
                    <w:jc w:val="both"/>
                  </w:pPr>
                  <w:sdt>
                    <w:sdtPr>
                      <w:alias w:val="Numeris"/>
                      <w:tag w:val="nr_57dfaae7e9784acf91b510d6f97e41bf"/>
                      <w:lock w:val="sdtLocked"/>
                      <w:richText/>
                    </w:sdtPr>
                    <w:sdtContent>
                      <w:r>
                        <w:t>8</w:t>
                      </w:r>
                    </w:sdtContent>
                  </w:sdt>
                  <w:r>
                    <w:t>. Transporto priemonių vairuotojų sveikatos tikrinimo mastas ir periodiškumas nurodyti 1 lentelėje.</w:t>
                  </w:r>
                </w:p>
              </w:sdtContent>
            </w:sdt>
            <w:sdt>
              <w:sdtPr>
                <w:alias w:val="7 pr. 9 p."/>
                <w:tag w:val="part_6ec65ebd19bd4e34ac7bb2e0042864b0"/>
                <w:lock w:val="sdtLocked"/>
                <w:richText/>
              </w:sdtPr>
              <w:sdtContent>
                <w:p>
                  <w:pPr>
                    <w:ind w:firstLine="567"/>
                    <w:jc w:val="both"/>
                  </w:pPr>
                  <w:sdt>
                    <w:sdtPr>
                      <w:alias w:val="Numeris"/>
                      <w:tag w:val="nr_6ec65ebd19bd4e34ac7bb2e0042864b0"/>
                      <w:lock w:val="sdtLocked"/>
                      <w:richText/>
                    </w:sdtPr>
                    <w:sdtContent>
                      <w:r>
                        <w:t>9</w:t>
                      </w:r>
                    </w:sdtContent>
                  </w:sdt>
                  <w:r>
                    <w:t>. Kandidatai ir vairuotojai prieš sveikatos tikrinimą užpildo ir pasirašo Vairuotojo garbės deklaraciją (sveikatos patikrinimo klausimyną) (4 lentelė).</w:t>
                  </w:r>
                </w:p>
              </w:sdtContent>
            </w:sdt>
            <w:sdt>
              <w:sdtPr>
                <w:alias w:val="7 pr. 10 p."/>
                <w:tag w:val="part_5cb6b5e099b8433eae8adaa33f91a945"/>
                <w:lock w:val="sdtLocked"/>
                <w:richText/>
              </w:sdtPr>
              <w:sdtContent>
                <w:p>
                  <w:pPr>
                    <w:ind w:firstLine="567"/>
                    <w:jc w:val="both"/>
                  </w:pPr>
                  <w:sdt>
                    <w:sdtPr>
                      <w:alias w:val="Numeris"/>
                      <w:tag w:val="nr_5cb6b5e099b8433eae8adaa33f91a945"/>
                      <w:lock w:val="sdtLocked"/>
                      <w:richText/>
                    </w:sdtPr>
                    <w:sdtContent>
                      <w:r>
                        <w:t>10</w:t>
                      </w:r>
                    </w:sdtContent>
                  </w:sdt>
                  <w:r>
                    <w:t>. Kandidatų ir vairuotojų sveikatą tikrina šeimos gydytojas arba vidaus / vaikų ligų gydytojas, teikiantis pirminės sveikatos priežiūros paslaugas sveikatos priežiūros įstaigoje (toliau – SPĮ), kurią pacientas yra pasirinkęs teisės aktų nustatyta tvarka ir kurioje prisirašęs. Šie gydytojai paskiria tyrimus, nustato jų dažnumą, vadovaudamiesi šiuo įsakymu, bei atsako už sveikatos tikrinimo kokybę:</w:t>
                  </w:r>
                </w:p>
                <w:sdt>
                  <w:sdtPr>
                    <w:alias w:val="7 pr. 10.1 p."/>
                    <w:tag w:val="part_4498a09d396a4bbdb277dddbc201fdf6"/>
                    <w:lock w:val="sdtLocked"/>
                    <w:richText/>
                  </w:sdtPr>
                  <w:sdtContent>
                    <w:p>
                      <w:pPr>
                        <w:ind w:firstLine="567"/>
                        <w:jc w:val="both"/>
                      </w:pPr>
                      <w:sdt>
                        <w:sdtPr>
                          <w:alias w:val="Numeris"/>
                          <w:tag w:val="nr_4498a09d396a4bbdb277dddbc201fdf6"/>
                          <w:lock w:val="sdtLocked"/>
                          <w:richText/>
                        </w:sdtPr>
                        <w:sdtContent>
                          <w:r>
                            <w:t>10.1</w:t>
                          </w:r>
                        </w:sdtContent>
                      </w:sdt>
                      <w:r>
                        <w:t>. Šeimos gydytojas arba vidaus / vaikų ligų gydytojas, tikrinimo metu nustatęs, kad tikrinamas pacientas dėl medicininių priežasčių negali vairuoti visų kategorijų transporto priemonių, tikrinimo netęsia ir tikrinimo duomenis ir išvadas įrašo į Asmens sveikatos istoriją (ambulatorinę kortelę) (toliau – F Nr. 025/a), pasirašo ir patvirtina savo asmeniniu spaudu.</w:t>
                      </w:r>
                    </w:p>
                  </w:sdtContent>
                </w:sdt>
                <w:sdt>
                  <w:sdtPr>
                    <w:alias w:val="7 pr. 10.2 p."/>
                    <w:tag w:val="part_57e96d2f26ce41dd8dcc3ea75b0fbc19"/>
                    <w:lock w:val="sdtLocked"/>
                    <w:richText/>
                  </w:sdtPr>
                  <w:sdtContent>
                    <w:p>
                      <w:pPr>
                        <w:ind w:firstLine="567"/>
                        <w:jc w:val="both"/>
                      </w:pPr>
                      <w:sdt>
                        <w:sdtPr>
                          <w:alias w:val="Numeris"/>
                          <w:tag w:val="nr_57e96d2f26ce41dd8dcc3ea75b0fbc19"/>
                          <w:lock w:val="sdtLocked"/>
                          <w:richText/>
                        </w:sdtPr>
                        <w:sdtContent>
                          <w:r>
                            <w:t>10.2</w:t>
                          </w:r>
                        </w:sdtContent>
                      </w:sdt>
                      <w:r>
                        <w:t>. Pacientų, kurių sveikata tikrinama SPĮ, prie kurios jie prisirašę, psichikos sveikatą tikrina šią sveikatos priežiūros įstaigą aptarnaujančio psichikos sveikatos centro gydytojas psichiatras. Vaikų psichikos sveikatą tikrina gydytojas vaikų ir paauglių psichiatras, o jeigu jis psichikos sveikatos centre nedirba – gydytojas psichiatras;</w:t>
                      </w:r>
                    </w:p>
                  </w:sdtContent>
                </w:sdt>
                <w:sdt>
                  <w:sdtPr>
                    <w:alias w:val="10.3 p."/>
                    <w:tag w:val="part_1a04e91de0784c36a5a6516fe48a0639"/>
                    <w:lock w:val="sdtLocked"/>
                    <w:richText/>
                  </w:sdtPr>
                  <w:sdtContent>
                    <w:p>
                      <w:pPr>
                        <w:tabs>
                          <w:tab w:val="left" w:pos="1560"/>
                        </w:tabs>
                        <w:ind w:firstLine="567"/>
                        <w:jc w:val="both"/>
                      </w:pPr>
                      <w:sdt>
                        <w:sdtPr>
                          <w:alias w:val="Numeris"/>
                          <w:tag w:val="nr_1a04e91de0784c36a5a6516fe48a0639"/>
                          <w:lock w:val="sdtLocked"/>
                          <w:richText/>
                        </w:sdtPr>
                        <w:sdtContent>
                          <w:r>
                            <w:rPr>
                              <w:szCs w:val="24"/>
                            </w:rPr>
                            <w:t>10.3</w:t>
                          </w:r>
                        </w:sdtContent>
                      </w:sdt>
                      <w:r>
                        <w:rPr>
                          <w:szCs w:val="24"/>
                        </w:rPr>
                        <w:t xml:space="preserve">. Kandidatas arba vairuotojas apsilankymo pas šeimos arba vidaus, arba vaikų ligų gydytoją metu užpildo, pasirašo ir pateikia gydytojui Klausimyną dėl obstrukcinės miego apnėjos ir </w:t>
                      </w:r>
                      <w:r>
                        <w:rPr>
                          <w:i/>
                          <w:szCs w:val="24"/>
                        </w:rPr>
                        <w:t>Epworth</w:t>
                      </w:r>
                      <w:r>
                        <w:rPr>
                          <w:szCs w:val="24"/>
                        </w:rPr>
                        <w:t xml:space="preserve"> mieguistumo skalę (Aprašo priedas). Gydytojas, įvertinęs atsakymus, naudodamasis Obstrukcinės miego apnėjos sindromo (toliau – OMA) klausimyno vertinimo metodika ir įtaręs šią ligą, siunčia kandidatą arba vairuotoją Aprašo 11 punkte nustatyta tvarka gydytojo neurologo arba gydytojo pulmonologo konsultacijos.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Content>
            </w:sdt>
            <w:sdt>
              <w:sdtPr>
                <w:alias w:val="7 pr. 11 p."/>
                <w:tag w:val="part_e132a98cdc364167adcf2e59f2a1bde5"/>
                <w:lock w:val="sdtLocked"/>
                <w:richText/>
              </w:sdtPr>
              <w:sdtContent>
                <w:p>
                  <w:pPr>
                    <w:ind w:firstLine="567"/>
                    <w:jc w:val="both"/>
                  </w:pPr>
                  <w:sdt>
                    <w:sdtPr>
                      <w:alias w:val="Numeris"/>
                      <w:tag w:val="nr_e132a98cdc364167adcf2e59f2a1bde5"/>
                      <w:lock w:val="sdtLocked"/>
                      <w:richText/>
                    </w:sdtPr>
                    <w:sdtContent>
                      <w:r>
                        <w:t>11</w:t>
                      </w:r>
                    </w:sdtContent>
                  </w:sdt>
                  <w:r>
                    <w:t>. Medicinos dokumentų išrašas pagal F 025/a, F 003/a (toliau – forma F Nr. 027/a) išduodamas tuo atveju, jei pacientas vyksta tikrintis sveikatos būklės į kitą asmens SPĮ (kurioje jis neprisirašęs) arba kai jis siunčiamas tikrintis pas kitų reikiamų profesinių kvalifikacijų gydytojus.</w:t>
                  </w:r>
                </w:p>
              </w:sdtContent>
            </w:sdt>
            <w:sdt>
              <w:sdtPr>
                <w:alias w:val="7 pr. 12 p."/>
                <w:tag w:val="part_2405ca7a333647d299e25600c54e501a"/>
                <w:lock w:val="sdtLocked"/>
                <w:richText/>
              </w:sdtPr>
              <w:sdtContent>
                <w:p>
                  <w:pPr>
                    <w:ind w:firstLine="567"/>
                    <w:jc w:val="both"/>
                  </w:pPr>
                  <w:sdt>
                    <w:sdtPr>
                      <w:alias w:val="Numeris"/>
                      <w:tag w:val="nr_2405ca7a333647d299e25600c54e501a"/>
                      <w:lock w:val="sdtLocked"/>
                      <w:richText/>
                    </w:sdtPr>
                    <w:sdtContent>
                      <w:r>
                        <w:t>12</w:t>
                      </w:r>
                    </w:sdtContent>
                  </w:sdt>
                  <w:r>
                    <w:t>. Pacientai, norintys tikrintis sveikatą SPĮ, kurioje prisirašė:</w:t>
                  </w:r>
                </w:p>
                <w:sdt>
                  <w:sdtPr>
                    <w:alias w:val="7 pr. 12.1 p."/>
                    <w:tag w:val="part_1ba517bf78054483870e349dbb126eea"/>
                    <w:lock w:val="sdtLocked"/>
                    <w:richText/>
                  </w:sdtPr>
                  <w:sdtContent>
                    <w:p>
                      <w:pPr>
                        <w:ind w:firstLine="567"/>
                        <w:jc w:val="both"/>
                      </w:pPr>
                      <w:sdt>
                        <w:sdtPr>
                          <w:alias w:val="Numeris"/>
                          <w:tag w:val="nr_1ba517bf78054483870e349dbb126eea"/>
                          <w:lock w:val="sdtLocked"/>
                          <w:richText/>
                        </w:sdtPr>
                        <w:sdtContent>
                          <w:r>
                            <w:t>12.1</w:t>
                          </w:r>
                        </w:sdtContent>
                      </w:sdt>
                      <w:r>
                        <w:t>. nurodo, kokių kategorijų transporto priemones nori vairuoti, ir pateikia asmens tapatybę patvirtinantį dokumentą;</w:t>
                      </w:r>
                    </w:p>
                  </w:sdtContent>
                </w:sdt>
                <w:sdt>
                  <w:sdtPr>
                    <w:alias w:val="7 pr. 12.2 p."/>
                    <w:tag w:val="part_210c10e780aa4da1b659db7c42ab2573"/>
                    <w:lock w:val="sdtLocked"/>
                    <w:richText/>
                  </w:sdtPr>
                  <w:sdtContent>
                    <w:p>
                      <w:pPr>
                        <w:ind w:firstLine="567"/>
                        <w:jc w:val="both"/>
                      </w:pPr>
                      <w:sdt>
                        <w:sdtPr>
                          <w:alias w:val="Numeris"/>
                          <w:tag w:val="nr_210c10e780aa4da1b659db7c42ab2573"/>
                          <w:lock w:val="sdtLocked"/>
                          <w:richText/>
                        </w:sdtPr>
                        <w:sdtContent>
                          <w:r>
                            <w:t>12.2</w:t>
                          </w:r>
                        </w:sdtContent>
                      </w:sdt>
                      <w:r>
                        <w:t>. pateikia vairuotojo pažymėjimą (tikrinantis pakartotinai);</w:t>
                      </w:r>
                    </w:p>
                  </w:sdtContent>
                </w:sdt>
                <w:sdt>
                  <w:sdtPr>
                    <w:alias w:val="7 pr. 12.3 p."/>
                    <w:tag w:val="part_d52ec45cc35741ae95764afa8a79f978"/>
                    <w:lock w:val="sdtLocked"/>
                    <w:richText/>
                  </w:sdtPr>
                  <w:sdtContent>
                    <w:p>
                      <w:pPr>
                        <w:ind w:firstLine="567"/>
                        <w:jc w:val="both"/>
                      </w:pPr>
                      <w:sdt>
                        <w:sdtPr>
                          <w:alias w:val="Numeris"/>
                          <w:tag w:val="nr_d52ec45cc35741ae95764afa8a79f978"/>
                          <w:lock w:val="sdtLocked"/>
                          <w:richText/>
                        </w:sdtPr>
                        <w:sdtContent>
                          <w:r>
                            <w:t>12.3</w:t>
                          </w:r>
                        </w:sdtContent>
                      </w:sdt>
                      <w:r>
                        <w:t xml:space="preserve">. pateikia Asmens medicininę knygelę (sveikatos pasą) (toliau – F 048/a) – jei privalomai periodiškai sveikata tikrinama dirbant vairuotoju pagal darbo sutartį. Tikrinant 2 grupės kategorijų transporto priemonių, traktorių ir savaeigių mašinų vairuotojų, dirbančių pagal darbo sutartis, vadovaujamasi ir Asmenų, dirbančių galimos profesinės rizikos sąlygomis (kenksmingų veiksnių poveikyje ir pavojingą darbą), privalomo sveikatos tikrinimo tvarka (13 priedas), patvirtinta Lietuvos Respublikos sveikatos apsaugos ministro 2000 m. gegužės 31 d. įsakymu Nr. 301 (Žin., 2000, Nr. </w:t>
                      </w:r>
                      <w:hyperlink r:id="rId48" w:tgtFrame="_blank" w:history="1">
                        <w:r>
                          <w:rPr>
                            <w:color w:val="0000FF" w:themeColor="hyperlink"/>
                            <w:u w:val="single"/>
                          </w:rPr>
                          <w:t>47-1365</w:t>
                        </w:r>
                      </w:hyperlink>
                      <w:r>
                        <w:t>), o tikrinant vairuotojų, kurių darbas susijęs su keleivių vežimu (autobusų, mikroautobusų ir kt.), sveikatą, vadovaujamasi ir Lietuvos Respublikos Vyriausybės 2002 m. liepos 16 d. nutarimu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sdtContent>
                </w:sdt>
              </w:sdtContent>
            </w:sdt>
            <w:sdt>
              <w:sdtPr>
                <w:alias w:val="7 pr. 13 p."/>
                <w:tag w:val="part_e3b8a91b0ede46b68019f1665f9c99a7"/>
                <w:lock w:val="sdtLocked"/>
                <w:richText/>
              </w:sdtPr>
              <w:sdtContent>
                <w:p>
                  <w:pPr>
                    <w:ind w:firstLine="567"/>
                    <w:jc w:val="both"/>
                  </w:pPr>
                  <w:sdt>
                    <w:sdtPr>
                      <w:alias w:val="Numeris"/>
                      <w:tag w:val="nr_e3b8a91b0ede46b68019f1665f9c99a7"/>
                      <w:lock w:val="sdtLocked"/>
                      <w:richText/>
                    </w:sdtPr>
                    <w:sdtContent>
                      <w:r>
                        <w:t>13</w:t>
                      </w:r>
                    </w:sdtContent>
                  </w:sdt>
                  <w:r>
                    <w:t>. Pacientai, norintys tikrintis sveikatą SPĮ, kurioje jie neprisirašę, nurodo, kokių kategorijų transporto priemones nori vairuoti, ir pateikia 12 p. nurodytus dokumentus bei F Nr. 027/a iš šeimos arba vidaus / vaikų gydytojo, prie kurio yra prisirašęs, ir F Nr. 027/a iš juos aptarnaujančio psichikos sveikatos centro gydytojo psichiatro / vaikų ir paauglių psichiatro.</w:t>
                  </w:r>
                </w:p>
              </w:sdtContent>
            </w:sdt>
            <w:sdt>
              <w:sdtPr>
                <w:alias w:val="7 pr. 14 p."/>
                <w:tag w:val="part_7de7cb5508eb4487b95e24594c81804a"/>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2019-04-17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sdtContent>
            </w:sdt>
            <w:sdt>
              <w:sdtPr>
                <w:alias w:val="7 pr. 15 p."/>
                <w:tag w:val="part_6843f5f8edff4ab88098bdab43be4992"/>
                <w:lock w:val="sdtLocked"/>
                <w:richText/>
              </w:sdtPr>
              <w:sdtContent>
                <w:p>
                  <w:pPr>
                    <w:ind w:firstLine="567"/>
                    <w:jc w:val="both"/>
                  </w:pPr>
                  <w:sdt>
                    <w:sdtPr>
                      <w:alias w:val="Numeris"/>
                      <w:tag w:val="nr_6843f5f8edff4ab88098bdab43be4992"/>
                      <w:lock w:val="sdtLocked"/>
                      <w:richText/>
                    </w:sdtPr>
                    <w:sdtContent>
                      <w:r>
                        <w:t>15</w:t>
                      </w:r>
                    </w:sdtContent>
                  </w:sdt>
                  <w:r>
                    <w:t>. Traktorių ir savaeigių mašinų vairuotojų, dirbančių pagal darbo sutartis, tikrinimo tvarka nurodyta Aprašo 1 lentelės 4 dalyje.</w:t>
                  </w:r>
                </w:p>
              </w:sdtContent>
            </w:sdt>
            <w:sdt>
              <w:sdtPr>
                <w:alias w:val="7 pr. 16 p."/>
                <w:tag w:val="part_7f3e4e4e229a4ac18e82d857fb6683b8"/>
                <w:lock w:val="sdtLocked"/>
                <w:richText/>
              </w:sdtPr>
              <w:sdtContent>
                <w:p>
                  <w:pPr>
                    <w:ind w:firstLine="567"/>
                    <w:jc w:val="both"/>
                  </w:pPr>
                  <w:sdt>
                    <w:sdtPr>
                      <w:alias w:val="Numeris"/>
                      <w:tag w:val="nr_7f3e4e4e229a4ac18e82d857fb6683b8"/>
                      <w:lock w:val="sdtLocked"/>
                      <w:richText/>
                    </w:sdtPr>
                    <w:sdtContent>
                      <w:r>
                        <w:t>16</w:t>
                      </w:r>
                    </w:sdtContent>
                  </w:sdt>
                  <w:r>
                    <w:t>. Atlikus profilaktinį tikrinimą, išduodama Vairuotojo sveikatos patikrinimo medicininė pažyma (toliau – F Nr. 083-1/a).</w:t>
                  </w:r>
                </w:p>
              </w:sdtContent>
            </w:sdt>
            <w:sdt>
              <w:sdtPr>
                <w:alias w:val="7 pr. 17 p."/>
                <w:tag w:val="part_16df257bce964f319b7fb597feca7d8d"/>
                <w:lock w:val="sdtLocked"/>
                <w:richText/>
              </w:sdtPr>
              <w:sdtContent>
                <w:p>
                  <w:pPr>
                    <w:tabs>
                      <w:tab w:val="left" w:pos="1560"/>
                    </w:tabs>
                    <w:ind w:firstLine="567"/>
                    <w:jc w:val="both"/>
                  </w:pPr>
                  <w:sdt>
                    <w:sdtPr>
                      <w:alias w:val="Numeris"/>
                      <w:tag w:val="nr_16df257bce964f319b7fb597feca7d8d"/>
                      <w:lock w:val="sdtLocked"/>
                      <w:richText/>
                    </w:sdtPr>
                    <w:sdtContent>
                      <w:r>
                        <w:rPr>
                          <w:szCs w:val="24"/>
                        </w:rPr>
                        <w:t>17</w:t>
                      </w:r>
                    </w:sdtContent>
                  </w:sdt>
                  <w:r>
                    <w:rPr>
                      <w:szCs w:val="24"/>
                    </w:rPr>
                    <w:t>. Vairuotojo, turinčio galiojančią F Nr. 083-1/a, sveikata gali būti tikrinama anksčiau šiais atvejais: asmens sveikatos priežiūros specialistui nurodžius, siunčiant policijai, darbovietės administracijai, nurodžius priešlaikinio tikrinimo priežastį arba asmeniui pageidaujant.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7 pr. 18 p."/>
                <w:tag w:val="part_729bcbe776ae4f58bbef1b219878c0d4"/>
                <w:lock w:val="sdtLocked"/>
                <w:richText/>
              </w:sdtPr>
              <w:sdtContent>
                <w:p>
                  <w:pPr>
                    <w:ind w:firstLine="567"/>
                    <w:jc w:val="both"/>
                  </w:pPr>
                  <w:sdt>
                    <w:sdtPr>
                      <w:alias w:val="Numeris"/>
                      <w:tag w:val="nr_729bcbe776ae4f58bbef1b219878c0d4"/>
                      <w:lock w:val="sdtLocked"/>
                      <w:richText/>
                    </w:sdtPr>
                    <w:sdtContent>
                      <w:r>
                        <w:t>18</w:t>
                      </w:r>
                    </w:sdtContent>
                  </w:sdt>
                  <w:r>
                    <w:t>. Tikrinimo duomenis ir išvadas apie tai, kokias transporto priemones ir kokiomis sąlygomis nurodant Bendrijoje taikomų apribojimų dėl medicininių priežasčių kodą (5 lentelė) (toliau – apribojimai) asmuo gali vairuoti, šeimos ar vidaus / vaikų ligų ir kiti tikrinantys gydytojai įrašo į F Nr. 025/a, pasirašo ir patvirtina savo asmeniniu spaudu.</w:t>
                  </w:r>
                </w:p>
              </w:sdtContent>
            </w:sdt>
            <w:sdt>
              <w:sdtPr>
                <w:alias w:val="7 pr. 19 p."/>
                <w:tag w:val="part_a5696f55109445ff82c36e9890a0d0bf"/>
                <w:lock w:val="sdtLocked"/>
                <w:richText/>
              </w:sdtPr>
              <w:sdtContent>
                <w:p>
                  <w:pPr>
                    <w:ind w:firstLine="567"/>
                    <w:jc w:val="both"/>
                  </w:pPr>
                  <w:sdt>
                    <w:sdtPr>
                      <w:alias w:val="Numeris"/>
                      <w:tag w:val="nr_a5696f55109445ff82c36e9890a0d0bf"/>
                      <w:lock w:val="sdtLocked"/>
                      <w:richText/>
                    </w:sdtPr>
                    <w:sdtContent>
                      <w:r>
                        <w:t>19</w:t>
                      </w:r>
                    </w:sdtContent>
                  </w:sdt>
                  <w:r>
                    <w:t>. Galutinę išvadą į F Nr. 025/a įrašo, pasirašo ir patvirtina savo asmeniniu spaudu asmuo, įgaliotas asmens sveikatos priežiūros įstaigos vadovo įsakymu (komisijos pirmininkas).</w:t>
                  </w:r>
                </w:p>
              </w:sdtContent>
            </w:sdt>
            <w:sdt>
              <w:sdtPr>
                <w:alias w:val="7 pr. 20 p."/>
                <w:tag w:val="part_1ede419c59254e2d9ee9717c230fdfad"/>
                <w:lock w:val="sdtLocked"/>
                <w:richText/>
              </w:sdtPr>
              <w:sdtContent>
                <w:p>
                  <w:pPr>
                    <w:ind w:firstLine="567"/>
                    <w:jc w:val="both"/>
                  </w:pPr>
                  <w:sdt>
                    <w:sdtPr>
                      <w:alias w:val="Numeris"/>
                      <w:tag w:val="nr_1ede419c59254e2d9ee9717c230fdfad"/>
                      <w:lock w:val="sdtLocked"/>
                      <w:richText/>
                    </w:sdtPr>
                    <w:sdtContent>
                      <w:r>
                        <w:t>20</w:t>
                      </w:r>
                    </w:sdtContent>
                  </w:sdt>
                  <w:r>
                    <w:t>. Išvada apie tinkamumą vairuoti įrašoma į F Nr. 083-1/a ir patvirtinama komisijos pirmininko ir sekretoriaus parašais bei asmeniniais spaudais, Vairuotojų sveikatos tikrinimo arba gydytojų konsultacinės komisijos (toliau – GKK) antspaudu arba SPĮ įstaigos antspaudu. F Nr. 083-1/a atiduodama pacientui.</w:t>
                  </w:r>
                </w:p>
              </w:sdtContent>
            </w:sdt>
            <w:sdt>
              <w:sdtPr>
                <w:alias w:val="7 pr. 21 p."/>
                <w:tag w:val="part_47664426f7db49029f0782162b640d91"/>
                <w:lock w:val="sdtLocked"/>
                <w:richText/>
              </w:sdtPr>
              <w:sdtContent>
                <w:p>
                  <w:pPr>
                    <w:ind w:firstLine="567"/>
                    <w:jc w:val="both"/>
                  </w:pPr>
                  <w:sdt>
                    <w:sdtPr>
                      <w:alias w:val="Numeris"/>
                      <w:tag w:val="nr_47664426f7db49029f0782162b640d91"/>
                      <w:lock w:val="sdtLocked"/>
                      <w:richText/>
                    </w:sdtPr>
                    <w:sdtContent>
                      <w:r>
                        <w:t>21</w:t>
                      </w:r>
                    </w:sdtContent>
                  </w:sdt>
                  <w:r>
                    <w:t>. Vairuotojams, dirbantiems galimos profesinės rizikos sąlygomis (kenksmingų veiksnių poveikyje ir pavojingą darbą), išvada įrašoma ir į F Nr. 048/a, įsidarbinant – ir į Privalomo sveikatos patikrinimo medicininę pažymą (toliau – F Nr. 047/a).</w:t>
                  </w:r>
                </w:p>
              </w:sdtContent>
            </w:sdt>
            <w:sdt>
              <w:sdtPr>
                <w:alias w:val="7 pr. 22 p."/>
                <w:tag w:val="part_b581a4aaa9bb4db2a27c331c8202e819"/>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b581a4aaa9bb4db2a27c331c8202e819"/>
                      <w:lock w:val="sdtLocked"/>
                      <w:richText/>
                    </w:sdtPr>
                    <w:sdtContent>
                      <w:r>
                        <w:rPr>
                          <w:szCs w:val="24"/>
                          <w:lang w:eastAsia="lt-LT"/>
                        </w:rPr>
                        <w:t>22</w:t>
                      </w:r>
                    </w:sdtContent>
                  </w:sdt>
                  <w:r>
                    <w:rPr>
                      <w:szCs w:val="24"/>
                      <w:lang w:eastAsia="lt-LT"/>
                    </w:rPr>
                    <w:t>. Išvada apie tinkamumą vairuoti transporto priemones (nurodant kategoriją (-as) daroma, atsižvelgiant į Aprašo 3 lentelėje „Minimalios sveikatos tinkamumo normos, taikomos asmenims, siekiantiems vairuoti ir vairuojantiems variklio varomą transporto priemonę“ išvardytas ligas ir sveikatos problemas, dėl kurių ribojama teisė vairuoti transporto priemones, bei 5 lentelėje išvardytus apribojimus dėl medicininių priežasčių.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3 p."/>
                <w:tag w:val="part_6f0c3be17c09474ab4c47b98ddf462ec"/>
                <w:lock w:val="sdtLocked"/>
                <w:richText/>
              </w:sdtPr>
              <w:sdtContent>
                <w:p>
                  <w:pPr>
                    <w:ind w:firstLine="567"/>
                    <w:jc w:val="both"/>
                  </w:pPr>
                  <w:sdt>
                    <w:sdtPr>
                      <w:alias w:val="Numeris"/>
                      <w:tag w:val="nr_6f0c3be17c09474ab4c47b98ddf462ec"/>
                      <w:lock w:val="sdtLocked"/>
                      <w:richText/>
                    </w:sdtPr>
                    <w:sdtContent>
                      <w:r>
                        <w:t>23</w:t>
                      </w:r>
                    </w:sdtContent>
                  </w:sdt>
                  <w:r>
                    <w:t>. Sveikatos tikrinimo duomenys registruojami sveikatos tikrinimo žurnale (ambulatorinių ligonių registravimo žurnalas) (toliau – F Nr. 074/a) ir patvirtinami sekretoriaus vardiniu spaudu ir parašu.</w:t>
                  </w:r>
                </w:p>
              </w:sdtContent>
            </w:sdt>
            <w:sdt>
              <w:sdtPr>
                <w:alias w:val="7 pr. 24 p."/>
                <w:tag w:val="part_54530427e3b945e2881185d427b57a24"/>
                <w:lock w:val="sdtLocked"/>
                <w:richText/>
              </w:sdtPr>
              <w:sdtContent>
                <w:p>
                  <w:pPr>
                    <w:ind w:firstLine="567"/>
                    <w:jc w:val="both"/>
                  </w:pPr>
                  <w:sdt>
                    <w:sdtPr>
                      <w:alias w:val="Numeris"/>
                      <w:tag w:val="nr_54530427e3b945e2881185d427b57a24"/>
                      <w:lock w:val="sdtLocked"/>
                      <w:richText/>
                    </w:sdtPr>
                    <w:sdtContent>
                      <w:r>
                        <w:t>24</w:t>
                      </w:r>
                    </w:sdtContent>
                  </w:sdt>
                  <w:r>
                    <w:t>. Mokymo įstaigų, kuriose papildomai mokoma vairuoti traktorius bei automobilius, moksleiviams, jaunesniems negu nurodyta šio Aprašo 2 lentelėje „Transporto priemonių kategorijos, minimalus vairuotojų amžius“, išduodama Stojančio į mokymo įstaigą ar įdarbinamo nepilnamečio medicininė pažyma (F Nr. 086/a), o vėliau, baigus mokyklą arba sulaukus atitinkamo amžiaus, po pakartotinio sveikatos tikrinimo – F Nr. 083-1/a.</w:t>
                  </w:r>
                </w:p>
              </w:sdtContent>
            </w:sdt>
            <w:sdt>
              <w:sdtPr>
                <w:alias w:val="7 pr. 25 p."/>
                <w:tag w:val="part_10971105b5f74dc181f24df22aa03114"/>
                <w:lock w:val="sdtLocked"/>
                <w:richText/>
              </w:sdtPr>
              <w:sdtContent>
                <w:p>
                  <w:pPr>
                    <w:widowControl w:val="0"/>
                    <w:suppressAutoHyphens/>
                    <w:ind w:firstLine="567"/>
                    <w:jc w:val="both"/>
                  </w:pPr>
                  <w:sdt>
                    <w:sdtPr>
                      <w:alias w:val="Numeris"/>
                      <w:tag w:val="nr_10971105b5f74dc181f24df22aa03114"/>
                      <w:lock w:val="sdtLocked"/>
                      <w:richText/>
                    </w:sdtPr>
                    <w:sdtContent>
                      <w:r>
                        <w:rPr>
                          <w:color w:val="000000"/>
                        </w:rPr>
                        <w:t>25</w:t>
                      </w:r>
                    </w:sdtContent>
                  </w:sdt>
                  <w:r>
                    <w:rPr>
                      <w:color w:val="000000"/>
                    </w:rPr>
                    <w:t>. Pažyma F Nr.</w:t>
                  </w:r>
                  <w:r>
                    <w:rPr>
                      <w:i/>
                      <w:color w:val="000000"/>
                    </w:rPr>
                    <w:t xml:space="preserve"> </w:t>
                  </w:r>
                  <w:r>
                    <w:rPr>
                      <w:color w:val="000000"/>
                    </w:rPr>
                    <w:t>083</w:t>
                  </w:r>
                  <w:r>
                    <w:rPr>
                      <w:i/>
                      <w:color w:val="000000"/>
                    </w:rPr>
                    <w:t>-</w:t>
                  </w:r>
                  <w:r>
                    <w:rPr>
                      <w:color w:val="000000"/>
                    </w:rPr>
                    <w:t>1/a gali būti išduodama asmenims, ne daugiau kaip vienais metais jaunesniems nei Saugaus eismo automobilių keliais įstatymo 23</w:t>
                  </w:r>
                  <w:r>
                    <w:rPr>
                      <w:i/>
                      <w:color w:val="000000"/>
                    </w:rPr>
                    <w:t xml:space="preserve"> </w:t>
                  </w:r>
                  <w:r>
                    <w:rPr>
                      <w:color w:val="000000"/>
                    </w:rPr>
                    <w:t>straipsnio 2</w:t>
                  </w:r>
                  <w:r>
                    <w:rPr>
                      <w:i/>
                      <w:color w:val="000000"/>
                    </w:rPr>
                    <w:t xml:space="preserve"> </w:t>
                  </w:r>
                  <w:r>
                    <w:rPr>
                      <w:color w:val="000000"/>
                    </w:rPr>
                    <w:t>dalyje nustatytas amžius, nuo kurio leidžiama vairuoti atitinkamos kategorijos transporto priemonę. Tais atvejais, kai minimalų vairuotojų amžių nustato ne šis įstatymas, o kiti teisės aktai, taikomos atitinkamų teisės aktų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6 p."/>
                <w:tag w:val="part_a8bb4113f2ab41e49594e8a530777148"/>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a8bb4113f2ab41e49594e8a530777148"/>
                      <w:lock w:val="sdtLocked"/>
                      <w:richText/>
                    </w:sdtPr>
                    <w:sdtContent>
                      <w:r>
                        <w:rPr>
                          <w:color w:val="000000"/>
                          <w:szCs w:val="24"/>
                        </w:rPr>
                        <w:t>26</w:t>
                      </w:r>
                    </w:sdtContent>
                  </w:sdt>
                  <w:r>
                    <w:rPr>
                      <w:color w:val="000000"/>
                      <w:szCs w:val="24"/>
                    </w:rPr>
                    <w:t>. Bet kurios profesinės kvalifikacijos gydytojas, nustatęs, kad asmuo dėl sveikatos būklės vairuoti negali, raštu (arba elektroniniu būdu) informuoja savo sveikatos priežiūros įstaigos administraciją, o jos įgaliotas asmuo nedelsdamas elektroniniu būdu ir per 5</w:t>
                  </w:r>
                  <w:r>
                    <w:rPr>
                      <w:i/>
                      <w:iCs/>
                      <w:color w:val="000000"/>
                      <w:szCs w:val="24"/>
                    </w:rPr>
                    <w:t xml:space="preserve"> </w:t>
                  </w:r>
                  <w:r>
                    <w:rPr>
                      <w:color w:val="000000"/>
                      <w:szCs w:val="24"/>
                    </w:rPr>
                    <w:t xml:space="preserve">darbo dienas raštu informuoja policijos komisariatą pagal tikrinamojo gyvenamąją vietą ar Lietuvos kelių policijos tarnybą apie asmenis, kurie dėl sveikatos būklės negali vairuoti traktorių ir (arba) savaeigių mašinų, o apie asmenis, kurie  dėl sveikatos būklės negali vairuoti kitų transporto priemonių – valstybės įmonę „Regitra“. Informacija, kad asmuo dėl sveikatos būklės vairuoti negali, pateikiama nurodant tikrinamojo asmens kodą, vardą, pavardę, adresą ir kito sveikatos patikrinimo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7 p."/>
                <w:tag w:val="part_6e80d9179f874a6090207c5ee5bdf808"/>
                <w:lock w:val="sdtLocked"/>
                <w:richText/>
              </w:sdtPr>
              <w:sdtContent>
                <w:p>
                  <w:pPr>
                    <w:ind w:firstLine="567"/>
                    <w:jc w:val="both"/>
                  </w:pPr>
                  <w:sdt>
                    <w:sdtPr>
                      <w:alias w:val="Numeris"/>
                      <w:tag w:val="nr_6e80d9179f874a6090207c5ee5bdf808"/>
                      <w:lock w:val="sdtLocked"/>
                      <w:richText/>
                    </w:sdtPr>
                    <w:sdtContent>
                      <w:r>
                        <w:t>27</w:t>
                      </w:r>
                    </w:sdtContent>
                  </w:sdt>
                  <w:r>
                    <w:t>. Jei laminuojama, pažyma gali būti perpus mažesnė (10,5 cm x 14,8 cm). Medicininėje pažymoje įrašai turi būti įskaitomi, negalima jų taisyti.</w:t>
                  </w:r>
                </w:p>
                <w:p>
                  <w:pPr>
                    <w:ind w:firstLine="567"/>
                    <w:jc w:val="both"/>
                  </w:pPr>
                </w:p>
              </w:sdtContent>
            </w:sdt>
          </w:sdtContent>
        </w:sdt>
        <w:sdt>
          <w:sdtPr>
            <w:alias w:val="skyrius"/>
            <w:tag w:val="part_209eb8696082471f9039cd2ef495f97e"/>
            <w:lock w:val="sdtLocked"/>
            <w:richText/>
          </w:sdtPr>
          <w:sdtContent>
            <w:p>
              <w:pPr>
                <w:jc w:val="center"/>
                <w:rPr>
                  <w:b/>
                  <w:bCs/>
                </w:rPr>
              </w:pPr>
              <w:sdt>
                <w:sdtPr>
                  <w:alias w:val="Numeris"/>
                  <w:tag w:val="nr_209eb8696082471f9039cd2ef495f97e"/>
                  <w:lock w:val="sdtLocked"/>
                  <w:richText/>
                </w:sdtPr>
                <w:sdtContent>
                  <w:r>
                    <w:rPr>
                      <w:b/>
                      <w:bCs/>
                    </w:rPr>
                    <w:t>III</w:t>
                  </w:r>
                </w:sdtContent>
              </w:sdt>
              <w:r>
                <w:rPr>
                  <w:b/>
                  <w:bCs/>
                </w:rPr>
                <w:t xml:space="preserve">. </w:t>
              </w:r>
              <w:sdt>
                <w:sdtPr>
                  <w:alias w:val="Pavadinimas"/>
                  <w:tag w:val="title_209eb8696082471f9039cd2ef495f97e"/>
                  <w:lock w:val="sdtLocked"/>
                  <w:richText/>
                </w:sdtPr>
                <w:sdtContent>
                  <w:r>
                    <w:rPr>
                      <w:b/>
                      <w:bCs/>
                    </w:rPr>
                    <w:t>BAIGIAMOSIOS NUOSTATOS</w:t>
                  </w:r>
                </w:sdtContent>
              </w:sdt>
            </w:p>
            <w:p>
              <w:pPr>
                <w:ind w:firstLine="567"/>
                <w:jc w:val="both"/>
              </w:pPr>
            </w:p>
            <w:sdt>
              <w:sdtPr>
                <w:alias w:val="7 pr. 28 p."/>
                <w:tag w:val="part_11399043bcac47e79a3f00d128ea2d5b"/>
                <w:lock w:val="sdtLocked"/>
                <w:richText/>
              </w:sdtPr>
              <w:sdtContent>
                <w:p>
                  <w:pPr>
                    <w:ind w:firstLine="567"/>
                    <w:jc w:val="both"/>
                  </w:pPr>
                  <w:sdt>
                    <w:sdtPr>
                      <w:alias w:val="Numeris"/>
                      <w:tag w:val="nr_11399043bcac47e79a3f00d128ea2d5b"/>
                      <w:lock w:val="sdtLocked"/>
                      <w:richText/>
                    </w:sdtPr>
                    <w:sdtContent>
                      <w:r>
                        <w:t>28</w:t>
                      </w:r>
                    </w:sdtContent>
                  </w:sdt>
                  <w:r>
                    <w:t>. Atlikus profilaktinį sveikatos tikrinimą F Nr. 086/a ir (arba) F Nr. 083-1/a išduodama pacientui, kuris pats ją pateikia mokymo įstaigai arba įstaigai, išduodančiai ar grąžinančiai vairuotojo pažymėjimą arba pratęsiančiai jo galiojimą (valstybės įmonei „Regitra“, policijos įstaigai).</w:t>
                  </w:r>
                </w:p>
              </w:sdtContent>
            </w:sdt>
            <w:sdt>
              <w:sdtPr>
                <w:alias w:val="7 pr. 29 p."/>
                <w:tag w:val="part_98968d0765a54fe59117478563d2cbf0"/>
                <w:lock w:val="sdtLocked"/>
                <w:richText/>
              </w:sdtPr>
              <w:sdtContent>
                <w:p>
                  <w:pPr>
                    <w:ind w:firstLine="567"/>
                    <w:jc w:val="both"/>
                  </w:pPr>
                  <w:sdt>
                    <w:sdtPr>
                      <w:alias w:val="Numeris"/>
                      <w:tag w:val="nr_98968d0765a54fe59117478563d2cbf0"/>
                      <w:lock w:val="sdtLocked"/>
                      <w:richText/>
                    </w:sdtPr>
                    <w:sdtContent>
                      <w:r>
                        <w:t>29</w:t>
                      </w:r>
                    </w:sdtContent>
                  </w:sdt>
                  <w:r>
                    <w:t>. Sudėtingais ir konfliktiniais (kai išvadai reikia priimti individualius sprendimus) atvejais apie tinkamumą vairuoti sprendžia Vairuotojų sveikatos tikrinimo komisija arba SPĮ GKK.</w:t>
                  </w:r>
                </w:p>
              </w:sdtContent>
            </w:sdt>
            <w:sdt>
              <w:sdtPr>
                <w:alias w:val="7 pr. 30 p."/>
                <w:tag w:val="part_d19d6ab5e37f4ea9bbf69d13e27ac2da"/>
                <w:lock w:val="sdtLocked"/>
                <w:richText/>
              </w:sdtPr>
              <w:sdtContent>
                <w:p>
                  <w:pPr>
                    <w:ind w:firstLine="567"/>
                    <w:jc w:val="both"/>
                  </w:pPr>
                  <w:sdt>
                    <w:sdtPr>
                      <w:alias w:val="Numeris"/>
                      <w:tag w:val="nr_d19d6ab5e37f4ea9bbf69d13e27ac2da"/>
                      <w:lock w:val="sdtLocked"/>
                      <w:richText/>
                    </w:sdtPr>
                    <w:sdtContent>
                      <w:r>
                        <w:t>30</w:t>
                      </w:r>
                    </w:sdtContent>
                  </w:sdt>
                  <w:r>
                    <w:t xml:space="preserve">. Pacientas, nesutinkantis su Vairuotojų sveikatos tikrinimo komisijos arba GKK sprendimu, per 5 darbo dienas gali apskųsti jį SPĮ vadovui, o įstaigos vadovo sprendimą – teismui Lietuvos Respublikos administracinių bylų teisenos įstatymo (Žin., 1999, Nr. </w:t>
                  </w:r>
                  <w:hyperlink r:id="rId49" w:tgtFrame="_blank" w:history="1">
                    <w:r>
                      <w:rPr>
                        <w:color w:val="0000FF" w:themeColor="hyperlink"/>
                        <w:u w:val="single"/>
                      </w:rPr>
                      <w:t>13-308</w:t>
                    </w:r>
                  </w:hyperlink>
                  <w:r>
                    <w:t xml:space="preserve">; 2000, Nr. </w:t>
                  </w:r>
                  <w:hyperlink r:id="rId50" w:tgtFrame="_blank" w:history="1">
                    <w:r>
                      <w:rPr>
                        <w:color w:val="0000FF" w:themeColor="hyperlink"/>
                        <w:u w:val="single"/>
                      </w:rPr>
                      <w:t>85-2566</w:t>
                    </w:r>
                  </w:hyperlink>
                  <w:r>
                    <w:t>) nustatyta tvarka.</w:t>
                  </w:r>
                </w:p>
                <w:p>
                  <w:pPr>
                    <w:jc w:val="both"/>
                  </w:pPr>
                </w:p>
                <w:p>
                  <w:pPr>
                    <w:jc w:val="center"/>
                  </w:pPr>
                  <w:r>
                    <w:t>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da39e86e0365404c80191091e05e5124"/>
        <w:lock w:val="sdtLocked"/>
        <w:richText/>
      </w:sdtPr>
      <w:sdtContent>
        <w:p>
          <w:pPr>
            <w:tabs>
              <w:tab w:val="left" w:pos="8789"/>
            </w:tabs>
            <w:spacing w:line="276" w:lineRule="auto"/>
            <w:ind w:left="4895"/>
            <w:jc w:val="right"/>
            <w:sectPr>
              <w:pgSz w:w="11907" w:h="16840" w:code="9"/>
              <w:pgMar w:top="1134" w:right="1134" w:bottom="1134" w:left="1079" w:header="567" w:footer="567" w:gutter="0"/>
              <w:pgNumType w:start="1"/>
              <w:cols w:space="1296"/>
              <w:titlePg/>
              <w:docGrid w:linePitch="360"/>
            </w:sectPr>
          </w:pPr>
        </w:p>
        <w:p>
          <w:pPr>
            <w:tabs>
              <w:tab w:val="left" w:pos="8789"/>
            </w:tabs>
            <w:spacing w:line="276" w:lineRule="auto"/>
            <w:ind w:left="4895"/>
            <w:jc w:val="right"/>
            <w:rPr>
              <w:szCs w:val="24"/>
            </w:rPr>
          </w:pPr>
          <w:r>
            <w:rPr>
              <w:szCs w:val="24"/>
            </w:rPr>
            <w:t>1 lentelė</w:t>
          </w:r>
        </w:p>
        <w:p>
          <w:pPr>
            <w:rPr>
              <w:sz w:val="18"/>
              <w:szCs w:val="18"/>
            </w:rPr>
          </w:pPr>
        </w:p>
        <w:p>
          <w:pPr>
            <w:spacing w:line="276" w:lineRule="auto"/>
            <w:rPr>
              <w:szCs w:val="24"/>
            </w:rPr>
          </w:pPr>
        </w:p>
        <w:p>
          <w:pPr>
            <w:rPr>
              <w:sz w:val="18"/>
              <w:szCs w:val="18"/>
            </w:rPr>
          </w:pPr>
        </w:p>
        <w:p>
          <w:pPr>
            <w:spacing w:line="276" w:lineRule="auto"/>
            <w:jc w:val="center"/>
            <w:rPr>
              <w:b/>
              <w:bCs/>
              <w:szCs w:val="24"/>
            </w:rPr>
          </w:pPr>
          <w:r>
            <w:rPr>
              <w:b/>
              <w:bCs/>
              <w:szCs w:val="24"/>
            </w:rPr>
            <w:t>TRANSPORTO PRIEMONIŲ VAIRUOTOJŲ SVEIKATOS TIKRINIMO MASTAS IR PERIODIŠKUMAS</w:t>
          </w:r>
        </w:p>
        <w:p>
          <w:pPr>
            <w:rPr>
              <w:sz w:val="18"/>
              <w:szCs w:val="18"/>
            </w:rPr>
          </w:pPr>
        </w:p>
        <w:p>
          <w:pPr>
            <w:jc w:val="both"/>
            <w:rPr>
              <w:szCs w:val="24"/>
            </w:rPr>
          </w:pPr>
        </w:p>
        <w:tbl>
          <w:tblPr>
            <w:tblW w:w="99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1842"/>
            <w:gridCol w:w="1544"/>
            <w:gridCol w:w="1700"/>
            <w:gridCol w:w="1845"/>
            <w:gridCol w:w="2990"/>
          </w:tblGrid>
          <w:tr>
            <w:trPr>
              <w:trHeight w:val="20"/>
            </w:trPr>
            <w:tc>
              <w:tcPr>
                <w:tcW w:w="928" w:type="pct"/>
                <w:vMerge w:val="restart"/>
                <w:vAlign w:val="center"/>
              </w:tcPr>
              <w:p>
                <w:pPr>
                  <w:jc w:val="center"/>
                  <w:rPr>
                    <w:szCs w:val="24"/>
                  </w:rPr>
                </w:pPr>
                <w:r>
                  <w:rPr>
                    <w:szCs w:val="24"/>
                  </w:rPr>
                  <w:t>Tikrinamieji: kandidatai ir vairuotojai</w:t>
                </w:r>
              </w:p>
            </w:tc>
            <w:tc>
              <w:tcPr>
                <w:tcW w:w="778" w:type="pct"/>
                <w:vMerge w:val="restart"/>
                <w:vAlign w:val="center"/>
              </w:tcPr>
              <w:p>
                <w:pPr>
                  <w:jc w:val="center"/>
                  <w:rPr>
                    <w:szCs w:val="24"/>
                  </w:rPr>
                </w:pPr>
                <w:r>
                  <w:rPr>
                    <w:szCs w:val="24"/>
                  </w:rPr>
                  <w:t>Tikrinimų periodiškumas</w:t>
                </w:r>
              </w:p>
            </w:tc>
            <w:tc>
              <w:tcPr>
                <w:tcW w:w="1787" w:type="pct"/>
                <w:gridSpan w:val="2"/>
                <w:vAlign w:val="center"/>
              </w:tcPr>
              <w:p>
                <w:pPr>
                  <w:jc w:val="center"/>
                  <w:rPr>
                    <w:szCs w:val="24"/>
                  </w:rPr>
                </w:pPr>
                <w:r>
                  <w:rPr>
                    <w:szCs w:val="24"/>
                  </w:rPr>
                  <w:t>Sveikatos tikrintojai</w:t>
                </w:r>
              </w:p>
            </w:tc>
            <w:tc>
              <w:tcPr>
                <w:tcW w:w="1507" w:type="pct"/>
                <w:vMerge w:val="restart"/>
                <w:vAlign w:val="center"/>
              </w:tcPr>
              <w:p>
                <w:pPr>
                  <w:jc w:val="center"/>
                  <w:rPr>
                    <w:szCs w:val="24"/>
                  </w:rPr>
                </w:pPr>
                <w:r>
                  <w:rPr>
                    <w:szCs w:val="24"/>
                  </w:rPr>
                  <w:t>Tyrimai</w:t>
                </w:r>
              </w:p>
            </w:tc>
          </w:tr>
          <w:tr>
            <w:trPr>
              <w:trHeight w:val="20"/>
            </w:trPr>
            <w:tc>
              <w:tcPr>
                <w:tcW w:w="928" w:type="pct"/>
                <w:vMerge/>
                <w:vAlign w:val="center"/>
              </w:tcPr>
              <w:p>
                <w:pPr>
                  <w:rPr>
                    <w:szCs w:val="24"/>
                  </w:rPr>
                </w:pPr>
              </w:p>
            </w:tc>
            <w:tc>
              <w:tcPr>
                <w:tcW w:w="778" w:type="pct"/>
                <w:vMerge/>
                <w:vAlign w:val="center"/>
              </w:tcPr>
              <w:p>
                <w:pPr>
                  <w:rPr>
                    <w:szCs w:val="24"/>
                  </w:rPr>
                </w:pPr>
              </w:p>
            </w:tc>
            <w:tc>
              <w:tcPr>
                <w:tcW w:w="857" w:type="pct"/>
                <w:vAlign w:val="center"/>
              </w:tcPr>
              <w:p>
                <w:pPr>
                  <w:jc w:val="center"/>
                  <w:rPr>
                    <w:szCs w:val="24"/>
                  </w:rPr>
                </w:pPr>
                <w:r>
                  <w:rPr>
                    <w:szCs w:val="24"/>
                  </w:rPr>
                  <w:t>Pirminis lygis</w:t>
                </w:r>
              </w:p>
            </w:tc>
            <w:tc>
              <w:tcPr>
                <w:tcW w:w="930" w:type="pct"/>
                <w:vAlign w:val="center"/>
              </w:tcPr>
              <w:p>
                <w:pPr>
                  <w:jc w:val="center"/>
                  <w:rPr>
                    <w:szCs w:val="24"/>
                    <w:u w:val="single"/>
                  </w:rPr>
                </w:pPr>
                <w:r>
                  <w:rPr>
                    <w:szCs w:val="24"/>
                  </w:rPr>
                  <w:t>Kiti</w:t>
                </w:r>
              </w:p>
            </w:tc>
            <w:tc>
              <w:tcPr>
                <w:tcW w:w="1507" w:type="pct"/>
                <w:vMerge/>
                <w:vAlign w:val="center"/>
              </w:tcPr>
              <w:p>
                <w:pPr>
                  <w:rPr>
                    <w:szCs w:val="24"/>
                  </w:rPr>
                </w:pPr>
              </w:p>
            </w:tc>
          </w:tr>
          <w:tr>
            <w:trPr>
              <w:trHeight w:val="1919"/>
            </w:trPr>
            <w:tc>
              <w:tcPr>
                <w:tcW w:w="928" w:type="pct"/>
              </w:tcPr>
              <w:p>
                <w:pPr>
                  <w:rPr>
                    <w:szCs w:val="24"/>
                  </w:rPr>
                </w:pPr>
                <w:r>
                  <w:rPr>
                    <w:szCs w:val="24"/>
                  </w:rPr>
                  <w:t>1. 1 grupės:</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arba vaikų ligų gydytojas</w:t>
                </w:r>
              </w:p>
            </w:tc>
            <w:tc>
              <w:tcPr>
                <w:tcW w:w="930" w:type="pct"/>
                <w:vMerge w:val="restart"/>
              </w:tcPr>
              <w:p>
                <w:pPr>
                  <w:rPr>
                    <w:szCs w:val="24"/>
                  </w:rPr>
                </w:pPr>
                <w:r>
                  <w:rPr>
                    <w:szCs w:val="24"/>
                  </w:rPr>
                  <w:t>Oftalmologas, tikrinant kandidatą pirmą kartą, vėliau periodiškai – jei siunčia šeimos gydytojas.</w:t>
                </w:r>
              </w:p>
              <w:p>
                <w:pPr>
                  <w:rPr>
                    <w:szCs w:val="24"/>
                  </w:rPr>
                </w:pPr>
                <w:r>
                  <w:rPr>
                    <w:szCs w:val="24"/>
                  </w:rPr>
                  <w:t>Pulmonologas</w:t>
                </w:r>
                <w:r>
                  <w:rPr>
                    <w:szCs w:val="24"/>
                    <w:lang w:val="en-US"/>
                  </w:rPr>
                  <w:t>*</w:t>
                </w:r>
                <w:r>
                  <w:rPr>
                    <w:szCs w:val="24"/>
                  </w:rPr>
                  <w:t xml:space="preserve"> arba neurologas* tikrina, jei siunčia šeimos gydytojas, esant įtarimui dėl OMA. </w:t>
                </w:r>
              </w:p>
            </w:tc>
            <w:tc>
              <w:tcPr>
                <w:tcW w:w="1507" w:type="pct"/>
                <w:vMerge w:val="restar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w:t>
                  </w:r>
                  <w:r>
                    <w:rPr>
                      <w:i/>
                      <w:szCs w:val="24"/>
                    </w:rPr>
                    <w:t xml:space="preserve"> </w:t>
                  </w:r>
                  <w:r>
                    <w:rPr>
                      <w:szCs w:val="24"/>
                    </w:rPr>
                    <w:t>m</w:t>
                  </w:r>
                </w:smartTag>
                <w:r>
                  <w:rPr>
                    <w:szCs w:val="24"/>
                  </w:rPr>
                  <w:t>.). Jei regėjimas neatitinka regėjimo lauko arba regėjimo aštrumo standarto – regėjimo prieblandoje, jautrumo ryškiai šviesai, kontrastinio jautrumo tyrimas.</w:t>
                </w:r>
              </w:p>
              <w:p>
                <w:pPr>
                  <w:rPr>
                    <w:szCs w:val="24"/>
                  </w:rPr>
                </w:pPr>
                <w:r>
                  <w:rPr>
                    <w:szCs w:val="24"/>
                  </w:rPr>
                  <w:t>Klausos</w:t>
                </w:r>
                <w:r>
                  <w:rPr>
                    <w:i/>
                    <w:szCs w:val="24"/>
                  </w:rPr>
                  <w:t xml:space="preserve"> </w:t>
                </w:r>
                <w:r>
                  <w:rPr>
                    <w:szCs w:val="24"/>
                  </w:rPr>
                  <w:t>– šnabždesiu abipus, vestibulinės funkcijos tyrimai. EKG, psichologinės atrankos, reakcijos ir kiti tyrimai (gydytojui skyrus).</w:t>
                </w:r>
              </w:p>
              <w:p>
                <w:pPr>
                  <w:rPr>
                    <w:sz w:val="18"/>
                    <w:szCs w:val="18"/>
                  </w:rPr>
                </w:pPr>
              </w:p>
              <w:p>
                <w:pPr>
                  <w:rPr>
                    <w:szCs w:val="24"/>
                  </w:rPr>
                </w:pPr>
                <w:r>
                  <w:rPr>
                    <w:szCs w:val="24"/>
                  </w:rPr>
                  <w:t xml:space="preserve">Viso nakties miego laikotarpio respiracinė poligrafija ir / ar polisomnografija ir kiti tyrimai (pulmonologui ar neurologui skyrus). </w:t>
                </w:r>
              </w:p>
            </w:tc>
          </w:tr>
          <w:tr>
            <w:trPr>
              <w:trHeight w:val="20"/>
            </w:trPr>
            <w:tc>
              <w:tcPr>
                <w:tcW w:w="928" w:type="pct"/>
              </w:tcPr>
              <w:p>
                <w:pPr>
                  <w:rPr>
                    <w:szCs w:val="24"/>
                  </w:rPr>
                </w:pPr>
                <w:r>
                  <w:rPr>
                    <w:szCs w:val="24"/>
                  </w:rPr>
                  <w:t>1.1. asmenys iki 55 metų</w:t>
                </w:r>
              </w:p>
            </w:tc>
            <w:tc>
              <w:tcPr>
                <w:tcW w:w="778" w:type="pct"/>
              </w:tcPr>
              <w:p>
                <w:pPr>
                  <w:rPr>
                    <w:szCs w:val="24"/>
                  </w:rPr>
                </w:pPr>
                <w:r>
                  <w:rPr>
                    <w:szCs w:val="24"/>
                  </w:rPr>
                  <w:t>1 kartą per 10 metų</w:t>
                </w:r>
              </w:p>
            </w:tc>
            <w:tc>
              <w:tcPr>
                <w:tcW w:w="857" w:type="pct"/>
                <w:vMerge/>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1.2. asmenys nuo 56 iki 69 metų</w:t>
                </w:r>
              </w:p>
              <w:p>
                <w:pPr>
                  <w:rPr>
                    <w:sz w:val="18"/>
                    <w:szCs w:val="18"/>
                  </w:rPr>
                </w:pPr>
              </w:p>
              <w:p>
                <w:pPr>
                  <w:rPr>
                    <w:szCs w:val="24"/>
                  </w:rPr>
                </w:pPr>
              </w:p>
              <w:p>
                <w:pPr>
                  <w:rPr>
                    <w:sz w:val="18"/>
                    <w:szCs w:val="18"/>
                  </w:rPr>
                </w:pPr>
              </w:p>
              <w:p>
                <w:pPr>
                  <w:rPr>
                    <w:szCs w:val="24"/>
                  </w:rPr>
                </w:pPr>
              </w:p>
            </w:tc>
            <w:tc>
              <w:tcPr>
                <w:tcW w:w="778" w:type="pct"/>
              </w:tcPr>
              <w:p>
                <w:pPr>
                  <w:rPr>
                    <w:szCs w:val="24"/>
                  </w:rPr>
                </w:pPr>
                <w:r>
                  <w:rPr>
                    <w:szCs w:val="24"/>
                  </w:rPr>
                  <w:t>1 kartą per 5 metus</w:t>
                </w:r>
              </w:p>
              <w:p>
                <w:pPr>
                  <w:rPr>
                    <w:sz w:val="18"/>
                    <w:szCs w:val="18"/>
                  </w:rPr>
                </w:pPr>
              </w:p>
              <w:p>
                <w:pPr>
                  <w:rPr>
                    <w:szCs w:val="24"/>
                  </w:rPr>
                </w:pPr>
              </w:p>
              <w:p>
                <w:pPr>
                  <w:rPr>
                    <w:sz w:val="18"/>
                    <w:szCs w:val="18"/>
                  </w:rPr>
                </w:pPr>
              </w:p>
              <w:p>
                <w:pPr>
                  <w:rPr>
                    <w:szCs w:val="24"/>
                  </w:rPr>
                </w:pPr>
              </w:p>
            </w:tc>
            <w:tc>
              <w:tcPr>
                <w:tcW w:w="857" w:type="pct"/>
                <w:vMerge/>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1.3. asmenys nuo 70 iki 79 metų</w:t>
                </w:r>
              </w:p>
            </w:tc>
            <w:tc>
              <w:tcPr>
                <w:tcW w:w="778" w:type="pct"/>
              </w:tcPr>
              <w:p>
                <w:pPr>
                  <w:rPr>
                    <w:szCs w:val="24"/>
                  </w:rPr>
                </w:pPr>
                <w:r>
                  <w:rPr>
                    <w:szCs w:val="24"/>
                  </w:rPr>
                  <w:t>1 kartą per 2 metus</w:t>
                </w:r>
              </w:p>
            </w:tc>
            <w:tc>
              <w:tcPr>
                <w:tcW w:w="857" w:type="pct"/>
                <w:vMerge/>
                <w:vAlign w:val="center"/>
              </w:tcPr>
              <w:p>
                <w:pPr>
                  <w:jc w:val="center"/>
                  <w:rPr>
                    <w:szCs w:val="24"/>
                  </w:rPr>
                </w:pPr>
              </w:p>
            </w:tc>
            <w:tc>
              <w:tcPr>
                <w:tcW w:w="930" w:type="pct"/>
                <w:vMerge w:val="restart"/>
                <w:vAlign w:val="center"/>
              </w:tcPr>
              <w:p>
                <w:pPr>
                  <w:rPr>
                    <w:szCs w:val="24"/>
                  </w:rPr>
                </w:pPr>
                <w:r>
                  <w:rPr>
                    <w:szCs w:val="24"/>
                  </w:rPr>
                  <w:t>Oftalmologas, otorinolaringolo-gas, neurologas.</w:t>
                </w:r>
              </w:p>
              <w:p>
                <w:pPr>
                  <w:jc w:val="both"/>
                  <w:rPr>
                    <w:szCs w:val="24"/>
                  </w:rPr>
                </w:pPr>
                <w:r>
                  <w:rPr>
                    <w:szCs w:val="24"/>
                  </w:rPr>
                  <w:t>Pulmonologas</w:t>
                </w:r>
                <w:r>
                  <w:rPr>
                    <w:szCs w:val="24"/>
                    <w:lang w:val="en-US"/>
                  </w:rPr>
                  <w:t>*</w:t>
                </w:r>
                <w:r>
                  <w:rPr>
                    <w:szCs w:val="24"/>
                  </w:rPr>
                  <w:t xml:space="preserve"> arba neurologas* tikrina, jei siunčia šeimos gydytojas, esant įtarimui dėl OMA.</w:t>
                </w:r>
              </w:p>
            </w:tc>
            <w:tc>
              <w:tcPr>
                <w:tcW w:w="1507" w:type="pct"/>
                <w:vMerge/>
                <w:vAlign w:val="center"/>
              </w:tcPr>
              <w:p>
                <w:pPr>
                  <w:rPr>
                    <w:szCs w:val="24"/>
                  </w:rPr>
                </w:pPr>
              </w:p>
            </w:tc>
          </w:tr>
          <w:tr>
            <w:trPr>
              <w:trHeight w:val="20"/>
            </w:trPr>
            <w:tc>
              <w:tcPr>
                <w:tcW w:w="928" w:type="pct"/>
                <w:vAlign w:val="center"/>
              </w:tcPr>
              <w:p>
                <w:pPr>
                  <w:rPr>
                    <w:szCs w:val="24"/>
                  </w:rPr>
                </w:pPr>
                <w:r>
                  <w:rPr>
                    <w:szCs w:val="24"/>
                  </w:rPr>
                  <w:t>1.4. asmenys nuo 80 metų</w:t>
                </w:r>
              </w:p>
            </w:tc>
            <w:tc>
              <w:tcPr>
                <w:tcW w:w="778" w:type="pct"/>
                <w:vAlign w:val="center"/>
              </w:tcPr>
              <w:p>
                <w:pPr>
                  <w:rPr>
                    <w:szCs w:val="24"/>
                  </w:rPr>
                </w:pPr>
                <w:r>
                  <w:rPr>
                    <w:szCs w:val="24"/>
                  </w:rPr>
                  <w:t>kasmet</w:t>
                </w:r>
              </w:p>
            </w:tc>
            <w:tc>
              <w:tcPr>
                <w:tcW w:w="857" w:type="pct"/>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2. 2 grupės vairuotojai, dirbantys galimos profesinės rizikos sąlygomis (veikiami kenksmingų veiksnių)</w:t>
                </w:r>
              </w:p>
            </w:tc>
            <w:tc>
              <w:tcPr>
                <w:tcW w:w="778" w:type="pct"/>
                <w:vMerge w:val="restart"/>
              </w:tcPr>
              <w:p>
                <w:pPr>
                  <w:rPr>
                    <w:szCs w:val="24"/>
                  </w:rPr>
                </w:pPr>
                <w:r>
                  <w:rPr>
                    <w:szCs w:val="24"/>
                  </w:rPr>
                  <w:t>1 kartą per 2 metus</w:t>
                </w: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 psichologinės atrankos, reakcijos ir kiti tyrimai (gydytojui skyrus).</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Asmenų, dirbančių aplinkoje, kurioje galima profesinė rizika (kenksmingų veiksnių poveikis ir (ar) pavojingas darbas), privalomo sveikatos tikrinimo tvarkos aprašu (13 priedas), patvirtintu Lietuvos Respublikоs sveikatos apsaugos ministro </w:t>
                </w:r>
                <w:smartTag w:uri="urn:schemas-microsoft-com:office:smarttags" w:element="metricconverter">
                  <w:smartTagPr>
                    <w:attr w:name="ProductID" w:val="2000 m"/>
                  </w:smartTagPr>
                  <w:r>
                    <w:rPr>
                      <w:szCs w:val="24"/>
                    </w:rPr>
                    <w:t>2000 m</w:t>
                  </w:r>
                </w:smartTag>
                <w:r>
                  <w:rPr>
                    <w:szCs w:val="24"/>
                  </w:rPr>
                  <w:t xml:space="preserve">. gegužės 31 d. įsakymu Nr. 301 „Dėl profilaktinių sveikatos tikrinimų sveikatos priežiūros įstaigose patvirtinimo“ (toliau –  13 priedas).</w:t>
                </w:r>
              </w:p>
            </w:tc>
          </w:tr>
          <w:tr>
            <w:trPr>
              <w:trHeight w:val="20"/>
            </w:trPr>
            <w:tc>
              <w:tcPr>
                <w:tcW w:w="928" w:type="pct"/>
              </w:tcPr>
              <w:p>
                <w:pPr>
                  <w:rPr>
                    <w:szCs w:val="24"/>
                  </w:rPr>
                </w:pPr>
                <w:r>
                  <w:rPr>
                    <w:szCs w:val="24"/>
                  </w:rPr>
                  <w:t>2.1. automobilių ir vikšrinių kranų kranininkai</w:t>
                </w:r>
              </w:p>
            </w:tc>
            <w:tc>
              <w:tcPr>
                <w:tcW w:w="778" w:type="pct"/>
                <w:vMerge/>
              </w:tcPr>
              <w:p>
                <w:pPr>
                  <w:rPr>
                    <w:szCs w:val="24"/>
                  </w:rPr>
                </w:pP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5930"/>
            </w:trPr>
            <w:tc>
              <w:tcPr>
                <w:tcW w:w="928" w:type="pct"/>
              </w:tcPr>
              <w:p>
                <w:pPr>
                  <w:rPr>
                    <w:szCs w:val="24"/>
                  </w:rPr>
                </w:pPr>
                <w:r>
                  <w:rPr>
                    <w:szCs w:val="24"/>
                  </w:rPr>
                  <w:t>2.2. dirbantieji kitomis kenksmingomis sveikatai sąlygomis (triukšmas, vibracija, oro ir darbo aplinkos temperatūra, kiti veiksniai)</w:t>
                </w:r>
              </w:p>
            </w:tc>
            <w:tc>
              <w:tcPr>
                <w:tcW w:w="778" w:type="pct"/>
                <w:vMerge/>
                <w:vAlign w:val="center"/>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61"/>
            </w:trPr>
            <w:tc>
              <w:tcPr>
                <w:tcW w:w="928" w:type="pct"/>
                <w:tcBorders>
                  <w:top w:val="single" w:sz="4" w:space="0" w:color="auto"/>
                  <w:left w:val="single" w:sz="4" w:space="0" w:color="auto"/>
                </w:tcBorders>
              </w:tcPr>
              <w:p>
                <w:pPr>
                  <w:rPr>
                    <w:szCs w:val="24"/>
                  </w:rPr>
                </w:pPr>
                <w:r>
                  <w:rPr>
                    <w:szCs w:val="24"/>
                  </w:rPr>
                  <w:t>3. Vairuotojai, dirbantys didelės grėsmės žmonių sveikatai ir gyvybei sąlygomis:</w:t>
                </w:r>
              </w:p>
              <w:p>
                <w:pPr>
                  <w:rPr>
                    <w:sz w:val="18"/>
                    <w:szCs w:val="18"/>
                  </w:rPr>
                </w:pPr>
              </w:p>
              <w:p>
                <w:pPr>
                  <w:rPr>
                    <w:szCs w:val="24"/>
                  </w:rPr>
                </w:pPr>
                <w:r>
                  <w:rPr>
                    <w:szCs w:val="24"/>
                  </w:rPr>
                  <w:t>3.1. automobilių, skirtų keleiviams vežti – autobusų, mikroautobusų, autofurgonų su krovininių automobilių važiuokle ir turinčių daugiau kaip aštuonias sėdimas vietas (be vairuotojo) vairuotojai;</w:t>
                </w:r>
              </w:p>
              <w:p>
                <w:pPr>
                  <w:rPr>
                    <w:sz w:val="18"/>
                    <w:szCs w:val="18"/>
                  </w:rPr>
                </w:pPr>
              </w:p>
              <w:p>
                <w:pPr>
                  <w:rPr>
                    <w:szCs w:val="24"/>
                  </w:rPr>
                </w:pPr>
                <w:r>
                  <w:rPr>
                    <w:szCs w:val="24"/>
                  </w:rPr>
                  <w:t xml:space="preserve">3.2. automobilių, skirtų kroviniams vežti, šių transporto priemonių su priekabomis, kurių didžiausioji leidžiamoji masė didesnė kaip </w:t>
                </w:r>
                <w:smartTag w:uri="urn:schemas-microsoft-com:office:smarttags" w:element="metricconverter">
                  <w:smartTagPr>
                    <w:attr w:name="ProductID" w:val="750 kg"/>
                  </w:smartTagPr>
                  <w:r>
                    <w:rPr>
                      <w:szCs w:val="24"/>
                    </w:rPr>
                    <w:t>750 kg</w:t>
                  </w:r>
                </w:smartTag>
                <w:r>
                  <w:rPr>
                    <w:szCs w:val="24"/>
                  </w:rPr>
                  <w:t>, jų kategorijoms priskiriamų vilkikų vairuotojai;</w:t>
                </w:r>
              </w:p>
              <w:p>
                <w:pPr>
                  <w:rPr>
                    <w:sz w:val="18"/>
                    <w:szCs w:val="18"/>
                  </w:rPr>
                </w:pPr>
              </w:p>
              <w:p>
                <w:pPr>
                  <w:rPr>
                    <w:szCs w:val="24"/>
                  </w:rPr>
                </w:pPr>
                <w:r>
                  <w:rPr>
                    <w:szCs w:val="24"/>
                  </w:rPr>
                  <w:t>3.3. B kategorijos transporto priemonių ir naudojantys vairuotojo pažymėjimą profesiniams tikslams (lengvieji taksi automobiliai, greitosios pagalbos automobiliai ir pan.) vairuotojai;</w:t>
                </w:r>
              </w:p>
              <w:p>
                <w:pPr>
                  <w:rPr>
                    <w:sz w:val="18"/>
                    <w:szCs w:val="18"/>
                  </w:rPr>
                </w:pPr>
              </w:p>
              <w:p>
                <w:pPr>
                  <w:rPr>
                    <w:szCs w:val="24"/>
                  </w:rPr>
                </w:pPr>
                <w:r>
                  <w:rPr>
                    <w:szCs w:val="24"/>
                  </w:rPr>
                  <w:t>3.4. motorinių transporto priemonių (troleibusų – T) vairuotojai.</w:t>
                </w:r>
              </w:p>
              <w:p>
                <w:pPr>
                  <w:rPr>
                    <w:sz w:val="18"/>
                    <w:szCs w:val="18"/>
                  </w:rPr>
                </w:pPr>
              </w:p>
              <w:p>
                <w:pPr>
                  <w:rPr>
                    <w:szCs w:val="24"/>
                  </w:rPr>
                </w:pPr>
                <w:r>
                  <w:rPr>
                    <w:szCs w:val="24"/>
                  </w:rPr>
                  <w:t>4. Traktorių ir savaeigių mašinų vairuotojai, dirbantys pagal darbo sutartis.</w:t>
                </w:r>
              </w:p>
            </w:tc>
            <w:tc>
              <w:tcPr>
                <w:tcW w:w="778" w:type="pct"/>
              </w:tcPr>
              <w:p>
                <w:pPr>
                  <w:rPr>
                    <w:szCs w:val="24"/>
                  </w:rPr>
                </w:pPr>
                <w:r>
                  <w:rPr>
                    <w:szCs w:val="24"/>
                  </w:rPr>
                  <w:t>1 kartą per 2 metus</w:t>
                </w:r>
              </w:p>
              <w:p>
                <w:pPr>
                  <w:rPr>
                    <w:sz w:val="18"/>
                    <w:szCs w:val="18"/>
                  </w:rPr>
                </w:pPr>
              </w:p>
              <w:p>
                <w:pPr>
                  <w:rPr>
                    <w:szCs w:val="24"/>
                  </w:rPr>
                </w:pPr>
              </w:p>
            </w:tc>
            <w:tc>
              <w:tcPr>
                <w:tcW w:w="857" w:type="pct"/>
              </w:tcPr>
              <w:p>
                <w:pPr>
                  <w:rPr>
                    <w:szCs w:val="24"/>
                  </w:rPr>
                </w:pPr>
                <w:r>
                  <w:rPr>
                    <w:szCs w:val="24"/>
                  </w:rPr>
                  <w:t>Šeimos gydytojas, psichiatras (pagal pasirinktą SPĮ) ar vidaus ligų gydytojas, psichiatras (pagal pasirinktą SPĮ)</w:t>
                </w:r>
              </w:p>
            </w:tc>
            <w:tc>
              <w:tcPr>
                <w:tcW w:w="930" w:type="pc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p>
                <w:pPr>
                  <w:rPr>
                    <w:sz w:val="18"/>
                    <w:szCs w:val="18"/>
                  </w:rPr>
                </w:pPr>
              </w:p>
              <w:p>
                <w:pPr>
                  <w:ind w:firstLine="60"/>
                  <w:rPr>
                    <w:szCs w:val="24"/>
                  </w:rPr>
                </w:pPr>
              </w:p>
            </w:tc>
            <w:tc>
              <w:tcPr>
                <w:tcW w:w="1507" w:type="pc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 Klausos – šnabždesiu abipus, audiograma – esant indikacijų, vestibulinės funkcijos tyrimai.</w:t>
                </w:r>
              </w:p>
              <w:p>
                <w:pPr>
                  <w:rPr>
                    <w:sz w:val="18"/>
                    <w:szCs w:val="18"/>
                  </w:rPr>
                </w:pPr>
              </w:p>
              <w:p>
                <w:pPr>
                  <w:rPr>
                    <w:szCs w:val="24"/>
                  </w:rPr>
                </w:pPr>
                <w:r>
                  <w:rPr>
                    <w:szCs w:val="24"/>
                  </w:rPr>
                  <w:t>Krūtinės ląstos rentgenograma – jei nėra atlikta per dvejus metus, EKG, psichologinės atrankos ir kiti tyrimai (gydytojui skyrus).</w:t>
                </w:r>
              </w:p>
              <w:p>
                <w:pPr>
                  <w:rPr>
                    <w:sz w:val="18"/>
                    <w:szCs w:val="18"/>
                  </w:rPr>
                </w:pPr>
              </w:p>
              <w:p>
                <w:pPr>
                  <w:rPr>
                    <w:szCs w:val="24"/>
                  </w:rPr>
                </w:pPr>
                <w:r>
                  <w:rPr>
                    <w:szCs w:val="24"/>
                  </w:rPr>
                  <w:t xml:space="preserve">Viso nakties miego laikotarpio respiracinė poligrafija ir / ar polisomnografija ir kiti tyrimai (pulmonologui arba neurologui skyrus).  </w:t>
                </w:r>
              </w:p>
              <w:p>
                <w:pPr>
                  <w:rPr>
                    <w:sz w:val="18"/>
                    <w:szCs w:val="18"/>
                  </w:rPr>
                </w:pPr>
              </w:p>
              <w:p>
                <w:pPr>
                  <w:rPr>
                    <w:szCs w:val="24"/>
                  </w:rPr>
                </w:pPr>
                <w:r>
                  <w:rPr>
                    <w:szCs w:val="24"/>
                  </w:rPr>
                  <w:t xml:space="preserve">Kiti tyrimai ir konsultacijos atliekami vadovaujantis  13 priedu.</w:t>
                </w:r>
              </w:p>
            </w:tc>
          </w:tr>
          <w:tr>
            <w:trPr>
              <w:trHeight w:val="20"/>
            </w:trPr>
            <w:tc>
              <w:tcPr>
                <w:tcW w:w="928" w:type="pct"/>
              </w:tcPr>
              <w:p>
                <w:pPr>
                  <w:rPr>
                    <w:szCs w:val="24"/>
                  </w:rPr>
                </w:pPr>
                <w:r>
                  <w:rPr>
                    <w:szCs w:val="24"/>
                  </w:rPr>
                  <w:t>5. Traktorių ir savaeigių mašinų vairuotojai, nenumatyti 4 punkte:</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tyrimai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13 priedu. </w:t>
                </w:r>
              </w:p>
            </w:tc>
          </w:tr>
          <w:tr>
            <w:trPr>
              <w:trHeight w:val="20"/>
            </w:trPr>
            <w:tc>
              <w:tcPr>
                <w:tcW w:w="928" w:type="pct"/>
              </w:tcPr>
              <w:p>
                <w:pPr>
                  <w:rPr>
                    <w:szCs w:val="24"/>
                  </w:rPr>
                </w:pPr>
                <w:r>
                  <w:rPr>
                    <w:szCs w:val="24"/>
                  </w:rPr>
                  <w:t>5.1. asmenys iki 59 metų amžiaus</w:t>
                </w:r>
              </w:p>
            </w:tc>
            <w:tc>
              <w:tcPr>
                <w:tcW w:w="778" w:type="pct"/>
              </w:tcPr>
              <w:p>
                <w:pPr>
                  <w:rPr>
                    <w:szCs w:val="24"/>
                  </w:rPr>
                </w:pPr>
                <w:r>
                  <w:rPr>
                    <w:szCs w:val="24"/>
                  </w:rPr>
                  <w:t>1 kartą per 5 metus</w:t>
                </w: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20"/>
            </w:trPr>
            <w:tc>
              <w:tcPr>
                <w:tcW w:w="928" w:type="pct"/>
              </w:tcPr>
              <w:p>
                <w:pPr>
                  <w:rPr>
                    <w:szCs w:val="24"/>
                  </w:rPr>
                </w:pPr>
                <w:r>
                  <w:rPr>
                    <w:szCs w:val="24"/>
                  </w:rPr>
                  <w:t>5.2. asmenys nuo 60 iki 70 metų amžiaus</w:t>
                </w:r>
              </w:p>
            </w:tc>
            <w:tc>
              <w:tcPr>
                <w:tcW w:w="778" w:type="pct"/>
              </w:tcPr>
              <w:p>
                <w:pPr>
                  <w:rPr>
                    <w:szCs w:val="24"/>
                  </w:rPr>
                </w:pPr>
                <w:r>
                  <w:rPr>
                    <w:szCs w:val="24"/>
                  </w:rPr>
                  <w:t>1 kartą per 2 metus</w:t>
                </w:r>
              </w:p>
            </w:tc>
            <w:tc>
              <w:tcPr>
                <w:tcW w:w="857" w:type="pct"/>
                <w:vMerge/>
              </w:tcPr>
              <w:p>
                <w:pPr>
                  <w:rPr>
                    <w:szCs w:val="24"/>
                  </w:rPr>
                </w:pPr>
              </w:p>
            </w:tc>
            <w:tc>
              <w:tcPr>
                <w:tcW w:w="930" w:type="pct"/>
                <w:vMerge/>
              </w:tcPr>
              <w:p>
                <w:pP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5.3. asmenys nuo 70 metų amžiaus</w:t>
                </w:r>
              </w:p>
            </w:tc>
            <w:tc>
              <w:tcPr>
                <w:tcW w:w="778" w:type="pct"/>
              </w:tcPr>
              <w:p>
                <w:pPr>
                  <w:rPr>
                    <w:szCs w:val="24"/>
                  </w:rPr>
                </w:pPr>
                <w:r>
                  <w:rPr>
                    <w:szCs w:val="24"/>
                  </w:rPr>
                  <w:t>1 kartą per 1 metus</w:t>
                </w: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
            </w:trPr>
            <w:tc>
              <w:tcPr>
                <w:tcW w:w="928" w:type="pct"/>
              </w:tcPr>
              <w:p>
                <w:pPr>
                  <w:rPr>
                    <w:szCs w:val="24"/>
                  </w:rPr>
                </w:pPr>
              </w:p>
            </w:tc>
            <w:tc>
              <w:tcPr>
                <w:tcW w:w="778" w:type="pct"/>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bl>
        <w:p/>
        <w:p>
          <w:pPr>
            <w:spacing w:line="276" w:lineRule="auto"/>
            <w:jc w:val="both"/>
          </w:pPr>
          <w:r>
            <w:rPr>
              <w:szCs w:val="24"/>
            </w:rPr>
            <w:t>* įstaigose, kurios turi galimybę ir licenciją atlikti reikiamus tyrimus OMA diagnozei patvirtinti arba paneigti ir geba vertinti gydymo efektyvumą.</w:t>
          </w: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lentele"/>
        <w:tag w:val="part_ddcc24f42f904bf2be6b0a71cb6b7ac0"/>
        <w:lock w:val="sdtLocked"/>
        <w:richText/>
      </w:sdtPr>
      <w:sdtContent>
        <w:p>
          <w:pPr>
            <w:jc w:val="right"/>
            <w:sectPr>
              <w:pgSz w:w="11907" w:h="16840" w:code="9"/>
              <w:pgMar w:top="1134" w:right="1134" w:bottom="1134" w:left="1079" w:header="567" w:footer="567" w:gutter="0"/>
              <w:pgNumType w:start="1"/>
              <w:cols w:space="1296"/>
              <w:titlePg/>
              <w:docGrid w:linePitch="360"/>
            </w:sectPr>
          </w:pPr>
        </w:p>
        <w:p>
          <w:pPr>
            <w:jc w:val="right"/>
          </w:pPr>
          <w:sdt>
            <w:sdtPr>
              <w:alias w:val="Numeris"/>
              <w:tag w:val="nr_ddcc24f42f904bf2be6b0a71cb6b7ac0"/>
              <w:lock w:val="sdtLocked"/>
              <w:richText/>
            </w:sdtPr>
            <w:sdtContent>
              <w:r>
                <w:rPr>
                  <w:bCs/>
                </w:rPr>
                <w:t>2</w:t>
              </w:r>
            </w:sdtContent>
          </w:sdt>
          <w:r>
            <w:rPr>
              <w:bCs/>
            </w:rPr>
            <w:t xml:space="preserve"> </w:t>
          </w:r>
          <w:r>
            <w:t>lentelė</w:t>
          </w:r>
        </w:p>
        <w:p>
          <w:pPr>
            <w:jc w:val="both"/>
            <w:rPr>
              <w:bCs/>
            </w:rPr>
          </w:pPr>
        </w:p>
        <w:p>
          <w:pPr>
            <w:jc w:val="center"/>
            <w:rPr>
              <w:b/>
              <w:bCs/>
            </w:rPr>
          </w:pPr>
          <w:sdt>
            <w:sdtPr>
              <w:alias w:val="Pavadinimas"/>
              <w:tag w:val="title_ddcc24f42f904bf2be6b0a71cb6b7ac0"/>
              <w:lock w:val="sdtLocked"/>
              <w:richText/>
            </w:sdtPr>
            <w:sdtContent>
              <w:r>
                <w:rPr>
                  <w:b/>
                  <w:bCs/>
                </w:rPr>
                <w:t>TRANSPORTO PRIEMONIŲ KATEGORIJOS, MINIMALUS VAIRUOTOJŲ AMŽIUS</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1510"/>
            <w:gridCol w:w="6139"/>
            <w:gridCol w:w="7091"/>
          </w:tblGrid>
          <w:tr>
            <w:trPr>
              <w:cantSplit/>
              <w:trHeight w:val="23"/>
              <w:tblHeader/>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Transporto priemonių kategorija</w:t>
                </w:r>
              </w:p>
            </w:tc>
            <w:tc>
              <w:tcPr>
                <w:tcW w:w="613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Pagrindiniai duomenys</w:t>
                </w:r>
              </w:p>
            </w:tc>
            <w:tc>
              <w:tcPr>
                <w:tcW w:w="70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Minimalus amžius, nuo kurio leidžiama įgyti teisę vairuoti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AM</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Mopedai ir lengvieji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kurių variklio darbinis tūris didesnis kaip 50 cm</w:t>
                </w:r>
                <w:r>
                  <w:rPr>
                    <w:sz w:val="22"/>
                    <w:vertAlign w:val="superscript"/>
                  </w:rPr>
                  <w:t>3</w:t>
                </w:r>
                <w:r>
                  <w:rPr>
                    <w:sz w:val="22"/>
                  </w:rPr>
                  <w:t>, bet ne didesnis kaip 125 cm</w:t>
                </w:r>
                <w:r>
                  <w:rPr>
                    <w:sz w:val="22"/>
                    <w:vertAlign w:val="superscript"/>
                  </w:rPr>
                  <w:t>3</w:t>
                </w:r>
                <w:r>
                  <w:rPr>
                    <w:sz w:val="22"/>
                  </w:rPr>
                  <w:t xml:space="preserve"> ir jų galia neviršija 11 kW</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su šonine priekaba arba be jos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(teisė vairuoti motociklus, kurių galia didesnė kaip 25 kW arba galios ir svorio santykis didesnis kaip 0,16 kW/kg, bei motociklus su šonine priekaba, kurių galios ir svorio santykis viršija 0,16 kW/kg, suteikiama tik turint ne trumpesnį kaip dvejų metų motociklų su žemesnėmis charakteristikomis vairavimo patirtį)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tabs>
                    <w:tab w:val="left" w:pos="916"/>
                  </w:tabs>
                  <w:spacing w:line="276" w:lineRule="auto"/>
                  <w:jc w:val="center"/>
                  <w:rPr>
                    <w:color w:val="000000"/>
                    <w:sz w:val="22"/>
                    <w:szCs w:val="22"/>
                    <w:lang w:eastAsia="lt-LT"/>
                  </w:rPr>
                </w:pPr>
                <w:r>
                  <w:rPr>
                    <w:color w:val="000000"/>
                    <w:sz w:val="22"/>
                    <w:szCs w:val="22"/>
                    <w:lang w:eastAsia="lt-LT"/>
                  </w:rPr>
                  <w:t>A2</w:t>
                </w:r>
              </w:p>
            </w:tc>
            <w:tc>
              <w:tcPr>
                <w:tcW w:w="6139"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color w:val="000000"/>
                    <w:sz w:val="22"/>
                    <w:szCs w:val="22"/>
                    <w:lang w:eastAsia="lt-LT"/>
                  </w:rPr>
                </w:pPr>
                <w:r>
                  <w:rPr>
                    <w:sz w:val="22"/>
                    <w:szCs w:val="22"/>
                  </w:rPr>
                  <w:t>Motociklai, kurių galia ne didesnė kaip 35 kW, galios ir svorio santykis ne didesnis kaip 0,2 kW/kg ir kurie nėra kilę iš daugiau kaip du kartus galingesnės transporto priemonės</w:t>
                </w:r>
              </w:p>
            </w:tc>
            <w:tc>
              <w:tcPr>
                <w:tcW w:w="7091"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strike/>
                    <w:color w:val="000000"/>
                    <w:sz w:val="22"/>
                    <w:szCs w:val="22"/>
                    <w:lang w:eastAsia="lt-LT"/>
                  </w:rPr>
                </w:pPr>
                <w:r>
                  <w:rPr>
                    <w:sz w:val="22"/>
                    <w:szCs w:val="22"/>
                    <w:lang w:eastAsia="lt-LT"/>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Triračiai ar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kurių didžiausia leidžiama masė ne didesnė kaip 3 500 kg ir kurie turi ne daugiau kaip aštuonias sėdimas vietas be vairuotojo vietos; šie automobiliai gali būti sujungti su priekaba, kurios didžiausia leidžiama masė ne didesnė kaip 750 kg; šie automobiliai taip pat gali būti sujungti su priekaba, kurios didžiausia leidžiama masė didesnė kaip 750 kg, tačiau junginio didžiausia leidžiama masė turi būti ne didesnė kaip 3 500 kg, o priekabos didžiausia leidžiama masė turi būti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B kategorijos automobilio ir priekabos, kurios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Cl</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Dl ir D kategorijoms ir kurių didžiausia leidžiama masė didesnė kaip 3 500 kg, bet ne didesnė kaip 7 500 kg;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Cl kategorijos automobilių ir priekabų, kurių didžiausia leidžiama masė didesnė kaip 750 kg, junginiai; šių junginių didžiausia leidžiama masė turi būti ne didesnė kaip 12 000 kg, o priekabos didžiausia leidžiama masė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D1 ir D kategorijoms ir kurių didžiausia leidžiama masė didesnė kaip 3 500 kg; šios kategorijos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bet ne daugiau kaip šešiolika sėdimų vietų be vairuotojo vietos;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Dl kategorijos automobilių ir priekabų, kurių didžiausia leidžiama masė didesnė kaip 750 kg, junginiai; šių junginių didžiausia leidžiama masė ne didesnė kaip 12 000 kg bei priekabos didžiausia leidžiama masė ne didesnė už automobilio masę be krovinio ir ji nenaudojama keleiviams vežti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sėdimas vietas be vairuotojo vietos; šie automobiliai gali būti sujungti su priekaba, kurios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Troleibusai, tai yra nebėginės transporto priemonės, sujungtos su išoriniu elektros šaltiniu</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1 kategorijos traktoriai</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iki 60 kW variklio galios traktoriai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w:t>
                </w:r>
                <w:r>
                  <w:rPr>
                    <w:i/>
                    <w:sz w:val="22"/>
                  </w:rPr>
                  <w:t xml:space="preserve"> </w:t>
                </w:r>
                <w:r>
                  <w:rPr>
                    <w:sz w:val="22"/>
                  </w:rPr>
                  <w:t>metų (be teisės važiuoti keliais, kol sukaks 16</w:t>
                </w:r>
                <w:r>
                  <w:rPr>
                    <w:i/>
                    <w:sz w:val="22"/>
                  </w:rPr>
                  <w:t xml:space="preserve"> </w:t>
                </w:r>
                <w:r>
                  <w:rPr>
                    <w:sz w:val="22"/>
                  </w:rPr>
                  <w:t>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2 kategorijos traktoriai ir savaeigės mašinos</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60 kW arba didesnės variklio galios traktoriai ir savaeigės mašinos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17 metų</w:t>
                </w:r>
              </w:p>
            </w:tc>
          </w:tr>
        </w:tbl>
        <w:p>
          <w:pPr>
            <w:jc w:val="both"/>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lentele"/>
        <w:tag w:val="part_e950408d9c76469d9e0c98fd7189996e"/>
        <w:lock w:val="sdtLocked"/>
        <w:richText/>
      </w:sdtPr>
      <w:sdtContent>
        <w:p>
          <w:pPr>
            <w:jc w:val="right"/>
            <w:sectPr>
              <w:pgSz w:w="16840" w:h="11907" w:orient="landscape" w:code="9"/>
              <w:pgMar w:top="1079" w:right="1134" w:bottom="1134" w:left="1134" w:header="567" w:footer="567" w:gutter="0"/>
              <w:pgNumType w:start="1"/>
              <w:cols w:space="1296"/>
              <w:titlePg/>
              <w:docGrid w:linePitch="360"/>
            </w:sectPr>
          </w:pPr>
        </w:p>
        <w:p>
          <w:pPr>
            <w:jc w:val="right"/>
          </w:pPr>
          <w:sdt>
            <w:sdtPr>
              <w:alias w:val="Numeris"/>
              <w:tag w:val="nr_e950408d9c76469d9e0c98fd7189996e"/>
              <w:lock w:val="sdtLocked"/>
              <w:richText/>
            </w:sdtPr>
            <w:sdtContent>
              <w:r>
                <w:t>3</w:t>
              </w:r>
            </w:sdtContent>
          </w:sdt>
          <w:r>
            <w:t xml:space="preserve"> lentelė</w:t>
          </w:r>
        </w:p>
        <w:p>
          <w:pPr>
            <w:jc w:val="both"/>
            <w:rPr>
              <w:bCs/>
            </w:rPr>
          </w:pPr>
        </w:p>
        <w:p>
          <w:pPr>
            <w:jc w:val="center"/>
            <w:rPr>
              <w:b/>
              <w:bCs/>
            </w:rPr>
          </w:pPr>
          <w:sdt>
            <w:sdtPr>
              <w:alias w:val="Pavadinimas"/>
              <w:tag w:val="title_e950408d9c76469d9e0c98fd7189996e"/>
              <w:lock w:val="sdtLocked"/>
              <w:richText/>
            </w:sdtPr>
            <w:sdtContent>
              <w:r>
                <w:rPr>
                  <w:b/>
                  <w:szCs w:val="24"/>
                </w:rPr>
                <w:t>MINIMALIOS SVEIKATOS TINKAMUMO NORMOS, TAIKOMOS ASMENIMS, SIEKIANTIEMS VAIRUOTI IR VAIRUOJANTIEMS VARIKLIO VAROMĄ TRANSPORTO PRIEMONĘ</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891"/>
            <w:gridCol w:w="9109"/>
            <w:gridCol w:w="2370"/>
            <w:gridCol w:w="2370"/>
          </w:tblGrid>
          <w:tr>
            <w:trPr>
              <w:trHeight w:val="23"/>
              <w:tblHeader/>
            </w:trPr>
            <w:tc>
              <w:tcPr>
                <w:tcW w:w="891" w:type="dxa"/>
                <w:vMerge w:val="restart"/>
                <w:tcBorders>
                  <w:top w:val="single" w:sz="6" w:space="0" w:color="auto"/>
                  <w:left w:val="single" w:sz="6" w:space="0" w:color="auto"/>
                  <w:right w:val="single" w:sz="6" w:space="0" w:color="auto"/>
                </w:tcBorders>
              </w:tcPr>
              <w:p>
                <w:pPr>
                  <w:rPr>
                    <w:sz w:val="22"/>
                    <w:szCs w:val="22"/>
                  </w:rPr>
                </w:pPr>
                <w:r>
                  <w:rPr>
                    <w:sz w:val="22"/>
                    <w:szCs w:val="22"/>
                  </w:rPr>
                  <w:t>Eil. Nr.</w:t>
                </w:r>
              </w:p>
            </w:tc>
            <w:tc>
              <w:tcPr>
                <w:tcW w:w="9109" w:type="dxa"/>
                <w:vMerge w:val="restart"/>
                <w:tcBorders>
                  <w:top w:val="single" w:sz="6" w:space="0" w:color="auto"/>
                  <w:left w:val="single" w:sz="6" w:space="0" w:color="auto"/>
                  <w:right w:val="single" w:sz="6" w:space="0" w:color="auto"/>
                </w:tcBorders>
              </w:tcPr>
              <w:p>
                <w:pPr>
                  <w:jc w:val="center"/>
                  <w:rPr>
                    <w:sz w:val="22"/>
                    <w:szCs w:val="22"/>
                  </w:rPr>
                </w:pPr>
                <w:r>
                  <w:rPr>
                    <w:sz w:val="22"/>
                    <w:szCs w:val="22"/>
                  </w:rPr>
                  <w:t xml:space="preserve">Minimalios </w:t>
                </w:r>
                <w:r>
                  <w:rPr>
                    <w:color w:val="000000"/>
                    <w:sz w:val="22"/>
                    <w:szCs w:val="22"/>
                  </w:rPr>
                  <w:t xml:space="preserve">sveikatos </w:t>
                </w:r>
                <w:r>
                  <w:rPr>
                    <w:sz w:val="22"/>
                    <w:szCs w:val="22"/>
                  </w:rPr>
                  <w:t>tinkamumo normos, taikomos asmenims, siekiantiems vairuoti ir vairuojantiems variklio varomą transporto priemonę</w:t>
                </w:r>
              </w:p>
              <w:p>
                <w:pPr>
                  <w:jc w:val="center"/>
                  <w:rPr>
                    <w:sz w:val="22"/>
                    <w:szCs w:val="22"/>
                  </w:rPr>
                </w:pPr>
                <w:r>
                  <w:rPr>
                    <w:sz w:val="22"/>
                    <w:szCs w:val="22"/>
                  </w:rPr>
                  <w:t>(Ligos ir sveikatos problemos, dėl kurių ribojama teisė vairuoti transporto priemones)</w:t>
                </w:r>
              </w:p>
            </w:tc>
            <w:tc>
              <w:tcPr>
                <w:tcW w:w="4740" w:type="dxa"/>
                <w:gridSpan w:val="2"/>
                <w:tcBorders>
                  <w:top w:val="single" w:sz="6" w:space="0" w:color="auto"/>
                  <w:left w:val="single" w:sz="6" w:space="0" w:color="auto"/>
                  <w:bottom w:val="single" w:sz="6" w:space="0" w:color="auto"/>
                </w:tcBorders>
                <w:vAlign w:val="center"/>
              </w:tcPr>
              <w:p>
                <w:pPr>
                  <w:jc w:val="center"/>
                  <w:rPr>
                    <w:b/>
                    <w:sz w:val="22"/>
                    <w:szCs w:val="22"/>
                  </w:rPr>
                </w:pPr>
                <w:r>
                  <w:rPr>
                    <w:sz w:val="22"/>
                    <w:szCs w:val="22"/>
                  </w:rPr>
                  <w:t>Transporto priemonių, kurias vairuoti draudžiama, kategorijos bei apribojimų (žr. 5 lentelę) kodai</w:t>
                </w:r>
              </w:p>
            </w:tc>
          </w:tr>
          <w:tr>
            <w:trPr>
              <w:trHeight w:val="23"/>
              <w:tblHeader/>
            </w:trPr>
            <w:tc>
              <w:tcPr>
                <w:tcW w:w="891" w:type="dxa"/>
                <w:vMerge/>
                <w:tcBorders>
                  <w:left w:val="single" w:sz="6" w:space="0" w:color="auto"/>
                  <w:bottom w:val="single" w:sz="6" w:space="0" w:color="auto"/>
                  <w:right w:val="single" w:sz="6" w:space="0" w:color="auto"/>
                </w:tcBorders>
              </w:tcPr>
              <w:p>
                <w:pPr>
                  <w:jc w:val="center"/>
                  <w:rPr>
                    <w:sz w:val="22"/>
                  </w:rPr>
                </w:pPr>
              </w:p>
            </w:tc>
            <w:tc>
              <w:tcPr>
                <w:tcW w:w="9109" w:type="dxa"/>
                <w:vMerge/>
                <w:tcBorders>
                  <w:left w:val="single" w:sz="6" w:space="0" w:color="auto"/>
                  <w:bottom w:val="single" w:sz="6" w:space="0" w:color="auto"/>
                  <w:right w:val="single" w:sz="6" w:space="0" w:color="auto"/>
                </w:tcBorders>
              </w:tcPr>
              <w:p>
                <w:pPr>
                  <w:jc w:val="cente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 grupė</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2 grupė</w:t>
                </w:r>
              </w:p>
            </w:tc>
          </w:tr>
          <w:tr>
            <w:trPr>
              <w:trHeight w:val="23"/>
              <w:tblHeader/>
            </w:trPr>
            <w:tc>
              <w:tcPr>
                <w:tcW w:w="8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910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3</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4</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REGĖJIMAS</w:t>
                </w:r>
              </w:p>
              <w:p>
                <w:pPr>
                  <w:widowControl w:val="0"/>
                  <w:suppressAutoHyphens/>
                  <w:rPr>
                    <w:caps/>
                    <w:color w:val="000000"/>
                    <w:sz w:val="22"/>
                  </w:rPr>
                </w:pPr>
                <w:r>
                  <w:rPr>
                    <w:color w:val="000000"/>
                    <w:sz w:val="22"/>
                  </w:rPr>
                  <w:t>Visi kandidatai vairuotojo pažymėjimui gauti šeimos gydytojo patikrinami, ar jų regėjimas yra pakankamai aštrus variklio varomoms transporto priemonėms vairuoti. Kilus pagrįstų abejonių dėl kandidato vairuotojo pažymėjimui gauti regėjimo, jį tikrina gydytojas oftalmologas. Patikrinimo metu dėmesys visų pirma kreipiamas į regėjimo aštrumą, regėjimo lauką, regėjimą prieblandoje, jautrumą ryškiai šviesai ir kontrastinį jautrumą, diplopiją (dvejinimasis) ir į kitas regėjimo funkcijas, kurios gali trukdyti saugiai vairuoti.</w:t>
                </w:r>
              </w:p>
              <w:p>
                <w:pPr>
                  <w:widowControl w:val="0"/>
                  <w:suppressAutoHyphens/>
                  <w:rPr>
                    <w:color w:val="000000"/>
                    <w:sz w:val="22"/>
                  </w:rPr>
                </w:pPr>
                <w:r>
                  <w:rPr>
                    <w:color w:val="000000"/>
                    <w:sz w:val="22"/>
                  </w:rPr>
                  <w:t>1</w:t>
                </w:r>
                <w:r>
                  <w:rPr>
                    <w:i/>
                    <w:color w:val="000000"/>
                    <w:sz w:val="22"/>
                  </w:rPr>
                  <w:t xml:space="preserve"> </w:t>
                </w:r>
                <w:r>
                  <w:rPr>
                    <w:color w:val="000000"/>
                    <w:sz w:val="22"/>
                  </w:rPr>
                  <w:t>grupės vairuotojams, kurių regėjimas neatitinka regėjimo lauko arba regėjimo aštrumo standarto, pažymėjimai gali būti išduodami išskirtiniais atvejais; tokiais atvejais gydytojas oftalmologas turėtų ištirti vairuotojo regėjimą ir nustatyti, ar jis neturi jokių kitų regėjimo funkcijos sutrikimų, įskaitant jautrumo ryškiai šviesai, kontrastinio jautrumo</w:t>
                </w:r>
                <w:r>
                  <w:rPr>
                    <w:b/>
                    <w:bCs/>
                    <w:color w:val="000000"/>
                    <w:sz w:val="22"/>
                  </w:rPr>
                  <w:t xml:space="preserve"> </w:t>
                </w:r>
                <w:r>
                  <w:rPr>
                    <w:color w:val="000000"/>
                    <w:sz w:val="22"/>
                  </w:rPr>
                  <w:t xml:space="preserve">ir regėjimo prieblandoje sutrikimus. Vairuotojas ar kandidatas vairuotojo pažymėjimui gauti taip pat turėtų būti išlaikęs kompetentingos valdžios institucijos organizuotą vairavimo egzaminą. </w:t>
                </w:r>
                <w:r>
                  <w:rPr>
                    <w:i/>
                    <w:iCs/>
                    <w:color w:val="000000"/>
                    <w:sz w:val="22"/>
                  </w:rPr>
                  <w:t>Šiame priede intraokuliniai lęšiai nelaikomi korekciniais lęšiais.</w:t>
                </w:r>
                <w:r>
                  <w:rPr>
                    <w:b/>
                    <w:bCs/>
                    <w:i/>
                    <w:iCs/>
                    <w:color w:val="000000"/>
                    <w:sz w:val="22"/>
                  </w:rPr>
                  <w:t xml:space="preserv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binokulinis regėjimas, jeigu reikia, su korekciniais lęšiais, žiūrint abiem akimis, turėtų būti ne mažesnis kaip 0,5.</w:t>
                </w:r>
              </w:p>
              <w:p>
                <w:pPr>
                  <w:widowControl w:val="0"/>
                  <w:suppressAutoHyphens/>
                  <w:rPr>
                    <w:caps/>
                    <w:color w:val="000000"/>
                    <w:sz w:val="22"/>
                  </w:rPr>
                </w:pPr>
                <w:r>
                  <w:rPr>
                    <w:color w:val="000000"/>
                    <w:sz w:val="22"/>
                  </w:rPr>
                  <w:t>Be to, regėjimo horizontalus laukas turėtų būti ne mažesnis kaip 120</w:t>
                </w:r>
                <w:r>
                  <w:rPr>
                    <w:i/>
                    <w:color w:val="000000"/>
                    <w:sz w:val="22"/>
                  </w:rPr>
                  <w:t xml:space="preserve"> </w:t>
                </w:r>
                <w:r>
                  <w:rPr>
                    <w:color w:val="000000"/>
                    <w:sz w:val="22"/>
                  </w:rPr>
                  <w:t>laipsnių, regėjimo lauko plotis</w:t>
                </w:r>
                <w:r>
                  <w:rPr>
                    <w:i/>
                    <w:color w:val="000000"/>
                    <w:sz w:val="22"/>
                  </w:rPr>
                  <w:t xml:space="preserve"> </w:t>
                </w:r>
                <w:r>
                  <w:rPr>
                    <w:color w:val="000000"/>
                    <w:sz w:val="22"/>
                  </w:rPr>
                  <w:t>– ne mažesnis kaip 50</w:t>
                </w:r>
                <w:r>
                  <w:rPr>
                    <w:i/>
                    <w:color w:val="000000"/>
                    <w:sz w:val="22"/>
                  </w:rPr>
                  <w:t xml:space="preserve"> </w:t>
                </w:r>
                <w:r>
                  <w:rPr>
                    <w:color w:val="000000"/>
                    <w:sz w:val="22"/>
                  </w:rPr>
                  <w:t>laipsnių į kairę ir į dešinę ir 20</w:t>
                </w:r>
                <w:r>
                  <w:rPr>
                    <w:i/>
                    <w:color w:val="000000"/>
                    <w:sz w:val="22"/>
                  </w:rPr>
                  <w:t xml:space="preserve"> </w:t>
                </w:r>
                <w:r>
                  <w:rPr>
                    <w:color w:val="000000"/>
                    <w:sz w:val="22"/>
                  </w:rPr>
                  <w:t>laipsnių į viršų ir žemyn. Centriniame 20</w:t>
                </w:r>
                <w:r>
                  <w:rPr>
                    <w:i/>
                    <w:color w:val="000000"/>
                    <w:sz w:val="22"/>
                  </w:rPr>
                  <w:t xml:space="preserve"> </w:t>
                </w:r>
                <w:r>
                  <w:rPr>
                    <w:color w:val="000000"/>
                    <w:sz w:val="22"/>
                  </w:rPr>
                  <w:t>laipsnių regėjimo spindulyje neturėtų būti jokių regėjimo defektų.</w:t>
                </w:r>
              </w:p>
              <w:p>
                <w:pPr>
                  <w:widowControl w:val="0"/>
                  <w:suppressAutoHyphens/>
                  <w:rPr>
                    <w:color w:val="000000"/>
                    <w:sz w:val="22"/>
                  </w:rPr>
                </w:pPr>
                <w:r>
                  <w:rPr>
                    <w:color w:val="000000"/>
                    <w:sz w:val="22"/>
                  </w:rPr>
                  <w:t>Jei kandidatui nustatoma ar konstatuojama progresuojanti akių liga, vairuotojo pažymėjimas jam gali būti išduotas ar atnaujintas su sąlyga, kad jis bus reguliariai tikrinamas gydytojo oftalmologo.</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 01.02, 01.05, 01.06, 01.07</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visai nematančių viena akimi arba matančių tik viena akimi (diplopijos atveju), regėjimo aštrumas turėtų būti, jeigu reikia, su korekciniais lęšiais, ne mažesnis kaip 0,5. Gydytojas oftalmologas turėtų patvirtinti, kad tokia kandidato vairuotojo pažymėjimui gauti monokuliarinio regėjimo būklė tęsiasi pakankamai ilgai, kad prie jos būtų galima prisitaikyti, ir kad regėjimo ta akimi laukas atitinka 1.1</w:t>
                </w:r>
                <w:r>
                  <w:rPr>
                    <w:i/>
                    <w:color w:val="000000"/>
                    <w:sz w:val="22"/>
                  </w:rPr>
                  <w:t xml:space="preserve"> </w:t>
                </w:r>
                <w:r>
                  <w:rPr>
                    <w:color w:val="000000"/>
                    <w:sz w:val="22"/>
                  </w:rPr>
                  <w:t>punkte nustatytus reikalavimus.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Jeigu diplopija atsirado arba vienos akies regėjimas buvo prarastas neseniai, turėtų būti taikomas atitinkamas adaptacinis laikotarpis (pavyzdžiui, šešių mėnesių), per kurį vairuoti yra draudžiama. Pasibaigus šiam laikotarpiui, vairuoti leidžiama tik gavus gydytojo oftalmologo ir vairavimo specialistų sutikimą.</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Kandidatų vairuotojo pažymėjimui gauti arba atnaujinti sveikesnės akies regėjimo aštrumas, jeigu reikia, su korekciniais lęšiais, turėtų būti ne mažesnis kaip 0,8, o silpnesnės akies</w:t>
                </w:r>
                <w:r>
                  <w:rPr>
                    <w:i/>
                    <w:color w:val="000000"/>
                    <w:sz w:val="22"/>
                  </w:rPr>
                  <w:t xml:space="preserve"> </w:t>
                </w:r>
                <w:r>
                  <w:rPr>
                    <w:color w:val="000000"/>
                    <w:sz w:val="22"/>
                  </w:rPr>
                  <w:t>– ne mažesnis kaip 0,1. Jei korekciniai lęšiai naudojami tam, kad mažiausias regėjimo aštrumas būtų 0,8</w:t>
                </w:r>
                <w:r>
                  <w:rPr>
                    <w:i/>
                    <w:color w:val="000000"/>
                    <w:sz w:val="22"/>
                  </w:rPr>
                  <w:t xml:space="preserve"> </w:t>
                </w:r>
                <w:r>
                  <w:rPr>
                    <w:color w:val="000000"/>
                    <w:sz w:val="22"/>
                  </w:rPr>
                  <w:t>ir 0,1, toks regėjimo aštrumas privalo būti pasiektas nešiojant akinius, kurių stiprumas neturi būti didesnis kaip plius aštuonios dioptrijos, arba nešiojant kontaktinius lęšius. Korekcija turi būti gerai toleruojama.</w:t>
                </w:r>
              </w:p>
              <w:p>
                <w:pPr>
                  <w:widowControl w:val="0"/>
                  <w:suppressAutoHyphens/>
                  <w:rPr>
                    <w:caps/>
                    <w:color w:val="000000"/>
                    <w:sz w:val="22"/>
                  </w:rPr>
                </w:pPr>
                <w:r>
                  <w:rPr>
                    <w:color w:val="000000"/>
                    <w:sz w:val="22"/>
                  </w:rPr>
                  <w:t>Be to, regėjimo abiem akimis horizontalus laukas turėtų būti ne mažesnis kaip 160</w:t>
                </w:r>
                <w:r>
                  <w:rPr>
                    <w:i/>
                    <w:color w:val="000000"/>
                    <w:sz w:val="22"/>
                  </w:rPr>
                  <w:t xml:space="preserve"> </w:t>
                </w:r>
                <w:r>
                  <w:rPr>
                    <w:color w:val="000000"/>
                    <w:sz w:val="22"/>
                  </w:rPr>
                  <w:t>laipsnių, regėjimo lauko plotis turėtų būti ne mažesnis kaip 70</w:t>
                </w:r>
                <w:r>
                  <w:rPr>
                    <w:i/>
                    <w:color w:val="000000"/>
                    <w:sz w:val="22"/>
                  </w:rPr>
                  <w:t xml:space="preserve"> </w:t>
                </w:r>
                <w:r>
                  <w:rPr>
                    <w:color w:val="000000"/>
                    <w:sz w:val="22"/>
                  </w:rPr>
                  <w:t>laipsnių į kairę ir į dešinę ir 30</w:t>
                </w:r>
                <w:r>
                  <w:rPr>
                    <w:i/>
                    <w:color w:val="000000"/>
                    <w:sz w:val="22"/>
                  </w:rPr>
                  <w:t xml:space="preserve"> </w:t>
                </w:r>
                <w:r>
                  <w:rPr>
                    <w:color w:val="000000"/>
                    <w:sz w:val="22"/>
                  </w:rPr>
                  <w:t>laipsnių į viršų ir žemyn. Centriniame 30</w:t>
                </w:r>
                <w:r>
                  <w:rPr>
                    <w:i/>
                    <w:color w:val="000000"/>
                    <w:sz w:val="22"/>
                  </w:rPr>
                  <w:t xml:space="preserve"> </w:t>
                </w:r>
                <w:r>
                  <w:rPr>
                    <w:color w:val="000000"/>
                    <w:sz w:val="22"/>
                  </w:rPr>
                  <w:t>laipsnių regėjimo spindulyje neturėtų būti jokių regėjimo defektų.</w:t>
                </w:r>
              </w:p>
              <w:p>
                <w:pPr>
                  <w:widowControl w:val="0"/>
                  <w:suppressAutoHyphens/>
                  <w:rPr>
                    <w:caps/>
                    <w:color w:val="000000"/>
                    <w:sz w:val="22"/>
                  </w:rPr>
                </w:pPr>
                <w:r>
                  <w:rPr>
                    <w:color w:val="000000"/>
                    <w:sz w:val="22"/>
                  </w:rPr>
                  <w:t>Vairuotojo pažymėjimai neišduodami kandidatams vairuotojo pažymėjimui gauti ir neatnaujinami vairuotojams, kurių regėjimo kontrastinis jautrumas yra sumažėjęs arba nustatyta diplopija.</w:t>
                </w:r>
              </w:p>
              <w:p>
                <w:pPr>
                  <w:widowControl w:val="0"/>
                  <w:suppressAutoHyphens/>
                  <w:rPr>
                    <w:color w:val="000000"/>
                    <w:sz w:val="22"/>
                  </w:rPr>
                </w:pPr>
                <w:r>
                  <w:rPr>
                    <w:color w:val="000000"/>
                    <w:sz w:val="22"/>
                  </w:rPr>
                  <w:t>Smarkiai pablogėjus vienos akies regėjimui, turėtų būti taikomas atitinkamas adaptacinis laikotarpis (pavyzdžiui, šešių mėnesių), per kurį vairuoti draudžiama. Pasibaigus šiam laikotarpiui, vairuoti leidžiama tik gavus palankią gydytojo oftalmologo ir vairavimo specialistų išvadą.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 01.02, 01.05, 01.06, 01.07</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Diplopija ir žvairumas: H49–H50;</w:t>
                </w:r>
                <w:r>
                  <w:rPr>
                    <w:i/>
                    <w:iCs/>
                    <w:color w:val="000000"/>
                    <w:sz w:val="22"/>
                  </w:rPr>
                  <w:t xml:space="preserve"> </w:t>
                </w:r>
                <w:r>
                  <w:rPr>
                    <w:color w:val="000000"/>
                    <w:sz w:val="22"/>
                  </w:rPr>
                  <w:t>H53.0–H53.2.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1.6.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Regėjimo susilpnėjimas dėl nuolatinio šviesos laužiamųjų skaidrių terpių drumstumo arba akių dugno pakitimų, refrakcijos anomalijų ir kitų organinio pobūdžio priežasčių: H 25–H 28, H30–H36. Minimalus regėjimo aštrumas (0,8</w:t>
                </w:r>
                <w:r>
                  <w:rPr>
                    <w:i/>
                    <w:color w:val="000000"/>
                    <w:sz w:val="22"/>
                  </w:rPr>
                  <w:t xml:space="preserve"> </w:t>
                </w:r>
                <w:r>
                  <w:rPr>
                    <w:color w:val="000000"/>
                    <w:sz w:val="22"/>
                  </w:rPr>
                  <w:t>ir 0,1) privalo būti pasiektas nešiojant akinius, kurių stiprumas neturi būti didesnis kaip plius ar minus aštuonios dioptrijos, arba nešiojant kontaktinius lęšius. H25–H28, H33</w:t>
                </w:r>
                <w:r>
                  <w:rPr>
                    <w:i/>
                    <w:color w:val="000000"/>
                    <w:sz w:val="22"/>
                  </w:rPr>
                  <w:t xml:space="preserve"> </w:t>
                </w:r>
                <w:r>
                  <w:rPr>
                    <w:color w:val="000000"/>
                    <w:sz w:val="22"/>
                  </w:rPr>
                  <w:t>atveju,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1.7.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Būklė po ragenos refrakcinių operacijų (keratotomijos, keratomilezės, keratokoaguliacijos, refrakcinės keratoplastikos).</w:t>
                </w:r>
              </w:p>
              <w:p>
                <w:pPr>
                  <w:widowControl w:val="0"/>
                  <w:suppressAutoHyphens/>
                  <w:rPr>
                    <w:color w:val="000000"/>
                    <w:sz w:val="22"/>
                  </w:rPr>
                </w:pPr>
                <w:r>
                  <w:rPr>
                    <w:color w:val="000000"/>
                    <w:sz w:val="22"/>
                  </w:rPr>
                  <w:t>Leidžiama vairuoti, jeigu po chirurginio gydymo rezultatai geri, kai regėjimas (su korekcija) ne silpnesnis kaip 0,8</w:t>
                </w:r>
                <w:r>
                  <w:rPr>
                    <w:i/>
                    <w:color w:val="000000"/>
                    <w:sz w:val="22"/>
                  </w:rPr>
                  <w:t xml:space="preserve"> </w:t>
                </w:r>
                <w:r>
                  <w:rPr>
                    <w:color w:val="000000"/>
                    <w:sz w:val="22"/>
                  </w:rPr>
                  <w:t>viena ir 0,1</w:t>
                </w:r>
                <w:r>
                  <w:rPr>
                    <w:i/>
                    <w:color w:val="000000"/>
                    <w:sz w:val="22"/>
                  </w:rPr>
                  <w:t xml:space="preserve"> </w:t>
                </w:r>
                <w:r>
                  <w:rPr>
                    <w:color w:val="000000"/>
                    <w:sz w:val="22"/>
                  </w:rPr>
                  <w:t>kita akimi (1</w:t>
                </w:r>
                <w:r>
                  <w:rPr>
                    <w:i/>
                    <w:color w:val="000000"/>
                    <w:sz w:val="22"/>
                  </w:rPr>
                  <w:t xml:space="preserve"> </w:t>
                </w:r>
                <w:r>
                  <w:rPr>
                    <w:color w:val="000000"/>
                    <w:sz w:val="22"/>
                  </w:rPr>
                  <w:t>grupės kategorijų vairuotojams</w:t>
                </w:r>
                <w:r>
                  <w:rPr>
                    <w:b/>
                    <w:bCs/>
                    <w:i/>
                    <w:color w:val="000000"/>
                    <w:sz w:val="22"/>
                  </w:rPr>
                  <w:t xml:space="preserve"> </w:t>
                </w:r>
                <w:r>
                  <w:rPr>
                    <w:color w:val="000000"/>
                    <w:sz w:val="22"/>
                  </w:rPr>
                  <w:t>– kai regėjimas ne silpnesnis kaip 0,5</w:t>
                </w:r>
                <w:r>
                  <w:rPr>
                    <w:i/>
                    <w:color w:val="000000"/>
                    <w:sz w:val="22"/>
                  </w:rPr>
                  <w:t xml:space="preserve"> </w:t>
                </w:r>
                <w:r>
                  <w:rPr>
                    <w:color w:val="000000"/>
                    <w:sz w:val="22"/>
                  </w:rPr>
                  <w:t>viena ir 0,1</w:t>
                </w:r>
                <w:r>
                  <w:rPr>
                    <w:i/>
                    <w:color w:val="000000"/>
                    <w:sz w:val="22"/>
                  </w:rPr>
                  <w:t xml:space="preserve"> </w:t>
                </w:r>
                <w:r>
                  <w:rPr>
                    <w:color w:val="000000"/>
                    <w:sz w:val="22"/>
                  </w:rPr>
                  <w:t>kita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1.8.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Tinklainės ir regimojo nervo ligos (pigmentinis retinitas, regimųjų nervų atrofija, kitos progresuojančios tinklainės ir gyslainės ligos ir kt.): H30–H36, H47. (H30–H36</w:t>
                </w:r>
                <w:r>
                  <w:rPr>
                    <w:i/>
                    <w:color w:val="000000"/>
                    <w:sz w:val="22"/>
                  </w:rPr>
                  <w:t xml:space="preserve"> </w:t>
                </w:r>
                <w:r>
                  <w:rPr>
                    <w:color w:val="000000"/>
                    <w:sz w:val="22"/>
                  </w:rPr>
                  <w:t>atvejais leidžiama vairuoti 1</w:t>
                </w:r>
                <w:r>
                  <w:rPr>
                    <w:i/>
                    <w:color w:val="000000"/>
                    <w:sz w:val="22"/>
                  </w:rPr>
                  <w:t xml:space="preserve"> </w:t>
                </w:r>
                <w:r>
                  <w:rPr>
                    <w:color w:val="000000"/>
                    <w:sz w:val="22"/>
                  </w:rPr>
                  <w:t>gr. kategorijų transporto priemones, kai regėjimas ne silpnesnis kaip 0,5</w:t>
                </w:r>
                <w:r>
                  <w:rPr>
                    <w:i/>
                    <w:color w:val="000000"/>
                    <w:sz w:val="22"/>
                  </w:rPr>
                  <w:t xml:space="preserve"> </w:t>
                </w:r>
                <w:r>
                  <w:rPr>
                    <w:color w:val="000000"/>
                    <w:sz w:val="22"/>
                  </w:rPr>
                  <w:t>viena geriau matančia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Visos transporto priemonės</w:t>
                </w:r>
                <w:r>
                  <w:rPr>
                    <w:i/>
                    <w:color w:val="000000"/>
                    <w:sz w:val="22"/>
                  </w:rPr>
                  <w:t xml:space="preserve"> </w:t>
                </w:r>
                <w:r>
                  <w:rPr>
                    <w:color w:val="000000"/>
                    <w:sz w:val="22"/>
                  </w:rPr>
                  <w:t>– H30.1–H36</w:t>
                </w:r>
                <w:r>
                  <w:rPr>
                    <w:i/>
                    <w:color w:val="000000"/>
                    <w:sz w:val="22"/>
                  </w:rPr>
                  <w:t xml:space="preserve"> </w:t>
                </w:r>
                <w:r>
                  <w:rPr>
                    <w:color w:val="000000"/>
                    <w:sz w:val="22"/>
                  </w:rPr>
                  <w:t>H47</w:t>
                </w:r>
              </w:p>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Visos transporto priemonės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1.9.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Glaukoma: H40.1–H40.9, H42.</w:t>
                </w:r>
              </w:p>
              <w:p>
                <w:pPr>
                  <w:widowControl w:val="0"/>
                  <w:suppressAutoHyphens/>
                  <w:rPr>
                    <w:color w:val="000000"/>
                    <w:sz w:val="22"/>
                  </w:rPr>
                </w:pPr>
                <w:r>
                  <w:rPr>
                    <w:color w:val="000000"/>
                    <w:sz w:val="22"/>
                  </w:rPr>
                  <w:t>Esant pradinei nekompensuotai glaukomos stadijai, kai akies dugnas normalus, regėjimas ne silpnesnis (su korekcija) kaip 0,5</w:t>
                </w:r>
                <w:r>
                  <w:rPr>
                    <w:i/>
                    <w:color w:val="000000"/>
                    <w:sz w:val="22"/>
                  </w:rPr>
                  <w:t xml:space="preserve"> </w:t>
                </w:r>
                <w:r>
                  <w:rPr>
                    <w:color w:val="000000"/>
                    <w:sz w:val="22"/>
                  </w:rPr>
                  <w:t>viena ir 0,1</w:t>
                </w:r>
                <w:r>
                  <w:rPr>
                    <w:i/>
                    <w:color w:val="000000"/>
                    <w:sz w:val="22"/>
                  </w:rPr>
                  <w:t xml:space="preserve"> </w:t>
                </w:r>
                <w:r>
                  <w:rPr>
                    <w:color w:val="000000"/>
                    <w:sz w:val="22"/>
                  </w:rPr>
                  <w:t xml:space="preserve">kita akimi, gydytojas oftalmologas sprendžia individualiai dėl galimybės vairuoti bei tikrinimo periodiškumo.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w:t>
                </w:r>
                <w:r>
                  <w:rPr>
                    <w:i/>
                    <w:color w:val="000000"/>
                    <w:sz w:val="22"/>
                  </w:rPr>
                  <w:t>-</w:t>
                </w:r>
                <w:r>
                  <w:rPr>
                    <w:color w:val="000000"/>
                    <w:sz w:val="22"/>
                  </w:rPr>
                  <w:t xml:space="preserve"> 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KLAUSA</w:t>
                </w:r>
              </w:p>
              <w:p>
                <w:pPr>
                  <w:rPr>
                    <w:bCs/>
                    <w:sz w:val="22"/>
                    <w:szCs w:val="22"/>
                  </w:rPr>
                </w:pPr>
                <w:r>
                  <w:rPr>
                    <w:bCs/>
                    <w:sz w:val="22"/>
                    <w:szCs w:val="22"/>
                  </w:rPr>
                  <w:t xml:space="preserve">1 grupė: </w:t>
                </w:r>
              </w:p>
              <w:p>
                <w:pPr>
                  <w:rPr>
                    <w:sz w:val="22"/>
                    <w:szCs w:val="22"/>
                    <w:lang w:eastAsia="lt-LT"/>
                  </w:rPr>
                </w:pPr>
                <w:r>
                  <w:rPr>
                    <w:sz w:val="22"/>
                    <w:szCs w:val="22"/>
                    <w:lang w:eastAsia="lt-LT"/>
                  </w:rPr>
                  <w:t>Esant klausos susilpnėjimui (vienos arba abiejų ausų), kai kalba girdima mažesniu kaip 5 m atstumu, gydytojas otorinolaringologas atlieka audiogramą. Jeigu geriau girdinčios ausies klausos sutrikimo laipsnis, esant 500 ir 1000 Hz dažniui, viršija 40 dB, būtina naudoti klausos ir susikalbėjimo pagalbinę priemonę (taikomas apribojimas 02).</w:t>
                </w:r>
              </w:p>
              <w:p>
                <w:pPr>
                  <w:rPr>
                    <w:bCs/>
                    <w:sz w:val="22"/>
                    <w:szCs w:val="22"/>
                  </w:rPr>
                </w:pPr>
                <w:r>
                  <w:rPr>
                    <w:bCs/>
                    <w:sz w:val="22"/>
                    <w:szCs w:val="22"/>
                  </w:rPr>
                  <w:t>2 grupė:</w:t>
                </w:r>
              </w:p>
              <w:p>
                <w:pPr>
                  <w:rPr>
                    <w:sz w:val="22"/>
                    <w:szCs w:val="22"/>
                    <w:lang w:eastAsia="lt-LT"/>
                  </w:rPr>
                </w:pPr>
                <w:r>
                  <w:rPr>
                    <w:sz w:val="22"/>
                    <w:szCs w:val="22"/>
                    <w:lang w:eastAsia="lt-LT"/>
                  </w:rPr>
                  <w:t xml:space="preserve">Vairuotojo pažymėjimai gali būti išduoti klausos sutrikimų turintiems kandidatams į vairuotojus ar atnaujinti vairuotojams, atsižvelgiant į gydytojo otorinolaringologo išvadas; medicininių patikrinimų metu ypač atsižvelgiama į kurtumo laipsnį. </w:t>
                </w:r>
              </w:p>
              <w:p>
                <w:pPr>
                  <w:rPr>
                    <w:sz w:val="22"/>
                    <w:szCs w:val="22"/>
                    <w:lang w:eastAsia="lt-LT"/>
                  </w:rPr>
                </w:pPr>
                <w:r>
                  <w:rPr>
                    <w:sz w:val="22"/>
                    <w:szCs w:val="22"/>
                    <w:lang w:eastAsia="lt-LT"/>
                  </w:rPr>
                  <w:t>Jeigu geriau girdinčios ausies klausos sutrikimo laipsnis, esant 500 ir 1000 Hz dažniui, viršija 40 dB, būtina naudoti klausos ir susikalbėjimo pagalbinę priemonę (taikomas apribojimas 02).</w:t>
                </w:r>
              </w:p>
              <w:p>
                <w:pPr>
                  <w:rPr>
                    <w:b/>
                    <w:bCs/>
                    <w:sz w:val="22"/>
                    <w:szCs w:val="22"/>
                  </w:rPr>
                </w:pPr>
                <w:r>
                  <w:rPr>
                    <w:sz w:val="22"/>
                    <w:szCs w:val="22"/>
                    <w:lang w:eastAsia="lt-LT"/>
                  </w:rPr>
                  <w:t>Pakartotinis sveikatos tikrinimas skiriamas po 1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 xml:space="preserve">Visiškas kurtumas, kurčnebylumas: H91.3, H91.9 </w:t>
                </w:r>
              </w:p>
              <w:p>
                <w:pPr>
                  <w:rPr>
                    <w:sz w:val="22"/>
                    <w:szCs w:val="22"/>
                    <w:lang w:eastAsia="lt-LT"/>
                  </w:rPr>
                </w:pPr>
                <w:r>
                  <w:rPr>
                    <w:b/>
                    <w:bCs/>
                    <w:sz w:val="22"/>
                    <w:szCs w:val="22"/>
                    <w:lang w:eastAsia="lt-LT"/>
                  </w:rPr>
                  <w:t>PASTABA:</w:t>
                </w:r>
              </w:p>
              <w:p>
                <w:pPr>
                  <w:rPr>
                    <w:sz w:val="22"/>
                    <w:szCs w:val="22"/>
                  </w:rPr>
                </w:pPr>
                <w:r>
                  <w:rPr>
                    <w:sz w:val="22"/>
                    <w:szCs w:val="22"/>
                    <w:lang w:eastAsia="lt-LT"/>
                  </w:rPr>
                  <w:t xml:space="preserve">Individualiu sprendimu gydytojų komisija gali leisti vairuoti A, A1, A2, AM, B, B1 ir BE kategorijų  transporto priemones.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2.2.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Lėtinis vienos arba abiejų ausų uždegimas, komplikuotas cholestestomos, granuliacijų, polipų, labirinto fistulės, taip pat nesant efekto po operacijos: H66.1, H66.2, H66.3, H66.4</w:t>
                </w:r>
              </w:p>
              <w:p>
                <w:pPr>
                  <w:rPr>
                    <w:sz w:val="22"/>
                    <w:szCs w:val="22"/>
                    <w:lang w:eastAsia="lt-LT"/>
                  </w:rPr>
                </w:pPr>
                <w:r>
                  <w:rPr>
                    <w:b/>
                    <w:bCs/>
                    <w:sz w:val="22"/>
                    <w:szCs w:val="22"/>
                    <w:lang w:eastAsia="lt-LT"/>
                  </w:rPr>
                  <w:t>PASTABA:</w:t>
                </w:r>
              </w:p>
              <w:p>
                <w:pPr>
                  <w:rPr>
                    <w:sz w:val="22"/>
                    <w:szCs w:val="22"/>
                  </w:rPr>
                </w:pPr>
                <w:r>
                  <w:rPr>
                    <w:sz w:val="22"/>
                    <w:szCs w:val="22"/>
                    <w:lang w:eastAsia="lt-LT"/>
                  </w:rPr>
                  <w:t>Po chirurginio gydymo, kai rezultatai geri, nėra svaigimo ir kontraindikacijų,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w:t>
                </w:r>
              </w:p>
            </w:tc>
            <w:tc>
              <w:tcPr>
                <w:tcW w:w="9109" w:type="dxa"/>
                <w:tcBorders>
                  <w:top w:val="single" w:sz="6" w:space="0" w:color="auto"/>
                  <w:left w:val="single" w:sz="6" w:space="0" w:color="auto"/>
                  <w:bottom w:val="single" w:sz="6" w:space="0" w:color="auto"/>
                  <w:right w:val="single" w:sz="6" w:space="0" w:color="auto"/>
                </w:tcBorders>
              </w:tcPr>
              <w:p>
                <w:pPr>
                  <w:jc w:val="both"/>
                  <w:rPr>
                    <w:bCs/>
                    <w:sz w:val="22"/>
                    <w:szCs w:val="22"/>
                  </w:rPr>
                </w:pPr>
                <w:r>
                  <w:rPr>
                    <w:bCs/>
                    <w:sz w:val="22"/>
                    <w:szCs w:val="22"/>
                  </w:rPr>
                  <w:t>ASMENYS, TURINTYS JUDĖJIMO SUTRIKIMŲ</w:t>
                </w:r>
              </w:p>
              <w:p>
                <w:pPr>
                  <w:jc w:val="both"/>
                  <w:rPr>
                    <w:bCs/>
                    <w:sz w:val="22"/>
                    <w:szCs w:val="22"/>
                  </w:rPr>
                </w:pPr>
                <w:r>
                  <w:rPr>
                    <w:bCs/>
                    <w:sz w:val="22"/>
                    <w:szCs w:val="22"/>
                  </w:rPr>
                  <w:t>Vairuotojo pažymėjimai neišduodami kandidatams į vairuotojus ir neatnaujinami vairuotojams, kuriems nustatyti judėjimo sistemos sutrikimai, keliantys pavojų saugiam variklio varomos priemonės vairavimui.</w:t>
                </w:r>
              </w:p>
              <w:p>
                <w:pPr>
                  <w:jc w:val="both"/>
                  <w:rPr>
                    <w:bCs/>
                    <w:sz w:val="22"/>
                    <w:szCs w:val="22"/>
                  </w:rPr>
                </w:pPr>
                <w:r>
                  <w:rPr>
                    <w:bCs/>
                    <w:sz w:val="22"/>
                    <w:szCs w:val="22"/>
                  </w:rPr>
                  <w:t>1 grupė:</w:t>
                </w:r>
              </w:p>
              <w:p>
                <w:pPr>
                  <w:jc w:val="both"/>
                  <w:rPr>
                    <w:bCs/>
                    <w:sz w:val="22"/>
                    <w:szCs w:val="22"/>
                  </w:rPr>
                </w:pPr>
                <w:r>
                  <w:rPr>
                    <w:bCs/>
                    <w:sz w:val="22"/>
                    <w:szCs w:val="22"/>
                  </w:rPr>
                  <w:t xml:space="preserve">1. Vairuotojo pažymėjimai, kuriems taikomi tam tikri apribojimai, fiziškai neįgaliems kandidatams į vairuotojus ir vairuotojams išduodami atsižvelgiant į vairuotojų sveikatos tikrinimo arba asmens sveikatos priežiūros įstaigos gydytojų konsultacinės komisijos (toliau kartu – gydytojų komisija) išvadą. </w:t>
                </w:r>
              </w:p>
              <w:p>
                <w:pPr>
                  <w:jc w:val="both"/>
                  <w:rPr>
                    <w:bCs/>
                    <w:sz w:val="22"/>
                    <w:szCs w:val="22"/>
                  </w:rPr>
                </w:pPr>
                <w:r>
                  <w:rPr>
                    <w:bCs/>
                    <w:sz w:val="22"/>
                    <w:szCs w:val="22"/>
                  </w:rPr>
                  <w:t>Ši išvada turi remtis atitinkamo sutrikimo medicininiu įvertinimu ir, jei būtina, vairavimo gebėjimų ir elgsenos praktiniu patikrinimu. Išvadoje turi būti nurodyta, koks transporto priemonės pritaikymas reikalingas ir ar vairuotojui reikalinga ortopedijos techninė priemonė, kuria naudojantis, atsižvelgiant į vairavimo gebėjimų ir elgsenos patikrinimo rezultatus, vairavimas nekeltų pavojaus.</w:t>
                </w:r>
              </w:p>
              <w:p>
                <w:pPr>
                  <w:jc w:val="both"/>
                  <w:rPr>
                    <w:bCs/>
                    <w:sz w:val="22"/>
                    <w:szCs w:val="22"/>
                  </w:rPr>
                </w:pPr>
                <w:r>
                  <w:rPr>
                    <w:bCs/>
                    <w:sz w:val="22"/>
                    <w:szCs w:val="22"/>
                  </w:rPr>
                  <w:t>Gydytojų komisija gali iš karto priimti individualų sprendimą dėl asmenų, turinčių judėjimo sutrikimų, galimybės vairuoti, kai asmeniui saugiai vairuoti pakanka tik transporto priemonės su automatine pavarų dėže arba transporto priemonės su rankinio valdymo sistema.</w:t>
                </w:r>
              </w:p>
              <w:p>
                <w:pPr>
                  <w:jc w:val="both"/>
                  <w:rPr>
                    <w:bCs/>
                    <w:sz w:val="22"/>
                    <w:szCs w:val="22"/>
                  </w:rPr>
                </w:pPr>
                <w:r>
                  <w:rPr>
                    <w:bCs/>
                    <w:sz w:val="22"/>
                    <w:szCs w:val="22"/>
                  </w:rPr>
                  <w:t>Jeigu asmuo, turintis judėjimo sutrikimų, gali vairuoti tik transporto priemonę su automatine pavarų dėže, išvadoje įrašomas transporto priemonės pritaikymo kodas 10.02 (automatinis pavaros perdavimo skaičiaus parinkimas).</w:t>
                </w:r>
              </w:p>
              <w:p>
                <w:pPr>
                  <w:jc w:val="both"/>
                  <w:rPr>
                    <w:bCs/>
                    <w:sz w:val="22"/>
                    <w:szCs w:val="22"/>
                  </w:rPr>
                </w:pPr>
                <w:r>
                  <w:rPr>
                    <w:bCs/>
                    <w:sz w:val="22"/>
                    <w:szCs w:val="22"/>
                  </w:rPr>
                  <w:t>Jeigu asmuo, turintis judėjimo sutrikimų, gali vairuoti tik transporto priemonę su rankinio valdymo sistema, priklausomai nuo to, ar asmuo planuoja vairuoti automobilį su automatine ar mechanine pavarų dėžę, išvadoje įrašomi 3 transporto priemonės pritaikymo kodai:</w:t>
                </w:r>
              </w:p>
              <w:p>
                <w:pPr>
                  <w:jc w:val="both"/>
                  <w:rPr>
                    <w:bCs/>
                    <w:sz w:val="22"/>
                    <w:szCs w:val="22"/>
                  </w:rPr>
                </w:pPr>
                <w:r>
                  <w:rPr>
                    <w:bCs/>
                    <w:sz w:val="22"/>
                    <w:szCs w:val="22"/>
                  </w:rPr>
                  <w:t>a) 20.06 (ranka valdomas stabdys), 25.04 (ranka valdomas akseleratorius) ir 10.02 (automatinis pavaros perdavimo skaičiaus parinkimas) – transporto priemonei su automatine pavarų dėže;</w:t>
                </w:r>
              </w:p>
              <w:p>
                <w:pPr>
                  <w:jc w:val="both"/>
                  <w:rPr>
                    <w:bCs/>
                    <w:sz w:val="22"/>
                    <w:szCs w:val="22"/>
                  </w:rPr>
                </w:pPr>
                <w:r>
                  <w:rPr>
                    <w:bCs/>
                    <w:sz w:val="22"/>
                    <w:szCs w:val="22"/>
                  </w:rPr>
                  <w:t>b) 20.06 (ranka valdomas stabdys), 25.04 (ranka valdomas akseleratorius) ir 15.02 (ranka valdoma sankaba) – transporto priemonei su mechanine pavarų dėže (šią kodų kombinaciją rekomenduojama naudoti, kai asmens sveikata tikrinama ne pirmą kartą ir jis jau vairuoja automobilį su mechanine pavarų dėže).</w:t>
                </w:r>
              </w:p>
              <w:p>
                <w:pPr>
                  <w:jc w:val="both"/>
                  <w:rPr>
                    <w:bCs/>
                    <w:sz w:val="22"/>
                    <w:szCs w:val="22"/>
                  </w:rPr>
                </w:pPr>
                <w:r>
                  <w:rPr>
                    <w:bCs/>
                    <w:sz w:val="22"/>
                    <w:szCs w:val="22"/>
                  </w:rPr>
                  <w:t>Jeigu gydytojų komisija nusprendžia, kad išvadai dėl tikrinamo asmens sveikatos būklės tinkamumo vairuoti priimti nepakanka turimos informacijos, tikrinamas asmuo siunčiamas praktiškai patikrinti vairavimo gebėjimų į įstaigą, turinčią įrangą, leidžiančią įvertinti specifinius vairavimo gebėjimus (vairo pasukimo jėgą, ištvermę, rankinio akseleratoriaus stūmimo, traukimo jėgą, reakcijos greitį, pedalo paspaudimo jėgą ir kt.) ir galinčią pateikti rekomendacijas dėl asmens gebėjimo saugiai vairuoti ir tam būtino transporto priemonės pritaikymo (nurodant transporto priemonės pritaikymo kodus) ir (ar) ortopedijos techninės priemonės reikalingumo.</w:t>
                </w:r>
              </w:p>
              <w:p>
                <w:pPr>
                  <w:jc w:val="both"/>
                  <w:rPr>
                    <w:bCs/>
                    <w:sz w:val="22"/>
                    <w:szCs w:val="22"/>
                  </w:rPr>
                </w:pPr>
                <w:r>
                  <w:rPr>
                    <w:bCs/>
                    <w:sz w:val="22"/>
                    <w:szCs w:val="22"/>
                  </w:rPr>
                  <w:t>2 grupė:</w:t>
                </w:r>
              </w:p>
              <w:p>
                <w:pPr>
                  <w:jc w:val="both"/>
                  <w:rPr>
                    <w:bCs/>
                    <w:sz w:val="22"/>
                    <w:szCs w:val="22"/>
                  </w:rPr>
                </w:pPr>
                <w:r>
                  <w:rPr>
                    <w:bCs/>
                    <w:sz w:val="22"/>
                    <w:szCs w:val="22"/>
                  </w:rPr>
                  <w:t>2. Gydytojų komisija įvertina papildomą riziką ir pavojus, kurie kyla vairuojant prie šios grupės priskiriamas transporto priemones.</w:t>
                </w:r>
              </w:p>
              <w:p>
                <w:pPr>
                  <w:jc w:val="both"/>
                  <w:rPr>
                    <w:bCs/>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3.1.</w:t>
                </w:r>
              </w:p>
            </w:tc>
            <w:tc>
              <w:tcPr>
                <w:tcW w:w="9109" w:type="dxa"/>
                <w:tcBorders>
                  <w:top w:val="single" w:sz="6" w:space="0" w:color="auto"/>
                  <w:left w:val="single" w:sz="6" w:space="0" w:color="auto"/>
                  <w:bottom w:val="single" w:sz="6" w:space="0" w:color="auto"/>
                  <w:right w:val="single" w:sz="6" w:space="0" w:color="auto"/>
                </w:tcBorders>
              </w:tcPr>
              <w:p>
                <w:pPr>
                  <w:jc w:val="both"/>
                  <w:rPr>
                    <w:bCs/>
                    <w:sz w:val="22"/>
                    <w:szCs w:val="22"/>
                  </w:rPr>
                </w:pPr>
                <w:r>
                  <w:rPr>
                    <w:bCs/>
                    <w:sz w:val="22"/>
                    <w:szCs w:val="22"/>
                  </w:rPr>
                  <w:t xml:space="preserve">Rankos, kojos, plaštakos, pėdos ar abiejų plaštakų, pėdų trūkumas, žymios deformacijos, dėl kurių yra sutrikusi lokomotorinė funkcija: Z89.1, Z 89.2, Z 89.3, Z 89.4, Z 89.5, Z 89.6, Z 89.7, Z 89.8, Z 89.9 </w:t>
                </w:r>
              </w:p>
              <w:p>
                <w:pPr>
                  <w:jc w:val="both"/>
                  <w:rPr>
                    <w:bCs/>
                    <w:sz w:val="22"/>
                    <w:szCs w:val="22"/>
                  </w:rPr>
                </w:pPr>
                <w:r>
                  <w:rPr>
                    <w:bCs/>
                    <w:sz w:val="22"/>
                    <w:szCs w:val="22"/>
                  </w:rPr>
                  <w:t xml:space="preserve">PASTABA: </w:t>
                </w:r>
              </w:p>
              <w:p>
                <w:pPr>
                  <w:jc w:val="both"/>
                  <w:rPr>
                    <w:bCs/>
                    <w:sz w:val="22"/>
                    <w:szCs w:val="22"/>
                  </w:rPr>
                </w:pPr>
                <w:r>
                  <w:rPr>
                    <w:bCs/>
                    <w:sz w:val="22"/>
                    <w:szCs w:val="22"/>
                  </w:rPr>
                  <w:t>A; A1; A2; AM; B; B1 ir BE kategorijų vairuotojams turi būti nurodyta, koks transporto priemonės pritaikymas reikalingas ir ar vairuotojui reikalinga ortopedijos techninė priemonė, kuria naudojantis vairavimas nekeltų pavojaus.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prireikus taikant reikiamą apribojimą</w:t>
                </w:r>
              </w:p>
              <w:p>
                <w:pPr>
                  <w:jc w:val="center"/>
                  <w:rPr>
                    <w:sz w:val="22"/>
                    <w:szCs w:val="22"/>
                  </w:rPr>
                </w:pPr>
                <w:r>
                  <w:rPr>
                    <w:sz w:val="22"/>
                    <w:szCs w:val="22"/>
                  </w:rPr>
                  <w:t>03.01, 03.02</w:t>
                </w:r>
              </w:p>
              <w:p>
                <w:pPr>
                  <w:jc w:val="center"/>
                  <w:rPr>
                    <w:sz w:val="22"/>
                    <w:szCs w:val="22"/>
                  </w:rPr>
                </w:pPr>
                <w:r>
                  <w:rPr>
                    <w:sz w:val="22"/>
                    <w:szCs w:val="22"/>
                  </w:rPr>
                  <w:t>bei nurodant reikalingą transporto priemonės pritaikymo kodą (nuo 10 iki 50), nurodytą 5 lentelėje</w:t>
                </w:r>
              </w:p>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3.2.</w:t>
                </w:r>
              </w:p>
            </w:tc>
            <w:tc>
              <w:tcPr>
                <w:tcW w:w="9109" w:type="dxa"/>
                <w:tcBorders>
                  <w:top w:val="single" w:sz="6" w:space="0" w:color="auto"/>
                  <w:left w:val="single" w:sz="6" w:space="0" w:color="auto"/>
                  <w:bottom w:val="single" w:sz="6" w:space="0" w:color="auto"/>
                  <w:right w:val="single" w:sz="6" w:space="0" w:color="auto"/>
                </w:tcBorders>
              </w:tcPr>
              <w:p>
                <w:pPr>
                  <w:jc w:val="both"/>
                  <w:rPr>
                    <w:bCs/>
                    <w:sz w:val="22"/>
                    <w:szCs w:val="22"/>
                  </w:rPr>
                </w:pPr>
                <w:r>
                  <w:rPr>
                    <w:bCs/>
                    <w:sz w:val="22"/>
                    <w:szCs w:val="22"/>
                  </w:rPr>
                  <w:t xml:space="preserve">Abiejų rankų trūkumas arba abiejų rankų plaštakų, pirštų kontraktūros, ankilozės, nejudrumas, trukdantys sugriebti ir išlaikyti daiktą, abiejų pečių, alkūnių, riešų sąnarių ankilozės, kontraktūros (net ir fiziologiškai patogios padėties): Z89.3, M24.5, M24.6 </w:t>
                </w:r>
              </w:p>
              <w:p>
                <w:pPr>
                  <w:jc w:val="both"/>
                  <w:rPr>
                    <w:b/>
                    <w:bCs/>
                    <w:sz w:val="22"/>
                    <w:szCs w:val="22"/>
                  </w:rPr>
                </w:pPr>
                <w:r>
                  <w:rPr>
                    <w:b/>
                    <w:bCs/>
                    <w:sz w:val="22"/>
                    <w:szCs w:val="22"/>
                  </w:rPr>
                  <w:t>PASTABA:</w:t>
                </w:r>
              </w:p>
              <w:p>
                <w:pPr>
                  <w:jc w:val="both"/>
                  <w:rPr>
                    <w:bCs/>
                    <w:sz w:val="22"/>
                    <w:szCs w:val="22"/>
                  </w:rPr>
                </w:pPr>
                <w:r>
                  <w:rPr>
                    <w:bCs/>
                    <w:sz w:val="22"/>
                    <w:szCs w:val="22"/>
                  </w:rPr>
                  <w:t>A; A1; A2; AM; B; B1 ir BE kategorijų vairuotojams turi būti nurodyta, koks transporto priemonės pritaikymas reikalingas ir ar vairuotojui reikalinga ortopedijos techninė priemonė, kuria naudojantis vairavimas nekeltų pavojaus. Apie galimybę vairuoti rankinio valdymo ar su automatine pavarų dėže automobilį sprendžiama individualiai.</w:t>
                </w:r>
              </w:p>
              <w:p>
                <w:pPr>
                  <w:jc w:val="both"/>
                  <w:rPr>
                    <w:b/>
                    <w:bCs/>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prireikus taikant apribojimą 03.01</w:t>
                </w:r>
              </w:p>
              <w:p>
                <w:pPr>
                  <w:jc w:val="center"/>
                  <w:rPr>
                    <w:sz w:val="22"/>
                    <w:szCs w:val="22"/>
                  </w:rPr>
                </w:pPr>
                <w:r>
                  <w:rPr>
                    <w:sz w:val="22"/>
                    <w:szCs w:val="22"/>
                  </w:rPr>
                  <w:t>bei nurodant reikalingą transporto priemonės pritaikymo kodą (nuo 10 iki 50), nurodytą 5 lentelėje</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ŠIRDIES IR KRAUJAGYSLIŲ LIGOS</w:t>
                </w:r>
              </w:p>
              <w:p>
                <w:pPr>
                  <w:rPr>
                    <w:b/>
                    <w:bCs/>
                    <w:sz w:val="22"/>
                    <w:szCs w:val="22"/>
                  </w:rPr>
                </w:pPr>
                <w:r>
                  <w:rPr>
                    <w:sz w:val="22"/>
                    <w:szCs w:val="22"/>
                    <w:lang w:eastAsia="lt-LT"/>
                  </w:rPr>
                  <w:t>Dėl širdies ir kraujagyslių sistemos sutrikimų ar ligų gali staiga sutrikti cerebrinės funkcijos, o tai kelia pavojų kelių eismo saugumui. Atsižvelgiant į šiuos sutrikimus nustatomi šie laikini ar nuolatiniai vairavimo apribojimai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Vairuotojo pažymėjimai gali būti išduodami prie nurodytų grupių priskiriamiems kandidatams į vairuotojus arba atnaujinami vairuotojams, patyrusiems toliau išvardytus širdies ir kraujagyslių sistemų sutrikimus, tik po veiksmingo šių sutrikimų gydymo, jei tie asmenys turi atitinkamo gydytojo išvadą, kad gali vairuoti, ir jei atitinkamais atvejais reguliariai atliekamas tų asmenų sveikatos būklės vertinimas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(sinusinio mazgo disfunkciją ir laidumo sutrikimus) bei tachiaritmiją (prieširdžių ir skilvelinę aritmiją), kai dėl šių aritmijų patiriama sinkopė ar jos epizodai: I45.9, I45.3, I45.6, I49.0, I49.5, I47.0, I47.1, I47.2, I47.9</w:t>
                </w:r>
              </w:p>
              <w:p>
                <w:pPr>
                  <w:rPr>
                    <w:b/>
                    <w:sz w:val="22"/>
                    <w:szCs w:val="22"/>
                    <w:lang w:eastAsia="lt-LT"/>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tachiaritmiją (prieširdžių ir skilvelinę aritmiją), sergantiems struktūrine širdies liga ir pasireiškiančią ilgalaike skilveline tachikardija arba skilvelių tachisistolija: I47.0, I47.1, I47.2, I47.9, I48.2</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simptominę anginą:</w:t>
                </w:r>
                <w:r>
                  <w:rPr>
                    <w:sz w:val="22"/>
                    <w:szCs w:val="22"/>
                  </w:rPr>
                  <w:t xml:space="preserve"> I20</w:t>
                </w:r>
              </w:p>
              <w:p>
                <w:pPr>
                  <w:rPr>
                    <w:sz w:val="22"/>
                    <w:szCs w:val="22"/>
                  </w:rPr>
                </w:pPr>
                <w:r>
                  <w:rPr>
                    <w:sz w:val="22"/>
                    <w:szCs w:val="22"/>
                    <w:lang w:eastAsia="lt-LT"/>
                  </w:rPr>
                  <w:t xml:space="preserve">(I ir II funkcinės klasės atvejais 1 ir 2 grupės vairuotojams reikalingas šeimos gydytojo leidimas, o </w:t>
                </w:r>
                <w:r>
                  <w:rPr>
                    <w:sz w:val="22"/>
                    <w:szCs w:val="22"/>
                  </w:rPr>
                  <w:t xml:space="preserve">III ir IV funkcinės klasės atvejais </w:t>
                </w: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 xml:space="preserve">sinkopę </w:t>
                </w:r>
                <w:r>
                  <w:rPr>
                    <w:sz w:val="22"/>
                    <w:szCs w:val="22"/>
                    <w:lang w:eastAsia="lt-LT"/>
                  </w:rPr>
                  <w:t>–</w:t>
                </w:r>
                <w:r>
                  <w:rPr>
                    <w:sz w:val="22"/>
                    <w:szCs w:val="22"/>
                  </w:rPr>
                  <w:t xml:space="preserve"> trumpalaikį, greitai prasidedantį ir savaime praeinantį refleksinį sąmonės netekimą, kūno suglebimą, atsirandantį dėl nežinomų priežasčių, pablogėjus bendrajai smegenų kraujotakai, kai nėra duomenų, kad tokį sutrikimą lemtų širdies liga: </w:t>
                </w:r>
                <w:r>
                  <w:rPr>
                    <w:sz w:val="22"/>
                    <w:szCs w:val="22"/>
                    <w:lang w:eastAsia="lt-LT"/>
                  </w:rPr>
                  <w:t>R55</w:t>
                </w:r>
              </w:p>
              <w:p>
                <w:pPr>
                  <w:rPr>
                    <w:sz w:val="22"/>
                    <w:szCs w:val="22"/>
                  </w:rPr>
                </w:pPr>
                <w:r>
                  <w:rPr>
                    <w:sz w:val="22"/>
                    <w:szCs w:val="22"/>
                    <w:lang w:eastAsia="lt-LT"/>
                  </w:rPr>
                  <w:t>(1 ir 2 grupės vairuotojams reikalingas gydytojo kardiologo arba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ūmų koronarinį sindromą: I21, I22, I25.2</w:t>
                </w:r>
              </w:p>
              <w:p>
                <w:pPr>
                  <w:rPr>
                    <w:sz w:val="22"/>
                    <w:szCs w:val="22"/>
                    <w:lang w:eastAsia="lt-LT"/>
                  </w:rPr>
                </w:pPr>
                <w:r>
                  <w:rPr>
                    <w:sz w:val="22"/>
                    <w:szCs w:val="22"/>
                    <w:lang w:eastAsia="lt-LT"/>
                  </w:rPr>
                  <w:t>(I25.2 atveju – per vienų metų laikotarpį patirtas miokardo infarktas)</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4.1.6.</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stabiliąją krūtinės anginą, jei simptomai nepasireiškia atliekant lengvus pratimus (I ir II funkcinės klasės atvejais): I20</w:t>
                </w:r>
              </w:p>
              <w:p>
                <w:pPr>
                  <w:rPr>
                    <w:sz w:val="22"/>
                    <w:szCs w:val="22"/>
                  </w:rPr>
                </w:pPr>
                <w:r>
                  <w:rPr>
                    <w:sz w:val="22"/>
                    <w:szCs w:val="22"/>
                    <w:lang w:eastAsia="lt-LT"/>
                  </w:rPr>
                  <w:t>(1 ir 2 grupės vairuotojams 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4.1.7.</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perkutaninė koronarinė intervencija: Z95.5</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4.1.8</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atliktas koronarinių arterijų šuntavimas: Z95.1</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4.1.9.</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ūminį/praeinantį (tranzitinį) smegenų išemijos priepuolį</w:t>
                </w:r>
                <w:r>
                  <w:rPr>
                    <w:sz w:val="22"/>
                    <w:szCs w:val="22"/>
                    <w:lang w:eastAsia="lt-LT"/>
                  </w:rPr>
                  <w:t>:</w:t>
                </w:r>
                <w:r>
                  <w:rPr>
                    <w:sz w:val="22"/>
                    <w:szCs w:val="22"/>
                  </w:rPr>
                  <w:t xml:space="preserve"> G45, I63</w:t>
                </w:r>
              </w:p>
              <w:p>
                <w:pPr>
                  <w:rPr>
                    <w:sz w:val="22"/>
                    <w:szCs w:val="22"/>
                  </w:rPr>
                </w:pPr>
                <w:r>
                  <w:rPr>
                    <w:sz w:val="22"/>
                    <w:szCs w:val="22"/>
                    <w:lang w:eastAsia="lt-LT"/>
                  </w:rPr>
                  <w:t>(1 ir 2 grupės vairuotojams 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4.1.10.</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transplantacija: Z94.1</w:t>
                </w:r>
              </w:p>
              <w:p>
                <w:pPr>
                  <w:rPr>
                    <w:sz w:val="22"/>
                    <w:szCs w:val="22"/>
                  </w:rPr>
                </w:pPr>
                <w:r>
                  <w:rPr>
                    <w:sz w:val="22"/>
                    <w:szCs w:val="22"/>
                    <w:lang w:eastAsia="lt-LT"/>
                  </w:rPr>
                  <w:t xml:space="preserve">(1 ir 2 grupės vairuotojams reikalingas gydytojo kardiologo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vožtuvo operacija: Z95.2, Z95.4</w:t>
                </w:r>
              </w:p>
              <w:p>
                <w:pPr>
                  <w:rPr>
                    <w:sz w:val="22"/>
                    <w:szCs w:val="22"/>
                  </w:rPr>
                </w:pPr>
                <w:r>
                  <w:rPr>
                    <w:sz w:val="22"/>
                    <w:szCs w:val="22"/>
                    <w:lang w:eastAsia="lt-LT"/>
                  </w:rPr>
                  <w:t xml:space="preserve">(1 ir 2 grupės vairuotojams pirmus metus po operacijos reikalingas gydytojo kardiologo leidimas, vėliau – šeimos gydytojo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piktybinę hipertenziją, pasireiškiančią pakilusiu sistoliniu kraujospūdžiu (≥ 180 mmHg) arba diastoliniu kraujospūdžiu (≥ 110 mmHg) ir gręsiančiu ar laipsnišku organų pažeidimu: I10, I15</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turi įgimtą širdies ydą: Q20, Q21, Q24</w:t>
                </w:r>
              </w:p>
              <w:p>
                <w:pPr>
                  <w:rPr>
                    <w:sz w:val="22"/>
                    <w:szCs w:val="22"/>
                  </w:rPr>
                </w:pPr>
                <w:r>
                  <w:rPr>
                    <w:sz w:val="22"/>
                    <w:szCs w:val="22"/>
                    <w:lang w:eastAsia="lt-LT"/>
                  </w:rPr>
                  <w:t>(jeigu įgimta širdies yda yra hemodinamiškai reikšminga, 1 ir 2 grupės vairuotojams reikalingas gydytojo kardiologo leidimas, kitais atvejais –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 pakeistas defibriliatorius arba kurie patyrė tinkamą ar netinkamą defibriliatoriaus iškrovą: Z95.0</w:t>
                </w:r>
              </w:p>
              <w:p>
                <w:pPr>
                  <w:rPr>
                    <w:sz w:val="22"/>
                    <w:szCs w:val="22"/>
                    <w:lang w:eastAsia="lt-LT"/>
                  </w:rPr>
                </w:pPr>
                <w:r>
                  <w:rPr>
                    <w:sz w:val="22"/>
                    <w:szCs w:val="22"/>
                    <w:lang w:eastAsia="lt-LT"/>
                  </w:rPr>
                  <w:t>(jeigu defibriliatorius implantuotas pirminei prevencijai, draudžiama vairuoti 4 sav. po implantacijos, o jeigu antrinei prevencijai – 3 mėn. po implantacijos. Po tikslingos</w:t>
                </w:r>
                <w:r>
                  <w:rPr>
                    <w:sz w:val="22"/>
                    <w:szCs w:val="22"/>
                  </w:rPr>
                  <w:t xml:space="preserve"> </w:t>
                </w:r>
                <w:r>
                  <w:rPr>
                    <w:sz w:val="22"/>
                    <w:szCs w:val="22"/>
                    <w:lang w:eastAsia="lt-LT"/>
                  </w:rPr>
                  <w:t>defibriliatoriaus iškrovos draudžiama vairuoti 3 mėn., po netikslingos iškrovos draudžiama vairuoti, kol nebus pašalinta ją sukėlusi priežastis. Po defibriliatoriaus pakeitimo draudžiama vairuoti 1 sav., po laidų pakeitimo draudžiama vairuoti 4 sav.)</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II, III klasių pagal Niujorko širdies asociacijos (toliau – NYHA) klasifikaciją: I50</w:t>
                </w:r>
              </w:p>
              <w:p>
                <w:pPr>
                  <w:rPr>
                    <w:sz w:val="22"/>
                    <w:szCs w:val="22"/>
                  </w:rPr>
                </w:pPr>
                <w:r>
                  <w:rPr>
                    <w:sz w:val="22"/>
                    <w:szCs w:val="22"/>
                    <w:lang w:eastAsia="lt-LT"/>
                  </w:rPr>
                  <w:t xml:space="preserve">(I ir II funkcinės klasės atvejais reikalingas šeimos gydytojo leidimas, o </w:t>
                </w:r>
                <w:r>
                  <w:rPr>
                    <w:sz w:val="22"/>
                    <w:szCs w:val="22"/>
                  </w:rPr>
                  <w:t xml:space="preserve">III funkcinės klasės atveju </w:t>
                </w:r>
                <w:r>
                  <w:rPr>
                    <w:sz w:val="22"/>
                    <w:szCs w:val="22"/>
                    <w:lang w:eastAsia="lt-LT"/>
                  </w:rPr>
                  <w:t>–</w:t>
                </w:r>
                <w:r>
                  <w:rPr>
                    <w:sz w:val="22"/>
                    <w:szCs w:val="22"/>
                  </w:rPr>
                  <w:t xml:space="preserve"> </w:t>
                </w:r>
                <w:r>
                  <w:rPr>
                    <w:sz w:val="22"/>
                    <w:szCs w:val="22"/>
                    <w:lang w:eastAsia="lt-LT"/>
                  </w:rPr>
                  <w:t>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4.1.16.</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naudoja širdies veiklą palaikančią priemonę (prietaisą) (dirbtinį skilvelį ilgalaikei mechaninei asistuojančiai kraujotakai palaikyti): Z95.8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4.1.17.</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hipertrofinę kardiomiopatiją, jei nepasireiškia sinkopė: I42, I42.1, I42.2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4.1.18.</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arba didesniu kaip 500 ms QTc: I49.8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4.1.19.</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simptominę sinusinio mazgo disfunkciją ir laidumo sutrikimus su antrojo laipsnio Mobico II tipo atrioventrikuline (AV) blokada, trečiojo laipsnio AV blokada arba intermituojančia Hiso pluošto kojyčių blokada: I44.1, I44.2, I44.7, I49.5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4.1.20.</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pavojingą tachiaritmiją (polimorfinę trumpalaikę skilvelinę tachikardiją ar ilgalaikę skilvelinę tachikardiją) arba būklę, kai rekomenduojamas defibriliatoriaus implantavimas: I47.0, I47.2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arba pakeistas nuolatinis širdies stimuliatorius: Z95.0</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didelę miego arterijos stenozę: I65.2</w:t>
                </w:r>
              </w:p>
              <w:p>
                <w:pPr>
                  <w:rPr>
                    <w:sz w:val="22"/>
                    <w:szCs w:val="22"/>
                  </w:rPr>
                </w:pPr>
                <w:r>
                  <w:rPr>
                    <w:sz w:val="22"/>
                    <w:szCs w:val="22"/>
                    <w:lang w:eastAsia="lt-LT"/>
                  </w:rPr>
                  <w:t>(reikalingas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4.1.23.</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kurių didžiausias kylančiosios aortos skersmuo didesnis kaip 5,5 cm: I71.2</w:t>
                </w:r>
              </w:p>
              <w:tbl>
                <w:tblPr>
                  <w:tblW w:w="5000" w:type="pct"/>
                  <w:tblCellSpacing w:w="0" w:type="dxa"/>
                  <w:tblLayout w:type="fixed"/>
                  <w:tblCellMar>
                    <w:left w:w="0" w:type="dxa"/>
                    <w:right w:w="0" w:type="dxa"/>
                  </w:tblCellMar>
                  <w:tblLook w:val="04A0" w:firstRow="1" w:lastRow="0" w:firstColumn="1" w:lastColumn="0" w:noHBand="0" w:noVBand="1"/>
                </w:tblPr>
                <w:tblGrid>
                  <w:gridCol w:w="20"/>
                  <w:gridCol w:w="9009"/>
                </w:tblGrid>
                <w:tr>
                  <w:trPr>
                    <w:tblCellSpacing w:w="0" w:type="dxa"/>
                  </w:trPr>
                  <w:tc>
                    <w:tcPr>
                      <w:tcW w:w="14" w:type="dxa"/>
                      <w:hideMark/>
                    </w:tcPr>
                    <w:p>
                      <w:pPr>
                        <w:rPr>
                          <w:sz w:val="22"/>
                          <w:szCs w:val="22"/>
                          <w:lang w:eastAsia="lt-LT"/>
                        </w:rPr>
                      </w:pPr>
                    </w:p>
                  </w:tc>
                  <w:tc>
                    <w:tcPr>
                      <w:tcW w:w="9958" w:type="dxa"/>
                      <w:hideMark/>
                    </w:tcPr>
                    <w:p>
                      <w:pPr>
                        <w:rPr>
                          <w:sz w:val="22"/>
                          <w:szCs w:val="22"/>
                          <w:lang w:eastAsia="lt-LT"/>
                        </w:rPr>
                      </w:pPr>
                      <w:r>
                        <w:rPr>
                          <w:sz w:val="22"/>
                          <w:szCs w:val="22"/>
                          <w:lang w:eastAsia="lt-LT"/>
                        </w:rPr>
                        <w:t>(reikalingas gydytojo kardiologo leidimas)</w:t>
                      </w:r>
                    </w:p>
                  </w:tc>
                </w:tr>
              </w:tbl>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ir II klasių pagal NYHA klasifikaciją, jei kairiojo skilvelio išstūmimo frakcija ne mažiau kaip 35 % : I50</w:t>
                </w:r>
              </w:p>
              <w:p>
                <w:pPr>
                  <w:rPr>
                    <w:sz w:val="22"/>
                    <w:szCs w:val="22"/>
                  </w:rPr>
                </w:pPr>
                <w:r>
                  <w:rPr>
                    <w:sz w:val="22"/>
                    <w:szCs w:val="22"/>
                    <w:lang w:eastAsia="lt-LT"/>
                  </w:rPr>
                  <w:t>(reikalingas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nustatytas III laipsnio kraujospūdis: diastolinis kraujospūdis – ≥ 110 mmHg ir (arba) sistolinis kraujospūdis – ≥ 180 mmHg: I10–I15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 </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Vairuotojo pažymėjimai neišduodami prie nurodytų grupių priskiriamiems kandidatams į vairuotojus arba neatnaujinami vairuotojams, patiriantiems šiuos širdies ir kraujagyslių sistemų sutrikimus:</w:t>
                </w:r>
              </w:p>
              <w:p>
                <w:pPr>
                  <w:ind w:left="50"/>
                  <w:rPr>
                    <w:sz w:val="22"/>
                    <w:szCs w:val="22"/>
                  </w:rPr>
                </w:pPr>
                <w:r>
                  <w:rPr>
                    <w:b/>
                    <w:sz w:val="22"/>
                    <w:szCs w:val="22"/>
                    <w:lang w:eastAsia="lt-LT"/>
                  </w:rPr>
                  <w:t>PASTABA.</w:t>
                </w:r>
                <w:r>
                  <w:rPr>
                    <w:sz w:val="22"/>
                    <w:szCs w:val="22"/>
                    <w:lang w:eastAsia="lt-LT"/>
                  </w:rPr>
                  <w:t xml:space="preserve"> Vairuotojo pažymėjimai gali būti išduodami ar atnaujinami tik šiame punkte nurodytais atvejais „Spręsti individualiai“, kai gydytojas kardiologas išvadoje pagrindžia asmens gebėjimą saugiai vairuoti, ir jei reguliariai atliekamas sveikatos būklės vertinimas, kurio duomenys, atsižvelgiant į sveikatos sutrikimų poveikį, leistų užtikrinti asmens gebėjimą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periferinių arterijų liga – krūtinės ir pilvo aortos dalies aneurizma, kuriai esant didžiausias aortos skersmuo yra toks, kad kyla didelis staigaus plyšimo, galinčio sukelti ūmią negalią, pavojus: I71.2, I71.4, I71.6</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4.2.2.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Brugados sindromą, pasireiškiantį sinkope arba asmenims, išgyvenusiems staigią kardialinę mirtį: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IV klasės pagal NYHA klasifikaciją: I50</w:t>
                </w:r>
              </w:p>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val="en-US"/>
                  </w:rPr>
                </w:pPr>
                <w:r>
                  <w:rPr>
                    <w:sz w:val="22"/>
                    <w:szCs w:val="22"/>
                    <w:lang w:eastAsia="lt-LT"/>
                  </w:rPr>
                  <w:t>sergantiems širdies vožtuvų liga, jei yra regurgitacija per aortos vožtuvą, aortos stenozė, regurgitacija per mitralinį vožtuvą arba mitralinio vožtuvo stenozė, jei pagal NYHA klasifikaciją įvertinus funkcinį pajėgumą nustatytas IV klasės širdies nepakankamumas arba buvo sinkopės epizodų: I</w:t>
                </w:r>
                <w:r>
                  <w:rPr>
                    <w:sz w:val="22"/>
                    <w:szCs w:val="22"/>
                    <w:lang w:val="en-US" w:eastAsia="lt-LT"/>
                  </w:rPr>
                  <w:t>05, I06, I08, I34, I35, I39.0,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2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4.2.5.</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kuriems implantuotas defibriliatorius: Z95.0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 xml:space="preserve">Visos transporto priemonės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4.2.6.</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širdies nepakankamumą III klasės pagal NYHA klasifikaciją: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4.2.7.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 naudoja širdies veiklą palaikančias priemones (prietaisus) (dirbtinį skilvelį ilgalaikei mechaninei asistuojančiai kraujotakai palaikyti): Z95.8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4.2.8.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širdies vožtuvų liga, per kurią pasireiškė III arba IV klasės (pagal NYHA klasifikaciją) širdies nepakankamumas arba išstūmimo frakcija mažesnė kaip 35 %, mitralinio vožtuvo stenozė ir sunki plaučių hipertenzija arba sunki aortos stenozė, kuri įvertinta atliekant echokardiografinį tyrimą, arba sinkopę sukelianti aortos stenozė, išskyrus visiškai besimptomę sunkią aortos stenozę, jei įvykdomi fizinio krūvio toleravimo reikalavimai: I</w:t>
                </w:r>
                <w:r>
                  <w:rPr>
                    <w:sz w:val="22"/>
                    <w:szCs w:val="22"/>
                    <w:lang w:val="en-US" w:eastAsia="lt-LT"/>
                  </w:rPr>
                  <w:t>05.0, I05.2, I06.0, I06.2, I08, I34.2, I35.0, I35.2, I39.0, I39.1, I27.2,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4.2.9.</w:t>
                </w:r>
              </w:p>
            </w:tc>
            <w:tc>
              <w:tcPr>
                <w:tcW w:w="9109" w:type="dxa"/>
                <w:tcBorders>
                  <w:top w:val="single" w:sz="6" w:space="0" w:color="auto"/>
                  <w:left w:val="single" w:sz="6" w:space="0" w:color="auto"/>
                  <w:bottom w:val="single" w:sz="6" w:space="0" w:color="auto"/>
                  <w:right w:val="single" w:sz="6" w:space="0" w:color="auto"/>
                </w:tcBorders>
              </w:tcPr>
              <w:p>
                <w:pPr>
                  <w:ind w:left="50"/>
                  <w:rPr>
                    <w:sz w:val="22"/>
                    <w:szCs w:val="22"/>
                  </w:rPr>
                </w:pPr>
                <w:r>
                  <w:rPr>
                    <w:sz w:val="22"/>
                    <w:szCs w:val="22"/>
                    <w:lang w:eastAsia="lt-LT"/>
                  </w:rPr>
                  <w:t>struktūriniais pokyčiais ar elektrine disfunkcija pasireiškiančią kardiomiopatiją – hipertrofinę kardiomiopatiją, per kurią pasireiškia sinkopė arba patiriami du ar daugiau iš šių sutrikimų: kairiojo skilvelio sienelės storis – &gt; 3 cm, trumpalaikė skilvelinė tachikardija, šeimoje (tarp pirmos eilės giminaičių) būta staigios mirties atvejų, krūvio mėginių AKS nepadidėja: I42.1, I42.2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4.2.10.</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ir didesniu kaip 500 ms QTc: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Kitos kardiomiopatijos: I42</w:t>
                </w:r>
              </w:p>
              <w:p>
                <w:pPr>
                  <w:rPr>
                    <w:sz w:val="22"/>
                    <w:szCs w:val="22"/>
                  </w:rPr>
                </w:pPr>
                <w:r>
                  <w:rPr>
                    <w:sz w:val="22"/>
                    <w:szCs w:val="22"/>
                    <w:lang w:eastAsia="lt-LT"/>
                  </w:rPr>
                  <w:t>Turi būti įvertinamas staigių kardiovaskulinių įvykių, sukeliančių gebėjimo vairuoti praradimą, poveikis kandidatams į vairuotojus arba vairuotojams, sergantiems kardiomiopatijomis (pvz., aritmogenine dešiniojo skilvelio kardiomiopatija, nekompaktinio kairiojo skilvelio miokardo sukeliama kardiomiopatija, katecholaminergine polimorfine skilveline tachikardija ir turintiems trumpo QT sindromą). Reikalingas išsamus gydytojo kardiologo vertinimas. Turi būti atsižvelgiama į konkrečią kardiomiopatiją pranašaujančius požymius.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CUKRINIS DIABETAS: E10, E11, E12, E13, E14</w:t>
                </w:r>
              </w:p>
              <w:p>
                <w:pPr>
                  <w:widowControl w:val="0"/>
                  <w:suppressAutoHyphens/>
                  <w:rPr>
                    <w:color w:val="000000"/>
                    <w:sz w:val="22"/>
                  </w:rPr>
                </w:pPr>
                <w:r>
                  <w:rPr>
                    <w:color w:val="000000"/>
                    <w:sz w:val="22"/>
                  </w:rPr>
                  <w:t>Tolesniuose punktuose sunki hipoglikemija reiškia, kad ją patiriančiam asmeniui reikalinga kito asmens pagalba, o pasikartojanti hipoglikemija apibūdinama kaip antrą kartą per dvylika mėnesių pasireiškusi sunki hipoglikemija..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gali būti išduodami cukriniu diabetu sergantiems kandidatams vairuotojo pažymėjimui gauti arba atnaujinami ja sergantiems vairuotojams. Jei tokie asmenys gydomi hipoglikemizuojančiais vaistais, apie jų būklę turėtų būti pateikiama gydytojo endokrinologo išvada, o jų sveikata turėtų būti periodiškai, tačiau ne rečiau kaip kartą kas penkerius metus, tikrinama.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5.2.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Cukriniu diabetu sergantis kandidatas į vairuotojus arba vairuotojas, gydomas vaistais, sukeliančiais hipoglikemijos riziką, turi įrodyti, kad jis suvokia hipoglikemijos keliamus pavojus ir geba tinkamai kontroliuoti savo sveikatos būklę, kad jam nepasireikštų hipoglikemija.</w:t>
                </w:r>
              </w:p>
              <w:p>
                <w:pPr>
                  <w:rPr>
                    <w:sz w:val="22"/>
                    <w:szCs w:val="22"/>
                    <w:lang w:eastAsia="lt-LT"/>
                  </w:rPr>
                </w:pPr>
                <w:r>
                  <w:rPr>
                    <w:sz w:val="22"/>
                    <w:szCs w:val="22"/>
                    <w:lang w:eastAsia="lt-LT"/>
                  </w:rPr>
                  <w:t>Vairuotojo pažymėjimai neišduodami kandidatams į vairuotojus arba neatnaujinami vairuotojams, kurie nepakankamai aiškiai suvokia hipoglikemijos keliamus pavojus.</w:t>
                </w:r>
              </w:p>
              <w:p>
                <w:pPr>
                  <w:rPr>
                    <w:sz w:val="22"/>
                    <w:szCs w:val="22"/>
                    <w:lang w:eastAsia="lt-LT"/>
                  </w:rPr>
                </w:pPr>
                <w:r>
                  <w:rPr>
                    <w:sz w:val="22"/>
                    <w:szCs w:val="22"/>
                    <w:lang w:eastAsia="lt-LT"/>
                  </w:rPr>
                  <w:t xml:space="preserve">Vairuotojo pažymėjimai neišduodami kandidatams į vairuotojus arba neatnaujinami vairuotojams, kuriems pasireiškia pasikartojanti sunki hipoglikemija, išskyrus atvejus, kai pateikiama gydytojo endokrinologo išvada ir atliekamas sveikatos būklės vertinimas vadovaujantis Lietuvos Respublikos sveikatos apsaugos ministro 2012 m. vasario 28 d. įsakymo Nr. V-159 „Dėl Cukrinio </w:t>
                </w:r>
                <w:r>
                  <w:rPr>
                    <w:color w:val="000000"/>
                    <w:sz w:val="22"/>
                    <w:szCs w:val="22"/>
                    <w:lang w:eastAsia="lt-LT"/>
                  </w:rPr>
                  <w:t>diabeto ambulatorinio gydymo</w:t>
                </w:r>
                <w:r>
                  <w:rPr>
                    <w:b/>
                    <w:bCs/>
                    <w:color w:val="000000"/>
                    <w:sz w:val="22"/>
                    <w:szCs w:val="22"/>
                    <w:lang w:eastAsia="lt-LT"/>
                  </w:rPr>
                  <w:t xml:space="preserve"> </w:t>
                </w:r>
                <w:r>
                  <w:rPr>
                    <w:color w:val="000000"/>
                    <w:sz w:val="22"/>
                    <w:szCs w:val="22"/>
                    <w:lang w:eastAsia="lt-LT"/>
                  </w:rPr>
                  <w:t xml:space="preserve">kompensuojamaisiais vaistais tvarkos aprašo patvirtinimo“ (toliau </w:t>
                </w:r>
                <w:r>
                  <w:rPr>
                    <w:sz w:val="22"/>
                    <w:szCs w:val="22"/>
                    <w:lang w:eastAsia="lt-LT"/>
                  </w:rPr>
                  <w:t>– įsakymas Nr. V-159)</w:t>
                </w:r>
                <w:r>
                  <w:rPr>
                    <w:color w:val="000000"/>
                    <w:sz w:val="22"/>
                    <w:szCs w:val="22"/>
                    <w:lang w:eastAsia="lt-LT"/>
                  </w:rPr>
                  <w:t xml:space="preserve"> nustatyta tvarka</w:t>
                </w:r>
                <w:r>
                  <w:rPr>
                    <w:sz w:val="22"/>
                    <w:szCs w:val="22"/>
                    <w:lang w:eastAsia="lt-LT"/>
                  </w:rPr>
                  <w:t>. Jei sunki hipoglikemija kartojasi ne miego metu, vairuotojo pažymėjimas neišduodamas ar neatnaujinamas tris mėnesius po paskutinio tokios hipoglikemijos atvejo.</w:t>
                </w:r>
              </w:p>
              <w:p>
                <w:pPr>
                  <w:rPr>
                    <w:sz w:val="22"/>
                    <w:szCs w:val="22"/>
                    <w:lang w:eastAsia="lt-LT"/>
                  </w:rPr>
                </w:pPr>
                <w:r>
                  <w:rPr>
                    <w:sz w:val="22"/>
                    <w:szCs w:val="22"/>
                    <w:lang w:eastAsia="lt-LT"/>
                  </w:rPr>
                  <w:t xml:space="preserve">Vairuotojo pažymėjimai gali būti išduodami ar atnaujinami išskirtiniais atvejais, kai gydytojas endokrinologas išvadoje pagrindžia asmens gebėjimą saugiai  vairuoti  ir  jei  vadovaujantis  įsakymu  Nr.     V-159, atliekamas sveikatos būklės vertinimas, kuriuo, atsižvelgiant į sveikatos sutrikimų poveikį, užtikrinamas asmens gebėjimas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r>
                  <w:rPr>
                    <w:i/>
                    <w:iCs/>
                    <w:color w:val="000000"/>
                    <w:sz w:val="22"/>
                  </w:rPr>
                  <w:t>:</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Gali būti svarstoma galimybė išduoti ir (arba) atnaujinti 2</w:t>
                </w:r>
                <w:r>
                  <w:rPr>
                    <w:i/>
                    <w:color w:val="000000"/>
                    <w:sz w:val="22"/>
                  </w:rPr>
                  <w:t xml:space="preserve"> </w:t>
                </w:r>
                <w:r>
                  <w:rPr>
                    <w:color w:val="000000"/>
                    <w:sz w:val="22"/>
                  </w:rPr>
                  <w:t>grupės vairuotojų pažymėjimus cukriniu diabetu sergantiems vairuotojams. Jei asmuo gydomas vaistais, sukeliančiais hipoglikemijos padidėjimo riziką, t. y. insulinu ir kai kuriomis tabletėmis (sulfanilkarbamidais ar glinidais arba insulino ir sulfanilkarbamidų ar glinidų deriniais), jam turėtų būti taikomi šie reikalavimai:</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per praėjusius dvylika mėnesių neturėti sunkios hipoglikemijos pasireiškimo atvejų;</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visapusiškai suvokti hipoglikemijos keliamus pavojus;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tinkamai kontroliuoti savo būklę nuolat (mažiausiai du kartus per dieną ir prieš vairavimą) tikrinant gliukozės kiekį kraujyje;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įrodyti, kad suvokia hipoglikemijos sukeliamą riziką;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neturėti jokių kitų vairuoti trukdančių cukrinio diabeto komplikacijų.</w:t>
                </w:r>
              </w:p>
              <w:p>
                <w:pPr>
                  <w:widowControl w:val="0"/>
                  <w:suppressAutoHyphens/>
                  <w:rPr>
                    <w:color w:val="000000"/>
                    <w:sz w:val="22"/>
                  </w:rPr>
                </w:pPr>
                <w:r>
                  <w:rPr>
                    <w:color w:val="000000"/>
                    <w:sz w:val="22"/>
                  </w:rPr>
                  <w:t>Be to, šiais atvejais atitinkami vairuotojo pažymėjimai turėtų būti išduodami atsižvelgiant į gydytojo endokrinologo išvadą ir reguliariai atliekamo medicininio patikrinimo, atliekamo ne rečiau kaip kas treji metai, rezultatus.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 asmeniui ne miego metu, net jei jis nevairavo, pasireiškia sunki hipoglikemija, apie tai turėtų būti pranešama ir tokiu atveju turėtų būti naujai vertinama tokio asmens teisė gauti arba turėti vairuotojo pažymėjimą.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9109"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NEUROLOGINĖS LIGOS IR OBSTRUKCINĖS MIEGO APNĖJOS SINDROMAS</w:t>
                </w:r>
              </w:p>
              <w:p>
                <w:pPr>
                  <w:rPr>
                    <w:sz w:val="22"/>
                  </w:rPr>
                </w:pPr>
                <w:r>
                  <w:rPr>
                    <w:sz w:val="22"/>
                  </w:rPr>
                  <w:t>Vairuotojo pažymėjimai neišduodami kandidatams į vairuotojus ar neatnaujinami vairuotojams, sergantiems sunkiomis nervų ligomis, išskyrus atvejus, kai prie prašymo pridedama gydytojo neurologo išvada.</w:t>
                </w:r>
              </w:p>
              <w:p>
                <w:pPr>
                  <w:rPr>
                    <w:sz w:val="22"/>
                  </w:rPr>
                </w:pPr>
                <w:r>
                  <w:rPr>
                    <w:sz w:val="22"/>
                  </w:rPr>
                  <w:t>Neurologiniai sutrikimai, susiję su turinčiomis įtakos centrinei ar periferinei nervų sistemai ligomis ar chirurgine intervencija, dėl kurių atsiranda sensoriniai ar motoriniai sutrikimai, darantys poveikį pusiausvyrai bei koordinacijai, privalo būti tinkamai įvertinti atsižvelgiant į jų funkcinius padarinius ir progresavimo riziką. Jei yra ligos progresavimo rizika, vairuotojo pažymėjimai gali būti išduodami ar atnaujinami tik periodiškai įvertinant sveikatos būklę. Epilepsijos priepuoliai ar kiti staigūs sąmonės sutrikimai kelia rimtą pavojų kelių eismo saugumui, jei jie ištinka asmenį vairuojant variklio varomą transporto priemonę.</w:t>
                </w:r>
              </w:p>
              <w:p>
                <w:pPr>
                  <w:rPr>
                    <w:sz w:val="22"/>
                  </w:rPr>
                </w:pPr>
                <w:r>
                  <w:rPr>
                    <w:sz w:val="22"/>
                  </w:rPr>
                  <w:t>1 grupė:</w:t>
                </w:r>
              </w:p>
              <w:p>
                <w:pPr>
                  <w:rPr>
                    <w:sz w:val="22"/>
                  </w:rPr>
                </w:pPr>
                <w:r>
                  <w:rPr>
                    <w:sz w:val="22"/>
                  </w:rPr>
                  <w:t>Vairuotojo pažymėjimai gali būti išduodami ar atnaujinami gydytojui neurologui atlikus patikrinimą ir reguliariai atliekant medicinines apžiūras. Gydytojas neurologas įvertina epilepsijos ar kitų sąmonės sutrikimų būklę, klinikinę formą ir progresavimą pavyzdžiui, jei pastaruosius dvejus metus nebuvo priepuolių, atliktą gydymą ir jo rezultatus.</w:t>
                </w:r>
              </w:p>
              <w:p>
                <w:pPr>
                  <w:rPr>
                    <w:sz w:val="22"/>
                  </w:rPr>
                </w:pPr>
                <w:r>
                  <w:rPr>
                    <w:sz w:val="22"/>
                  </w:rPr>
                  <w:t>2 grupė:</w:t>
                </w:r>
              </w:p>
              <w:p>
                <w:pPr>
                  <w:rPr>
                    <w:sz w:val="22"/>
                  </w:rPr>
                </w:pPr>
                <w:r>
                  <w:rPr>
                    <w:sz w:val="22"/>
                  </w:rPr>
                  <w:t>Vairuotojo pažymėjimai neišduodami kandidatams į vairuotojus ar neatnaujinami vairuotojams, kuriuos ištinka ar gali ištikti epilepsijos priepuoliai ar kiti staigūs sąmonės sutrikimai.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Epilepsijos priepuoliai ar kiti staigūs sąmonės būsenos pakitimai kelia rimtą pavojų kelių eismo saugumui, jei jie ištinka asmenį, vairuojantį varikliu varomą transporto priemonę.</w:t>
                </w:r>
              </w:p>
              <w:p>
                <w:pPr>
                  <w:widowControl w:val="0"/>
                  <w:suppressAutoHyphens/>
                  <w:rPr>
                    <w:color w:val="000000"/>
                    <w:sz w:val="22"/>
                  </w:rPr>
                </w:pPr>
                <w:r>
                  <w:rPr>
                    <w:color w:val="000000"/>
                    <w:sz w:val="22"/>
                  </w:rPr>
                  <w:t>Epilepsija sergantis asmuo</w:t>
                </w:r>
                <w:r>
                  <w:rPr>
                    <w:i/>
                    <w:color w:val="000000"/>
                    <w:sz w:val="22"/>
                  </w:rPr>
                  <w:t xml:space="preserve"> </w:t>
                </w:r>
                <w:r>
                  <w:rPr>
                    <w:color w:val="000000"/>
                    <w:sz w:val="22"/>
                  </w:rPr>
                  <w:t>– asmuo, kuris per mažiau nei penkerius metus patyrė du ar daugiau epilepsijos priepuolių. Sukeltas epilepsijos priepuolis</w:t>
                </w:r>
                <w:r>
                  <w:rPr>
                    <w:i/>
                    <w:color w:val="000000"/>
                    <w:sz w:val="22"/>
                  </w:rPr>
                  <w:t xml:space="preserve"> </w:t>
                </w:r>
                <w:r>
                  <w:rPr>
                    <w:color w:val="000000"/>
                    <w:sz w:val="22"/>
                  </w:rPr>
                  <w:t>– atpažįstamo veiksnio, kurio galima išvengti, sukeltas priepuolis.</w:t>
                </w:r>
              </w:p>
              <w:p>
                <w:pPr>
                  <w:widowControl w:val="0"/>
                  <w:suppressAutoHyphens/>
                  <w:rPr>
                    <w:color w:val="000000"/>
                    <w:sz w:val="22"/>
                  </w:rPr>
                </w:pPr>
                <w:r>
                  <w:rPr>
                    <w:color w:val="000000"/>
                    <w:sz w:val="22"/>
                  </w:rPr>
                  <w:t>Asmeniui, kuris patyrė priepuolį pirmą kartą arba kurio patirtas priepuolis yra pavienis, arba kuris buvo praradęs sąmonę, rekomenduojama nevairuoti. Gydytojo neurologo pranešime (žr. Aprašo 26</w:t>
                </w:r>
                <w:r>
                  <w:rPr>
                    <w:i/>
                    <w:color w:val="000000"/>
                    <w:sz w:val="22"/>
                  </w:rPr>
                  <w:t xml:space="preserve"> </w:t>
                </w:r>
                <w:r>
                  <w:rPr>
                    <w:color w:val="000000"/>
                    <w:sz w:val="22"/>
                  </w:rPr>
                  <w:t>punktą) turėtų būti nurodytas draudimo vairuoti laikotarpis ir reikalaujamos paskesnės priemonės.</w:t>
                </w:r>
              </w:p>
              <w:p>
                <w:pPr>
                  <w:widowControl w:val="0"/>
                  <w:suppressAutoHyphens/>
                  <w:rPr>
                    <w:color w:val="000000"/>
                    <w:sz w:val="22"/>
                  </w:rPr>
                </w:pPr>
                <w:r>
                  <w:rPr>
                    <w:color w:val="000000"/>
                    <w:sz w:val="22"/>
                  </w:rPr>
                  <w:t>Labai svarbu, kad būtų nustatytas konkretus asmens epilepsijos sindromas ir priepuolio tipas, kad būtų tinkamai įvertintas jo vairavimo saugumas (įskaitant tolesnių priepuolių riziką) ir paskirtas reikiamas gydymas. Tai turėtų padaryti gydytojas neurologas.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1</w:t>
                </w:r>
                <w:r>
                  <w:rPr>
                    <w:i/>
                    <w:color w:val="000000"/>
                    <w:sz w:val="22"/>
                  </w:rPr>
                  <w:t xml:space="preserve"> </w:t>
                </w:r>
                <w:r>
                  <w:rPr>
                    <w:color w:val="000000"/>
                    <w:sz w:val="22"/>
                  </w:rPr>
                  <w:t>grupės kategorijoms priskirtų epilepsija sergančių vairuotojų teisė turėti vairuotojo pažymėjimą nuolat (ne rečiau kaip kartą per metus) persvarstoma tol, kol jie nebūna išbuvę be priepuolių bent jau penkerius metus.</w:t>
                </w:r>
              </w:p>
              <w:p>
                <w:pPr>
                  <w:widowControl w:val="0"/>
                  <w:suppressAutoHyphens/>
                  <w:rPr>
                    <w:color w:val="000000"/>
                    <w:sz w:val="22"/>
                  </w:rPr>
                </w:pPr>
                <w:r>
                  <w:rPr>
                    <w:color w:val="000000"/>
                    <w:sz w:val="22"/>
                  </w:rPr>
                  <w:t>Jei asmuo serga epilepsija, jis neatitinka kriterijų vairuotojo pažymėjimui, kuriam netaikomos jokios sąlygos, gauti ir apie tai turi būti pateiktas pranešimas Aprašo 26</w:t>
                </w:r>
                <w:r>
                  <w:rPr>
                    <w:i/>
                    <w:color w:val="000000"/>
                    <w:sz w:val="22"/>
                  </w:rPr>
                  <w:t xml:space="preserve"> </w:t>
                </w:r>
                <w:r>
                  <w:rPr>
                    <w:color w:val="000000"/>
                    <w:sz w:val="22"/>
                  </w:rPr>
                  <w:t>punkte nustatyta tvarka.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patyręs žinomo provokuojamo veiksnio sukeltą epilepsijos priepuolį ir panašu, kad tas veiksnys nepasireikš vairuojant, atskirais atvejais toks asmuo gali būti pripažįstamas tinkamu vairuoti, atsižvelgiant į gydytojo neurologo išvadą (vertinimas, jei jo reikėtų, turėtų būti atliktas atsižvelgiant į kitas 3</w:t>
                </w:r>
                <w:r>
                  <w:rPr>
                    <w:i/>
                    <w:color w:val="000000"/>
                    <w:sz w:val="22"/>
                  </w:rPr>
                  <w:t xml:space="preserve"> </w:t>
                </w:r>
                <w:r>
                  <w:rPr>
                    <w:color w:val="000000"/>
                    <w:sz w:val="22"/>
                  </w:rPr>
                  <w:t>lentelės dalis (pavyzdžiui, poveikį išgėrus alkoholio arba sergant kitomis ligomis).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Kandidatas vairuotojo pažymėjimui gauti, turėjęs pirmą arba vienintelį neišprovokuotą epilepsijos priepuolį, gali būti laikomas tinkamu vairuoti, jei per šešių mėnesių laikotarpį daugiau priepuolių neturėjo ir jei atliktas atitinkamas medicininis įvertinimas. Vairuotojams, kurių ligos prognozė gera, nacionalinės valdžios institucijos gali leisti vairuoti po trumpesnio laikotarpio.</w:t>
                </w:r>
              </w:p>
              <w:p>
                <w:pPr>
                  <w:widowControl w:val="0"/>
                  <w:suppressAutoHyphens/>
                  <w:rPr>
                    <w:caps/>
                    <w:color w:val="000000"/>
                    <w:sz w:val="22"/>
                  </w:rPr>
                </w:pPr>
                <w:r>
                  <w:rPr>
                    <w:color w:val="000000"/>
                    <w:sz w:val="22"/>
                  </w:rPr>
                  <w:t>Didieji priepuoliai, nepatikslinti (su ar be mažųjų priepuolių) G</w:t>
                </w:r>
                <w:r>
                  <w:rPr>
                    <w:caps/>
                    <w:color w:val="000000"/>
                    <w:sz w:val="22"/>
                  </w:rPr>
                  <w:t xml:space="preserve">40.6; </w:t>
                </w:r>
                <w:r>
                  <w:rPr>
                    <w:color w:val="000000"/>
                    <w:sz w:val="22"/>
                  </w:rPr>
                  <w:t xml:space="preserve">Epilepsija, nepatikslinta </w:t>
                </w:r>
                <w:r>
                  <w:rPr>
                    <w:caps/>
                    <w:color w:val="000000"/>
                    <w:sz w:val="22"/>
                  </w:rPr>
                  <w:t>g40.9.</w:t>
                </w:r>
              </w:p>
              <w:p>
                <w:pPr>
                  <w:widowControl w:val="0"/>
                  <w:suppressAutoHyphens/>
                  <w:rPr>
                    <w:color w:val="000000"/>
                    <w:sz w:val="22"/>
                  </w:rPr>
                </w:pPr>
                <w:r>
                  <w:rPr>
                    <w:color w:val="000000"/>
                    <w:sz w:val="22"/>
                  </w:rPr>
                  <w:t xml:space="preserve">Išsamus neurologinis patikrinimas turi patvirtinti, kad nėra jokios susijusios smegenų patologijos, o elektroencefalogramoje neužfiksuota jokia epileptiforminė veikla.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w:t>
                </w:r>
              </w:p>
              <w:p>
                <w:pPr>
                  <w:widowControl w:val="0"/>
                  <w:suppressAutoHyphens/>
                  <w:rPr>
                    <w:color w:val="000000"/>
                    <w:sz w:val="22"/>
                  </w:rPr>
                </w:pPr>
                <w:r>
                  <w:rPr>
                    <w:color w:val="000000"/>
                    <w:sz w:val="22"/>
                  </w:rPr>
                  <w:t>Kiti ir nepatikslinti priepuoliai R56.8, jei lydimi sąmonės sutrikimo; Dažni alpimai ir kolapsai R55; Idiopatinė periferinė autonominė (vegetacinė) neuropatija G90.0</w:t>
                </w:r>
                <w:r>
                  <w:rPr>
                    <w:i/>
                    <w:color w:val="000000"/>
                    <w:sz w:val="22"/>
                  </w:rPr>
                  <w:t xml:space="preserve"> </w:t>
                </w:r>
                <w:r>
                  <w:rPr>
                    <w:color w:val="000000"/>
                    <w:sz w:val="22"/>
                  </w:rPr>
                  <w:t>– būtina neurologo išvada.</w:t>
                </w:r>
              </w:p>
              <w:p>
                <w:pPr>
                  <w:widowControl w:val="0"/>
                  <w:suppressAutoHyphens/>
                  <w:rPr>
                    <w:color w:val="000000"/>
                    <w:sz w:val="22"/>
                  </w:rPr>
                </w:pPr>
                <w:r>
                  <w:rPr>
                    <w:color w:val="000000"/>
                    <w:sz w:val="22"/>
                  </w:rPr>
                  <w:t>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Vairuotojai arba kandidatai vairuotojo pažymėjimui gauti gali būti laikomi tinkamais vairuoti, jei jie vienų metų laikotarpiu daugiau priepuolių neturėjo.</w:t>
                </w:r>
              </w:p>
              <w:p>
                <w:pPr>
                  <w:widowControl w:val="0"/>
                  <w:suppressAutoHyphens/>
                  <w:rPr>
                    <w:color w:val="000000"/>
                    <w:sz w:val="22"/>
                  </w:rPr>
                </w:pPr>
                <w:r>
                  <w:rPr>
                    <w:color w:val="000000"/>
                    <w:sz w:val="22"/>
                  </w:rPr>
                  <w:t xml:space="preserve">Nuo smegenų pažeidimo lokalizacijos priklausanti (židininė, dalinė) idiopatinė epilepsija ir epilepsiniai sindromai, kai priepuolių pradžia lokalizuota, G40.0; Nuo smegenų pažeidimo lokalizacijos priklausanti (židininė, dalinė) simptominė epilepsija ir epilepsiniai sindromai su paprastais daliniais priepuoliais G40.1; Nuo smegenų pažeidimo lokalizacijos priklausanti (židininė, dalinė) simptominė epilepsija ir epilepsiniai sindromai su sudėtiniais (kompleksiniais) daliniais priepuoliais G40.2; Išplitusi (generalizuota) idiopatinė epilepsija ir epilepsiniai sindromai G40.3; Kitokia išplitusi (generalizuota) epilepsija ir epilepsiniai sindromai G40.4; Didieji priepuoliai, nepatikslinti (su ar be mažųjų priepuolių) G40.6; Mažieji priepuoliai, nepatikslinti, be didžiųjų priepuolių G40.7; Kitokia epilepsija G40.8; Epilepsinė būklė G41.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6.1.6.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Tik miegant ištinkantys priepuoliai. Kandidatas vairuotojo pažymėjimui gauti arba vairuotojas, kurį priepuoliai ištinka tik miegant, gali būti laikomas tinkamu vairuoti, jei nustatyta, kad toks jį ištinkančių priepuolių pobūdis trunka ne trumpiau, nei nustatytas laikotarpis, per kurį neturi būti jokių epilepsijos priepuolių. Jei epilepsijos priepuolių būna ne miego metu,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6.1.7.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Sąmonei arba gebėjimui veikti poveikio neturintys priepuoliai. Kandidatas vairuotojo pažymėjimui gauti arba vairuotojas, kuris niekada neturėjo priepuolių, išskyrus priepuolius, kurie neturi poveikio sąmonei ir nesukelia funkcinių sutrikimų, gali būti laikomas tinkamu vairuoti, jei nustatyta, kad toks jį ištinkančių priepuolių pobūdis trunka ne trumpiau nei laikotarpį, per kurį neturi būti jokių epilepsijos priepuolių. Jei jį ištinka kitokie priepuoliai,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6.1.8.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Priepuoliai, atsiradę dėl gydytojo nurodymo pakeisti epilepsijos gydymą. Pacientui gali būti patariama nevairuoti nuo gydymo nutraukimo pradžios ir vėliau, šešis mėnesius po gydymo nutraukimo. Jei priepuoliai atsirado gydytojo nurodymu pakeitus vaistus arba nutraukus jų vartojimą ir jei vėl pradėtas taikyti ankstesnis veiksmingas gydymas, tris mėnesius negalima vairuoti.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6.1.9.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Po epilepsijos gydymo tikslais atliktos operacijos (žr. „6.1.5. 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6.1.10.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Kandidatas vairuotojo pažymėjimui gauti per reikalaujamą epilepsijos priepuolių nebuvimo laikotarpį turėtų nevartoti vaistų nuo epilepsijos. Turi būti atliktas atitinkamas medicininis patikrinimas. Išsamus neurologinis patikrinimas turi patvirtinti, kad nėra jokios susijusios smegenų patologijos, o elektroencefalogramoje neužfiksuota jokia epileptiforminė veikla. Po smarkaus epilepsijos požymių pasireiškimo turi būti atlikta elektroencefalograma ir atitinkamas neurologinis įvertinimas.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turėjęs žinomo provokuojamo veiksnio sukeltą epilepsijos priepuolį ir panašu, kad tas veiksnys nepasireikš vairuojant, toks asmuo atskirais atvejais, atsižvelgiant į gydytojo neurologo išvadą, gali būti pripažįstamas tinkamu vairuoti. Po smarkaus epilepsijos požymių pasireiškimo turi būti atliekama elektroencefalograma ir atitinkamas neurologinis įvertinimas.</w:t>
                </w:r>
              </w:p>
              <w:p>
                <w:pPr>
                  <w:widowControl w:val="0"/>
                  <w:suppressAutoHyphens/>
                  <w:rPr>
                    <w:color w:val="000000"/>
                    <w:sz w:val="22"/>
                  </w:rPr>
                </w:pPr>
                <w:r>
                  <w:rPr>
                    <w:color w:val="000000"/>
                    <w:sz w:val="22"/>
                  </w:rPr>
                  <w:t>Struktūrinį intracerebrinį sužeidimą turinčiam asmeniui su didele priepuolių rizika neturėtų būti leidžiama vairuoti 2</w:t>
                </w:r>
                <w:r>
                  <w:rPr>
                    <w:i/>
                    <w:color w:val="000000"/>
                    <w:sz w:val="22"/>
                  </w:rPr>
                  <w:t xml:space="preserve"> </w:t>
                </w:r>
                <w:r>
                  <w:rPr>
                    <w:color w:val="000000"/>
                    <w:sz w:val="22"/>
                  </w:rPr>
                  <w:t>grupės transporto priemonių tol, kol epilepsijos rizika sumažės bent iki 2</w:t>
                </w:r>
                <w:r>
                  <w:rPr>
                    <w:i/>
                    <w:color w:val="000000"/>
                    <w:sz w:val="22"/>
                  </w:rPr>
                  <w:t xml:space="preserve"> </w:t>
                </w:r>
                <w:r>
                  <w:rPr>
                    <w:color w:val="000000"/>
                    <w:sz w:val="22"/>
                  </w:rPr>
                  <w:t>proc. per metus. Prireikus vertinimas turėtų būti atliekamas atsižvelgiant į kitas susijusias 3</w:t>
                </w:r>
                <w:r>
                  <w:rPr>
                    <w:i/>
                    <w:color w:val="000000"/>
                    <w:sz w:val="22"/>
                  </w:rPr>
                  <w:t xml:space="preserve"> </w:t>
                </w:r>
                <w:r>
                  <w:rPr>
                    <w:color w:val="000000"/>
                    <w:sz w:val="22"/>
                  </w:rPr>
                  <w:t>lentelės dalis (pavyzdžiui, alkoholio vartojimo atveju).</w:t>
                </w:r>
              </w:p>
              <w:p>
                <w:pPr>
                  <w:widowControl w:val="0"/>
                  <w:suppressAutoHyphens/>
                  <w:rPr>
                    <w:color w:val="000000"/>
                    <w:sz w:val="22"/>
                  </w:rPr>
                </w:pPr>
                <w:r>
                  <w:rPr>
                    <w:color w:val="000000"/>
                    <w:sz w:val="22"/>
                  </w:rPr>
                  <w:t>Specialieji epilepsijos sindromai G40.5. Kandidatas vairuotojo pažymėjimui gauti arba atnaujinti, turėjęs pirmą sukeltą epilepsijos priepuolį, gali būti laikomas tinkamu vairuoti, jei jam atliktas atitinkamas medicininis įvertinimas ir pripažinta, kad jo ligos prognozė yra gera. 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Po atitinkamo gydytojo neurologo įvertinimo pirmą neišprovokuotą epilepsijos priepuolį patyręs kandidatas vairuotojo pažymėjimui gauti gali būti laikomas tinkamu vairuoti, jei per penkerius metus neturėjo daugiau priepuolių ir to pasiekė nevartodamas vaistų nuo epilepsijos. Vairuotojams, kurių ligos prognozė yra gera, nacionalinės valdžios institucijos gali leisti vairuoti po trumpesnio laikotarpio.</w:t>
                </w:r>
              </w:p>
              <w:p>
                <w:pPr>
                  <w:widowControl w:val="0"/>
                  <w:suppressAutoHyphens/>
                  <w:rPr>
                    <w:color w:val="000000"/>
                    <w:sz w:val="22"/>
                  </w:rPr>
                </w:pPr>
                <w:r>
                  <w:rPr>
                    <w:color w:val="000000"/>
                    <w:sz w:val="22"/>
                  </w:rPr>
                  <w:t xml:space="preserve">Didieji priepuoliai, nepatikslinti (su ar be mažųjų priepuolių) G40.6; Epilepsija, nepatikslinta, </w:t>
                </w:r>
                <w:r>
                  <w:rPr>
                    <w:caps/>
                    <w:color w:val="000000"/>
                    <w:sz w:val="22"/>
                  </w:rPr>
                  <w:t xml:space="preserve">g40.9. </w:t>
                </w: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 Sąmonės netekimo rizika turėtų būti 2</w:t>
                </w:r>
                <w:r>
                  <w:rPr>
                    <w:i/>
                    <w:color w:val="000000"/>
                    <w:sz w:val="22"/>
                  </w:rPr>
                  <w:t xml:space="preserve"> </w:t>
                </w:r>
                <w:r>
                  <w:rPr>
                    <w:color w:val="000000"/>
                    <w:sz w:val="22"/>
                  </w:rPr>
                  <w:t>proc. per metus arba mažesnė.</w:t>
                </w:r>
              </w:p>
              <w:p>
                <w:pPr>
                  <w:widowControl w:val="0"/>
                  <w:suppressAutoHyphens/>
                  <w:rPr>
                    <w:color w:val="000000"/>
                    <w:sz w:val="22"/>
                  </w:rPr>
                </w:pPr>
                <w:r>
                  <w:rPr>
                    <w:color w:val="000000"/>
                    <w:sz w:val="22"/>
                  </w:rPr>
                  <w:t>Koma, nepatikslinta R40.2; Kiti ir nepatikslinti priepuoliai R56.8, jei lydimi sąmonės sutrikimo; Alpimas ir kolapsas R55; Idiopatinė periferinė autonominė (vegetacinė) neuropatija G90.0.</w:t>
                </w:r>
              </w:p>
              <w:p>
                <w:pPr>
                  <w:widowControl w:val="0"/>
                  <w:suppressAutoHyphens/>
                  <w:rPr>
                    <w:color w:val="000000"/>
                    <w:sz w:val="22"/>
                  </w:rPr>
                </w:pP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Reikia per 10</w:t>
                </w:r>
                <w:r>
                  <w:rPr>
                    <w:i/>
                    <w:color w:val="000000"/>
                    <w:sz w:val="22"/>
                  </w:rPr>
                  <w:t xml:space="preserve"> </w:t>
                </w:r>
                <w:r>
                  <w:rPr>
                    <w:color w:val="000000"/>
                    <w:sz w:val="22"/>
                  </w:rPr>
                  <w:t>metų neturėti daugiau priepuolių ir tokia būklė turi būti pasiekta nevartojant vaistų nuo epilepsijos. Nacionalinės valdžios institucijos vairuotojams, kurių ligos prognozė gera, gali leisti vairuoti po trumpesnio laikotarpio. Tai taikoma ir jaunuolių epilepsijos atveju.</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Tam tikri sutrikimai (pavyzdžiui, arterijų ir venų ydingas susiformavimas arba intracerebrinė hemoragija I67.1) padidina priepuolių riziką, net jei jie dar nebuvo ištikę. Tokiu atveju būklę turėtų vertinti gydytojas neurologas, vairuotojo pažymėjimas gali būti išduodamas tik tada, jei priepuolio rizika yra 2</w:t>
                </w:r>
                <w:r>
                  <w:rPr>
                    <w:i/>
                    <w:color w:val="000000"/>
                    <w:sz w:val="22"/>
                  </w:rPr>
                  <w:t xml:space="preserve"> </w:t>
                </w:r>
                <w:r>
                  <w:rPr>
                    <w:color w:val="000000"/>
                    <w:sz w:val="22"/>
                  </w:rPr>
                  <w:t>proc. per metus arba mažesnė.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6.4.</w:t>
                </w:r>
              </w:p>
            </w:tc>
            <w:tc>
              <w:tcPr>
                <w:tcW w:w="9109" w:type="dxa"/>
                <w:tcBorders>
                  <w:top w:val="single" w:sz="6" w:space="0" w:color="auto"/>
                  <w:left w:val="single" w:sz="6" w:space="0" w:color="auto"/>
                  <w:bottom w:val="single" w:sz="6" w:space="0" w:color="auto"/>
                  <w:right w:val="single" w:sz="6" w:space="0" w:color="auto"/>
                </w:tcBorders>
              </w:tcPr>
              <w:p>
                <w:pPr>
                  <w:outlineLvl w:val="3"/>
                  <w:rPr>
                    <w:b/>
                    <w:bCs/>
                    <w:szCs w:val="24"/>
                    <w:lang w:eastAsia="lt-LT"/>
                  </w:rPr>
                </w:pPr>
                <w:r>
                  <w:rPr>
                    <w:b/>
                    <w:bCs/>
                    <w:szCs w:val="24"/>
                    <w:lang w:eastAsia="lt-LT"/>
                  </w:rPr>
                  <w:t>OBSTRUKCINĖS MIEGO APNĖJOS SINDROMAS G47.32</w:t>
                </w:r>
              </w:p>
              <w:p>
                <w:pPr>
                  <w:rPr>
                    <w:sz w:val="2"/>
                    <w:szCs w:val="2"/>
                  </w:rPr>
                </w:pPr>
              </w:p>
              <w:p>
                <w:pPr>
                  <w:suppressAutoHyphens/>
                  <w:ind w:left="24"/>
                  <w:jc w:val="both"/>
                  <w:rPr>
                    <w:szCs w:val="24"/>
                  </w:rPr>
                </w:pPr>
                <w:r>
                  <w:rPr>
                    <w:szCs w:val="24"/>
                  </w:rPr>
                  <w:t>Gydytojas neurologas arba gydytojas pulmonologas turi nustatyti OMA sunkumo laipsnį, kad tinkamai įvertintų paciento gebėjimą saugiai vairuoti ir paskirtų reikiamą gydymą bei nurodytų galimas pagalbos priemones ar taikomų apribojimų dėl medicininių priežasčių kodus. Tai turėtų padaryti gydytojas pulmonologas ar gydytojas neurologas asmens sveikatos priežiūros įstaigoje, kuri turi galimybę ir licenciją atlikti reikiamus tyrimus OMA diagnozei patvirtinti arba paneigti ir geba įvertinti gydymo efektyvumą.</w:t>
                </w:r>
              </w:p>
              <w:p>
                <w:pPr>
                  <w:suppressAutoHyphens/>
                  <w:ind w:left="24"/>
                  <w:jc w:val="both"/>
                  <w:rPr>
                    <w:szCs w:val="24"/>
                  </w:rPr>
                </w:pPr>
                <w:r>
                  <w:rPr>
                    <w:szCs w:val="24"/>
                  </w:rPr>
                  <w:t>Kandidatus į vairuotojus arba atnaujinančius vairuotojo pažymėjimą asmenis, kuriems įtariama vidutinio sunkumo ir sunki OMA, reikia informuoti, kad iki patikslintos diagnozės nustatymo jie turi nevairuoti.</w:t>
                </w:r>
              </w:p>
              <w:p>
                <w:pPr>
                  <w:suppressAutoHyphens/>
                  <w:ind w:left="24" w:firstLine="142"/>
                  <w:jc w:val="both"/>
                  <w:rPr>
                    <w:szCs w:val="24"/>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p>
                <w:pPr>
                  <w:suppressAutoHyphens/>
                  <w:ind w:left="24"/>
                  <w:jc w:val="both"/>
                  <w:rPr>
                    <w:szCs w:val="24"/>
                  </w:rPr>
                </w:pPr>
                <w:r>
                  <w:rPr>
                    <w:szCs w:val="24"/>
                  </w:rPr>
                  <w:t>nevairuoti.</w:t>
                </w:r>
              </w:p>
              <w:p>
                <w:pPr>
                  <w:widowControl w:val="0"/>
                  <w:suppressAutoHyphens/>
                  <w:rPr>
                    <w:color w:val="000000"/>
                    <w:sz w:val="22"/>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6.4.1.</w:t>
                </w: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i/>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trejus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Cs w:val="24"/>
                  </w:rPr>
                </w:pP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lang w:val="en-US"/>
                  </w:rPr>
                  <w:t xml:space="preserve">2 </w:t>
                </w:r>
                <w:r>
                  <w:rPr>
                    <w:szCs w:val="24"/>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6.4.2.</w:t>
                </w: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vienus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Visų etiologijų demencijos F00-F03</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7.2.</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Organiniai ir simptominiai psichikos sutrikimai F04; F05; F06 – </w:t>
                </w:r>
              </w:p>
              <w:p>
                <w:pPr>
                  <w:rPr>
                    <w:sz w:val="22"/>
                  </w:rPr>
                </w:pPr>
                <w:r>
                  <w:rPr>
                    <w:sz w:val="22"/>
                  </w:rPr>
                  <w:t>sprendžiama individualiai, įvertinus kompleksinio tyrimo duomenis, kompensacijos stabilumą skiriamą medikamentinį gydymą ar pasveikus.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 Pasveikus 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7.3.</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Organiniai asmenybės ir elgesio sutrikimai</w:t>
                </w:r>
              </w:p>
              <w:p>
                <w:pPr>
                  <w:rPr>
                    <w:sz w:val="22"/>
                  </w:rPr>
                </w:pPr>
                <w:r>
                  <w:rPr>
                    <w:sz w:val="22"/>
                  </w:rPr>
                  <w:t>F07 – sprendžiama individualiai, įvertinus kompleksinio tyrimo duomenis, kompensacijos stabilumą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7.4.</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vartojant psichotropines medžiagas</w:t>
                </w:r>
              </w:p>
              <w:p>
                <w:pPr>
                  <w:rPr>
                    <w:sz w:val="22"/>
                  </w:rPr>
                </w:pPr>
                <w:r>
                  <w:rPr>
                    <w:sz w:val="22"/>
                  </w:rPr>
                  <w:t>F1X.1–F1X.9 (remisijų metu sprendžiama individualiai, atsižvelgiant į remisijų trukmę, stabilumą adaptaciją skiriamą medikamentinį gydymą)</w:t>
                </w:r>
              </w:p>
              <w:p>
                <w:pPr>
                  <w:rPr>
                    <w:sz w:val="22"/>
                  </w:rPr>
                </w:pPr>
                <w:r>
                  <w:rPr>
                    <w:sz w:val="22"/>
                  </w:rPr>
                  <w:t>(X – bet kuris skaičius nuo 1 iki 9, išskyrus 7)</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7.5.</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Schizofrenija, schizotipinis ir kliedesinis sutrikimas F20–29 </w:t>
                </w:r>
              </w:p>
              <w:p>
                <w:pPr>
                  <w:rPr>
                    <w:sz w:val="22"/>
                  </w:rPr>
                </w:pPr>
                <w:r>
                  <w:rPr>
                    <w:sz w:val="22"/>
                  </w:rPr>
                  <w:t>(esant remisijai ar ribinio lygio rezidualinei simptomatikai, galimybės vairuoti klausimas sprendžiamas individualiai, atsižvelgiant į kompleksinio tyrimo duomenis – remisijos trukmę, kokybę, rezidualinę simptomatiką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7.6.</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Afektiniai sutrikimai – F30.1–F 0.9; F31.1–F31.9; F32.1–F32.9; F33.0–F33.9, F39 (remisijų metu klausimas sprendžiamas individualiai, atsižvelgiant į remisijos trukmę, stabilumą adaptaciją skiriamą medikamentinį gydymą). </w:t>
                </w:r>
              </w:p>
              <w:p>
                <w:pPr>
                  <w:rPr>
                    <w:sz w:val="22"/>
                  </w:rPr>
                </w:pPr>
                <w:r>
                  <w:rPr>
                    <w:sz w:val="22"/>
                  </w:rPr>
                  <w:t>Afektiniai sutrikimai F34; F38 (sprendžiama individualiai, atsižvelgiant į psichikos sutrikimo simptomų išreikštumą adaptaciją,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7.7.</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Neuroziniai, stresiniai ir somatoforminiai sutrikimai F40–F48 – sprendžiama individualiai, atsižvelgiant į sutrikimus, adaptacijos,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7.8.</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Elgesio sindromai, susiję su fiziologiniais sutrikimais bei somatiniais veiksniais F50; F51: F53–F59 – sprendžiama individualiai, atsižvelgiant į sutrikimus, adaptaciją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7.9.</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Suaugusiųjų asmenybės ir elgesio sutrikimai F60–F63; F68; F69 – sprendžiama individualiai, atsižvelgiant į dekompensacijų dažnumą laipsnį, adaptacijos kokybę,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7.10.</w:t>
                </w:r>
              </w:p>
            </w:tc>
            <w:tc>
              <w:tcPr>
                <w:tcW w:w="9109" w:type="dxa"/>
                <w:tcBorders>
                  <w:top w:val="single" w:sz="6" w:space="0" w:color="auto"/>
                  <w:left w:val="single" w:sz="6" w:space="0" w:color="auto"/>
                  <w:bottom w:val="single" w:sz="6" w:space="0" w:color="auto"/>
                  <w:right w:val="single" w:sz="6" w:space="0" w:color="auto"/>
                </w:tcBorders>
              </w:tcPr>
              <w:p>
                <w:pPr>
                  <w:rPr>
                    <w:strike/>
                    <w:sz w:val="22"/>
                    <w:szCs w:val="22"/>
                    <w:lang w:eastAsia="lt-LT"/>
                  </w:rPr>
                </w:pPr>
                <w:r>
                  <w:rPr>
                    <w:sz w:val="22"/>
                    <w:szCs w:val="22"/>
                    <w:lang w:eastAsia="lt-LT"/>
                  </w:rPr>
                  <w:t xml:space="preserve">Protinis atsilikimas F70–F71 </w:t>
                </w:r>
              </w:p>
              <w:p>
                <w:pPr>
                  <w:rPr>
                    <w:sz w:val="22"/>
                    <w:szCs w:val="22"/>
                    <w:lang w:eastAsia="lt-LT"/>
                  </w:rPr>
                </w:pPr>
                <w:r>
                  <w:rPr>
                    <w:sz w:val="22"/>
                    <w:szCs w:val="22"/>
                    <w:lang w:eastAsia="lt-LT"/>
                  </w:rPr>
                  <w:t>(dėl leidimo vairuoti A, A1, A2, AM, B, B1, BE kategorijų transporto priemones (be teisės užsiimti transporto ūkine veikla), traktorių, remiantis gydytojo psichiatro išvada, sprendžiama individualiai, atsižvelgiant į praktinius vairavimo įgūdžius bei adaptacijos kokybę).</w:t>
                </w:r>
              </w:p>
              <w:p>
                <w:pPr>
                  <w:rPr>
                    <w:sz w:val="22"/>
                    <w:szCs w:val="22"/>
                  </w:rPr>
                </w:pPr>
                <w:r>
                  <w:rPr>
                    <w:sz w:val="22"/>
                    <w:szCs w:val="22"/>
                    <w:lang w:eastAsia="lt-LT"/>
                  </w:rPr>
                  <w:t>Pakartotinis sveikatos tikrinimas skiriamas po 3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7.11.</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Protinis atsilikimas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7.12.</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Psichologinės raidos sutrikimai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7.13.</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Elgesio ir emocijų sutrikimai, prasidedantys vaikystėje ir paauglystėje F90–F98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PASTABA: Psichozinio lygio sutrikimų atveju kokybiška remisija turėtų trukti ne trumpiau kaip 3 metus Nepsichozinio lygio psichikos sutrikimų atveju remisija turėtų trukti ne trumpiau kaip 1 metus Galima taikyti 68 apribojimą ir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8.</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ALKOHOLIS</w:t>
                </w:r>
              </w:p>
              <w:p>
                <w:pPr>
                  <w:rPr>
                    <w:sz w:val="22"/>
                    <w:szCs w:val="22"/>
                  </w:rPr>
                </w:pPr>
                <w:r>
                  <w:rPr>
                    <w:sz w:val="22"/>
                    <w:szCs w:val="22"/>
                  </w:rPr>
                  <w:t>Alkoholio vartojimas kelia didžiulį pavojų kelių eismo saugumui. Atsižvelgiant į problemos mastą, medikai turi būti ypač budrūs.</w:t>
                </w:r>
              </w:p>
              <w:p>
                <w:pPr>
                  <w:rPr>
                    <w:sz w:val="22"/>
                    <w:szCs w:val="22"/>
                  </w:rPr>
                </w:pPr>
                <w:r>
                  <w:rPr>
                    <w:sz w:val="22"/>
                    <w:szCs w:val="22"/>
                  </w:rPr>
                  <w:t>1 grupė:</w:t>
                </w:r>
              </w:p>
              <w:p>
                <w:pPr>
                  <w:rPr>
                    <w:sz w:val="22"/>
                    <w:szCs w:val="22"/>
                  </w:rPr>
                </w:pPr>
                <w:r>
                  <w:rPr>
                    <w:sz w:val="22"/>
                    <w:szCs w:val="22"/>
                  </w:rPr>
                  <w:t>Vairuotojo pažymėjimai neišduodami kandidatams į vairuotojus ar neatnaujinami vairuotojams, priklausomiems nuo alkoholio arba negalintiems susilaikyti negėrus ir nevairavus esant neblaiviems.</w:t>
                </w:r>
              </w:p>
              <w:p>
                <w:pPr>
                  <w:rPr>
                    <w:sz w:val="22"/>
                    <w:szCs w:val="22"/>
                  </w:rPr>
                </w:pPr>
                <w:r>
                  <w:rPr>
                    <w:sz w:val="22"/>
                    <w:szCs w:val="22"/>
                  </w:rPr>
                  <w:t>Praėjus įrodytam abstinencijos laikotarpiui ir pateikus gydytojo psichiatro išvadą bei reguliariai atliekant medicinines apžiūras, vairuotojo pažymėjimai gali būti išduodami kandidatams į vairuotojus ar atnaujinami vairuotojams, kurie praeityje buvo priklausomi nuo alkoholio.</w:t>
                </w:r>
              </w:p>
              <w:p>
                <w:pPr>
                  <w:rPr>
                    <w:sz w:val="22"/>
                    <w:szCs w:val="22"/>
                  </w:rPr>
                </w:pPr>
                <w:r>
                  <w:rPr>
                    <w:sz w:val="22"/>
                    <w:szCs w:val="22"/>
                  </w:rPr>
                  <w:t>2 grupė:</w:t>
                </w:r>
              </w:p>
              <w:p>
                <w:pPr>
                  <w:rPr>
                    <w:sz w:val="22"/>
                    <w:szCs w:val="22"/>
                  </w:rPr>
                </w:pPr>
                <w:r>
                  <w:rPr>
                    <w:sz w:val="22"/>
                    <w:szCs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Spręsti individualiai. Taikyti apribojimą 68</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8.1.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Priklausomybės ligos </w:t>
                </w:r>
              </w:p>
              <w:p>
                <w:pPr>
                  <w:rPr>
                    <w:b/>
                    <w:bCs/>
                    <w:sz w:val="22"/>
                    <w:szCs w:val="22"/>
                  </w:rPr>
                </w:pPr>
                <w:r>
                  <w:rPr>
                    <w:b/>
                    <w:bCs/>
                    <w:sz w:val="22"/>
                    <w:szCs w:val="22"/>
                  </w:rPr>
                  <w:t>PASTABOS:</w:t>
                </w:r>
              </w:p>
              <w:p>
                <w:pPr>
                  <w:rPr>
                    <w:sz w:val="22"/>
                    <w:szCs w:val="22"/>
                  </w:rPr>
                </w:pPr>
                <w:r>
                  <w:rPr>
                    <w:sz w:val="22"/>
                    <w:szCs w:val="22"/>
                  </w:rPr>
                  <w:t xml:space="preserve">Po sėkmingo gydymo sprendžiama individualiai. Vadovaujantis gydytojų komisijos išvada, gali būti leista vairuoti. </w:t>
                </w:r>
              </w:p>
              <w:p>
                <w:pPr>
                  <w:rPr>
                    <w:sz w:val="22"/>
                    <w:szCs w:val="22"/>
                  </w:rPr>
                </w:pPr>
                <w:r>
                  <w:rPr>
                    <w:sz w:val="22"/>
                    <w:szCs w:val="22"/>
                  </w:rPr>
                  <w:t>Sergantiesiems priklausomybės liga turi būti ne trumpesnė kaip 3 metų remisija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9.</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NARKOTIKAI IR VAISTAI</w:t>
                </w:r>
              </w:p>
              <w:p>
                <w:pPr>
                  <w:rPr>
                    <w:sz w:val="22"/>
                    <w:szCs w:val="22"/>
                  </w:rPr>
                </w:pPr>
                <w:r>
                  <w:rPr>
                    <w:sz w:val="22"/>
                    <w:szCs w:val="22"/>
                  </w:rPr>
                  <w:t>Piktnaudžiavimas:</w:t>
                </w:r>
              </w:p>
              <w:p>
                <w:pPr>
                  <w:rPr>
                    <w:sz w:val="22"/>
                    <w:szCs w:val="22"/>
                  </w:rPr>
                </w:pPr>
                <w:r>
                  <w:rPr>
                    <w:sz w:val="22"/>
                    <w:szCs w:val="22"/>
                  </w:rPr>
                  <w:t>Vairuotojo pažymėjimai neišduodami kandidatams į vairuotojus ar neatnaujinami vairuotojams, kurie priklauso nuo psichotropinių medžiagų arba nuo jų nepriklauso, bet reguliariai jomis piktnaudžiauja, nesvarbu, kokios kategorijos vairuotojo pažymėjimo yra prašoma. Reguliarus vartojimas:</w:t>
                </w:r>
              </w:p>
              <w:p>
                <w:pPr>
                  <w:rPr>
                    <w:sz w:val="22"/>
                    <w:szCs w:val="22"/>
                  </w:rPr>
                </w:pPr>
                <w:r>
                  <w:rPr>
                    <w:sz w:val="22"/>
                    <w:szCs w:val="22"/>
                  </w:rPr>
                  <w:t>1 grupė:</w:t>
                </w:r>
              </w:p>
              <w:p>
                <w:pPr>
                  <w:rPr>
                    <w:sz w:val="22"/>
                    <w:szCs w:val="22"/>
                  </w:rPr>
                </w:pPr>
                <w:r>
                  <w:rPr>
                    <w:sz w:val="22"/>
                    <w:szCs w:val="22"/>
                  </w:rPr>
                  <w:t>Vairuotojo pažymėjimai neišduodami kandidatams į vairuotojus ar neatnaujinami vairuotojams, kurie reguliariai bet kokia forma vartoja psichotropines medžiagas, galinčias trukdyti saugiai vairuoti, kai suvartotas kiekis gali turėti neigiamą poveikį vairavimui. Tai taikoma ir visiems kitiems vaistams ar vaistų deriniams, turintiems poveikį gebėjimui vairuoti.</w:t>
                </w:r>
              </w:p>
              <w:p>
                <w:pPr>
                  <w:rPr>
                    <w:sz w:val="22"/>
                    <w:szCs w:val="22"/>
                  </w:rPr>
                </w:pPr>
                <w:r>
                  <w:rPr>
                    <w:sz w:val="22"/>
                    <w:szCs w:val="22"/>
                  </w:rPr>
                  <w:t>2 grupė:</w:t>
                </w:r>
              </w:p>
              <w:p>
                <w:pPr>
                  <w:rPr>
                    <w:sz w:val="22"/>
                    <w:szCs w:val="22"/>
                  </w:rPr>
                </w:pPr>
                <w:r>
                  <w:rPr>
                    <w:sz w:val="22"/>
                    <w:szCs w:val="22"/>
                  </w:rPr>
                  <w:t>Gydytojas psichiatras tinkamai įvertina papildomą riziką ir pavojus, kurie kyla, kai vairuojamos šiai grupei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9.1.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Piktnaudžiavimas narkotikais ir vaistais </w:t>
                </w:r>
              </w:p>
              <w:p>
                <w:pPr>
                  <w:rPr>
                    <w:b/>
                    <w:bCs/>
                    <w:sz w:val="22"/>
                    <w:szCs w:val="22"/>
                  </w:rPr>
                </w:pPr>
                <w:r>
                  <w:rPr>
                    <w:b/>
                    <w:bCs/>
                    <w:sz w:val="22"/>
                    <w:szCs w:val="22"/>
                  </w:rPr>
                  <w:t>PASTABOS:</w:t>
                </w:r>
              </w:p>
              <w:p>
                <w:pPr>
                  <w:rPr>
                    <w:sz w:val="22"/>
                    <w:szCs w:val="22"/>
                  </w:rPr>
                </w:pPr>
                <w:r>
                  <w:rPr>
                    <w:sz w:val="22"/>
                    <w:szCs w:val="22"/>
                  </w:rPr>
                  <w:t xml:space="preserve">Po sėkmingo gydymo sprendžiama individualiai. Vadovaujantis gydytojų komisijos išvada, gali būti leista vairuoti. </w:t>
                </w:r>
              </w:p>
              <w:p>
                <w:pPr>
                  <w:rPr>
                    <w:sz w:val="22"/>
                    <w:szCs w:val="22"/>
                  </w:rPr>
                </w:pPr>
                <w:r>
                  <w:rPr>
                    <w:sz w:val="22"/>
                    <w:szCs w:val="22"/>
                  </w:rPr>
                  <w:t xml:space="preserve">Sergantiesiems priklausomybės liga turi būti ne trumpesnė kaip 3 metų remisija. </w:t>
                </w:r>
              </w:p>
              <w:p>
                <w:pPr>
                  <w:rPr>
                    <w:sz w:val="22"/>
                    <w:szCs w:val="22"/>
                  </w:rPr>
                </w:pPr>
                <w:r>
                  <w:rPr>
                    <w:sz w:val="22"/>
                    <w:szCs w:val="22"/>
                  </w:rPr>
                  <w:t>Galima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r>
          <w:tr>
            <w:trPr>
              <w:trHeight w:val="2414"/>
            </w:trPr>
            <w:tc>
              <w:tcPr>
                <w:tcW w:w="891" w:type="dxa"/>
                <w:tcBorders>
                  <w:top w:val="single" w:sz="6" w:space="0" w:color="auto"/>
                  <w:left w:val="single" w:sz="6" w:space="0" w:color="auto"/>
                  <w:right w:val="single" w:sz="6" w:space="0" w:color="auto"/>
                </w:tcBorders>
              </w:tcPr>
              <w:p>
                <w:pPr>
                  <w:rPr>
                    <w:sz w:val="22"/>
                  </w:rPr>
                </w:pPr>
                <w:r>
                  <w:rPr>
                    <w:sz w:val="22"/>
                  </w:rPr>
                  <w:t>10.</w:t>
                </w:r>
              </w:p>
            </w:tc>
            <w:tc>
              <w:tcPr>
                <w:tcW w:w="9109" w:type="dxa"/>
                <w:tcBorders>
                  <w:top w:val="single" w:sz="6" w:space="0" w:color="auto"/>
                  <w:left w:val="single" w:sz="6" w:space="0" w:color="auto"/>
                  <w:right w:val="single" w:sz="6" w:space="0" w:color="auto"/>
                </w:tcBorders>
              </w:tcPr>
              <w:p>
                <w:pPr>
                  <w:rPr>
                    <w:b/>
                    <w:bCs/>
                    <w:sz w:val="22"/>
                  </w:rPr>
                </w:pPr>
                <w:r>
                  <w:rPr>
                    <w:b/>
                    <w:bCs/>
                    <w:sz w:val="22"/>
                  </w:rPr>
                  <w:t>INKSTŲ SUTRIKIMAI:</w:t>
                </w:r>
              </w:p>
              <w:p>
                <w:pPr>
                  <w:rPr>
                    <w:sz w:val="22"/>
                  </w:rPr>
                </w:pPr>
                <w:r>
                  <w:rPr>
                    <w:sz w:val="22"/>
                  </w:rPr>
                  <w:t>1 grupė:</w:t>
                </w:r>
              </w:p>
              <w:p>
                <w:pPr>
                  <w:rPr>
                    <w:sz w:val="22"/>
                  </w:rPr>
                </w:pPr>
                <w:r>
                  <w:rPr>
                    <w:sz w:val="22"/>
                  </w:rPr>
                  <w:t>Vairuotojo pažymėjimai gali būti išduodami kandidatams į vairuotojus ar atnaujinami vairuotojams, sergantiems sunkiu inkstų nepakankamumu, pateikus gydytojo nefrologo išvadą ir reguliariai atliekant medicinines apžiūras.</w:t>
                </w:r>
              </w:p>
              <w:p>
                <w:pPr>
                  <w:rPr>
                    <w:sz w:val="22"/>
                  </w:rPr>
                </w:pPr>
                <w:r>
                  <w:rPr>
                    <w:sz w:val="22"/>
                  </w:rPr>
                  <w:t>2 grupė:</w:t>
                </w:r>
              </w:p>
              <w:p>
                <w:pPr>
                  <w:rPr>
                    <w:sz w:val="22"/>
                  </w:rPr>
                </w:pPr>
                <w:r>
                  <w:rPr>
                    <w:sz w:val="22"/>
                  </w:rPr>
                  <w:t xml:space="preserve">Išskyrus išskirtinius atvejus, kurie tinkamai pagrindžiami gydytojo nefrologo išvada ir reguliariai atliekant medicinines apžiūras, vairuotojo pažymėjimai neišduodami kandidatams į vairuotojus ar neatnaujinami vairuotojams, sergantiems sunkiu ir nepagydomu inkstų nepakankamumu. Lėtinis inkstų nepakankamumas </w:t>
                </w:r>
                <w:r>
                  <w:rPr>
                    <w:bCs/>
                    <w:sz w:val="22"/>
                  </w:rPr>
                  <w:t xml:space="preserve">N </w:t>
                </w:r>
                <w:r>
                  <w:rPr>
                    <w:sz w:val="22"/>
                  </w:rPr>
                  <w:t>18</w:t>
                </w:r>
              </w:p>
            </w:tc>
            <w:tc>
              <w:tcPr>
                <w:tcW w:w="2370" w:type="dxa"/>
                <w:tcBorders>
                  <w:top w:val="single" w:sz="6" w:space="0" w:color="auto"/>
                  <w:left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09"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KITOS NUOSTATOS</w:t>
                </w:r>
              </w:p>
              <w:p>
                <w:pPr>
                  <w:rPr>
                    <w:sz w:val="22"/>
                  </w:rPr>
                </w:pPr>
                <w:r>
                  <w:rPr>
                    <w:sz w:val="22"/>
                  </w:rPr>
                  <w:t>1 grupė:</w:t>
                </w:r>
              </w:p>
              <w:p>
                <w:pPr>
                  <w:rPr>
                    <w:sz w:val="22"/>
                  </w:rPr>
                </w:pPr>
                <w:r>
                  <w:rPr>
                    <w:sz w:val="22"/>
                  </w:rPr>
                  <w:t>Pateikus atitinkamos profesinės kvalifikacijos gydytojo išvadą ir prireikus reguliariai atliekant medicinines apžiūras, vairuotojo pažymėjimai gali būti išduodami kandidatams į vairuotojus ar atnaujinami vairuotojams, kuriems buvo persodinti organai ar įdėtas dirbtinis organas, darantys poveikį gebėjimui vairuoti.</w:t>
                </w:r>
              </w:p>
              <w:p>
                <w:pPr>
                  <w:rPr>
                    <w:sz w:val="22"/>
                  </w:rPr>
                </w:pPr>
                <w:r>
                  <w:rPr>
                    <w:sz w:val="22"/>
                  </w:rPr>
                  <w:t>2 grupė:</w:t>
                </w:r>
              </w:p>
              <w:p>
                <w:pPr>
                  <w:rPr>
                    <w:sz w:val="22"/>
                  </w:rPr>
                </w:pPr>
                <w:r>
                  <w:rPr>
                    <w:sz w:val="22"/>
                  </w:rPr>
                  <w:t>Atitinkamos profesinės kvalifikacijos gydytojas tinkamai įvertina papildomą riziką ir pavojus, kurie kylą kai vairuojamos šiai grupei priskiriamos transporto priemonės.</w:t>
                </w:r>
              </w:p>
              <w:p>
                <w:pPr>
                  <w:rPr>
                    <w:sz w:val="22"/>
                  </w:rPr>
                </w:pPr>
                <w:r>
                  <w:rPr>
                    <w:sz w:val="22"/>
                  </w:rPr>
                  <w:t>Paprastai tais atvejais, kai kandidatai į vairuotojus ar vairuotojai turi bet kokių kitų sutrikimų, neišvardytų pirmesniame punkte, bet tikėtina, kad galinčių sukelti funkcinių sutrikimų, keliančių pavojų saugiam vairavimui, vairuotojo pažymėjimai neišduodami ar neatnaujinami, išskyrus atvejus, kai kartu su prašymu pateikiama atitinkamos profesinės kvalifikacijos gydytojo išvada ir prireikus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Kitos ligos ar būklės, kurių nėra šiame sąraše, tačiau dėl kurių, gydytojų komisijos sprendimu, asmuo negali vairuoti atitinkamos transporto priemonės. Sprendimą priima įstaigos gydytojų konsultacinė komisija, jį būtina argumentuoti.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bl>
        <w:p>
          <w:pPr>
            <w:jc w:val="both"/>
          </w:pPr>
        </w:p>
        <w:sdt>
          <w:sdtPr>
            <w:alias w:val="pastraipa"/>
            <w:tag w:val="part_a12a5cc77725464ab3061b5460210de5"/>
            <w:lock w:val="sdtLocked"/>
            <w:richText/>
          </w:sdtPr>
          <w:sdtContent>
            <w:p>
              <w:pPr>
                <w:jc w:val="both"/>
                <w:rPr>
                  <w:sz w:val="22"/>
                </w:rPr>
              </w:pPr>
              <w:r>
                <w:rPr>
                  <w:sz w:val="22"/>
                </w:rPr>
                <w:t>Pastabos:</w:t>
              </w:r>
            </w:p>
          </w:sdtContent>
        </w:sdt>
        <w:sdt>
          <w:sdtPr>
            <w:alias w:val="1 p."/>
            <w:tag w:val="part_91f7c691844a4270896e1adf8e1ddf81"/>
            <w:lock w:val="sdtLocked"/>
            <w:richText/>
          </w:sdtPr>
          <w:sdtContent>
            <w:p>
              <w:pPr>
                <w:jc w:val="both"/>
                <w:rPr>
                  <w:sz w:val="22"/>
                </w:rPr>
              </w:pPr>
              <w:sdt>
                <w:sdtPr>
                  <w:alias w:val="Numeris"/>
                  <w:tag w:val="nr_91f7c691844a4270896e1adf8e1ddf81"/>
                  <w:lock w:val="sdtLocked"/>
                  <w:richText/>
                </w:sdtPr>
                <w:sdtContent>
                  <w:r>
                    <w:rPr>
                      <w:sz w:val="22"/>
                    </w:rPr>
                    <w:t>1</w:t>
                  </w:r>
                </w:sdtContent>
              </w:sdt>
              <w:r>
                <w:rPr>
                  <w:sz w:val="22"/>
                </w:rPr>
                <w:t xml:space="preserve">. </w:t>
              </w:r>
              <w:r>
                <w:rPr>
                  <w:i/>
                  <w:sz w:val="22"/>
                </w:rPr>
                <w:t>Neteko galios nuo 2018-09-14</w:t>
              </w:r>
              <w:r>
                <w:rPr>
                  <w:sz w:val="22"/>
                </w:rPr>
                <w:t>.</w:t>
              </w:r>
            </w:p>
          </w:sdtContent>
        </w:sdt>
        <w:sdt>
          <w:sdtPr>
            <w:alias w:val="2 p."/>
            <w:tag w:val="part_95dab9f62a8746c5b88ee15bc28813f8"/>
            <w:lock w:val="sdtLocked"/>
            <w:richText/>
          </w:sdtPr>
          <w:sdtContent>
            <w:p>
              <w:pPr>
                <w:jc w:val="both"/>
                <w:rPr>
                  <w:sz w:val="22"/>
                </w:rPr>
              </w:pPr>
              <w:sdt>
                <w:sdtPr>
                  <w:alias w:val="Numeris"/>
                  <w:tag w:val="nr_95dab9f62a8746c5b88ee15bc28813f8"/>
                  <w:lock w:val="sdtLocked"/>
                  <w:richText/>
                </w:sdtPr>
                <w:sdtContent>
                  <w:r>
                    <w:rPr>
                      <w:sz w:val="22"/>
                    </w:rPr>
                    <w:t>2</w:t>
                  </w:r>
                </w:sdtContent>
              </w:sdt>
              <w:r>
                <w:rPr>
                  <w:sz w:val="22"/>
                </w:rPr>
                <w:t>. „Spręsti individualiai“, „individualiu sprendimu“ reiškia, kad asmuo, atsakingas už vairuotojų sveikatos tikrinimus, o 29 punkte nurodytais atvejais – gydytojų konsultacinė komisija, gali priimti individualų sprendimą leidžiantį asmeniui vairuoti atitinkamos kategorijos transporto priemonę, atsižvelgdami į susirgimą kompensaciją patologinio proceso grįžtamumą jo progresavimą tęsiant vairuotojo, dirbančio pagal darbo sutartis (atsižvelgiant į darbo krūvį, konkrečias pareigas), darbą tiriamojo psichikos ir charakterio ypatumus, vadovaudamiesi ir specializuotų gydymo įstaigų, specialistų išvadomis ir rekomendacijomis.</w:t>
              </w:r>
            </w:p>
          </w:sdtContent>
        </w:sdt>
        <w:sdt>
          <w:sdtPr>
            <w:alias w:val="3 p."/>
            <w:tag w:val="part_91c0a009624d44db9eaeb52843343851"/>
            <w:lock w:val="sdtLocked"/>
            <w:richText/>
          </w:sdtPr>
          <w:sdtContent>
            <w:p>
              <w:pPr>
                <w:jc w:val="both"/>
              </w:pPr>
              <w:sdt>
                <w:sdtPr>
                  <w:alias w:val="Numeris"/>
                  <w:tag w:val="nr_91c0a009624d44db9eaeb52843343851"/>
                  <w:lock w:val="sdtLocked"/>
                  <w:richText/>
                </w:sdtPr>
                <w:sdtContent>
                  <w:r>
                    <w:rPr>
                      <w:sz w:val="22"/>
                    </w:rPr>
                    <w:t>3</w:t>
                  </w:r>
                </w:sdtContent>
              </w:sdt>
              <w:r>
                <w:rPr>
                  <w:sz w:val="22"/>
                </w:rPr>
                <w:t>. Apie būtinybę vairuoti su akiniais, kontaktiniais lęšiais, klausos aparatu, protezu, draudimą dirbti vairuotoju (užsiimti transporto ūkine veikla), privaloma įrašyti Vairuotojo sveikatos patikrinimo medicininėje pažymoje (F Nr. 083-1/a). Čia įrašomi ir psichologinio tyrimo rezultatai (blogai ir gerai atliktų užduočių santykis), atliekant vairuotojų profesinę atranką („D“ kategorijos, troleibuso, traktorių ir savaeigių mašinų)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be9f0398911e881f2ba995b003ed2">
            <w:r w:rsidRPr="00532B9F">
              <w:rPr>
                <w:rFonts w:ascii="Times New Roman" w:eastAsia="MS Mincho" w:hAnsi="Times New Roman"/>
                <w:sz w:val="20"/>
                <w:i/>
                <w:iCs/>
                <w:color w:val="0000FF" w:themeColor="hyperlink"/>
                <w:u w:val="single"/>
              </w:rPr>
              <w:t>V-381</w:t>
            </w:r>
          </w:fldSimple>
          <w:r>
            <w:rPr>
              <w:rFonts w:ascii="Times New Roman" w:eastAsia="MS Mincho" w:hAnsi="Times New Roman"/>
              <w:sz w:val="20"/>
              <w:i/>
              <w:iCs/>
            </w:rPr>
            <w:t>,
2018-04-06,
paskelbta TAR 2018-04-09, i. k. 2018-05598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sdtContent>
    </w:sdt>
    <w:sdt>
      <w:sdtPr>
        <w:alias w:val="lentele"/>
        <w:tag w:val="part_53a20ffc4e7c45359dbc9cc855e70581"/>
        <w:lock w:val="sdtLocked"/>
        <w:richText/>
      </w:sdtPr>
      <w:sdtContent>
        <w:p>
          <w:pPr>
            <w:jc w:val="both"/>
          </w:pPr>
        </w:p>
        <w:p>
          <w:pPr>
            <w:ind w:firstLine="567"/>
            <w:jc w:val="both"/>
            <w:sectPr>
              <w:pgSz w:w="16840" w:h="11907" w:orient="landscape" w:code="9"/>
              <w:pgMar w:top="1079" w:right="1134" w:bottom="1134" w:left="1134" w:header="567" w:footer="567" w:gutter="0"/>
              <w:pgNumType w:start="1"/>
              <w:cols w:space="1296"/>
              <w:titlePg/>
              <w:docGrid w:linePitch="360"/>
            </w:sectPr>
          </w:pPr>
        </w:p>
        <w:p>
          <w:pPr>
            <w:jc w:val="both"/>
          </w:pPr>
        </w:p>
        <w:p>
          <w:pPr>
            <w:ind w:firstLine="567"/>
            <w:jc w:val="right"/>
          </w:pPr>
          <w:r>
            <w:t>4 lentelė</w:t>
          </w:r>
        </w:p>
        <w:p>
          <w:pPr>
            <w:jc w:val="both"/>
            <w:rPr>
              <w:bCs/>
            </w:rPr>
          </w:pPr>
        </w:p>
        <w:sdt>
          <w:sdtPr>
            <w:alias w:val="Pavadinimas"/>
            <w:tag w:val="title_53a20ffc4e7c45359dbc9cc855e70581"/>
            <w:lock w:val="sdtLocked"/>
            <w:richText/>
          </w:sdtPr>
          <w:sdtContent>
            <w:p>
              <w:pPr>
                <w:jc w:val="center"/>
                <w:rPr>
                  <w:b/>
                  <w:bCs/>
                </w:rPr>
              </w:pPr>
              <w:r>
                <w:rPr>
                  <w:b/>
                  <w:bCs/>
                </w:rPr>
                <w:t>VAIRUOTOJO GARBĖS DEKLARACIJA (SVEIKATOS PATIKRINIMO KLAUSIMYNAS)</w:t>
              </w:r>
            </w:p>
          </w:sdtContent>
        </w:sdt>
        <w:p>
          <w:pPr>
            <w:rPr>
              <w:b/>
              <w:bCs/>
            </w:rPr>
          </w:pPr>
        </w:p>
        <w:sdt>
          <w:sdtPr>
            <w:alias w:val="pastraipa"/>
            <w:tag w:val="part_51369210f9af477681cc066f76328b85"/>
            <w:lock w:val="sdtLocked"/>
            <w:richText/>
          </w:sdtPr>
          <w:sdtContent>
            <w:p>
              <w:pPr>
                <w:jc w:val="center"/>
              </w:pPr>
              <w:r>
                <w:t>___________________</w:t>
              </w:r>
            </w:p>
          </w:sdtContent>
        </w:sdt>
        <w:sdt>
          <w:sdtPr>
            <w:alias w:val="pastraipa"/>
            <w:tag w:val="part_af818a00d0df4e698754cd2fe96b1764"/>
            <w:lock w:val="sdtLocked"/>
            <w:richText/>
          </w:sdtPr>
          <w:sdtContent>
            <w:p>
              <w:pPr>
                <w:jc w:val="center"/>
              </w:pPr>
              <w:r>
                <w:t>(data)</w:t>
              </w:r>
            </w:p>
          </w:sdtContent>
        </w:sdt>
        <w:sdt>
          <w:sdtPr>
            <w:alias w:val="pastraipa"/>
            <w:tag w:val="part_35488bc148c942c6a8626b0be5add652"/>
            <w:lock w:val="sdtLocked"/>
            <w:richText/>
          </w:sdtPr>
          <w:sdtContent>
            <w:p>
              <w:pPr>
                <w:jc w:val="center"/>
              </w:pPr>
              <w:r>
                <w:t>______________________________________</w:t>
              </w:r>
            </w:p>
          </w:sdtContent>
        </w:sdt>
        <w:sdt>
          <w:sdtPr>
            <w:alias w:val="pastraipa"/>
            <w:tag w:val="part_19d556ee372e4a5a89c6928b2a1364a8"/>
            <w:lock w:val="sdtLocked"/>
            <w:richText/>
          </w:sdtPr>
          <w:sdtContent>
            <w:p>
              <w:pPr>
                <w:jc w:val="center"/>
              </w:pPr>
              <w:r>
                <w:t>(sudarymo vieta)</w:t>
              </w:r>
            </w:p>
            <w:p>
              <w:pPr>
                <w:jc w:val="both"/>
              </w:pPr>
            </w:p>
          </w:sdtContent>
        </w:sdt>
        <w:sdt>
          <w:sdtPr>
            <w:alias w:val="lentele"/>
            <w:tag w:val="part_65fdfe09273c4e8b9e23097ad860a8d8"/>
            <w:lock w:val="sdtLocked"/>
            <w:richText/>
          </w:sdtPr>
          <w:sdtContent>
            <w:tbl>
              <w:tblPr>
                <w:tblW w:w="9070" w:type="dxa"/>
                <w:tblLayout w:type="fixed"/>
                <w:tblCellMar>
                  <w:left w:w="40" w:type="dxa"/>
                  <w:right w:w="40" w:type="dxa"/>
                </w:tblCellMar>
                <w:tblLook w:val="0000" w:firstRow="0" w:lastRow="0" w:firstColumn="0" w:lastColumn="0" w:noHBand="0" w:noVBand="0"/>
              </w:tblPr>
              <w:tblGrid>
                <w:gridCol w:w="650"/>
                <w:gridCol w:w="7070"/>
                <w:gridCol w:w="675"/>
                <w:gridCol w:w="675"/>
              </w:tblGrid>
              <w:tr>
                <w:trPr>
                  <w:cantSplit/>
                  <w:trHeight w:val="23"/>
                  <w:tblHeader/>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Eil. Nr. </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Klausimai, į kuriuos prašome atsakyti (tinkamą atsakymą „taip“ arba „ne“ lentelėje pažymėti </w:t>
                      <w:sym w:font="Wingdings" w:char="F0FC"/>
                    </w:r>
                    <w:r>
                      <w:rPr>
                        <w:vanish/>
                        <w:sz w:val="22"/>
                      </w:rPr>
                      <w:t>v</w:t>
                    </w:r>
                    <w:r>
                      <w:rPr>
                        <w:iCs/>
                        <w:sz w:val="22"/>
                      </w:rPr>
                      <w:t>)</w:t>
                    </w:r>
                    <w:r>
                      <w:rPr>
                        <w:i/>
                        <w:iCs/>
                        <w:sz w:val="22"/>
                      </w:rPr>
                      <w:t xml:space="preserve"> </w:t>
                    </w:r>
                    <w:r>
                      <w:rPr>
                        <w:sz w:val="22"/>
                      </w:rPr>
                      <w:t>lankantis pas gydytoją dėl vairuotojo pažymėjimo įsigijimo arba jo galiojimo pratęsimo (priežastį pabraukti)</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Taip</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w:t>
                    </w: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A.</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kokia nors liga arba gal turite kokią negalią ar kitų medicininių nusiskundimų, galinčių paveikti Jūsų gebėjimą vairuoti motorinę transporto priemonę?</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regėjimo sutrikimų, tokių kaip: </w:t>
                    </w:r>
                  </w:p>
                  <w:p>
                    <w:pPr>
                      <w:rPr>
                        <w:sz w:val="22"/>
                      </w:rPr>
                    </w:pPr>
                    <w:r>
                      <w:rPr>
                        <w:sz w:val="22"/>
                      </w:rPr>
                      <w:t>1.1. pablogėjęs matymas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 nevalingi akių judesiai (nistagmas)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1.3. regėjimo lauko defektai (pvz., ribotas matymas į šonus)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1.4. dvigubinimasis (dvejinimasis)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1.5. akivaizdus matymo pablogėjimas prieblandoje ar tamsoje (vištakumas)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1.6. pablogėjęs akių judrumas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1.7. jautrumas akinimui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1.8. pablogėjęs atstumo įvertinimas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1.9. kiti sutrikimai (akių skausmai, staigus matymo sutrikimas, buvo / yra nustatytas padidėjęs akispūdis ar kt.)</w:t>
                    </w:r>
                  </w:p>
                  <w:p>
                    <w:pPr>
                      <w:rPr>
                        <w:sz w:val="22"/>
                      </w:rPr>
                    </w:pPr>
                    <w:r>
                      <w:rPr>
                        <w:sz w:val="22"/>
                      </w:rPr>
                      <w:t>(Jei „taip“, tinkamą atsakymą pabraukti arba įrašyti):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Jums svaigo / svaigsta galva?</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pablogėjusia klausa, ar sirgote ausų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yra galūnių judesių funkcijos sutrikimų arba gal sergate kokia nors su tuo susijusia liga?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širdies ir / ar širdies ir kraujagyslių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5.1. insultas (paralyžius)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5.2. širdies ritmo sutrikimai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5.3. širdies infarktas ar krūtinės angina (stenokardija)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5.4. širdies įgimta ar įgyta liga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5.5. kita širdies ar širdies ir kraujagyslių liga (reumatas ar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cukriniu diabetu?</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turėjote galvos smegenų traumą?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epilepsija?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Jums būna / kada nors buvo ištikę ženklūs pusiausvyros sutrikimai?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alpote / alpstate arba turėjote / turite kitų sąmonės sutrikimų?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 skundėtės anksčiau šlapinimosi sutrikimais, inkstų veiklos pablogėjimu?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dėmesio, pastabumo, mąstymo arba atminties sutrikimais?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miego sutrikimais:</w:t>
                    </w:r>
                  </w:p>
                  <w:p>
                    <w:pPr>
                      <w:rPr>
                        <w:sz w:val="22"/>
                      </w:rPr>
                    </w:pPr>
                    <w:r>
                      <w:rPr>
                        <w:sz w:val="22"/>
                      </w:rPr>
                      <w:t>12.1. Ar būnate pavargęs ar mieguistas dieną?</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12.2. Ar Jus ištinka nevalingi miego priepuoliai?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piktnaudžiaujate / piktnaudžiavote 5 metų laikotarpiu alkoholiu, rūkalais, narkotikais arba vaistais?</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 turėjote 5 metų laikotarpiu kokių nors psichikos sutrikimų arba gal sirgote kokia nors psichikos liga, ar dėl to buvote gydomas (-a) psichiatro?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B.</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Klausimai apie gydymą, vaistų vartojimą ir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buvote gydomas (-a) ligoninėje arba kreipėtės į gydytoją dėl anksčiau minėtų priežasčių (A 1–15)?</w:t>
                    </w:r>
                  </w:p>
                  <w:p>
                    <w:pPr>
                      <w:rPr>
                        <w:sz w:val="22"/>
                      </w:rPr>
                    </w:pPr>
                    <w:r>
                      <w:rPr>
                        <w:sz w:val="22"/>
                      </w:rPr>
                      <w:t>Jei „taip“, tinkamą atsakymą pabraukti, nurodyti, kada ir įstaigos, kurioje gydėtės, pavadinimą, adresą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šiuo metu vartojate gydytojo paskirtus vaistus (raminamuosius, migdomuosius, nuskausminamuosius ar kitus)?</w:t>
                    </w:r>
                  </w:p>
                  <w:p>
                    <w:pPr>
                      <w:rPr>
                        <w:sz w:val="22"/>
                      </w:rPr>
                    </w:pPr>
                    <w:r>
                      <w:rPr>
                        <w:sz w:val="22"/>
                      </w:rPr>
                      <w:t>Jei „taip“, tinkamą atsakymą pabraukti, nurodyti, kokius vaistus: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Gal Jums dėl kurios nors anksčiau minėtos ligos (A 1–13) paskirti kokie nors vaistai, kurie turi būti reguliariai vartojami ilgą laiką? </w:t>
                    </w:r>
                  </w:p>
                  <w:p>
                    <w:pPr>
                      <w:rPr>
                        <w:sz w:val="22"/>
                      </w:rPr>
                    </w:pPr>
                    <w:r>
                      <w:rPr>
                        <w:sz w:val="22"/>
                      </w:rPr>
                      <w:t>Jei atsakymas „taip“, nurodyti, kokie vaistai: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anksčiau buvo tikrinta Jūsų sveikata, norint gauti vairuotojo pažymėjimą? </w:t>
                    </w:r>
                  </w:p>
                  <w:p>
                    <w:pPr>
                      <w:rPr>
                        <w:sz w:val="22"/>
                      </w:rPr>
                    </w:pPr>
                    <w:r>
                      <w:rPr>
                        <w:sz w:val="22"/>
                      </w:rPr>
                      <w:t>Jei atsakymas „taip“, nurodyti kada: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turite darbingumo apribojimų dėl ligos ar sveikatos problemos?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manote, kad dabar esate visiškai sveikas (-a)? </w:t>
                    </w:r>
                  </w:p>
                  <w:p>
                    <w:pPr>
                      <w:rPr>
                        <w:sz w:val="22"/>
                      </w:rPr>
                    </w:pPr>
                    <w:r>
                      <w:rPr>
                        <w:sz w:val="22"/>
                      </w:rPr>
                      <w:t>Jei atsakymas „ne“, įrašyti priežastis: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bl>
            <w:p>
              <w:pPr>
                <w:jc w:val="both"/>
              </w:pPr>
            </w:p>
          </w:sdtContent>
        </w:sdt>
        <w:sdt>
          <w:sdtPr>
            <w:alias w:val="pastraipa"/>
            <w:tag w:val="part_61aa1e37ce2c47429d4bf57df7472b4e"/>
            <w:lock w:val="sdtLocked"/>
            <w:richText/>
          </w:sdtPr>
          <w:sdtContent>
            <w:p>
              <w:pPr>
                <w:ind w:firstLine="567"/>
                <w:jc w:val="both"/>
              </w:pPr>
              <w:r>
                <w:t>Užtikrinu, kad visa mano pateikta informacija yra visiškai teisinga, ir suprantu, kad, pablogėjus sveikatos būklei, turiu nedelsdamas (-a) kreiptis į gydytoją.</w:t>
              </w:r>
            </w:p>
            <w:p>
              <w:pPr>
                <w:jc w:val="both"/>
              </w:pPr>
            </w:p>
          </w:sdtContent>
        </w:sdt>
        <w:sdt>
          <w:sdtPr>
            <w:alias w:val="pastraipa"/>
            <w:tag w:val="part_9776c0303d3b47179565bf5dde4bbedc"/>
            <w:lock w:val="sdtLocked"/>
            <w:richText/>
          </w:sdtPr>
          <w:sdtContent>
            <w:p>
              <w:pPr>
                <w:tabs>
                  <w:tab w:val="left" w:pos="6480"/>
                </w:tabs>
                <w:ind w:firstLine="3000"/>
                <w:jc w:val="both"/>
              </w:pPr>
              <w:r>
                <w:t>_________________</w:t>
                <w:tab/>
                <w:t>_____________________</w:t>
              </w:r>
            </w:p>
            <w:p>
              <w:pPr>
                <w:tabs>
                  <w:tab w:val="left" w:pos="7080"/>
                </w:tabs>
                <w:ind w:firstLine="3600"/>
                <w:jc w:val="both"/>
              </w:pPr>
              <w:r>
                <w:t xml:space="preserve">(parašas) </w:t>
                <w:tab/>
                <w:t>(vardas, pavardė)</w:t>
              </w:r>
            </w:p>
            <w:p>
              <w:pPr>
                <w:jc w:val="both"/>
                <w:rPr>
                  <w:bCs/>
                </w:rPr>
              </w:pPr>
            </w:p>
          </w:sdtContent>
        </w:sdt>
        <w:sdt>
          <w:sdtPr>
            <w:alias w:val="pastraipa"/>
            <w:tag w:val="part_2cf9a4c47a7b440990c24ec6951f82fd"/>
            <w:lock w:val="sdtLocked"/>
            <w:richText/>
          </w:sdtPr>
          <w:sdtContent>
            <w:p>
              <w:pPr>
                <w:jc w:val="both"/>
                <w:rPr>
                  <w:color w:val="000000"/>
                </w:rPr>
              </w:pPr>
              <w:r>
                <w:rPr>
                  <w:b/>
                  <w:bCs/>
                </w:rPr>
                <w:t xml:space="preserve">Pastaba: </w:t>
              </w:r>
              <w:r>
                <w:t>Įdedamas į Asmens sveikatos istoriją – F 025/a</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f99f630dd4494ea8a0278039b27fdecd"/>
        <w:lock w:val="sdtLocked"/>
        <w:richText/>
      </w:sdtPr>
      <w:sdtContent>
        <w:p>
          <w:pPr>
            <w:suppressAutoHyphens/>
            <w:ind w:left="1134"/>
            <w:jc w:val="right"/>
            <w:textAlignment w:val="center"/>
            <w:sectPr>
              <w:pgSz w:w="11906" w:h="16838"/>
              <w:pgMar w:top="1134" w:right="1134" w:bottom="1134" w:left="1701" w:header="567" w:footer="567" w:gutter="0"/>
              <w:pgNumType w:start="1"/>
              <w:cols w:space="1296"/>
              <w:noEndnote/>
              <w:titlePg/>
              <w:docGrid w:linePitch="326"/>
            </w:sectPr>
          </w:pPr>
        </w:p>
        <w:p>
          <w:pPr>
            <w:suppressAutoHyphens/>
            <w:ind w:left="1134"/>
            <w:jc w:val="right"/>
            <w:textAlignment w:val="center"/>
            <w:rPr>
              <w:bCs/>
              <w:szCs w:val="24"/>
              <w:lang w:eastAsia="lt-LT"/>
            </w:rPr>
          </w:pPr>
          <w:sdt>
            <w:sdtPr>
              <w:alias w:val="Numeris"/>
              <w:tag w:val="nr_f99f630dd4494ea8a0278039b27fdecd"/>
              <w:lock w:val="sdtLocked"/>
              <w:richText/>
            </w:sdtPr>
            <w:sdtContent>
              <w:r>
                <w:rPr>
                  <w:bCs/>
                  <w:szCs w:val="24"/>
                  <w:lang w:eastAsia="lt-LT"/>
                </w:rPr>
                <w:t>5</w:t>
              </w:r>
            </w:sdtContent>
          </w:sdt>
          <w:r>
            <w:rPr>
              <w:bCs/>
              <w:szCs w:val="24"/>
              <w:lang w:eastAsia="lt-LT"/>
            </w:rPr>
            <w:t xml:space="preserve"> lentelė</w:t>
          </w:r>
        </w:p>
        <w:p>
          <w:pPr>
            <w:suppressAutoHyphens/>
            <w:ind w:left="1134"/>
            <w:jc w:val="center"/>
            <w:textAlignment w:val="center"/>
            <w:rPr>
              <w:b/>
              <w:bCs/>
              <w:szCs w:val="24"/>
              <w:lang w:eastAsia="lt-LT"/>
            </w:rPr>
          </w:pPr>
          <w:sdt>
            <w:sdtPr>
              <w:alias w:val="Pavadinimas"/>
              <w:tag w:val="title_f99f630dd4494ea8a0278039b27fdecd"/>
              <w:lock w:val="sdtLocked"/>
              <w:richText/>
            </w:sdtPr>
            <w:sdtContent>
              <w:r>
                <w:rPr>
                  <w:b/>
                  <w:bCs/>
                  <w:szCs w:val="24"/>
                  <w:lang w:eastAsia="lt-LT"/>
                </w:rPr>
                <w:t>VAIRUOTOJUI TAIKOMŲ APRIBOJIMŲ KODAI</w:t>
              </w:r>
            </w:sdtContent>
          </w:sdt>
        </w:p>
        <w:p>
          <w:pPr>
            <w:suppressAutoHyphens/>
            <w:jc w:val="center"/>
            <w:textAlignment w:val="center"/>
            <w:rPr>
              <w:szCs w:val="24"/>
              <w:lang w:eastAsia="lt-LT"/>
            </w:rPr>
          </w:pPr>
        </w:p>
        <w:tbl>
          <w:tblPr>
            <w:tblW w:w="9356" w:type="dxa"/>
            <w:tblInd w:w="40" w:type="dxa"/>
            <w:tblLayout w:type="fixed"/>
            <w:tblCellMar>
              <w:left w:w="0" w:type="dxa"/>
              <w:right w:w="0" w:type="dxa"/>
            </w:tblCellMar>
            <w:tblLook w:val="04A0" w:firstRow="1" w:lastRow="0" w:firstColumn="1" w:lastColumn="0" w:noHBand="0" w:noVBand="1"/>
          </w:tblPr>
          <w:tblGrid>
            <w:gridCol w:w="1703"/>
            <w:gridCol w:w="7653"/>
          </w:tblGrid>
          <w:tr>
            <w:trPr>
              <w:trHeight w:val="23"/>
            </w:trPr>
            <w:tc>
              <w:tcPr>
                <w:tcW w:w="910" w:type="pct"/>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hideMark/>
              </w:tcPr>
              <w:p>
                <w:pPr>
                  <w:ind w:firstLine="62"/>
                  <w:jc w:val="both"/>
                  <w:rPr>
                    <w:b/>
                    <w:szCs w:val="24"/>
                    <w:lang w:eastAsia="lt-LT"/>
                  </w:rPr>
                </w:pPr>
                <w:r>
                  <w:rPr>
                    <w:b/>
                    <w:bCs/>
                    <w:szCs w:val="24"/>
                    <w:lang w:eastAsia="lt-LT"/>
                  </w:rPr>
                  <w:t>Kodas</w:t>
                </w:r>
              </w:p>
            </w:tc>
            <w:tc>
              <w:tcPr>
                <w:tcW w:w="4090" w:type="pct"/>
                <w:tcBorders>
                  <w:top w:val="single" w:sz="8" w:space="0" w:color="auto"/>
                  <w:left w:val="nil"/>
                  <w:bottom w:val="single" w:sz="8" w:space="0" w:color="auto"/>
                  <w:right w:val="single" w:sz="8" w:space="0" w:color="auto"/>
                </w:tcBorders>
                <w:tcMar>
                  <w:top w:w="0" w:type="dxa"/>
                  <w:left w:w="40" w:type="dxa"/>
                  <w:bottom w:w="0" w:type="dxa"/>
                  <w:right w:w="40" w:type="dxa"/>
                </w:tcMar>
                <w:hideMark/>
              </w:tcPr>
              <w:p>
                <w:pPr>
                  <w:jc w:val="center"/>
                  <w:rPr>
                    <w:b/>
                    <w:bCs/>
                    <w:szCs w:val="24"/>
                    <w:lang w:eastAsia="lt-LT"/>
                  </w:rPr>
                </w:pPr>
                <w:r>
                  <w:rPr>
                    <w:b/>
                    <w:bCs/>
                    <w:szCs w:val="24"/>
                    <w:lang w:eastAsia="lt-LT"/>
                  </w:rPr>
                  <w:t>Vairuotojui taikomas apribojimas</w:t>
                </w:r>
                <w:r>
                  <w:rPr>
                    <w:b/>
                    <w:bCs/>
                    <w:szCs w:val="24"/>
                    <w:vertAlign w:val="superscript"/>
                    <w:lang w:eastAsia="lt-LT"/>
                  </w:rPr>
                  <w:t>*</w:t>
                </w:r>
                <w:r>
                  <w:rPr>
                    <w:b/>
                    <w:bCs/>
                    <w:szCs w:val="24"/>
                    <w:lang w:eastAsia="lt-LT"/>
                  </w:rPr>
                  <w:t xml:space="preserve"> </w:t>
                </w:r>
              </w:p>
              <w:p>
                <w:pPr>
                  <w:jc w:val="center"/>
                  <w:rPr>
                    <w:b/>
                    <w:szCs w:val="24"/>
                    <w:lang w:eastAsia="lt-LT"/>
                  </w:rPr>
                </w:pPr>
              </w:p>
            </w:tc>
          </w:tr>
          <w:tr>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jc w:val="center"/>
                  <w:rPr>
                    <w:b/>
                    <w:szCs w:val="24"/>
                    <w:lang w:eastAsia="lt-LT"/>
                  </w:rPr>
                </w:pPr>
                <w:r>
                  <w:rPr>
                    <w:b/>
                    <w:bCs/>
                    <w:szCs w:val="24"/>
                    <w:lang w:eastAsia="lt-LT"/>
                  </w:rPr>
                  <w:t>Dėl medicininių priežasčių</w:t>
                </w:r>
              </w:p>
              <w:p>
                <w:pPr>
                  <w:jc w:val="center"/>
                  <w:rPr>
                    <w:szCs w:val="24"/>
                    <w:lang w:eastAsia="lt-LT"/>
                  </w:rPr>
                </w:pPr>
                <w:r>
                  <w:rPr>
                    <w:szCs w:val="24"/>
                    <w:lang w:eastAsia="lt-LT"/>
                  </w:rPr>
                  <w:t>(Išvadą pateikia sveikatos priežiūros įstaiga)</w:t>
                </w:r>
              </w:p>
              <w:p>
                <w:pPr>
                  <w:jc w:val="center"/>
                  <w:rPr>
                    <w:szCs w:val="24"/>
                    <w:lang w:eastAsia="lt-LT"/>
                  </w:rPr>
                </w:pP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Regos korekcija ir (arba) apsauga</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Akiniai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Kontaktinis (-iai) lęšis (-iai)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01.05</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Akies raištis (papildomai nurodoma reikiama raidė a arba b)</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01.06</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Akiniai arba kontaktiniai lęšiai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01.07</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Speciali optinė pagalbinė priemonė</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Klausos ir susikalbėjimo pagalbinė priemonė (papildomai nurodoma reikiama raidė a arba b)</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03</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Galūnių protezai arba korekcijos įtaisai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03.01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Viršutinės galūnės protezas arba korekcijos įtaisas (papildomai nurodomos reikiamos raidės a, b, c, f, g)</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03.02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Apatinės galūnės protezas arba korekcijos įtaisas (papildomai nurodomos reikiamos raidės a, b, d)</w:t>
                </w:r>
              </w:p>
            </w:tc>
          </w:tr>
          <w:tr>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jc w:val="center"/>
                  <w:rPr>
                    <w:b/>
                    <w:bCs/>
                    <w:szCs w:val="24"/>
                    <w:lang w:eastAsia="lt-LT"/>
                  </w:rPr>
                </w:pPr>
                <w:r>
                  <w:rPr>
                    <w:b/>
                    <w:bCs/>
                    <w:szCs w:val="24"/>
                    <w:lang w:eastAsia="lt-LT"/>
                  </w:rPr>
                  <w:t>Transporto priemonės pritaikymas</w:t>
                </w:r>
              </w:p>
              <w:p>
                <w:pPr>
                  <w:jc w:val="center"/>
                  <w:rPr>
                    <w:b/>
                    <w:szCs w:val="24"/>
                    <w:lang w:eastAsia="lt-LT"/>
                  </w:rPr>
                </w:pP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Nuo 10 iki 50</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 xml:space="preserve">Transporto priemonės pritaikymas – išvadą pateikia gydytojų komisija, atsižvelgdama į  asmens sveikatos priežiūros įstaigos, kurioje buvo atliekamas praktinis vairavimo gebėjimų patikrinimas, rekomendacijas (jei toks patikrinimas buvo atliekamas) (žymima kodu, vadovaujantis Lietuvos Respublikos vidaus reikalų ministro 2005 m. birželio 14 d. įsakymu Nr. 1V-186 „Dėl Vairuotojo pažymėjimo blanko aprašymo ir privalomosios formos patvirtinimo“)</w:t>
                </w:r>
              </w:p>
            </w:tc>
          </w:tr>
          <w:tr>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jc w:val="center"/>
                  <w:rPr>
                    <w:b/>
                    <w:bCs/>
                    <w:szCs w:val="24"/>
                    <w:lang w:eastAsia="lt-LT"/>
                  </w:rPr>
                </w:pPr>
                <w:r>
                  <w:rPr>
                    <w:b/>
                    <w:bCs/>
                    <w:szCs w:val="24"/>
                    <w:lang w:eastAsia="lt-LT"/>
                  </w:rPr>
                  <w:t>Transporto priemonės naudojimo ribojimo kodai</w:t>
                </w:r>
              </w:p>
              <w:p>
                <w:pPr>
                  <w:jc w:val="center"/>
                  <w:rPr>
                    <w:b/>
                    <w:szCs w:val="24"/>
                    <w:lang w:eastAsia="lt-LT"/>
                  </w:rPr>
                </w:pPr>
              </w:p>
            </w:tc>
          </w:tr>
          <w:tr>
            <w:trPr>
              <w:trHeight w:val="23"/>
            </w:trPr>
            <w:tc>
              <w:tcPr>
                <w:tcW w:w="910" w:type="pct"/>
                <w:tcBorders>
                  <w:top w:val="nil"/>
                  <w:left w:val="single" w:sz="8" w:space="0" w:color="auto"/>
                  <w:bottom w:val="single" w:sz="4"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68</w:t>
                </w:r>
              </w:p>
            </w:tc>
            <w:tc>
              <w:tcPr>
                <w:tcW w:w="4090" w:type="pct"/>
                <w:tcBorders>
                  <w:top w:val="nil"/>
                  <w:left w:val="nil"/>
                  <w:bottom w:val="single" w:sz="4" w:space="0" w:color="auto"/>
                  <w:right w:val="single" w:sz="8" w:space="0" w:color="auto"/>
                </w:tcBorders>
                <w:tcMar>
                  <w:top w:w="0" w:type="dxa"/>
                  <w:left w:w="40" w:type="dxa"/>
                  <w:bottom w:w="0" w:type="dxa"/>
                  <w:right w:w="40" w:type="dxa"/>
                </w:tcMar>
                <w:hideMark/>
              </w:tcPr>
              <w:p>
                <w:pPr>
                  <w:jc w:val="both"/>
                  <w:rPr>
                    <w:szCs w:val="24"/>
                    <w:lang w:eastAsia="lt-LT"/>
                  </w:rPr>
                </w:pPr>
                <w:r>
                  <w:rPr>
                    <w:szCs w:val="24"/>
                    <w:lang w:eastAsia="lt-LT"/>
                  </w:rPr>
                  <w:t>Draudžiama vairuoti išgėrus alkoholio</w:t>
                </w:r>
              </w:p>
            </w:tc>
          </w:tr>
        </w:tbl>
        <w:p>
          <w:pPr>
            <w:ind w:firstLine="1296"/>
            <w:rPr>
              <w:szCs w:val="24"/>
              <w:lang w:eastAsia="lt-LT"/>
            </w:rPr>
          </w:pPr>
        </w:p>
        <w:p>
          <w:pPr>
            <w:suppressAutoHyphens/>
            <w:ind w:left="1134"/>
            <w:textAlignment w:val="center"/>
            <w:rPr>
              <w:szCs w:val="24"/>
              <w:lang w:eastAsia="lt-LT"/>
            </w:rPr>
          </w:pPr>
          <w:r>
            <w:rPr>
              <w:szCs w:val="24"/>
              <w:vertAlign w:val="superscript"/>
              <w:lang w:eastAsia="lt-LT"/>
            </w:rPr>
            <w:t>*</w:t>
          </w:r>
          <w:r>
            <w:rPr>
              <w:szCs w:val="24"/>
              <w:lang w:eastAsia="lt-LT"/>
            </w:rPr>
            <w:t>Lentelėje naudojamų raidžių reikšmės:</w:t>
          </w:r>
        </w:p>
        <w:p>
          <w:pPr>
            <w:suppressAutoHyphens/>
            <w:ind w:left="1134"/>
            <w:textAlignment w:val="center"/>
            <w:rPr>
              <w:szCs w:val="24"/>
              <w:lang w:eastAsia="lt-LT"/>
            </w:rPr>
          </w:pPr>
          <w:r>
            <w:rPr>
              <w:szCs w:val="24"/>
              <w:lang w:eastAsia="lt-LT"/>
            </w:rPr>
            <w:t>a – kairė</w:t>
          </w:r>
        </w:p>
        <w:p>
          <w:pPr>
            <w:suppressAutoHyphens/>
            <w:ind w:left="1134"/>
            <w:textAlignment w:val="center"/>
            <w:rPr>
              <w:szCs w:val="24"/>
              <w:lang w:eastAsia="lt-LT"/>
            </w:rPr>
          </w:pPr>
          <w:r>
            <w:rPr>
              <w:szCs w:val="24"/>
              <w:lang w:eastAsia="lt-LT"/>
            </w:rPr>
            <w:t>b – dešinė</w:t>
          </w:r>
        </w:p>
        <w:p>
          <w:pPr>
            <w:suppressAutoHyphens/>
            <w:ind w:left="1134"/>
            <w:textAlignment w:val="center"/>
            <w:rPr>
              <w:szCs w:val="24"/>
              <w:lang w:eastAsia="lt-LT"/>
            </w:rPr>
          </w:pPr>
          <w:r>
            <w:rPr>
              <w:szCs w:val="24"/>
              <w:lang w:eastAsia="lt-LT"/>
            </w:rPr>
            <w:t>c – plaštaka</w:t>
          </w:r>
        </w:p>
        <w:p>
          <w:pPr>
            <w:suppressAutoHyphens/>
            <w:ind w:left="1134"/>
            <w:textAlignment w:val="center"/>
            <w:rPr>
              <w:szCs w:val="24"/>
              <w:lang w:eastAsia="lt-LT"/>
            </w:rPr>
          </w:pPr>
          <w:r>
            <w:rPr>
              <w:szCs w:val="24"/>
              <w:lang w:eastAsia="lt-LT"/>
            </w:rPr>
            <w:t>d – pėda</w:t>
          </w:r>
        </w:p>
        <w:p>
          <w:pPr>
            <w:suppressAutoHyphens/>
            <w:ind w:left="1134"/>
            <w:textAlignment w:val="center"/>
            <w:rPr>
              <w:szCs w:val="24"/>
              <w:lang w:eastAsia="lt-LT"/>
            </w:rPr>
          </w:pPr>
          <w:r>
            <w:rPr>
              <w:szCs w:val="24"/>
              <w:lang w:eastAsia="lt-LT"/>
            </w:rPr>
            <w:t>f – ranka</w:t>
          </w:r>
        </w:p>
        <w:p>
          <w:pPr>
            <w:suppressAutoHyphens/>
            <w:ind w:left="1134"/>
            <w:textAlignment w:val="center"/>
          </w:pPr>
          <w:r>
            <w:rPr>
              <w:szCs w:val="24"/>
              <w:lang w:eastAsia="lt-LT"/>
            </w:rPr>
            <w:t>g – nykštys</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sdtContent>
    </w:sdt>
    <w:sdt>
      <w:sdtPr>
        <w:alias w:val="priedas"/>
        <w:tag w:val="part_cacbc32b0b034471ad3812d97292a3b6"/>
        <w:lock w:val="sdtLocked"/>
        <w:richText/>
      </w:sdtPr>
      <w:sdtContent>
        <w:p>
          <w:pPr>
            <w:spacing w:line="276" w:lineRule="auto"/>
            <w:sectPr>
              <w:pgSz w:w="11906" w:h="16838"/>
              <w:pgMar w:top="1134" w:right="1134" w:bottom="1134" w:left="1701" w:header="567" w:footer="567" w:gutter="0"/>
              <w:pgNumType w:start="1"/>
              <w:cols w:space="1296"/>
              <w:noEndnote/>
              <w:titlePg/>
              <w:docGrid w:linePitch="326"/>
            </w:sectPr>
          </w:pPr>
        </w:p>
        <w:p>
          <w:pPr>
            <w:tabs>
              <w:tab w:val="left" w:pos="6379"/>
              <w:tab w:val="right" w:pos="9356"/>
            </w:tabs>
            <w:spacing w:line="276" w:lineRule="auto"/>
            <w:ind w:left="5192"/>
            <w:rPr>
              <w:szCs w:val="24"/>
            </w:rPr>
          </w:pPr>
          <w:r>
            <w:rPr>
              <w:szCs w:val="24"/>
            </w:rPr>
            <w:t>Vairuotojų sveikatos tikrinimo</w:t>
          </w:r>
        </w:p>
        <w:p>
          <w:pPr>
            <w:tabs>
              <w:tab w:val="left" w:pos="2293"/>
              <w:tab w:val="left" w:pos="6379"/>
              <w:tab w:val="right" w:pos="9356"/>
            </w:tabs>
            <w:spacing w:line="276" w:lineRule="auto"/>
            <w:ind w:left="5192"/>
            <w:rPr>
              <w:szCs w:val="24"/>
            </w:rPr>
          </w:pPr>
          <w:r>
            <w:rPr>
              <w:szCs w:val="24"/>
            </w:rPr>
            <w:t>reikalavimų ir tvarkos aprašo</w:t>
          </w:r>
        </w:p>
        <w:p>
          <w:pPr>
            <w:tabs>
              <w:tab w:val="left" w:pos="2293"/>
              <w:tab w:val="left" w:pos="6379"/>
              <w:tab w:val="left" w:pos="8529"/>
              <w:tab w:val="right" w:pos="9356"/>
            </w:tabs>
            <w:spacing w:line="276" w:lineRule="auto"/>
            <w:ind w:left="5192"/>
            <w:rPr>
              <w:szCs w:val="24"/>
            </w:rPr>
          </w:pPr>
          <w:r>
            <w:rPr>
              <w:szCs w:val="24"/>
            </w:rPr>
            <w:t>priedas</w:t>
          </w: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r>
            <w:rPr>
              <w:b/>
              <w:szCs w:val="24"/>
            </w:rPr>
            <w:t>KLAUSIMYNAS DĖL OBSTRUKCINĖS MIEGO APNĖJOS</w:t>
          </w:r>
        </w:p>
        <w:p>
          <w:pPr>
            <w:rPr>
              <w:sz w:val="18"/>
              <w:szCs w:val="18"/>
            </w:rPr>
          </w:pPr>
        </w:p>
        <w:p>
          <w:pPr>
            <w:tabs>
              <w:tab w:val="left" w:pos="2293"/>
              <w:tab w:val="right" w:pos="9356"/>
            </w:tabs>
            <w:spacing w:line="276" w:lineRule="auto"/>
            <w:jc w:val="center"/>
            <w:rPr>
              <w:szCs w:val="24"/>
            </w:rPr>
          </w:pPr>
          <w:r>
            <w:rPr>
              <w:szCs w:val="24"/>
            </w:rPr>
            <w:t>_____________________</w:t>
          </w:r>
        </w:p>
        <w:p>
          <w:pPr>
            <w:tabs>
              <w:tab w:val="left" w:pos="2293"/>
              <w:tab w:val="right" w:pos="9356"/>
            </w:tabs>
            <w:spacing w:line="276" w:lineRule="auto"/>
            <w:jc w:val="center"/>
            <w:rPr>
              <w:szCs w:val="24"/>
            </w:rPr>
          </w:pPr>
          <w:r>
            <w:rPr>
              <w:szCs w:val="24"/>
            </w:rPr>
            <w:t>(pildymo data)</w:t>
          </w:r>
        </w:p>
        <w:p>
          <w:pPr>
            <w:tabs>
              <w:tab w:val="left" w:pos="2293"/>
              <w:tab w:val="right" w:pos="9356"/>
            </w:tabs>
            <w:spacing w:line="276" w:lineRule="auto"/>
            <w:jc w:val="center"/>
            <w:rPr>
              <w:szCs w:val="24"/>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5769"/>
            <w:gridCol w:w="3402"/>
          </w:tblGrid>
          <w:tr>
            <w:tc>
              <w:tcPr>
                <w:tcW w:w="576" w:type="dxa"/>
              </w:tcPr>
              <w:p>
                <w:pPr>
                  <w:spacing w:line="276" w:lineRule="auto"/>
                  <w:jc w:val="center"/>
                  <w:rPr>
                    <w:sz w:val="22"/>
                    <w:szCs w:val="22"/>
                  </w:rPr>
                </w:pPr>
                <w:r>
                  <w:rPr>
                    <w:sz w:val="22"/>
                    <w:szCs w:val="22"/>
                  </w:rPr>
                  <w:t>1.</w:t>
                </w:r>
              </w:p>
            </w:tc>
            <w:tc>
              <w:tcPr>
                <w:tcW w:w="5769" w:type="dxa"/>
              </w:tcPr>
              <w:p>
                <w:pPr>
                  <w:spacing w:line="276" w:lineRule="auto"/>
                  <w:rPr>
                    <w:sz w:val="22"/>
                    <w:szCs w:val="22"/>
                  </w:rPr>
                </w:pPr>
                <w:r>
                  <w:rPr>
                    <w:sz w:val="22"/>
                    <w:szCs w:val="24"/>
                  </w:rPr>
                  <w:t xml:space="preserve">Lytis </w:t>
                </w:r>
              </w:p>
            </w:tc>
            <w:tc>
              <w:tcPr>
                <w:tcW w:w="3402" w:type="dxa"/>
              </w:tcPr>
              <w:p>
                <w:pPr>
                  <w:spacing w:line="276" w:lineRule="auto"/>
                  <w:rPr>
                    <w:sz w:val="22"/>
                    <w:szCs w:val="22"/>
                  </w:rPr>
                </w:pPr>
                <w:r>
                  <w:rPr>
                    <w:sz w:val="22"/>
                    <w:szCs w:val="24"/>
                  </w:rPr>
                  <w:t xml:space="preserve">Vyras </w:t>
                </w:r>
                <w:r>
                  <w:rPr>
                    <w:rFonts w:ascii="MS Mincho" w:eastAsia="MS Mincho" w:hAnsi="MS Mincho" w:cs="MS Mincho"/>
                    <w:sz w:val="22"/>
                    <w:szCs w:val="24"/>
                  </w:rPr>
                  <w:t>☐</w:t>
                </w:r>
                <w:r>
                  <w:rPr>
                    <w:sz w:val="22"/>
                    <w:szCs w:val="24"/>
                  </w:rPr>
                  <w:t xml:space="preserve"> Moteris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2.</w:t>
                </w:r>
              </w:p>
            </w:tc>
            <w:tc>
              <w:tcPr>
                <w:tcW w:w="5769" w:type="dxa"/>
              </w:tcPr>
              <w:p>
                <w:pPr>
                  <w:spacing w:line="276" w:lineRule="auto"/>
                  <w:rPr>
                    <w:sz w:val="22"/>
                    <w:szCs w:val="22"/>
                  </w:rPr>
                </w:pPr>
                <w:r>
                  <w:rPr>
                    <w:sz w:val="22"/>
                    <w:szCs w:val="24"/>
                  </w:rPr>
                  <w:t xml:space="preserve">Amžius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3.</w:t>
                </w:r>
              </w:p>
            </w:tc>
            <w:tc>
              <w:tcPr>
                <w:tcW w:w="5769" w:type="dxa"/>
              </w:tcPr>
              <w:p>
                <w:pPr>
                  <w:spacing w:line="276" w:lineRule="auto"/>
                  <w:rPr>
                    <w:sz w:val="22"/>
                    <w:szCs w:val="22"/>
                  </w:rPr>
                </w:pPr>
                <w:r>
                  <w:rPr>
                    <w:sz w:val="22"/>
                    <w:szCs w:val="24"/>
                  </w:rPr>
                  <w:t xml:space="preserve">Svoris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4.</w:t>
                </w:r>
              </w:p>
            </w:tc>
            <w:tc>
              <w:tcPr>
                <w:tcW w:w="5769" w:type="dxa"/>
              </w:tcPr>
              <w:p>
                <w:pPr>
                  <w:spacing w:line="276" w:lineRule="auto"/>
                  <w:rPr>
                    <w:sz w:val="22"/>
                    <w:szCs w:val="22"/>
                  </w:rPr>
                </w:pPr>
                <w:r>
                  <w:rPr>
                    <w:sz w:val="22"/>
                    <w:szCs w:val="22"/>
                  </w:rPr>
                  <w:t xml:space="preserve">Ūgis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5.</w:t>
                </w:r>
              </w:p>
            </w:tc>
            <w:tc>
              <w:tcPr>
                <w:tcW w:w="5769" w:type="dxa"/>
              </w:tcPr>
              <w:p>
                <w:pPr>
                  <w:spacing w:line="276" w:lineRule="auto"/>
                  <w:rPr>
                    <w:sz w:val="22"/>
                    <w:szCs w:val="22"/>
                  </w:rPr>
                </w:pPr>
                <w:r>
                  <w:rPr>
                    <w:sz w:val="22"/>
                    <w:szCs w:val="24"/>
                  </w:rPr>
                  <w:t xml:space="preserve">Ar vairuodamas buvote užsnūdęs?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6.</w:t>
                </w:r>
              </w:p>
            </w:tc>
            <w:tc>
              <w:tcPr>
                <w:tcW w:w="5769" w:type="dxa"/>
              </w:tcPr>
              <w:p>
                <w:pPr>
                  <w:tabs>
                    <w:tab w:val="left" w:pos="580"/>
                  </w:tabs>
                  <w:spacing w:line="276" w:lineRule="auto"/>
                  <w:rPr>
                    <w:sz w:val="22"/>
                    <w:szCs w:val="22"/>
                  </w:rPr>
                </w:pPr>
                <w:r>
                  <w:rPr>
                    <w:sz w:val="22"/>
                    <w:szCs w:val="24"/>
                  </w:rPr>
                  <w:t xml:space="preserve">Ar buvote patekęs į rimtą autoįvykį (buvote sužeistas ar buvo sudaužyta transporto priemonė) dėl mieguistumo per pastaruosius 3 metus?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7.</w:t>
                </w:r>
              </w:p>
            </w:tc>
            <w:tc>
              <w:tcPr>
                <w:tcW w:w="5769" w:type="dxa"/>
              </w:tcPr>
              <w:p>
                <w:pPr>
                  <w:spacing w:line="276" w:lineRule="auto"/>
                  <w:rPr>
                    <w:sz w:val="22"/>
                    <w:szCs w:val="22"/>
                  </w:rPr>
                </w:pPr>
                <w:r>
                  <w:rPr>
                    <w:sz w:val="22"/>
                    <w:szCs w:val="24"/>
                  </w:rPr>
                  <w:t xml:space="preserve">Ar Jūs knarkiate beveik kiekvieną naktį?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8.</w:t>
                </w:r>
              </w:p>
            </w:tc>
            <w:tc>
              <w:tcPr>
                <w:tcW w:w="5769" w:type="dxa"/>
              </w:tcPr>
              <w:p>
                <w:pPr>
                  <w:tabs>
                    <w:tab w:val="left" w:pos="573"/>
                  </w:tabs>
                  <w:spacing w:line="276" w:lineRule="auto"/>
                  <w:rPr>
                    <w:sz w:val="22"/>
                    <w:szCs w:val="22"/>
                  </w:rPr>
                </w:pPr>
                <w:r>
                  <w:rPr>
                    <w:sz w:val="22"/>
                    <w:szCs w:val="24"/>
                  </w:rPr>
                  <w:t xml:space="preserve">Ar kas nors Jums yra sakęs, kad nustojate kvėpuoti miego metu? </w:t>
                </w:r>
              </w:p>
            </w:tc>
            <w:tc>
              <w:tcPr>
                <w:tcW w:w="3402" w:type="dxa"/>
              </w:tcPr>
              <w:p>
                <w:pPr>
                  <w:tabs>
                    <w:tab w:val="left" w:pos="573"/>
                  </w:tabs>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9.</w:t>
                </w:r>
              </w:p>
            </w:tc>
            <w:tc>
              <w:tcPr>
                <w:tcW w:w="5769" w:type="dxa"/>
              </w:tcPr>
              <w:p>
                <w:pPr>
                  <w:tabs>
                    <w:tab w:val="left" w:pos="573"/>
                  </w:tabs>
                  <w:spacing w:line="276" w:lineRule="auto"/>
                  <w:rPr>
                    <w:sz w:val="22"/>
                    <w:szCs w:val="24"/>
                  </w:rPr>
                </w:pPr>
                <w:r>
                  <w:rPr>
                    <w:sz w:val="22"/>
                    <w:szCs w:val="24"/>
                  </w:rPr>
                  <w:t xml:space="preserve">Ar atsibundate pailsėjęs po nakties miego?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10.</w:t>
                </w:r>
              </w:p>
            </w:tc>
            <w:tc>
              <w:tcPr>
                <w:tcW w:w="5769" w:type="dxa"/>
              </w:tcPr>
              <w:p>
                <w:pPr>
                  <w:tabs>
                    <w:tab w:val="left" w:pos="573"/>
                  </w:tabs>
                  <w:spacing w:line="276" w:lineRule="auto"/>
                  <w:rPr>
                    <w:sz w:val="22"/>
                    <w:szCs w:val="24"/>
                  </w:rPr>
                </w:pPr>
                <w:r>
                  <w:rPr>
                    <w:sz w:val="22"/>
                    <w:szCs w:val="24"/>
                  </w:rPr>
                  <w:t xml:space="preserve">Ar Jūsų kraujo spaudimas būna padidėjęs arba vartojate vaistus, skirtus kraujo spaudimui mažinti?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bl>
        <w:p>
          <w:pPr>
            <w:spacing w:line="360" w:lineRule="auto"/>
            <w:ind w:firstLine="720"/>
            <w:jc w:val="both"/>
            <w:rPr>
              <w:szCs w:val="24"/>
            </w:rPr>
          </w:pPr>
          <w:r>
            <w:rPr>
              <w:szCs w:val="24"/>
              <w:lang w:val="en-US"/>
            </w:rPr>
            <w:t xml:space="preserve">* </w:t>
          </w:r>
          <w:r>
            <w:rPr>
              <w:szCs w:val="24"/>
            </w:rPr>
            <w:t>Klausimynas</w:t>
          </w:r>
          <w:r>
            <w:rPr>
              <w:szCs w:val="24"/>
              <w:lang w:val="en-US"/>
            </w:rPr>
            <w:t xml:space="preserve"> </w:t>
          </w:r>
          <w:r>
            <w:rPr>
              <w:szCs w:val="24"/>
            </w:rPr>
            <w:t xml:space="preserve">dėl obstrukcinės miego apnėjos ir </w:t>
          </w:r>
          <w:r>
            <w:rPr>
              <w:i/>
              <w:szCs w:val="24"/>
            </w:rPr>
            <w:t>Epworth</w:t>
          </w:r>
          <w:r>
            <w:rPr>
              <w:szCs w:val="24"/>
            </w:rPr>
            <w:t xml:space="preserve"> mieguistumo skalė turi būti atspausdinta ant vieno lapo iš abiejų pusių.</w:t>
          </w:r>
        </w:p>
        <w:p>
          <w:pPr>
            <w:spacing w:line="360" w:lineRule="auto"/>
            <w:ind w:left="714"/>
            <w:jc w:val="both"/>
            <w:rPr>
              <w:szCs w:val="24"/>
            </w:rPr>
          </w:pPr>
          <w:r>
            <w:rPr>
              <w:szCs w:val="24"/>
            </w:rPr>
            <w:t xml:space="preserve">Prašome užpildyti </w:t>
          </w:r>
          <w:r>
            <w:rPr>
              <w:i/>
              <w:szCs w:val="24"/>
            </w:rPr>
            <w:t>Epworth</w:t>
          </w:r>
          <w:r>
            <w:rPr>
              <w:szCs w:val="24"/>
            </w:rPr>
            <w:t xml:space="preserve"> mieguistumo skalę kitoje lapo pusėje</w:t>
          </w:r>
          <w:r>
            <w:rPr>
              <w:b/>
              <w:sz w:val="22"/>
              <w:szCs w:val="24"/>
            </w:rPr>
            <w:t>*</w:t>
          </w:r>
          <w:r>
            <w:rPr>
              <w:szCs w:val="24"/>
            </w:rPr>
            <w:t>.</w:t>
          </w:r>
        </w:p>
        <w:p>
          <w:pPr>
            <w:spacing w:line="276" w:lineRule="auto"/>
            <w:rPr>
              <w:b/>
              <w:szCs w:val="24"/>
            </w:rPr>
          </w:pPr>
          <w:r>
            <w:rPr>
              <w:b/>
              <w:szCs w:val="24"/>
            </w:rPr>
            <w:br w:type="page"/>
          </w:r>
        </w:p>
        <w:p>
          <w:pPr>
            <w:tabs>
              <w:tab w:val="left" w:pos="0"/>
              <w:tab w:val="left" w:pos="2703"/>
              <w:tab w:val="center" w:pos="4858"/>
              <w:tab w:val="left" w:pos="6804"/>
            </w:tabs>
            <w:spacing w:line="276" w:lineRule="auto"/>
            <w:jc w:val="center"/>
            <w:rPr>
              <w:b/>
              <w:szCs w:val="24"/>
            </w:rPr>
          </w:pPr>
          <w:r>
            <w:rPr>
              <w:b/>
              <w:i/>
              <w:szCs w:val="24"/>
            </w:rPr>
            <w:t>EPWORTH</w:t>
          </w:r>
          <w:r>
            <w:rPr>
              <w:b/>
              <w:szCs w:val="24"/>
            </w:rPr>
            <w:t xml:space="preserve"> MIEGUISTUMO SKALĖ</w:t>
          </w:r>
        </w:p>
        <w:p>
          <w:pPr>
            <w:rPr>
              <w:sz w:val="18"/>
              <w:szCs w:val="18"/>
            </w:rPr>
          </w:pPr>
        </w:p>
        <w:p>
          <w:pPr>
            <w:tabs>
              <w:tab w:val="left" w:pos="426"/>
              <w:tab w:val="left" w:pos="6804"/>
            </w:tabs>
            <w:spacing w:line="276" w:lineRule="auto"/>
            <w:ind w:firstLine="709"/>
            <w:jc w:val="both"/>
            <w:rPr>
              <w:szCs w:val="24"/>
            </w:rPr>
          </w:pPr>
          <w:r>
            <w:rPr>
              <w:szCs w:val="24"/>
            </w:rPr>
            <w:t xml:space="preserve">Prašome užpildyti </w:t>
          </w:r>
          <w:r>
            <w:rPr>
              <w:i/>
              <w:szCs w:val="24"/>
            </w:rPr>
            <w:t>Epworth</w:t>
          </w:r>
          <w:r>
            <w:rPr>
              <w:szCs w:val="24"/>
            </w:rPr>
            <w:t xml:space="preserve"> mieguistumo skalę, skirtą tikimybei, kad Jūs užsnūsite ar užmigsite, esant situacijoms, pateiktoms toliau esančioje lentelėje, neatsižvelgiant į nuovargį, įvertinti. Atsakymai turi apibūdinti Jūsų šių dienų gyvenimo būdą. Jeigu Jūs paskutiniu laiku nebuvote tokiose situacijose, pabandykite įsivaizduoti, kaip jose jaustumėtės. Į lentelės balų skiltį įrašykite vieną iš skalėje pateiktų labiausiai kiekvienai situacijai tinkančių skaičių: </w:t>
          </w:r>
        </w:p>
        <w:p>
          <w:pPr>
            <w:rPr>
              <w:sz w:val="10"/>
              <w:szCs w:val="10"/>
            </w:rPr>
          </w:pPr>
        </w:p>
        <w:p>
          <w:pPr>
            <w:tabs>
              <w:tab w:val="left" w:pos="426"/>
              <w:tab w:val="left" w:pos="709"/>
            </w:tabs>
            <w:spacing w:line="276" w:lineRule="auto"/>
            <w:ind w:firstLine="709"/>
            <w:jc w:val="both"/>
            <w:rPr>
              <w:szCs w:val="24"/>
            </w:rPr>
          </w:pPr>
          <w:r>
            <w:rPr>
              <w:szCs w:val="24"/>
            </w:rPr>
            <w:t xml:space="preserve">0 = niekada nesnaudžiu </w:t>
          </w:r>
        </w:p>
        <w:p>
          <w:pPr>
            <w:tabs>
              <w:tab w:val="left" w:pos="426"/>
              <w:tab w:val="left" w:pos="709"/>
            </w:tabs>
            <w:spacing w:line="276" w:lineRule="auto"/>
            <w:ind w:left="360" w:firstLine="349"/>
            <w:jc w:val="both"/>
            <w:rPr>
              <w:szCs w:val="24"/>
            </w:rPr>
          </w:pPr>
          <w:r>
            <w:rPr>
              <w:szCs w:val="24"/>
            </w:rPr>
            <w:t xml:space="preserve">1 = nedidelė galimybė užsnūsti </w:t>
          </w:r>
        </w:p>
        <w:p>
          <w:pPr>
            <w:tabs>
              <w:tab w:val="left" w:pos="426"/>
              <w:tab w:val="left" w:pos="709"/>
            </w:tabs>
            <w:spacing w:line="276" w:lineRule="auto"/>
            <w:ind w:left="360" w:firstLine="349"/>
            <w:jc w:val="both"/>
            <w:rPr>
              <w:szCs w:val="24"/>
            </w:rPr>
          </w:pPr>
          <w:r>
            <w:rPr>
              <w:szCs w:val="24"/>
            </w:rPr>
            <w:t>2 = vidutinė galimybė užsnūsti</w:t>
          </w:r>
        </w:p>
        <w:p>
          <w:pPr>
            <w:tabs>
              <w:tab w:val="left" w:pos="426"/>
              <w:tab w:val="left" w:pos="709"/>
            </w:tabs>
            <w:spacing w:line="276" w:lineRule="auto"/>
            <w:ind w:left="360" w:firstLine="349"/>
            <w:jc w:val="both"/>
            <w:rPr>
              <w:szCs w:val="24"/>
            </w:rPr>
          </w:pPr>
          <w:r>
            <w:rPr>
              <w:szCs w:val="24"/>
            </w:rPr>
            <w:t>3 = didelė galimybė užsnūsti</w:t>
          </w:r>
        </w:p>
        <w:p>
          <w:pPr>
            <w:rPr>
              <w:sz w:val="10"/>
              <w:szCs w:val="10"/>
            </w:rPr>
          </w:pPr>
        </w:p>
        <w:p>
          <w:pPr>
            <w:tabs>
              <w:tab w:val="left" w:pos="426"/>
              <w:tab w:val="left" w:pos="1843"/>
              <w:tab w:val="left" w:pos="6804"/>
            </w:tabs>
            <w:spacing w:line="276" w:lineRule="auto"/>
            <w:ind w:left="360" w:firstLine="349"/>
            <w:jc w:val="both"/>
            <w:rPr>
              <w:szCs w:val="24"/>
            </w:rPr>
          </w:pPr>
          <w:r>
            <w:rPr>
              <w:szCs w:val="24"/>
            </w:rPr>
            <w:t>Svarbu įvertinti situaciją kuo tiksliau.</w:t>
          </w:r>
        </w:p>
        <w:tbl>
          <w:tblPr>
            <w:tblW w:w="8080"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57" w:type="dxa"/>
              <w:bottom w:w="28" w:type="dxa"/>
              <w:right w:w="57" w:type="dxa"/>
            </w:tblCellMar>
            <w:tblLook w:val="0000" w:firstRow="0" w:lastRow="0" w:firstColumn="0" w:lastColumn="0" w:noHBand="0" w:noVBand="0"/>
          </w:tblPr>
          <w:tblGrid>
            <w:gridCol w:w="6946"/>
            <w:gridCol w:w="1134"/>
          </w:tblGrid>
          <w:tr>
            <w:tc>
              <w:tcPr>
                <w:tcW w:w="6946" w:type="dxa"/>
              </w:tcPr>
              <w:p>
                <w:pPr>
                  <w:tabs>
                    <w:tab w:val="left" w:pos="426"/>
                    <w:tab w:val="left" w:pos="1843"/>
                    <w:tab w:val="left" w:pos="6804"/>
                  </w:tabs>
                  <w:spacing w:line="276" w:lineRule="auto"/>
                  <w:jc w:val="center"/>
                  <w:rPr>
                    <w:b/>
                    <w:spacing w:val="2"/>
                    <w:position w:val="2"/>
                    <w:szCs w:val="24"/>
                  </w:rPr>
                </w:pPr>
                <w:r>
                  <w:rPr>
                    <w:b/>
                    <w:spacing w:val="2"/>
                    <w:position w:val="2"/>
                    <w:szCs w:val="24"/>
                  </w:rPr>
                  <w:t>Situacija</w:t>
                </w:r>
              </w:p>
            </w:tc>
            <w:tc>
              <w:tcPr>
                <w:tcW w:w="1134" w:type="dxa"/>
              </w:tcPr>
              <w:p>
                <w:pPr>
                  <w:tabs>
                    <w:tab w:val="left" w:pos="426"/>
                    <w:tab w:val="left" w:pos="1843"/>
                    <w:tab w:val="left" w:pos="6804"/>
                  </w:tabs>
                  <w:spacing w:line="276" w:lineRule="auto"/>
                  <w:jc w:val="center"/>
                  <w:rPr>
                    <w:b/>
                    <w:spacing w:val="2"/>
                    <w:position w:val="2"/>
                    <w:szCs w:val="24"/>
                  </w:rPr>
                </w:pPr>
                <w:r>
                  <w:rPr>
                    <w:b/>
                    <w:spacing w:val="2"/>
                    <w:position w:val="2"/>
                    <w:szCs w:val="24"/>
                  </w:rPr>
                  <w:t>Balai</w:t>
                </w: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Sėdint ir skaitant</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Žiūrint televizorių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viešoje vietoje (pvz., teatre ar susirinkime)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Valandą laiko be pertraukos keliaujant automobiliu keleivio vietoje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Atsigulus pailsėti pietų metu, kai leidžia aplinkybės</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 xml:space="preserve">Sėdint ir su kuo nors kalbantis </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papietavus, negėrus alkoholinių gėrimų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s>
                  <w:spacing w:line="276" w:lineRule="auto"/>
                  <w:rPr>
                    <w:spacing w:val="2"/>
                    <w:position w:val="2"/>
                    <w:szCs w:val="24"/>
                  </w:rPr>
                </w:pPr>
                <w:r>
                  <w:rPr>
                    <w:spacing w:val="2"/>
                    <w:position w:val="2"/>
                    <w:szCs w:val="24"/>
                  </w:rPr>
                  <w:t>Vairuojant automobilį, stabtelėjus kelioms minutėms spūsties metu</w:t>
                </w:r>
              </w:p>
            </w:tc>
            <w:tc>
              <w:tcPr>
                <w:tcW w:w="1134" w:type="dxa"/>
              </w:tcPr>
              <w:p>
                <w:pPr>
                  <w:tabs>
                    <w:tab w:val="left" w:pos="426"/>
                    <w:tab w:val="left" w:pos="1843"/>
                    <w:tab w:val="left" w:pos="6804"/>
                  </w:tabs>
                  <w:spacing w:line="276" w:lineRule="auto"/>
                  <w:jc w:val="both"/>
                  <w:rPr>
                    <w:spacing w:val="2"/>
                    <w:position w:val="2"/>
                    <w:szCs w:val="24"/>
                  </w:rPr>
                </w:pPr>
              </w:p>
            </w:tc>
          </w:tr>
        </w:tbl>
        <w:p>
          <w:pPr>
            <w:spacing w:line="276" w:lineRule="auto"/>
            <w:jc w:val="both"/>
            <w:rPr>
              <w:szCs w:val="24"/>
            </w:rPr>
          </w:pPr>
        </w:p>
        <w:p>
          <w:pPr>
            <w:rPr>
              <w:sz w:val="18"/>
              <w:szCs w:val="18"/>
            </w:rPr>
          </w:pPr>
        </w:p>
        <w:p>
          <w:pPr>
            <w:spacing w:line="276" w:lineRule="auto"/>
            <w:ind w:firstLine="709"/>
            <w:jc w:val="both"/>
            <w:rPr>
              <w:szCs w:val="24"/>
            </w:rPr>
          </w:pPr>
          <w:r>
            <w:rPr>
              <w:szCs w:val="24"/>
            </w:rPr>
            <w:t>Užtikrinu, kad mano pateikta informacija yra teisinga, ir suprantu, kad pablogėjus sveikatos būklei turiu nedelsdamas (-a) kreiptis į gydytoją.</w:t>
          </w:r>
        </w:p>
        <w:p>
          <w:pPr>
            <w:rPr>
              <w:sz w:val="18"/>
              <w:szCs w:val="18"/>
            </w:rPr>
          </w:pPr>
        </w:p>
        <w:p>
          <w:pPr>
            <w:tabs>
              <w:tab w:val="left" w:pos="6480"/>
            </w:tabs>
            <w:spacing w:line="276" w:lineRule="auto"/>
            <w:jc w:val="both"/>
            <w:rPr>
              <w:szCs w:val="24"/>
            </w:rPr>
          </w:pPr>
          <w:r>
            <w:rPr>
              <w:szCs w:val="24"/>
            </w:rPr>
            <w:t>_________________</w:t>
            <w:tab/>
            <w:t>_____________________</w:t>
          </w:r>
        </w:p>
        <w:p>
          <w:pPr>
            <w:rPr>
              <w:sz w:val="18"/>
              <w:szCs w:val="18"/>
            </w:rPr>
          </w:pPr>
        </w:p>
        <w:p>
          <w:pPr>
            <w:tabs>
              <w:tab w:val="left" w:pos="1122"/>
              <w:tab w:val="left" w:pos="6900"/>
            </w:tabs>
            <w:spacing w:line="276" w:lineRule="auto"/>
            <w:ind w:firstLine="1122"/>
            <w:jc w:val="both"/>
            <w:rPr>
              <w:szCs w:val="24"/>
            </w:rPr>
          </w:pPr>
          <w:r>
            <w:rPr>
              <w:szCs w:val="24"/>
            </w:rPr>
            <w:t>(parašas)</w:t>
            <w:tab/>
            <w:t>(vardas, pavardė)</w:t>
          </w:r>
        </w:p>
        <w:p>
          <w:pPr>
            <w:rPr>
              <w:sz w:val="18"/>
              <w:szCs w:val="18"/>
            </w:rPr>
          </w:pPr>
        </w:p>
        <w:p>
          <w:pPr>
            <w:spacing w:line="276" w:lineRule="auto"/>
            <w:jc w:val="both"/>
            <w:rPr>
              <w:szCs w:val="24"/>
            </w:rPr>
          </w:pPr>
          <w:r>
            <w:rPr>
              <w:b/>
              <w:bCs/>
              <w:szCs w:val="24"/>
            </w:rPr>
            <w:t xml:space="preserve">Pastaba. </w:t>
          </w:r>
          <w:r>
            <w:rPr>
              <w:szCs w:val="24"/>
            </w:rPr>
            <w:t>Klausimynas įdedamas į Asmens sveikatos istoriją „F 025/a</w:t>
          </w:r>
        </w:p>
        <w:p>
          <w:pPr>
            <w:rPr>
              <w:sz w:val="18"/>
              <w:szCs w:val="18"/>
            </w:rPr>
          </w:pPr>
        </w:p>
        <w:p/>
        <w:p>
          <w:pPr>
            <w:tabs>
              <w:tab w:val="left" w:pos="1134"/>
            </w:tabs>
            <w:spacing w:after="200"/>
            <w:ind w:left="851"/>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8 pr."/>
        <w:tag w:val="part_55fd7fe9e33046209ea3009aeaa8b7b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pgNumType w:start="1"/>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55fd7fe9e33046209ea3009aeaa8b7b7"/>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36"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37"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38"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39"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d06b380f6ba04718b98617c9e8e6996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06b380f6ba04718b98617c9e8e69967"/>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06b380f6ba04718b98617c9e8e69967"/>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43cc33497961491f8cea2b436cc9b0bd"/>
        <w:lock w:val="sdtLocked"/>
        <w:richText/>
      </w:sdtPr>
      <w:sdtContent>
        <w:p>
          <w:pPr>
            <w:tabs>
              <w:tab w:val="left" w:pos="1304"/>
              <w:tab w:val="left" w:pos="1457"/>
              <w:tab w:val="left" w:pos="1604"/>
              <w:tab w:val="left" w:pos="1757"/>
            </w:tabs>
            <w:ind w:left="5102"/>
            <w:sectPr>
              <w:headerReference w:type="even" r:id="rId40"/>
              <w:headerReference w:type="default" r:id="rId41"/>
              <w:footerReference w:type="even" r:id="rId42"/>
              <w:footerReference w:type="default" r:id="rId43"/>
              <w:headerReference w:type="first" r:id="rId44"/>
              <w:footerReference w:type="first" r:id="rId45"/>
              <w:pgSz w:w="11906" w:h="16838" w:code="9"/>
              <w:pgMar w:top="992" w:right="567" w:bottom="851" w:left="1701" w:header="340" w:footer="510" w:gutter="0"/>
              <w:pgNumType w:start="1"/>
              <w:cols w:space="1296"/>
              <w:titlePg/>
              <w:docGrid w:linePitch="360"/>
            </w:sectPr>
          </w:pPr>
        </w:p>
        <w:p>
          <w:pPr>
            <w:tabs>
              <w:tab w:val="left" w:pos="1304"/>
              <w:tab w:val="left" w:pos="1457"/>
              <w:tab w:val="left" w:pos="1604"/>
              <w:tab w:val="left" w:pos="1757"/>
            </w:tabs>
            <w:ind w:left="5102"/>
            <w:rPr>
              <w:color w:val="000000"/>
              <w:szCs w:val="24"/>
            </w:rPr>
          </w:pPr>
          <w:r>
            <w:rPr>
              <w:color w:val="000000"/>
              <w:szCs w:val="24"/>
            </w:rPr>
            <w:t>PATVIRTINTA</w:t>
          </w:r>
        </w:p>
        <w:p>
          <w:pPr>
            <w:tabs>
              <w:tab w:val="left" w:pos="1304"/>
              <w:tab w:val="left" w:pos="1457"/>
              <w:tab w:val="left" w:pos="1604"/>
              <w:tab w:val="left" w:pos="1757"/>
            </w:tabs>
            <w:ind w:left="5102"/>
            <w:rPr>
              <w:color w:val="000000"/>
              <w:szCs w:val="24"/>
            </w:rPr>
          </w:pPr>
          <w:r>
            <w:rPr>
              <w:color w:val="000000"/>
              <w:szCs w:val="24"/>
            </w:rPr>
            <w:t xml:space="preserve">Lietuvos Respublikos </w:t>
          </w:r>
        </w:p>
        <w:p>
          <w:pPr>
            <w:tabs>
              <w:tab w:val="left" w:pos="1304"/>
              <w:tab w:val="left" w:pos="1457"/>
              <w:tab w:val="left" w:pos="1604"/>
              <w:tab w:val="left" w:pos="1757"/>
            </w:tabs>
            <w:ind w:left="5102"/>
            <w:rPr>
              <w:color w:val="000000"/>
              <w:szCs w:val="24"/>
            </w:rPr>
          </w:pPr>
          <w:r>
            <w:rPr>
              <w:color w:val="000000"/>
              <w:szCs w:val="24"/>
            </w:rPr>
            <w:t xml:space="preserve">sveikatos apsaugos ministro </w:t>
          </w:r>
        </w:p>
        <w:p>
          <w:pPr>
            <w:tabs>
              <w:tab w:val="left" w:pos="1304"/>
              <w:tab w:val="left" w:pos="1457"/>
              <w:tab w:val="left" w:pos="1604"/>
              <w:tab w:val="left" w:pos="1757"/>
            </w:tabs>
            <w:ind w:left="5102"/>
            <w:rPr>
              <w:color w:val="000000"/>
              <w:szCs w:val="24"/>
            </w:rPr>
          </w:pPr>
          <w:smartTag w:uri="urn:schemas-microsoft-com:office:smarttags" w:element="metricconverter">
            <w:smartTagPr>
              <w:attr w:name="ProductID" w:val="2000 m"/>
            </w:smartTagPr>
            <w:r>
              <w:rPr>
                <w:color w:val="000000"/>
                <w:szCs w:val="24"/>
              </w:rPr>
              <w:t>2000 m</w:t>
            </w:r>
          </w:smartTag>
          <w:r>
            <w:rPr>
              <w:color w:val="000000"/>
              <w:szCs w:val="24"/>
            </w:rPr>
            <w:t>. gegužės 31 d. įsakymu Nr. 301</w:t>
          </w:r>
        </w:p>
        <w:p>
          <w:pPr>
            <w:tabs>
              <w:tab w:val="left" w:pos="1304"/>
              <w:tab w:val="left" w:pos="1457"/>
              <w:tab w:val="left" w:pos="1604"/>
              <w:tab w:val="left" w:pos="1757"/>
            </w:tabs>
            <w:ind w:left="5102"/>
            <w:rPr>
              <w:color w:val="000000"/>
              <w:szCs w:val="24"/>
            </w:rPr>
          </w:pPr>
          <w:r>
            <w:rPr>
              <w:color w:val="000000"/>
              <w:szCs w:val="24"/>
            </w:rPr>
            <w:t xml:space="preserve">(Lietuvos Respublikos </w:t>
          </w:r>
        </w:p>
        <w:p>
          <w:pPr>
            <w:tabs>
              <w:tab w:val="left" w:pos="1304"/>
              <w:tab w:val="left" w:pos="1457"/>
              <w:tab w:val="left" w:pos="1604"/>
              <w:tab w:val="left" w:pos="1757"/>
            </w:tabs>
            <w:ind w:left="5102"/>
            <w:rPr>
              <w:color w:val="000000"/>
              <w:szCs w:val="24"/>
            </w:rPr>
          </w:pPr>
          <w:r>
            <w:rPr>
              <w:color w:val="000000"/>
              <w:szCs w:val="24"/>
            </w:rPr>
            <w:t xml:space="preserve">sveikatos apsaugos ministro </w:t>
          </w:r>
        </w:p>
        <w:p>
          <w:pPr>
            <w:tabs>
              <w:tab w:val="left" w:pos="1304"/>
              <w:tab w:val="left" w:pos="1457"/>
              <w:tab w:val="left" w:pos="1604"/>
              <w:tab w:val="left" w:pos="1757"/>
            </w:tabs>
            <w:ind w:left="5102"/>
            <w:rPr>
              <w:color w:val="000000"/>
              <w:szCs w:val="24"/>
            </w:rPr>
          </w:pPr>
          <w:r>
            <w:rPr>
              <w:color w:val="000000"/>
              <w:szCs w:val="24"/>
            </w:rPr>
            <w:t xml:space="preserve">2019 m. sausio 3 d. įsakymo </w:t>
          </w:r>
        </w:p>
        <w:p>
          <w:pPr>
            <w:tabs>
              <w:tab w:val="left" w:pos="1304"/>
              <w:tab w:val="left" w:pos="1457"/>
              <w:tab w:val="left" w:pos="1604"/>
              <w:tab w:val="left" w:pos="1757"/>
            </w:tabs>
            <w:ind w:left="5102"/>
            <w:rPr>
              <w:color w:val="000000"/>
              <w:szCs w:val="24"/>
            </w:rPr>
          </w:pPr>
          <w:r>
            <w:rPr>
              <w:color w:val="000000"/>
              <w:szCs w:val="24"/>
            </w:rPr>
            <w:t>Nr. V-12 redakcija)</w:t>
          </w:r>
        </w:p>
        <w:p>
          <w:pPr>
            <w:tabs>
              <w:tab w:val="left" w:pos="1304"/>
              <w:tab w:val="left" w:pos="1457"/>
              <w:tab w:val="left" w:pos="1604"/>
              <w:tab w:val="left" w:pos="1757"/>
            </w:tabs>
            <w:ind w:left="5102"/>
            <w:rPr>
              <w:color w:val="000000"/>
              <w:szCs w:val="24"/>
            </w:rPr>
          </w:pPr>
          <w:sdt>
            <w:sdtPr>
              <w:alias w:val="Numeris"/>
              <w:tag w:val="nr_43cc33497961491f8cea2b436cc9b0bd"/>
              <w:lock w:val="sdtLocked"/>
              <w:richText/>
            </w:sdtPr>
            <w:sdtContent>
              <w:r>
                <w:rPr>
                  <w:color w:val="000000"/>
                  <w:szCs w:val="24"/>
                </w:rPr>
                <w:t>10</w:t>
              </w:r>
            </w:sdtContent>
          </w:sdt>
          <w:r>
            <w:rPr>
              <w:color w:val="000000"/>
              <w:szCs w:val="24"/>
            </w:rPr>
            <w:t xml:space="preserve"> priedas</w:t>
          </w:r>
        </w:p>
        <w:p>
          <w:pPr>
            <w:widowControl w:val="0"/>
            <w:ind w:left="5462"/>
            <w:rPr>
              <w:color w:val="000000"/>
              <w:szCs w:val="24"/>
            </w:rPr>
          </w:pPr>
        </w:p>
        <w:p>
          <w:pPr>
            <w:jc w:val="center"/>
            <w:rPr>
              <w:b/>
              <w:bCs/>
              <w:szCs w:val="24"/>
            </w:rPr>
          </w:pPr>
          <w:sdt>
            <w:sdtPr>
              <w:alias w:val="Pavadinimas"/>
              <w:tag w:val="title_43cc33497961491f8cea2b436cc9b0bd"/>
              <w:lock w:val="sdtLocked"/>
              <w:richText/>
            </w:sdtPr>
            <w:sdtContent>
              <w:r>
                <w:rPr>
                  <w:b/>
                  <w:bCs/>
                  <w:szCs w:val="24"/>
                </w:rPr>
                <w:t>LICENCIJUOJAMŲ CIVILINĖS AVIACIJOS SPECIALISTŲ SVEIKATOS BŪKLĖS TIKRINIMO TVARKOS APRAŠAS</w:t>
              </w:r>
            </w:sdtContent>
          </w:sdt>
        </w:p>
        <w:p>
          <w:pPr>
            <w:ind w:firstLine="62"/>
            <w:jc w:val="center"/>
            <w:rPr>
              <w:b/>
              <w:caps/>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
          <w:sdtPr>
            <w:alias w:val="10 pr. 1 p."/>
            <w:tag w:val="part_227f06e3adef4b738850f2cd86922c73"/>
            <w:lock w:val="sdtLocked"/>
            <w:richText/>
          </w:sdtPr>
          <w:sdtContent>
            <w:p>
              <w:pPr>
                <w:widowControl w:val="0"/>
                <w:ind w:firstLine="1069"/>
                <w:jc w:val="both"/>
                <w:rPr>
                  <w:color w:val="000000"/>
                  <w:szCs w:val="24"/>
                </w:rPr>
              </w:pPr>
              <w:sdt>
                <w:sdtPr>
                  <w:alias w:val="Numeris"/>
                  <w:tag w:val="nr_227f06e3adef4b738850f2cd86922c73"/>
                  <w:lock w:val="sdtLocked"/>
                  <w:richText/>
                </w:sdtPr>
                <w:sdtContent>
                  <w:r>
                    <w:rPr>
                      <w:bCs/>
                      <w:szCs w:val="24"/>
                    </w:rPr>
                    <w:t>1</w:t>
                  </w:r>
                </w:sdtContent>
              </w:sdt>
              <w:r>
                <w:rPr>
                  <w:bCs/>
                  <w:szCs w:val="24"/>
                </w:rPr>
                <w:t>. Licencijuojamų civilinės aviacijos specialistų (toliau – aviacijos specialistai) sveikatos būklės tikrinimo t</w:t>
              </w:r>
              <w:r>
                <w:rPr>
                  <w:color w:val="000000"/>
                  <w:szCs w:val="24"/>
                </w:rPr>
                <w:t>ikslas – nustatyti, ar aviacijos specialistas pagal savo sveikatos būklę gali siekti gauti (mokytis) ar naudotis teisėmis, nurodytomis licencijoje, ir atlikti joje nurodytas pareigas.</w:t>
              </w:r>
            </w:p>
          </w:sdtContent>
        </w:sdt>
        <w:sdt>
          <w:sdtPr>
            <w:alias w:val="10 pr. 2 p."/>
            <w:tag w:val="part_6089dc0c6f214efabb500ce1c34465a7"/>
            <w:lock w:val="sdtLocked"/>
            <w:richText/>
          </w:sdtPr>
          <w:sdtContent>
            <w:p>
              <w:pPr>
                <w:widowControl w:val="0"/>
                <w:ind w:firstLine="1069"/>
                <w:jc w:val="both"/>
                <w:rPr>
                  <w:bCs/>
                  <w:szCs w:val="24"/>
                </w:rPr>
              </w:pPr>
              <w:sdt>
                <w:sdtPr>
                  <w:alias w:val="Numeris"/>
                  <w:tag w:val="nr_6089dc0c6f214efabb500ce1c34465a7"/>
                  <w:lock w:val="sdtLocked"/>
                  <w:richText/>
                </w:sdtPr>
                <w:sdtContent>
                  <w:r>
                    <w:rPr>
                      <w:color w:val="000000"/>
                      <w:szCs w:val="24"/>
                    </w:rPr>
                    <w:t>2</w:t>
                  </w:r>
                </w:sdtContent>
              </w:sdt>
              <w:r>
                <w:rPr>
                  <w:color w:val="000000"/>
                  <w:szCs w:val="24"/>
                </w:rPr>
                <w:t>. A</w:t>
              </w:r>
              <w:r>
                <w:rPr>
                  <w:bCs/>
                  <w:szCs w:val="24"/>
                </w:rPr>
                <w:t>viacijos specialistų sveikatos būklės tikrinimas atliekamas įstaigoje, turinčioje licenciją teikti asmens sveikatos priežiūros paslaugas.</w:t>
              </w:r>
            </w:p>
          </w:sdtContent>
        </w:sdt>
        <w:sdt>
          <w:sdtPr>
            <w:alias w:val="10 pr. 3 p."/>
            <w:tag w:val="part_f0be24370f7e464588fd33216931977f"/>
            <w:lock w:val="sdtLocked"/>
            <w:richText/>
          </w:sdtPr>
          <w:sdtContent>
            <w:p>
              <w:pPr>
                <w:widowControl w:val="0"/>
                <w:ind w:firstLine="1069"/>
                <w:jc w:val="both"/>
                <w:rPr>
                  <w:b/>
                  <w:szCs w:val="24"/>
                </w:rPr>
              </w:pPr>
              <w:sdt>
                <w:sdtPr>
                  <w:alias w:val="Numeris"/>
                  <w:tag w:val="nr_f0be24370f7e464588fd33216931977f"/>
                  <w:lock w:val="sdtLocked"/>
                  <w:richText/>
                </w:sdtPr>
                <w:sdtContent>
                  <w:r>
                    <w:rPr>
                      <w:bCs/>
                      <w:szCs w:val="24"/>
                    </w:rPr>
                    <w:t>3</w:t>
                  </w:r>
                </w:sdtContent>
              </w:sdt>
              <w:r>
                <w:rPr>
                  <w:bCs/>
                  <w:szCs w:val="24"/>
                </w:rPr>
                <w:t xml:space="preserve">. Aviacijos specialistų sveikatos būklę tikrina </w:t>
              </w:r>
              <w:r>
                <w:rPr>
                  <w:szCs w:val="24"/>
                </w:rPr>
                <w:t>gydytojas, turintis medicinos praktikos licenciją verstis medicinos praktika pagal įgytą profesinę kvalifikaciją ir kompetentingos institucijos išduotą aviacijos medicinos gydytojo pažymėjimą (toliau – aviacijos medicinos gydytojas).</w:t>
              </w:r>
              <w:r>
                <w:rPr>
                  <w:b/>
                  <w:szCs w:val="24"/>
                </w:rPr>
                <w:t xml:space="preserve"> </w:t>
              </w:r>
            </w:p>
          </w:sdtContent>
        </w:sdt>
        <w:sdt>
          <w:sdtPr>
            <w:alias w:val="10 pr. 4 p."/>
            <w:tag w:val="part_dee0611f23534addb7287255f30008d2"/>
            <w:lock w:val="sdtLocked"/>
            <w:richText/>
          </w:sdtPr>
          <w:sdtContent>
            <w:p>
              <w:pPr>
                <w:widowControl w:val="0"/>
                <w:ind w:firstLine="1069"/>
                <w:jc w:val="both"/>
                <w:rPr>
                  <w:szCs w:val="24"/>
                </w:rPr>
              </w:pPr>
              <w:sdt>
                <w:sdtPr>
                  <w:alias w:val="Numeris"/>
                  <w:tag w:val="nr_dee0611f23534addb7287255f30008d2"/>
                  <w:lock w:val="sdtLocked"/>
                  <w:richText/>
                </w:sdtPr>
                <w:sdtContent>
                  <w:r>
                    <w:rPr>
                      <w:szCs w:val="24"/>
                    </w:rPr>
                    <w:t>4</w:t>
                  </w:r>
                </w:sdtContent>
              </w:sdt>
              <w:r>
                <w:rPr>
                  <w:szCs w:val="24"/>
                </w:rPr>
                <w:t xml:space="preserve">. Aviacijos medicinos gydytojas aviacijos specialistų </w:t>
              </w:r>
              <w:r>
                <w:rPr>
                  <w:bCs/>
                  <w:szCs w:val="24"/>
                </w:rPr>
                <w:t xml:space="preserve">sveikatos būklę tikrina vadovaudamasis </w:t>
              </w:r>
              <w:r>
                <w:rPr>
                  <w:szCs w:val="24"/>
                </w:rPr>
                <w:t>atitinkamais Europos Sąjungos teisės aktuose nustatytais  aviacijos specialistų sveikatos tikrinimo reikalavimais.</w:t>
              </w:r>
            </w:p>
            <w:p>
              <w:pPr>
                <w:widowControl w:val="0"/>
                <w:ind w:firstLine="1069"/>
                <w:jc w:val="both"/>
                <w:rPr>
                  <w:bCs/>
                  <w:szCs w:val="24"/>
                </w:rPr>
              </w:pPr>
            </w:p>
          </w:sdtContent>
        </w:sdt>
        <w:sdt>
          <w:sdtPr>
            <w:alias w:val="pabaiga"/>
            <w:tag w:val="part_e43473c7b5e94a02a3c6c8b1a01d9187"/>
            <w:lock w:val="sdtLocked"/>
            <w:richText/>
          </w:sdtPr>
          <w:sdtContent>
            <w:p>
              <w:pPr>
                <w:jc w:val="center"/>
              </w:pPr>
              <w:r>
                <w:rPr>
                  <w:sz w:val="22"/>
                  <w:szCs w:val="24"/>
                </w:rPr>
                <w:t>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bf82d0127b11e9b2b6e7cdb14007b4">
            <w:r w:rsidRPr="00532B9F">
              <w:rPr>
                <w:rFonts w:ascii="Times New Roman" w:eastAsia="MS Mincho" w:hAnsi="Times New Roman"/>
                <w:sz w:val="20"/>
                <w:i/>
                <w:iCs/>
                <w:color w:val="0000FF" w:themeColor="hyperlink"/>
                <w:u w:val="single"/>
              </w:rPr>
              <w:t>V-12</w:t>
            </w:r>
          </w:fldSimple>
          <w:r>
            <w:rPr>
              <w:rFonts w:ascii="Times New Roman" w:eastAsia="MS Mincho" w:hAnsi="Times New Roman"/>
              <w:sz w:val="20"/>
              <w:i/>
              <w:iCs/>
            </w:rPr>
            <w:t>,
2019-01-03,
paskelbta TAR 2019-01-07, i. k. 2019-00194            </w:t>
          </w:r>
        </w:p>
        <w:p/>
      </w:sdtContent>
    </w:sdt>
    <w:sdt>
      <w:sdtPr>
        <w:alias w:val="11 pr."/>
        <w:tag w:val="part_8d7263feddb942499b31d04640026346"/>
        <w:lock w:val="sdtLocked"/>
        <w:richText/>
      </w:sdtPr>
      <w:sdtContent>
        <w:p>
          <w:pPr>
            <w:keepNext/>
            <w:ind w:left="6210" w:firstLine="270"/>
            <w:jc w:val="both"/>
            <w:sectPr>
              <w:pgSz w:w="11906" w:h="16838"/>
              <w:pgMar w:top="1134" w:right="1134" w:bottom="1134" w:left="1701" w:header="567" w:footer="567" w:gutter="0"/>
              <w:pgNumType w:start="1"/>
              <w:cols w:space="1296"/>
              <w:noEndnote/>
              <w:titlePg/>
              <w:docGrid w:linePitch="326"/>
            </w:sectPr>
          </w:pPr>
        </w:p>
        <w:p>
          <w:pPr>
            <w:keepNext/>
            <w:ind w:left="5192"/>
            <w:jc w:val="both"/>
          </w:pPr>
          <w:r>
            <w:t>PATVIRTINTA</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2000 m. gegužės 31 d. </w:t>
          </w:r>
        </w:p>
        <w:p>
          <w:pPr>
            <w:ind w:left="5192"/>
            <w:jc w:val="both"/>
            <w:rPr>
              <w:szCs w:val="24"/>
            </w:rPr>
          </w:pPr>
          <w:r>
            <w:rPr>
              <w:szCs w:val="24"/>
            </w:rPr>
            <w:t xml:space="preserve">įsakymu Nr. 301 </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2013 m. kovo 5 d. </w:t>
          </w:r>
        </w:p>
        <w:p>
          <w:pPr>
            <w:ind w:left="5192"/>
            <w:jc w:val="both"/>
            <w:rPr>
              <w:szCs w:val="24"/>
            </w:rPr>
          </w:pPr>
          <w:r>
            <w:rPr>
              <w:szCs w:val="24"/>
            </w:rPr>
            <w:t>įsakymo Nr. V-320 redakcija)</w:t>
          </w:r>
        </w:p>
        <w:p>
          <w:pPr>
            <w:ind w:left="5192"/>
            <w:jc w:val="both"/>
            <w:rPr>
              <w:szCs w:val="24"/>
            </w:rPr>
          </w:pPr>
          <w:sdt>
            <w:sdtPr>
              <w:alias w:val="Numeris"/>
              <w:tag w:val="nr_8d7263feddb942499b31d04640026346"/>
              <w:lock w:val="sdtLocked"/>
              <w:richText/>
            </w:sdtPr>
            <w:sdtContent>
              <w:r>
                <w:rPr>
                  <w:szCs w:val="24"/>
                </w:rPr>
                <w:t>11</w:t>
              </w:r>
            </w:sdtContent>
          </w:sdt>
          <w:r>
            <w:rPr>
              <w:szCs w:val="24"/>
            </w:rPr>
            <w:t xml:space="preserve"> priedas</w:t>
          </w:r>
        </w:p>
        <w:p>
          <w:pPr>
            <w:keepNext/>
            <w:jc w:val="center"/>
            <w:outlineLvl w:val="5"/>
            <w:rPr>
              <w:b/>
              <w:color w:val="000000"/>
              <w:szCs w:val="24"/>
            </w:rPr>
          </w:pPr>
        </w:p>
        <w:p>
          <w:pPr>
            <w:keepNext/>
            <w:jc w:val="center"/>
            <w:outlineLvl w:val="5"/>
            <w:rPr>
              <w:b/>
              <w:color w:val="000000"/>
              <w:szCs w:val="24"/>
            </w:rPr>
          </w:pPr>
          <w:sdt>
            <w:sdtPr>
              <w:alias w:val="Pavadinimas"/>
              <w:tag w:val="title_8d7263feddb942499b31d04640026346"/>
              <w:lock w:val="sdtLocked"/>
              <w:richText/>
            </w:sdtPr>
            <w:sdtContent>
              <w:r>
                <w:rPr>
                  <w:b/>
                  <w:color w:val="000000"/>
                  <w:szCs w:val="24"/>
                </w:rPr>
                <w:t>JŪRININKŲ IR VIDAUS VANDENŲ TRANSPORTO SPECIALISTŲ BEI MOTORINIŲ PRAMOGINIŲ LAIVŲ IR KITŲ MOTORINIŲ PLAUKIOJIMO PRIEMONIŲ LAIVAVEDŽIŲ SVEIKATOS TIKRINIMO TVARKOS APRAŠAS</w:t>
              </w:r>
            </w:sdtContent>
          </w:sdt>
        </w:p>
        <w:p>
          <w:pPr>
            <w:keepNext/>
            <w:ind w:left="568"/>
            <w:jc w:val="center"/>
            <w:outlineLvl w:val="1"/>
            <w:rPr>
              <w:b/>
              <w:szCs w:val="24"/>
            </w:rPr>
          </w:pPr>
        </w:p>
        <w:sdt>
          <w:sdtPr>
            <w:alias w:val="skyrius"/>
            <w:tag w:val="part_32ccb9ddeb984219866be6e01bb775c9"/>
            <w:lock w:val="sdtLocked"/>
            <w:richText/>
          </w:sdtPr>
          <w:sdtContent>
            <w:p>
              <w:pPr>
                <w:keepNext/>
                <w:ind w:left="1288"/>
                <w:jc w:val="center"/>
                <w:outlineLvl w:val="1"/>
                <w:rPr>
                  <w:b/>
                  <w:szCs w:val="24"/>
                </w:rPr>
              </w:pPr>
              <w:sdt>
                <w:sdtPr>
                  <w:alias w:val="Numeris"/>
                  <w:tag w:val="nr_32ccb9ddeb984219866be6e01bb775c9"/>
                  <w:lock w:val="sdtLocked"/>
                  <w:richText/>
                </w:sdtPr>
                <w:sdtContent>
                  <w:r>
                    <w:rPr>
                      <w:b/>
                      <w:szCs w:val="24"/>
                    </w:rPr>
                    <w:t>I</w:t>
                  </w:r>
                </w:sdtContent>
              </w:sdt>
              <w:r>
                <w:rPr>
                  <w:b/>
                  <w:szCs w:val="24"/>
                </w:rPr>
                <w:t xml:space="preserve">. </w:t>
              </w:r>
              <w:sdt>
                <w:sdtPr>
                  <w:alias w:val="Pavadinimas"/>
                  <w:tag w:val="title_32ccb9ddeb984219866be6e01bb775c9"/>
                  <w:lock w:val="sdtLocked"/>
                  <w:richText/>
                </w:sdtPr>
                <w:sdtContent>
                  <w:r>
                    <w:rPr>
                      <w:b/>
                      <w:szCs w:val="24"/>
                    </w:rPr>
                    <w:t>BENDROSIOS NUOSTATOS</w:t>
                  </w:r>
                </w:sdtContent>
              </w:sdt>
            </w:p>
            <w:p>
              <w:pPr>
                <w:rPr>
                  <w:sz w:val="20"/>
                </w:rPr>
              </w:pPr>
            </w:p>
            <w:sdt>
              <w:sdtPr>
                <w:alias w:val="11 pr. 1 p."/>
                <w:tag w:val="part_ba16f3e960ea4d37bf1a7b1dca6f2706"/>
                <w:lock w:val="sdtLocked"/>
                <w:richText/>
              </w:sdtPr>
              <w:sdtContent>
                <w:p>
                  <w:pPr>
                    <w:ind w:firstLine="709"/>
                    <w:jc w:val="both"/>
                    <w:rPr>
                      <w:szCs w:val="24"/>
                    </w:rPr>
                  </w:pPr>
                  <w:sdt>
                    <w:sdtPr>
                      <w:alias w:val="Numeris"/>
                      <w:tag w:val="nr_ba16f3e960ea4d37bf1a7b1dca6f2706"/>
                      <w:lock w:val="sdtLocked"/>
                      <w:richText/>
                    </w:sdtPr>
                    <w:sdtContent>
                      <w:r>
                        <w:rPr>
                          <w:szCs w:val="24"/>
                        </w:rPr>
                        <w:t>1</w:t>
                      </w:r>
                    </w:sdtContent>
                  </w:sdt>
                  <w:r>
                    <w:rPr>
                      <w:szCs w:val="24"/>
                    </w:rPr>
                    <w:t xml:space="preserve">. Jūrininkų ir vidaus vandenų transporto specialistų bei motorinių pramoginių laivų ir kitų motorinių plaukiojimo priemonių laivavedžių sveikatos tikrinimo tvarkos aprašas (toliau – Aprašas) nustato išankstinių (prieš įsidarbinant), periodinių (dirbant) ir neeilinių privalomų profilaktinių sveikatos tikrinimų (toliau – sveikatos tikrinimo) reikalavimus ir sveikatos pažymėjimų išdavimo tvarką. </w:t>
                  </w:r>
                </w:p>
              </w:sdtContent>
            </w:sdt>
            <w:sdt>
              <w:sdtPr>
                <w:alias w:val="11 pr. 2 p."/>
                <w:tag w:val="part_d69d8b7f0e2142d58322719293013b09"/>
                <w:lock w:val="sdtLocked"/>
                <w:richText/>
              </w:sdtPr>
              <w:sdtContent>
                <w:p>
                  <w:pPr>
                    <w:ind w:firstLine="709"/>
                    <w:jc w:val="both"/>
                    <w:rPr>
                      <w:szCs w:val="24"/>
                    </w:rPr>
                  </w:pPr>
                  <w:sdt>
                    <w:sdtPr>
                      <w:alias w:val="Numeris"/>
                      <w:tag w:val="nr_d69d8b7f0e2142d58322719293013b09"/>
                      <w:lock w:val="sdtLocked"/>
                      <w:richText/>
                    </w:sdtPr>
                    <w:sdtContent>
                      <w:r>
                        <w:rPr>
                          <w:szCs w:val="24"/>
                        </w:rPr>
                        <w:t>2</w:t>
                      </w:r>
                    </w:sdtContent>
                  </w:sdt>
                  <w:r>
                    <w:rPr>
                      <w:szCs w:val="24"/>
                    </w:rPr>
                    <w:t>. Sveikatos tikrinimo tikslas – nustatyti, ar tikrinamo asmens sveikatos būklė atitinka šiame Apraše nustatytus sveikatos būklės reikalavimus.</w:t>
                  </w:r>
                </w:p>
              </w:sdtContent>
            </w:sdt>
            <w:sdt>
              <w:sdtPr>
                <w:alias w:val="11 pr. 3 p."/>
                <w:tag w:val="part_1f802939952749c3bc1103154a44051c"/>
                <w:lock w:val="sdtLocked"/>
                <w:richText/>
              </w:sdtPr>
              <w:sdtContent>
                <w:p>
                  <w:pPr>
                    <w:ind w:firstLine="709"/>
                    <w:jc w:val="both"/>
                    <w:rPr>
                      <w:color w:val="000000"/>
                      <w:szCs w:val="24"/>
                    </w:rPr>
                  </w:pPr>
                  <w:sdt>
                    <w:sdtPr>
                      <w:alias w:val="Numeris"/>
                      <w:tag w:val="nr_1f802939952749c3bc1103154a44051c"/>
                      <w:lock w:val="sdtLocked"/>
                      <w:richText/>
                    </w:sdtPr>
                    <w:sdtContent>
                      <w:r>
                        <w:rPr>
                          <w:szCs w:val="24"/>
                        </w:rPr>
                        <w:t>3</w:t>
                      </w:r>
                    </w:sdtContent>
                  </w:sdt>
                  <w:r>
                    <w:rPr>
                      <w:szCs w:val="24"/>
                    </w:rPr>
                    <w:t xml:space="preserve">. Aprašas taikomas visiems jūrininkams ir vidaus vandenų transporto specialistams bei motorinių pramoginių laivų ir kitų motorinių plaukiojimo priemonių laivavedžiams ir asmens sveikatos priežiūros įstaigoms, kur tikrinama šiame punkte nurodytų asmenų sveikata. </w:t>
                  </w:r>
                </w:p>
              </w:sdtContent>
            </w:sdt>
            <w:sdt>
              <w:sdtPr>
                <w:alias w:val="11 pr. 4 p."/>
                <w:tag w:val="part_23bfcc2cf4b04ad1ae921748c138157c"/>
                <w:lock w:val="sdtLocked"/>
                <w:richText/>
              </w:sdtPr>
              <w:sdtContent>
                <w:p>
                  <w:pPr>
                    <w:ind w:firstLine="709"/>
                    <w:jc w:val="both"/>
                    <w:rPr>
                      <w:szCs w:val="24"/>
                      <w:lang w:eastAsia="x-none"/>
                    </w:rPr>
                  </w:pPr>
                  <w:sdt>
                    <w:sdtPr>
                      <w:alias w:val="Numeris"/>
                      <w:tag w:val="nr_23bfcc2cf4b04ad1ae921748c138157c"/>
                      <w:lock w:val="sdtLocked"/>
                      <w:richText/>
                    </w:sdtPr>
                    <w:sdtContent>
                      <w:r>
                        <w:rPr>
                          <w:szCs w:val="24"/>
                          <w:lang w:eastAsia="x-none"/>
                        </w:rPr>
                        <w:t>4</w:t>
                      </w:r>
                    </w:sdtContent>
                  </w:sdt>
                  <w:r>
                    <w:rPr>
                      <w:szCs w:val="24"/>
                      <w:lang w:eastAsia="x-none"/>
                    </w:rPr>
                    <w:t>. Aprašas netaikomas karinio laivyno, karinio laivyno pagalbinių laivų, pakrančių apsaugos laivų personalui.</w:t>
                  </w:r>
                </w:p>
              </w:sdtContent>
            </w:sdt>
            <w:sdt>
              <w:sdtPr>
                <w:alias w:val="11 pr. 5 p."/>
                <w:tag w:val="part_39b390a6ea1646e7beb4d715472d9983"/>
                <w:lock w:val="sdtLocked"/>
                <w:richText/>
              </w:sdtPr>
              <w:sdtContent>
                <w:p>
                  <w:pPr>
                    <w:widowControl w:val="0"/>
                    <w:tabs>
                      <w:tab w:val="left" w:pos="1080"/>
                    </w:tabs>
                    <w:ind w:right="-1" w:firstLine="709"/>
                    <w:jc w:val="both"/>
                    <w:rPr>
                      <w:color w:val="000000"/>
                      <w:szCs w:val="24"/>
                    </w:rPr>
                  </w:pPr>
                  <w:sdt>
                    <w:sdtPr>
                      <w:alias w:val="Numeris"/>
                      <w:tag w:val="nr_39b390a6ea1646e7beb4d715472d9983"/>
                      <w:lock w:val="sdtLocked"/>
                      <w:richText/>
                    </w:sdtPr>
                    <w:sdtContent>
                      <w:r>
                        <w:rPr>
                          <w:szCs w:val="24"/>
                          <w:lang w:val="en-US"/>
                        </w:rPr>
                        <w:t>5</w:t>
                      </w:r>
                    </w:sdtContent>
                  </w:sdt>
                  <w:r>
                    <w:rPr>
                      <w:szCs w:val="24"/>
                      <w:lang w:val="en-US"/>
                    </w:rPr>
                    <w:t>. Šiame Apra</w:t>
                  </w:r>
                  <w:r>
                    <w:rPr>
                      <w:szCs w:val="24"/>
                    </w:rPr>
                    <w:t xml:space="preserve">še vartojamos sąvokos </w:t>
                  </w:r>
                  <w:r>
                    <w:rPr>
                      <w:color w:val="000000"/>
                      <w:szCs w:val="24"/>
                    </w:rPr>
                    <w:t xml:space="preserve">atitinka </w:t>
                  </w:r>
                  <w:r>
                    <w:rPr>
                      <w:szCs w:val="24"/>
                    </w:rPr>
                    <w:t xml:space="preserve">Lietuvos Respublikos pacientų teisių ir žalos sveikatai atlyginimo įstatyme, </w:t>
                  </w:r>
                  <w:r>
                    <w:rPr>
                      <w:color w:val="000000"/>
                      <w:szCs w:val="24"/>
                    </w:rPr>
                    <w:t>Lietuvos Respublikos saugios laivybos įstatyme, Lietuvos Respublikos vidaus vandenų transporto kodekse ir Lietuvos Respublikos prekybinės laivybos įstatyme vartojamas sąvokas.</w:t>
                  </w:r>
                </w:p>
              </w:sdtContent>
            </w:sdt>
            <w:sdt>
              <w:sdtPr>
                <w:alias w:val="11 pr. 6 p."/>
                <w:tag w:val="part_6eb442ae5d8340f398b3ff32bbefc6c5"/>
                <w:lock w:val="sdtLocked"/>
                <w:richText/>
              </w:sdtPr>
              <w:sdtContent>
                <w:p>
                  <w:pPr>
                    <w:ind w:firstLine="709"/>
                    <w:jc w:val="both"/>
                    <w:rPr>
                      <w:color w:val="000000"/>
                      <w:szCs w:val="24"/>
                      <w:lang w:val="en-AU" w:eastAsia="x-none"/>
                    </w:rPr>
                  </w:pPr>
                  <w:sdt>
                    <w:sdtPr>
                      <w:alias w:val="Numeris"/>
                      <w:tag w:val="nr_6eb442ae5d8340f398b3ff32bbefc6c5"/>
                      <w:lock w:val="sdtLocked"/>
                      <w:richText/>
                    </w:sdtPr>
                    <w:sdtContent>
                      <w:r>
                        <w:rPr>
                          <w:color w:val="000000"/>
                          <w:szCs w:val="24"/>
                          <w:lang w:val="en-AU" w:eastAsia="x-none"/>
                        </w:rPr>
                        <w:t>6</w:t>
                      </w:r>
                    </w:sdtContent>
                  </w:sdt>
                  <w:r>
                    <w:rPr>
                      <w:color w:val="000000"/>
                      <w:szCs w:val="24"/>
                      <w:lang w:val="en-AU" w:eastAsia="x-none"/>
                    </w:rPr>
                    <w:t>. Jūrininkų ir vidaus vandenų transporto specialistų bei m</w:t>
                  </w:r>
                  <w:r>
                    <w:rPr>
                      <w:szCs w:val="24"/>
                      <w:lang w:val="en-AU" w:eastAsia="x-none"/>
                    </w:rPr>
                    <w:t xml:space="preserve">otorinių pramoginių laivų ir kitų motorinių plaukiojimo priemonių </w:t>
                  </w:r>
                  <w:r>
                    <w:rPr>
                      <w:color w:val="000000"/>
                      <w:szCs w:val="24"/>
                      <w:lang w:val="en-AU" w:eastAsia="x-none"/>
                    </w:rPr>
                    <w:t>laivavedžių profesinės grupės pagal darbo pobūdį (toliau – profesinė grupė):</w:t>
                  </w:r>
                </w:p>
                <w:sdt>
                  <w:sdtPr>
                    <w:alias w:val="11 pr. 6.1 pp."/>
                    <w:tag w:val="part_4d8aeef1fd13476fa19a116863d4db2c"/>
                    <w:lock w:val="sdtLocked"/>
                    <w:richText/>
                  </w:sdtPr>
                  <w:sdtContent>
                    <w:p>
                      <w:pPr>
                        <w:ind w:firstLine="709"/>
                        <w:jc w:val="both"/>
                        <w:rPr>
                          <w:rFonts w:eastAsia="Calibri"/>
                          <w:color w:val="000000"/>
                          <w:szCs w:val="24"/>
                        </w:rPr>
                      </w:pPr>
                      <w:sdt>
                        <w:sdtPr>
                          <w:alias w:val="Numeris"/>
                          <w:tag w:val="nr_4d8aeef1fd13476fa19a116863d4db2c"/>
                          <w:lock w:val="sdtLocked"/>
                          <w:richText/>
                        </w:sdtPr>
                        <w:sdtContent>
                          <w:r>
                            <w:rPr>
                              <w:rFonts w:eastAsia="Calibri"/>
                              <w:color w:val="000000"/>
                              <w:szCs w:val="24"/>
                            </w:rPr>
                            <w:t>6.1</w:t>
                          </w:r>
                        </w:sdtContent>
                      </w:sdt>
                      <w:r>
                        <w:rPr>
                          <w:rFonts w:eastAsia="Calibri"/>
                          <w:color w:val="000000"/>
                          <w:szCs w:val="24"/>
                        </w:rPr>
                        <w:t>. I profesinė grupė – Denio tarnyba. Vykdantys navigacinį budėjimą kapitonai, kapitonų padėjėjai, laivų škiperiai ir jų padėjėjai, kvalifikuoti jūreiviai, jūreiviai, upeiviai, locmanai ir pan.;</w:t>
                      </w:r>
                    </w:p>
                  </w:sdtContent>
                </w:sdt>
                <w:sdt>
                  <w:sdtPr>
                    <w:alias w:val="11 pr. 6.2 pp."/>
                    <w:tag w:val="part_16871eef5095407f91cc3f88e4248a9c"/>
                    <w:lock w:val="sdtLocked"/>
                    <w:richText/>
                  </w:sdtPr>
                  <w:sdtContent>
                    <w:p>
                      <w:pPr>
                        <w:ind w:firstLine="709"/>
                        <w:jc w:val="both"/>
                        <w:rPr>
                          <w:rFonts w:eastAsia="Calibri"/>
                          <w:color w:val="000000"/>
                          <w:szCs w:val="24"/>
                        </w:rPr>
                      </w:pPr>
                      <w:sdt>
                        <w:sdtPr>
                          <w:alias w:val="Numeris"/>
                          <w:tag w:val="nr_16871eef5095407f91cc3f88e4248a9c"/>
                          <w:lock w:val="sdtLocked"/>
                          <w:richText/>
                        </w:sdtPr>
                        <w:sdtContent>
                          <w:r>
                            <w:rPr>
                              <w:rFonts w:eastAsia="Calibri"/>
                              <w:color w:val="000000"/>
                              <w:szCs w:val="24"/>
                            </w:rPr>
                            <w:t>6.2</w:t>
                          </w:r>
                        </w:sdtContent>
                      </w:sdt>
                      <w:r>
                        <w:rPr>
                          <w:rFonts w:eastAsia="Calibri"/>
                          <w:color w:val="000000"/>
                          <w:szCs w:val="24"/>
                        </w:rPr>
                        <w:t>. II profesinė grupė – Mašinų (Jėgainės) tarnyba. Vykdantys mašinų (jėgainės) eigos budėjimą visų grupių mechanikai, kvalifikuoti motoristai, motoristai, elektrikai ir pan.;</w:t>
                      </w:r>
                    </w:p>
                  </w:sdtContent>
                </w:sdt>
                <w:sdt>
                  <w:sdtPr>
                    <w:alias w:val="11 pr. 6.3 pp."/>
                    <w:tag w:val="part_75a22cd5d0354d8192af865fad289721"/>
                    <w:lock w:val="sdtLocked"/>
                    <w:richText/>
                  </w:sdtPr>
                  <w:sdtContent>
                    <w:p>
                      <w:pPr>
                        <w:ind w:firstLine="709"/>
                        <w:jc w:val="both"/>
                        <w:rPr>
                          <w:rFonts w:eastAsia="Calibri"/>
                          <w:color w:val="000000"/>
                          <w:szCs w:val="24"/>
                        </w:rPr>
                      </w:pPr>
                      <w:sdt>
                        <w:sdtPr>
                          <w:alias w:val="Numeris"/>
                          <w:tag w:val="nr_75a22cd5d0354d8192af865fad289721"/>
                          <w:lock w:val="sdtLocked"/>
                          <w:richText/>
                        </w:sdtPr>
                        <w:sdtContent>
                          <w:r>
                            <w:rPr>
                              <w:rFonts w:eastAsia="Calibri"/>
                              <w:color w:val="000000"/>
                              <w:szCs w:val="24"/>
                            </w:rPr>
                            <w:t>6.3</w:t>
                          </w:r>
                        </w:sdtContent>
                      </w:sdt>
                      <w:r>
                        <w:rPr>
                          <w:rFonts w:eastAsia="Calibri"/>
                          <w:color w:val="000000"/>
                          <w:szCs w:val="24"/>
                        </w:rPr>
                        <w:t>. III profesinė grupė – Aptarnavimo tarnyba. Laivus ir jų personalą bei keleivius aptarnaujantys sveikatos priežiūros specialistai ir kiti darbuotojai, saugos pareigūnai, virėjai, narai ir pan.;</w:t>
                      </w:r>
                    </w:p>
                  </w:sdtContent>
                </w:sdt>
                <w:sdt>
                  <w:sdtPr>
                    <w:alias w:val="11 pr. 6.4 pp."/>
                    <w:tag w:val="part_b8f59eae25804e5bb09f445503be3151"/>
                    <w:lock w:val="sdtLocked"/>
                    <w:richText/>
                  </w:sdtPr>
                  <w:sdtContent>
                    <w:p>
                      <w:pPr>
                        <w:ind w:firstLine="709"/>
                        <w:jc w:val="both"/>
                        <w:rPr>
                          <w:color w:val="000000"/>
                          <w:szCs w:val="24"/>
                          <w:lang w:val="en-AU" w:eastAsia="x-none"/>
                        </w:rPr>
                      </w:pPr>
                      <w:sdt>
                        <w:sdtPr>
                          <w:alias w:val="Numeris"/>
                          <w:tag w:val="nr_b8f59eae25804e5bb09f445503be3151"/>
                          <w:lock w:val="sdtLocked"/>
                          <w:richText/>
                        </w:sdtPr>
                        <w:sdtContent>
                          <w:r>
                            <w:rPr>
                              <w:rFonts w:eastAsia="Calibri"/>
                              <w:color w:val="000000"/>
                              <w:szCs w:val="24"/>
                              <w:lang w:val="en-AU" w:eastAsia="x-none"/>
                            </w:rPr>
                            <w:t>6.4</w:t>
                          </w:r>
                        </w:sdtContent>
                      </w:sdt>
                      <w:r>
                        <w:rPr>
                          <w:rFonts w:eastAsia="Calibri"/>
                          <w:color w:val="000000"/>
                          <w:szCs w:val="24"/>
                          <w:lang w:val="en-AU" w:eastAsia="x-none"/>
                        </w:rPr>
                        <w:t>. IV profesinė grupė –</w:t>
                      </w:r>
                      <w:r>
                        <w:rPr>
                          <w:color w:val="000000"/>
                          <w:szCs w:val="24"/>
                          <w:lang w:val="en-AU" w:eastAsia="x-none"/>
                        </w:rPr>
                        <w:t xml:space="preserve"> M</w:t>
                      </w:r>
                      <w:r>
                        <w:rPr>
                          <w:szCs w:val="24"/>
                          <w:lang w:val="en-AU" w:eastAsia="x-none"/>
                        </w:rPr>
                        <w:t xml:space="preserve">otorinių pramoginių laivų ir kitų motorinių plaukiojimo priemonių </w:t>
                      </w:r>
                      <w:r>
                        <w:rPr>
                          <w:color w:val="000000"/>
                          <w:szCs w:val="24"/>
                          <w:lang w:val="en-AU" w:eastAsia="x-none"/>
                        </w:rPr>
                        <w:t>laivavedžiai.</w:t>
                      </w:r>
                    </w:p>
                    <w:p>
                      <w:pPr>
                        <w:ind w:left="568"/>
                        <w:jc w:val="both"/>
                        <w:rPr>
                          <w:b/>
                          <w:szCs w:val="24"/>
                          <w:lang w:eastAsia="x-none"/>
                        </w:rPr>
                      </w:pPr>
                    </w:p>
                  </w:sdtContent>
                </w:sdt>
              </w:sdtContent>
            </w:sdt>
          </w:sdtContent>
        </w:sdt>
        <w:sdt>
          <w:sdtPr>
            <w:alias w:val="skyrius"/>
            <w:tag w:val="part_a42700b424784c29a5c42d99b641e3ed"/>
            <w:lock w:val="sdtLocked"/>
            <w:richText/>
          </w:sdtPr>
          <w:sdtContent>
            <w:p>
              <w:pPr>
                <w:ind w:left="568"/>
                <w:jc w:val="center"/>
                <w:rPr>
                  <w:b/>
                  <w:szCs w:val="24"/>
                  <w:lang w:eastAsia="x-none"/>
                </w:rPr>
              </w:pPr>
              <w:sdt>
                <w:sdtPr>
                  <w:alias w:val="Numeris"/>
                  <w:tag w:val="nr_a42700b424784c29a5c42d99b641e3ed"/>
                  <w:lock w:val="sdtLocked"/>
                  <w:richText/>
                </w:sdtPr>
                <w:sdtContent>
                  <w:r>
                    <w:rPr>
                      <w:b/>
                      <w:szCs w:val="24"/>
                      <w:lang w:eastAsia="x-none"/>
                    </w:rPr>
                    <w:t>II</w:t>
                  </w:r>
                </w:sdtContent>
              </w:sdt>
              <w:r>
                <w:rPr>
                  <w:b/>
                  <w:szCs w:val="24"/>
                  <w:lang w:eastAsia="x-none"/>
                </w:rPr>
                <w:t xml:space="preserve">. </w:t>
              </w:r>
              <w:sdt>
                <w:sdtPr>
                  <w:alias w:val="Pavadinimas"/>
                  <w:tag w:val="title_a42700b424784c29a5c42d99b641e3ed"/>
                  <w:lock w:val="sdtLocked"/>
                  <w:richText/>
                </w:sdtPr>
                <w:sdtContent>
                  <w:r>
                    <w:rPr>
                      <w:b/>
                      <w:szCs w:val="24"/>
                      <w:lang w:eastAsia="x-none"/>
                    </w:rPr>
                    <w:t>SVEIKATOS TIKRINIMO REIKALAVIMAI IR TVARKA</w:t>
                  </w:r>
                </w:sdtContent>
              </w:sdt>
            </w:p>
            <w:p>
              <w:pPr>
                <w:jc w:val="center"/>
                <w:rPr>
                  <w:szCs w:val="24"/>
                  <w:lang w:eastAsia="x-none"/>
                </w:rPr>
              </w:pPr>
            </w:p>
            <w:sdt>
              <w:sdtPr>
                <w:alias w:val="11 pr. 7 p."/>
                <w:tag w:val="part_323439abc2094e6f92afb22f5a72fb07"/>
                <w:lock w:val="sdtLocked"/>
                <w:richText/>
              </w:sdtPr>
              <w:sdtContent>
                <w:p>
                  <w:pPr>
                    <w:ind w:firstLine="709"/>
                    <w:jc w:val="both"/>
                    <w:rPr>
                      <w:szCs w:val="24"/>
                      <w:lang w:eastAsia="x-none"/>
                    </w:rPr>
                  </w:pPr>
                  <w:sdt>
                    <w:sdtPr>
                      <w:alias w:val="Numeris"/>
                      <w:tag w:val="nr_323439abc2094e6f92afb22f5a72fb07"/>
                      <w:lock w:val="sdtLocked"/>
                      <w:richText/>
                    </w:sdtPr>
                    <w:sdtContent>
                      <w:r>
                        <w:rPr>
                          <w:szCs w:val="24"/>
                          <w:lang w:eastAsia="x-none"/>
                        </w:rPr>
                        <w:t>7</w:t>
                      </w:r>
                    </w:sdtContent>
                  </w:sdt>
                  <w:r>
                    <w:rPr>
                      <w:szCs w:val="24"/>
                      <w:lang w:eastAsia="x-none"/>
                    </w:rPr>
                    <w:t xml:space="preserve">. Asmenys, dirbantys ar norintys įsidarbinti jūrininkais ar vidaus vandenų transporto specialistais arba įgyti teisę valdyti motorinį pramoginį laivą, kitas motorines plaukiojimo priemones, privalo pasitikrinti sveikatą prieš pradedant darbą ar veiklą (toliau – įsidarbindami), o dirbančiųjų sveikata tikrinama periodiškai, kaip nurodyta šio Aprašo III skyriuje, vadovaujantis šiuo Aprašu bei atsižvelgiant į šio </w:t>
                  </w:r>
                  <w:r>
                    <w:rPr>
                      <w:color w:val="000000"/>
                      <w:szCs w:val="24"/>
                      <w:lang w:eastAsia="x-none"/>
                    </w:rPr>
                    <w:t>Aprašo 1 priedo „Minimalūs</w:t>
                  </w:r>
                  <w:r>
                    <w:rPr>
                      <w:szCs w:val="24"/>
                      <w:lang w:eastAsia="x-none"/>
                    </w:rPr>
                    <w:t xml:space="preserve"> sveikatos būklės reikalavimai, taikomi jūrininkams ir vidaus vandenų transporto specialistams bei motorinių pramoginių laivų ir kitų motorinių plaukiojimo priemonių laivavedžiams“ nuostatas.</w:t>
                  </w:r>
                </w:p>
              </w:sdtContent>
            </w:sdt>
            <w:sdt>
              <w:sdtPr>
                <w:alias w:val="11 pr. 8 p."/>
                <w:tag w:val="part_e4ce3d842bd8444fbda0d0a560761142"/>
                <w:lock w:val="sdtLocked"/>
                <w:richText/>
              </w:sdtPr>
              <w:sdtContent>
                <w:p>
                  <w:pPr>
                    <w:ind w:firstLine="720"/>
                    <w:jc w:val="both"/>
                    <w:rPr>
                      <w:szCs w:val="24"/>
                    </w:rPr>
                  </w:pPr>
                  <w:sdt>
                    <w:sdtPr>
                      <w:alias w:val="Numeris"/>
                      <w:tag w:val="nr_e4ce3d842bd8444fbda0d0a560761142"/>
                      <w:lock w:val="sdtLocked"/>
                      <w:richText/>
                    </w:sdtPr>
                    <w:sdtContent>
                      <w:r>
                        <w:rPr>
                          <w:szCs w:val="24"/>
                        </w:rPr>
                        <w:t>8</w:t>
                      </w:r>
                    </w:sdtContent>
                  </w:sdt>
                  <w:r>
                    <w:rPr>
                      <w:szCs w:val="24"/>
                    </w:rPr>
                    <w:t xml:space="preserve">. Prieš sveikatos tikrinimą Asmens sveikatos priežiūros įstaigoje (toliau – ASPĮ) asmuo, nurodytas Aprašo 7 punkte (toliau – pacientas), pateikia asmens tapatybę patvirtinantį dokumentą (asmens tapatybės kortelę arba pasą). </w:t>
                  </w:r>
                  <w:r>
                    <w:rPr>
                      <w:color w:val="000000"/>
                      <w:szCs w:val="24"/>
                    </w:rPr>
                    <w:t>Pacientas</w:t>
                  </w:r>
                  <w:r>
                    <w:rPr>
                      <w:szCs w:val="24"/>
                    </w:rPr>
                    <w:t xml:space="preserve"> užpildo ir pasirašo Jūrininkų ir vidaus vandenų transporto specialisto bei motorinių pramoginių laivų ir kitų motorinių plaukiojimo priemonių laivavedžio</w:t>
                  </w:r>
                  <w:r>
                    <w:rPr>
                      <w:color w:val="0000FF"/>
                      <w:szCs w:val="24"/>
                    </w:rPr>
                    <w:t xml:space="preserve"> </w:t>
                  </w:r>
                  <w:r>
                    <w:rPr>
                      <w:color w:val="000000"/>
                      <w:szCs w:val="24"/>
                    </w:rPr>
                    <w:t xml:space="preserve">Garbės deklaraciją (sveikatos tikrinimo klausimyną) (2 priedas), kuri įklijuojama į gydytojo pildomą jo </w:t>
                  </w:r>
                  <w:r>
                    <w:rPr>
                      <w:szCs w:val="24"/>
                    </w:rPr>
                    <w:t xml:space="preserve">Asmens sveikatos istoriją </w:t>
                  </w:r>
                  <w:r>
                    <w:rPr>
                      <w:color w:val="000000"/>
                      <w:szCs w:val="24"/>
                    </w:rPr>
                    <w:t>(ambulatorinę kortelę</w:t>
                  </w:r>
                  <w:r>
                    <w:rPr>
                      <w:szCs w:val="24"/>
                    </w:rPr>
                    <w:t xml:space="preserve">) (toliau – forma Nr. 025/a), </w:t>
                  </w:r>
                  <w:r>
                    <w:rPr>
                      <w:color w:val="000000"/>
                      <w:szCs w:val="24"/>
                    </w:rPr>
                    <w:t>patvirtintą Lietuvos Respublikos sveikatos apsaugos ministro 1999 m. lapkričio 29 d. įsakymu Nr. 515 (toliau – įsakymas Nr. 515),</w:t>
                  </w:r>
                  <w:r>
                    <w:rPr>
                      <w:color w:val="000000"/>
                      <w:sz w:val="20"/>
                    </w:rPr>
                    <w:t xml:space="preserve"> </w:t>
                  </w:r>
                  <w:r>
                    <w:rPr>
                      <w:color w:val="000000"/>
                      <w:szCs w:val="24"/>
                    </w:rPr>
                    <w:t xml:space="preserve">saugomą ASPĮ , kurioje tikrinama paciento sveikata. </w:t>
                  </w:r>
                </w:p>
              </w:sdtContent>
            </w:sdt>
            <w:sdt>
              <w:sdtPr>
                <w:alias w:val="11 pr. 9 p."/>
                <w:tag w:val="part_c6a797db6e354c69bfec3e0333a3413b"/>
                <w:lock w:val="sdtLocked"/>
                <w:richText/>
              </w:sdtPr>
              <w:sdtContent>
                <w:p>
                  <w:pPr>
                    <w:ind w:firstLine="709"/>
                    <w:jc w:val="both"/>
                    <w:rPr>
                      <w:szCs w:val="24"/>
                      <w:lang w:eastAsia="x-none"/>
                    </w:rPr>
                  </w:pPr>
                  <w:sdt>
                    <w:sdtPr>
                      <w:alias w:val="Numeris"/>
                      <w:tag w:val="nr_c6a797db6e354c69bfec3e0333a3413b"/>
                      <w:lock w:val="sdtLocked"/>
                      <w:richText/>
                    </w:sdtPr>
                    <w:sdtContent>
                      <w:r>
                        <w:rPr>
                          <w:szCs w:val="24"/>
                          <w:lang w:eastAsia="x-none"/>
                        </w:rPr>
                        <w:t>9</w:t>
                      </w:r>
                    </w:sdtContent>
                  </w:sdt>
                  <w:r>
                    <w:rPr>
                      <w:szCs w:val="24"/>
                      <w:lang w:eastAsia="x-none"/>
                    </w:rPr>
                    <w:t>. Sveikatą tikrinantys gydytojai turi teisę gauti informaciją apie tikrinamojo asmens sveikatos būklę iš kitų ASPĮ bei privačiai dirbančių gydytojų, o pastarieji tokią informaciją privalo teikti teisės aktų nustatyta tvarka.</w:t>
                  </w:r>
                </w:p>
              </w:sdtContent>
            </w:sdt>
            <w:sdt>
              <w:sdtPr>
                <w:alias w:val="11 pr. 10 p."/>
                <w:tag w:val="part_5997fe6c03344b7fab10d6bce125ebb0"/>
                <w:lock w:val="sdtLocked"/>
                <w:richText/>
              </w:sdtPr>
              <w:sdtContent>
                <w:p>
                  <w:pPr>
                    <w:ind w:firstLine="709"/>
                    <w:jc w:val="both"/>
                    <w:rPr>
                      <w:color w:val="000000"/>
                      <w:szCs w:val="24"/>
                      <w:lang w:eastAsia="x-none"/>
                    </w:rPr>
                  </w:pPr>
                  <w:sdt>
                    <w:sdtPr>
                      <w:alias w:val="Numeris"/>
                      <w:tag w:val="nr_5997fe6c03344b7fab10d6bce125ebb0"/>
                      <w:lock w:val="sdtLocked"/>
                      <w:richText/>
                    </w:sdtPr>
                    <w:sdtContent>
                      <w:r>
                        <w:rPr>
                          <w:rFonts w:eastAsia="Calibri"/>
                          <w:color w:val="000000"/>
                          <w:szCs w:val="24"/>
                          <w:lang w:eastAsia="x-none"/>
                        </w:rPr>
                        <w:t>10</w:t>
                      </w:r>
                    </w:sdtContent>
                  </w:sdt>
                  <w:r>
                    <w:rPr>
                      <w:rFonts w:eastAsia="Calibri"/>
                      <w:color w:val="000000"/>
                      <w:szCs w:val="24"/>
                      <w:lang w:eastAsia="x-none"/>
                    </w:rPr>
                    <w:t>. Prieš įsidarbinimą jūrininko ar v</w:t>
                  </w:r>
                  <w:r>
                    <w:rPr>
                      <w:szCs w:val="24"/>
                      <w:lang w:eastAsia="x-none"/>
                    </w:rPr>
                    <w:t xml:space="preserve">idaus vandenų transporto specialisto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 xml:space="preserve">laivavedžio </w:t>
                  </w:r>
                  <w:r>
                    <w:rPr>
                      <w:rFonts w:eastAsia="Calibri"/>
                      <w:color w:val="000000"/>
                      <w:szCs w:val="24"/>
                      <w:lang w:eastAsia="x-none"/>
                    </w:rPr>
                    <w:t>sveikatą tikrina gydytojas psichiatras (</w:t>
                  </w:r>
                  <w:r>
                    <w:rPr>
                      <w:color w:val="000000"/>
                      <w:lang w:eastAsia="x-none"/>
                    </w:rPr>
                    <w:t>psichikos sveikatos centre, prie kurio asmuo yra prisirašęs teisės aktų nustatyta tvarka, arba psichikos sveikatos centre, prie kurio, kaip prie sudariusio sutartį su asmens teisės aktų nustatyta tvarka pasirinkta pirminės sveikatos priežiūros paslaugas teikiančia ASPĮ dėl</w:t>
                  </w:r>
                  <w:r>
                    <w:rPr>
                      <w:lang w:eastAsia="x-none"/>
                    </w:rPr>
                    <w:t xml:space="preserve"> pirminės ambulatorinės psichikos sveikatos priežiūros paslaugų </w:t>
                  </w:r>
                  <w:r>
                    <w:rPr>
                      <w:color w:val="000000"/>
                      <w:lang w:eastAsia="x-none"/>
                    </w:rPr>
                    <w:t>teikimo, asmuo yra priskirtas). G</w:t>
                  </w:r>
                  <w:r>
                    <w:rPr>
                      <w:rFonts w:eastAsia="Calibri"/>
                      <w:color w:val="000000"/>
                      <w:szCs w:val="24"/>
                      <w:lang w:eastAsia="x-none"/>
                    </w:rPr>
                    <w:t xml:space="preserve">ydytojas psichiatras nustato </w:t>
                  </w:r>
                  <w:r>
                    <w:rPr>
                      <w:szCs w:val="24"/>
                      <w:lang w:val="en-AU" w:eastAsia="x-none"/>
                    </w:rPr>
                    <w:t xml:space="preserve">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 Išvadą įrašo į formą Nr. 025/a ir į </w:t>
                  </w:r>
                  <w:r>
                    <w:rPr>
                      <w:color w:val="000000"/>
                      <w:lang w:eastAsia="x-none"/>
                    </w:rPr>
                    <w:t xml:space="preserve">įsakymu Nr. 515 patvirtintos </w:t>
                  </w:r>
                  <w:r>
                    <w:rPr>
                      <w:szCs w:val="24"/>
                      <w:lang w:eastAsia="x-none"/>
                    </w:rPr>
                    <w:t>formos Medicinos dokumentų išrašą (forma Nr. 027/a) iš jo formos Nr. 025/a (toliau – forma Nr. 027/a).</w:t>
                  </w:r>
                </w:p>
              </w:sdtContent>
            </w:sdt>
            <w:sdt>
              <w:sdtPr>
                <w:alias w:val="11 pr. 11 p."/>
                <w:tag w:val="part_4ca56e91b1e549d8b4cf74b699a995cd"/>
                <w:lock w:val="sdtLocked"/>
                <w:richText/>
              </w:sdtPr>
              <w:sdtContent>
                <w:p>
                  <w:pPr>
                    <w:widowControl w:val="0"/>
                    <w:ind w:firstLine="709"/>
                    <w:jc w:val="both"/>
                    <w:rPr>
                      <w:color w:val="000000"/>
                      <w:lang w:eastAsia="x-none"/>
                    </w:rPr>
                  </w:pPr>
                  <w:sdt>
                    <w:sdtPr>
                      <w:alias w:val="Numeris"/>
                      <w:tag w:val="nr_4ca56e91b1e549d8b4cf74b699a995cd"/>
                      <w:lock w:val="sdtLocked"/>
                      <w:richText/>
                    </w:sdtPr>
                    <w:sdtContent>
                      <w:r>
                        <w:rPr>
                          <w:szCs w:val="24"/>
                          <w:lang w:val="en-AU" w:eastAsia="x-none"/>
                        </w:rPr>
                        <w:t>11</w:t>
                      </w:r>
                    </w:sdtContent>
                  </w:sdt>
                  <w:r>
                    <w:rPr>
                      <w:szCs w:val="24"/>
                      <w:lang w:val="en-AU" w:eastAsia="x-none"/>
                    </w:rPr>
                    <w:t xml:space="preserve">. Jūrininkų sveikata tikrinama VšĮ Klaipėdos jūrininkų ligoninėje (toliau – Jūrininkų ligoninė). Sveikatą tikrina Jūrininkų ligoninės direktoriaus įsakymu patvirtinta Jūrininkų sveikatos tikrinimo komisija (toliau – Komisija), kurią sudaro </w:t>
                  </w:r>
                  <w:r>
                    <w:rPr>
                      <w:rFonts w:eastAsia="Calibri"/>
                      <w:color w:val="000000"/>
                      <w:szCs w:val="24"/>
                      <w:lang w:eastAsia="x-none"/>
                    </w:rPr>
                    <w:t xml:space="preserve">vidaus ligų gydytojas, gydytojas oftalmologas, gydytojas otorinolaringologas, gydytojas odontologas, gydytojas chirurgas, gydytojas neurologas, gydytojas akušeris-ginekologas (moterų), gydytojas radiologas, kitų profesinių kvalifikacijų gydytojai – pagal indikacijas. </w:t>
                  </w:r>
                  <w:r>
                    <w:rPr>
                      <w:color w:val="000000"/>
                      <w:lang w:eastAsia="x-none"/>
                    </w:rPr>
                    <w:t xml:space="preserve">Šie gydytojai paskiria tyrimus, nustato jų dažnumą, vadovaudamiesi šiuo įsakymu, bei atsako už sveikatos tikrinimo kokybę. </w:t>
                  </w:r>
                </w:p>
              </w:sdtContent>
            </w:sdt>
            <w:sdt>
              <w:sdtPr>
                <w:alias w:val="11 pr. 12 p."/>
                <w:tag w:val="part_1bee4c3f52314253b25caecd3375f1fe"/>
                <w:lock w:val="sdtLocked"/>
                <w:richText/>
              </w:sdtPr>
              <w:sdtContent>
                <w:p>
                  <w:pPr>
                    <w:widowControl w:val="0"/>
                    <w:ind w:firstLine="709"/>
                    <w:jc w:val="both"/>
                    <w:rPr>
                      <w:rFonts w:eastAsia="Calibri"/>
                      <w:color w:val="000000"/>
                      <w:szCs w:val="24"/>
                      <w:lang w:val="en-AU" w:eastAsia="x-none"/>
                    </w:rPr>
                  </w:pPr>
                  <w:sdt>
                    <w:sdtPr>
                      <w:alias w:val="Numeris"/>
                      <w:tag w:val="nr_1bee4c3f52314253b25caecd3375f1fe"/>
                      <w:lock w:val="sdtLocked"/>
                      <w:richText/>
                    </w:sdtPr>
                    <w:sdtContent>
                      <w:r>
                        <w:rPr>
                          <w:color w:val="000000"/>
                          <w:lang w:eastAsia="x-none"/>
                        </w:rPr>
                        <w:t>12</w:t>
                      </w:r>
                    </w:sdtContent>
                  </w:sdt>
                  <w:r>
                    <w:rPr>
                      <w:color w:val="000000"/>
                      <w:lang w:eastAsia="x-none"/>
                    </w:rPr>
                    <w:t xml:space="preserve">. </w:t>
                  </w:r>
                  <w:r>
                    <w:rPr>
                      <w:rFonts w:eastAsia="Calibri"/>
                      <w:color w:val="000000"/>
                      <w:szCs w:val="24"/>
                      <w:lang w:val="en-AU" w:eastAsia="x-none"/>
                    </w:rPr>
                    <w:t>Atliekami šie tyrimai:</w:t>
                  </w:r>
                </w:p>
                <w:sdt>
                  <w:sdtPr>
                    <w:alias w:val="11 pr. 12.1 pp."/>
                    <w:tag w:val="part_79b5c9b9b76346ad86f883f004924037"/>
                    <w:lock w:val="sdtLocked"/>
                    <w:richText/>
                  </w:sdtPr>
                  <w:sdtContent>
                    <w:p>
                      <w:pPr>
                        <w:ind w:firstLine="709"/>
                        <w:jc w:val="both"/>
                        <w:rPr>
                          <w:rFonts w:eastAsia="Calibri"/>
                          <w:color w:val="000000"/>
                          <w:szCs w:val="24"/>
                        </w:rPr>
                      </w:pPr>
                      <w:sdt>
                        <w:sdtPr>
                          <w:alias w:val="Numeris"/>
                          <w:tag w:val="nr_79b5c9b9b76346ad86f883f004924037"/>
                          <w:lock w:val="sdtLocked"/>
                          <w:richText/>
                        </w:sdtPr>
                        <w:sdtContent>
                          <w:r>
                            <w:rPr>
                              <w:rFonts w:eastAsia="Calibri"/>
                              <w:color w:val="000000"/>
                              <w:szCs w:val="24"/>
                            </w:rPr>
                            <w:t>12.1</w:t>
                          </w:r>
                        </w:sdtContent>
                      </w:sdt>
                      <w:r>
                        <w:rPr>
                          <w:rFonts w:eastAsia="Calibri"/>
                          <w:color w:val="000000"/>
                          <w:szCs w:val="24"/>
                        </w:rPr>
                        <w:t xml:space="preserve">. </w:t>
                      </w:r>
                      <w:r>
                        <w:rPr>
                          <w:color w:val="000000"/>
                          <w:szCs w:val="24"/>
                        </w:rPr>
                        <w:t>veninio arba kapiliarinio kraujo (automatizuotu būdu);</w:t>
                      </w:r>
                      <w:r>
                        <w:rPr>
                          <w:rFonts w:eastAsia="Calibri"/>
                          <w:color w:val="000000"/>
                          <w:szCs w:val="24"/>
                        </w:rPr>
                        <w:t xml:space="preserve"> </w:t>
                      </w:r>
                    </w:p>
                  </w:sdtContent>
                </w:sdt>
                <w:sdt>
                  <w:sdtPr>
                    <w:alias w:val="11 pr. 12.2 pp."/>
                    <w:tag w:val="part_b8eb1e5c3ab94a2b8a3d56d6da95c7e3"/>
                    <w:lock w:val="sdtLocked"/>
                    <w:richText/>
                  </w:sdtPr>
                  <w:sdtContent>
                    <w:p>
                      <w:pPr>
                        <w:ind w:firstLine="709"/>
                        <w:jc w:val="both"/>
                        <w:rPr>
                          <w:rFonts w:eastAsia="Calibri"/>
                          <w:color w:val="000000"/>
                          <w:szCs w:val="24"/>
                        </w:rPr>
                      </w:pPr>
                      <w:sdt>
                        <w:sdtPr>
                          <w:alias w:val="Numeris"/>
                          <w:tag w:val="nr_b8eb1e5c3ab94a2b8a3d56d6da95c7e3"/>
                          <w:lock w:val="sdtLocked"/>
                          <w:richText/>
                        </w:sdtPr>
                        <w:sdtContent>
                          <w:r>
                            <w:rPr>
                              <w:rFonts w:eastAsia="Calibri"/>
                              <w:color w:val="000000"/>
                              <w:szCs w:val="24"/>
                            </w:rPr>
                            <w:t>12.2</w:t>
                          </w:r>
                        </w:sdtContent>
                      </w:sdt>
                      <w:r>
                        <w:rPr>
                          <w:rFonts w:eastAsia="Calibri"/>
                          <w:color w:val="000000"/>
                          <w:szCs w:val="24"/>
                        </w:rPr>
                        <w:t>. eritrocitų nusėdimo greičio (ENG);</w:t>
                      </w:r>
                    </w:p>
                  </w:sdtContent>
                </w:sdt>
                <w:sdt>
                  <w:sdtPr>
                    <w:alias w:val="11 pr. 12.3 pp."/>
                    <w:tag w:val="part_81252915cf6c416aad9ebdb8b8ce5f2c"/>
                    <w:lock w:val="sdtLocked"/>
                    <w:richText/>
                  </w:sdtPr>
                  <w:sdtContent>
                    <w:p>
                      <w:pPr>
                        <w:ind w:firstLine="709"/>
                        <w:jc w:val="both"/>
                        <w:rPr>
                          <w:rFonts w:eastAsia="Calibri"/>
                          <w:color w:val="000000"/>
                          <w:szCs w:val="24"/>
                        </w:rPr>
                      </w:pPr>
                      <w:sdt>
                        <w:sdtPr>
                          <w:alias w:val="Numeris"/>
                          <w:tag w:val="nr_81252915cf6c416aad9ebdb8b8ce5f2c"/>
                          <w:lock w:val="sdtLocked"/>
                          <w:richText/>
                        </w:sdtPr>
                        <w:sdtContent>
                          <w:r>
                            <w:rPr>
                              <w:rFonts w:eastAsia="Calibri"/>
                              <w:color w:val="000000"/>
                              <w:szCs w:val="24"/>
                            </w:rPr>
                            <w:t>12.3</w:t>
                          </w:r>
                        </w:sdtContent>
                      </w:sdt>
                      <w:r>
                        <w:rPr>
                          <w:rFonts w:eastAsia="Calibri"/>
                          <w:color w:val="000000"/>
                          <w:szCs w:val="24"/>
                        </w:rPr>
                        <w:t>. gliukozės kiekio veniniame kraujyje (nevalgius) (prieš įsidarbinimą ir asmenims nuo 40 m.);</w:t>
                      </w:r>
                    </w:p>
                  </w:sdtContent>
                </w:sdt>
                <w:sdt>
                  <w:sdtPr>
                    <w:alias w:val="11 pr. 12.4 pp."/>
                    <w:tag w:val="part_16bf25cbef4341a1aac6ee432ff58af5"/>
                    <w:lock w:val="sdtLocked"/>
                    <w:richText/>
                  </w:sdtPr>
                  <w:sdtContent>
                    <w:p>
                      <w:pPr>
                        <w:ind w:firstLine="709"/>
                        <w:jc w:val="both"/>
                        <w:rPr>
                          <w:rFonts w:eastAsia="Calibri"/>
                          <w:color w:val="000000"/>
                          <w:szCs w:val="24"/>
                        </w:rPr>
                      </w:pPr>
                      <w:sdt>
                        <w:sdtPr>
                          <w:alias w:val="Numeris"/>
                          <w:tag w:val="nr_16bf25cbef4341a1aac6ee432ff58af5"/>
                          <w:lock w:val="sdtLocked"/>
                          <w:richText/>
                        </w:sdtPr>
                        <w:sdtContent>
                          <w:r>
                            <w:rPr>
                              <w:rFonts w:eastAsia="Calibri"/>
                              <w:color w:val="000000"/>
                              <w:szCs w:val="24"/>
                            </w:rPr>
                            <w:t>12.4</w:t>
                          </w:r>
                        </w:sdtContent>
                      </w:sdt>
                      <w:r>
                        <w:rPr>
                          <w:rFonts w:eastAsia="Calibri"/>
                          <w:color w:val="000000"/>
                          <w:szCs w:val="24"/>
                        </w:rPr>
                        <w:t xml:space="preserve">. </w:t>
                      </w:r>
                      <w:r>
                        <w:rPr>
                          <w:color w:val="000000"/>
                          <w:szCs w:val="24"/>
                        </w:rPr>
                        <w:t>veninio</w:t>
                      </w:r>
                      <w:r>
                        <w:rPr>
                          <w:rFonts w:eastAsia="Calibri"/>
                          <w:color w:val="000000"/>
                          <w:szCs w:val="24"/>
                        </w:rPr>
                        <w:t xml:space="preserve"> kraujo dėl žmogaus imunodeficito viruso (ŽIV); </w:t>
                      </w:r>
                    </w:p>
                  </w:sdtContent>
                </w:sdt>
                <w:sdt>
                  <w:sdtPr>
                    <w:alias w:val="11 pr. 12.5 pp."/>
                    <w:tag w:val="part_9bff474624024fa284e47b9e02277aee"/>
                    <w:lock w:val="sdtLocked"/>
                    <w:richText/>
                  </w:sdtPr>
                  <w:sdtContent>
                    <w:p>
                      <w:pPr>
                        <w:ind w:firstLine="709"/>
                        <w:jc w:val="both"/>
                        <w:rPr>
                          <w:rFonts w:eastAsia="Calibri"/>
                          <w:color w:val="000000"/>
                          <w:szCs w:val="24"/>
                        </w:rPr>
                      </w:pPr>
                      <w:sdt>
                        <w:sdtPr>
                          <w:alias w:val="Numeris"/>
                          <w:tag w:val="nr_9bff474624024fa284e47b9e02277aee"/>
                          <w:lock w:val="sdtLocked"/>
                          <w:richText/>
                        </w:sdtPr>
                        <w:sdtContent>
                          <w:r>
                            <w:rPr>
                              <w:rFonts w:eastAsia="Calibri"/>
                              <w:color w:val="000000"/>
                              <w:szCs w:val="24"/>
                            </w:rPr>
                            <w:t>12.5</w:t>
                          </w:r>
                        </w:sdtContent>
                      </w:sdt>
                      <w:r>
                        <w:rPr>
                          <w:rFonts w:eastAsia="Calibri"/>
                          <w:color w:val="000000"/>
                          <w:szCs w:val="24"/>
                        </w:rPr>
                        <w:t>. kraujo grupės ir Rh faktoriaus nustatymas (jei nėra nustatyta);</w:t>
                      </w:r>
                    </w:p>
                  </w:sdtContent>
                </w:sdt>
                <w:sdt>
                  <w:sdtPr>
                    <w:alias w:val="11 pr. 12.6 pp."/>
                    <w:tag w:val="part_31a6ee8c4ae9413a835bd5ff8325be45"/>
                    <w:lock w:val="sdtLocked"/>
                    <w:richText/>
                  </w:sdtPr>
                  <w:sdtContent>
                    <w:p>
                      <w:pPr>
                        <w:ind w:firstLine="709"/>
                        <w:jc w:val="both"/>
                        <w:rPr>
                          <w:rFonts w:eastAsia="Calibri"/>
                          <w:color w:val="000000"/>
                          <w:szCs w:val="24"/>
                        </w:rPr>
                      </w:pPr>
                      <w:sdt>
                        <w:sdtPr>
                          <w:alias w:val="Numeris"/>
                          <w:tag w:val="nr_31a6ee8c4ae9413a835bd5ff8325be45"/>
                          <w:lock w:val="sdtLocked"/>
                          <w:richText/>
                        </w:sdtPr>
                        <w:sdtContent>
                          <w:r>
                            <w:rPr>
                              <w:rFonts w:eastAsia="Calibri"/>
                              <w:color w:val="000000"/>
                              <w:szCs w:val="24"/>
                            </w:rPr>
                            <w:t>12.6</w:t>
                          </w:r>
                        </w:sdtContent>
                      </w:sdt>
                      <w:r>
                        <w:rPr>
                          <w:rFonts w:eastAsia="Calibri"/>
                          <w:color w:val="000000"/>
                          <w:szCs w:val="24"/>
                        </w:rPr>
                        <w:t>. kraujo dėl lytiškai plintančių ligų (serologinės reakcijos);</w:t>
                      </w:r>
                    </w:p>
                  </w:sdtContent>
                </w:sdt>
                <w:sdt>
                  <w:sdtPr>
                    <w:alias w:val="11 pr. 12.7 pp."/>
                    <w:tag w:val="part_b5a800c2c8144953b9d4e0ec59e42de5"/>
                    <w:lock w:val="sdtLocked"/>
                    <w:richText/>
                  </w:sdtPr>
                  <w:sdtContent>
                    <w:p>
                      <w:pPr>
                        <w:ind w:firstLine="709"/>
                        <w:jc w:val="both"/>
                        <w:rPr>
                          <w:rFonts w:eastAsia="Calibri"/>
                          <w:color w:val="000000"/>
                          <w:szCs w:val="24"/>
                        </w:rPr>
                      </w:pPr>
                      <w:sdt>
                        <w:sdtPr>
                          <w:alias w:val="Numeris"/>
                          <w:tag w:val="nr_b5a800c2c8144953b9d4e0ec59e42de5"/>
                          <w:lock w:val="sdtLocked"/>
                          <w:richText/>
                        </w:sdtPr>
                        <w:sdtContent>
                          <w:r>
                            <w:rPr>
                              <w:rFonts w:eastAsia="Calibri"/>
                              <w:color w:val="000000"/>
                              <w:szCs w:val="24"/>
                            </w:rPr>
                            <w:t>12.7</w:t>
                          </w:r>
                        </w:sdtContent>
                      </w:sdt>
                      <w:r>
                        <w:rPr>
                          <w:rFonts w:eastAsia="Calibri"/>
                          <w:color w:val="000000"/>
                          <w:szCs w:val="24"/>
                        </w:rPr>
                        <w:t>. bendrasis šlapimo tyrimas analizatoriumi;</w:t>
                      </w:r>
                    </w:p>
                  </w:sdtContent>
                </w:sdt>
                <w:sdt>
                  <w:sdtPr>
                    <w:alias w:val="11 pr. 12.8 pp."/>
                    <w:tag w:val="part_5e38ef56177c47df83c409f85ac862ca"/>
                    <w:lock w:val="sdtLocked"/>
                    <w:richText/>
                  </w:sdtPr>
                  <w:sdtContent>
                    <w:p>
                      <w:pPr>
                        <w:ind w:firstLine="709"/>
                        <w:jc w:val="both"/>
                        <w:rPr>
                          <w:rFonts w:eastAsia="Calibri"/>
                          <w:color w:val="000000"/>
                          <w:szCs w:val="24"/>
                        </w:rPr>
                      </w:pPr>
                      <w:sdt>
                        <w:sdtPr>
                          <w:alias w:val="Numeris"/>
                          <w:tag w:val="nr_5e38ef56177c47df83c409f85ac862ca"/>
                          <w:lock w:val="sdtLocked"/>
                          <w:richText/>
                        </w:sdtPr>
                        <w:sdtContent>
                          <w:r>
                            <w:rPr>
                              <w:rFonts w:eastAsia="Calibri"/>
                              <w:color w:val="000000"/>
                              <w:szCs w:val="24"/>
                            </w:rPr>
                            <w:t>12.8</w:t>
                          </w:r>
                        </w:sdtContent>
                      </w:sdt>
                      <w:r>
                        <w:rPr>
                          <w:rFonts w:eastAsia="Calibri"/>
                          <w:color w:val="000000"/>
                          <w:szCs w:val="24"/>
                        </w:rPr>
                        <w:t>. krūtinės ląstos rentgenograma;</w:t>
                      </w:r>
                    </w:p>
                  </w:sdtContent>
                </w:sdt>
                <w:sdt>
                  <w:sdtPr>
                    <w:alias w:val="11 pr. 12.9 pp."/>
                    <w:tag w:val="part_cc366baf458c4640b5e22941440d5274"/>
                    <w:lock w:val="sdtLocked"/>
                    <w:richText/>
                  </w:sdtPr>
                  <w:sdtContent>
                    <w:p>
                      <w:pPr>
                        <w:ind w:firstLine="709"/>
                        <w:jc w:val="both"/>
                        <w:rPr>
                          <w:rFonts w:eastAsia="Calibri"/>
                          <w:szCs w:val="24"/>
                        </w:rPr>
                      </w:pPr>
                      <w:sdt>
                        <w:sdtPr>
                          <w:alias w:val="Numeris"/>
                          <w:tag w:val="nr_cc366baf458c4640b5e22941440d5274"/>
                          <w:lock w:val="sdtLocked"/>
                          <w:richText/>
                        </w:sdtPr>
                        <w:sdtContent>
                          <w:r>
                            <w:rPr>
                              <w:rFonts w:eastAsia="Calibri"/>
                              <w:szCs w:val="24"/>
                            </w:rPr>
                            <w:t>12.9</w:t>
                          </w:r>
                        </w:sdtContent>
                      </w:sdt>
                      <w:r>
                        <w:rPr>
                          <w:rFonts w:eastAsia="Calibri"/>
                          <w:szCs w:val="24"/>
                        </w:rPr>
                        <w:t>. EKG ramybės metu (prieš įsidarbinimą ir nuo 35 m.);</w:t>
                      </w:r>
                    </w:p>
                  </w:sdtContent>
                </w:sdt>
                <w:sdt>
                  <w:sdtPr>
                    <w:alias w:val="11 pr. 12.10 pp."/>
                    <w:tag w:val="part_f1df0ff4e1d14a988e62c466a4dc766e"/>
                    <w:lock w:val="sdtLocked"/>
                    <w:richText/>
                  </w:sdtPr>
                  <w:sdtContent>
                    <w:p>
                      <w:pPr>
                        <w:ind w:firstLine="709"/>
                        <w:jc w:val="both"/>
                        <w:rPr>
                          <w:rFonts w:eastAsia="Calibri"/>
                          <w:color w:val="000000"/>
                          <w:szCs w:val="24"/>
                        </w:rPr>
                      </w:pPr>
                      <w:sdt>
                        <w:sdtPr>
                          <w:alias w:val="Numeris"/>
                          <w:tag w:val="nr_f1df0ff4e1d14a988e62c466a4dc766e"/>
                          <w:lock w:val="sdtLocked"/>
                          <w:richText/>
                        </w:sdtPr>
                        <w:sdtContent>
                          <w:r>
                            <w:rPr>
                              <w:rFonts w:eastAsia="Calibri"/>
                              <w:color w:val="000000"/>
                              <w:szCs w:val="24"/>
                            </w:rPr>
                            <w:t>12.10</w:t>
                          </w:r>
                        </w:sdtContent>
                      </w:sdt>
                      <w:r>
                        <w:rPr>
                          <w:rFonts w:eastAsia="Calibri"/>
                          <w:color w:val="000000"/>
                          <w:szCs w:val="24"/>
                        </w:rPr>
                        <w:t>. akispūdžio matavimas (asmenims nuo 40 m. amžiaus – 1 kartą kas 3 metus);</w:t>
                      </w:r>
                    </w:p>
                  </w:sdtContent>
                </w:sdt>
                <w:sdt>
                  <w:sdtPr>
                    <w:alias w:val="11 pr. 12.11 pp."/>
                    <w:tag w:val="part_7d2c1f23dc1c47a6a3c268d6f3458b0c"/>
                    <w:lock w:val="sdtLocked"/>
                    <w:richText/>
                  </w:sdtPr>
                  <w:sdtContent>
                    <w:p>
                      <w:pPr>
                        <w:ind w:firstLine="709"/>
                        <w:jc w:val="both"/>
                        <w:rPr>
                          <w:color w:val="000000"/>
                          <w:szCs w:val="24"/>
                        </w:rPr>
                      </w:pPr>
                      <w:sdt>
                        <w:sdtPr>
                          <w:alias w:val="Numeris"/>
                          <w:tag w:val="nr_7d2c1f23dc1c47a6a3c268d6f3458b0c"/>
                          <w:lock w:val="sdtLocked"/>
                          <w:richText/>
                        </w:sdtPr>
                        <w:sdtContent>
                          <w:r>
                            <w:rPr>
                              <w:color w:val="000000"/>
                              <w:szCs w:val="24"/>
                            </w:rPr>
                            <w:t>12.11</w:t>
                          </w:r>
                        </w:sdtContent>
                      </w:sdt>
                      <w:r>
                        <w:rPr>
                          <w:color w:val="000000"/>
                          <w:szCs w:val="24"/>
                        </w:rPr>
                        <w:t>. regėjimo aštrumo nustatymas;</w:t>
                      </w:r>
                    </w:p>
                  </w:sdtContent>
                </w:sdt>
                <w:sdt>
                  <w:sdtPr>
                    <w:alias w:val="11 pr. 12.12 pp."/>
                    <w:tag w:val="part_b1ada84469ef4fdfb8ec0d3a98157e33"/>
                    <w:lock w:val="sdtLocked"/>
                    <w:richText/>
                  </w:sdtPr>
                  <w:sdtContent>
                    <w:p>
                      <w:pPr>
                        <w:ind w:firstLine="709"/>
                        <w:jc w:val="both"/>
                        <w:rPr>
                          <w:rFonts w:eastAsia="Calibri"/>
                          <w:color w:val="000000"/>
                          <w:szCs w:val="24"/>
                        </w:rPr>
                      </w:pPr>
                      <w:sdt>
                        <w:sdtPr>
                          <w:alias w:val="Numeris"/>
                          <w:tag w:val="nr_b1ada84469ef4fdfb8ec0d3a98157e33"/>
                          <w:lock w:val="sdtLocked"/>
                          <w:richText/>
                        </w:sdtPr>
                        <w:sdtContent>
                          <w:r>
                            <w:rPr>
                              <w:color w:val="000000"/>
                              <w:szCs w:val="24"/>
                            </w:rPr>
                            <w:t>12.12</w:t>
                          </w:r>
                        </w:sdtContent>
                      </w:sdt>
                      <w:r>
                        <w:rPr>
                          <w:color w:val="000000"/>
                          <w:szCs w:val="24"/>
                        </w:rPr>
                        <w:t>. spalvinės regos nustatymas – I ir IV profesinei grupei</w:t>
                      </w:r>
                      <w:r>
                        <w:rPr>
                          <w:rFonts w:eastAsia="Calibri"/>
                          <w:color w:val="000000"/>
                          <w:szCs w:val="24"/>
                        </w:rPr>
                        <w:t>;</w:t>
                      </w:r>
                    </w:p>
                  </w:sdtContent>
                </w:sdt>
                <w:sdt>
                  <w:sdtPr>
                    <w:alias w:val="11 pr. 12.13 pp."/>
                    <w:tag w:val="part_79cd18d2a7d14226965451c7754ffa65"/>
                    <w:lock w:val="sdtLocked"/>
                    <w:richText/>
                  </w:sdtPr>
                  <w:sdtContent>
                    <w:p>
                      <w:pPr>
                        <w:ind w:firstLine="709"/>
                        <w:jc w:val="both"/>
                        <w:rPr>
                          <w:rFonts w:eastAsia="Calibri"/>
                          <w:color w:val="000000"/>
                          <w:szCs w:val="24"/>
                        </w:rPr>
                      </w:pPr>
                      <w:sdt>
                        <w:sdtPr>
                          <w:alias w:val="Numeris"/>
                          <w:tag w:val="nr_79cd18d2a7d14226965451c7754ffa65"/>
                          <w:lock w:val="sdtLocked"/>
                          <w:richText/>
                        </w:sdtPr>
                        <w:sdtContent>
                          <w:r>
                            <w:rPr>
                              <w:rFonts w:eastAsia="Calibri"/>
                              <w:color w:val="000000"/>
                              <w:szCs w:val="24"/>
                            </w:rPr>
                            <w:t>12.13</w:t>
                          </w:r>
                        </w:sdtContent>
                      </w:sdt>
                      <w:r>
                        <w:rPr>
                          <w:rFonts w:eastAsia="Calibri"/>
                          <w:color w:val="000000"/>
                          <w:szCs w:val="24"/>
                        </w:rPr>
                        <w:t>. klausos patikrinimas;</w:t>
                      </w:r>
                    </w:p>
                  </w:sdtContent>
                </w:sdt>
                <w:sdt>
                  <w:sdtPr>
                    <w:alias w:val="11 pr. 12.14 pp."/>
                    <w:tag w:val="part_74400bf8bfa6482d8a9ba82009b11dfc"/>
                    <w:lock w:val="sdtLocked"/>
                    <w:richText/>
                  </w:sdtPr>
                  <w:sdtContent>
                    <w:p>
                      <w:pPr>
                        <w:ind w:firstLine="709"/>
                        <w:jc w:val="both"/>
                        <w:rPr>
                          <w:rFonts w:eastAsia="Calibri"/>
                          <w:color w:val="000000"/>
                          <w:szCs w:val="24"/>
                        </w:rPr>
                      </w:pPr>
                      <w:sdt>
                        <w:sdtPr>
                          <w:alias w:val="Numeris"/>
                          <w:tag w:val="nr_74400bf8bfa6482d8a9ba82009b11dfc"/>
                          <w:lock w:val="sdtLocked"/>
                          <w:richText/>
                        </w:sdtPr>
                        <w:sdtContent>
                          <w:r>
                            <w:rPr>
                              <w:rFonts w:eastAsia="Calibri"/>
                              <w:color w:val="000000"/>
                              <w:szCs w:val="24"/>
                            </w:rPr>
                            <w:t>12.14</w:t>
                          </w:r>
                        </w:sdtContent>
                      </w:sdt>
                      <w:r>
                        <w:rPr>
                          <w:rFonts w:eastAsia="Calibri"/>
                          <w:color w:val="000000"/>
                          <w:szCs w:val="24"/>
                        </w:rPr>
                        <w:t>. audiometrija – II profesinei grupei;</w:t>
                      </w:r>
                    </w:p>
                  </w:sdtContent>
                </w:sdt>
                <w:sdt>
                  <w:sdtPr>
                    <w:alias w:val="11 pr. 12.15 pp."/>
                    <w:tag w:val="part_f8a31a904f194a17b5c917ef56830ed6"/>
                    <w:lock w:val="sdtLocked"/>
                    <w:richText/>
                  </w:sdtPr>
                  <w:sdtContent>
                    <w:p>
                      <w:pPr>
                        <w:ind w:firstLine="709"/>
                        <w:jc w:val="both"/>
                        <w:rPr>
                          <w:rFonts w:eastAsia="Calibri"/>
                          <w:color w:val="000000"/>
                          <w:szCs w:val="24"/>
                        </w:rPr>
                      </w:pPr>
                      <w:sdt>
                        <w:sdtPr>
                          <w:alias w:val="Numeris"/>
                          <w:tag w:val="nr_f8a31a904f194a17b5c917ef56830ed6"/>
                          <w:lock w:val="sdtLocked"/>
                          <w:richText/>
                        </w:sdtPr>
                        <w:sdtContent>
                          <w:r>
                            <w:rPr>
                              <w:rFonts w:eastAsia="Calibri"/>
                              <w:color w:val="000000"/>
                              <w:szCs w:val="24"/>
                            </w:rPr>
                            <w:t>12.15</w:t>
                          </w:r>
                        </w:sdtContent>
                      </w:sdt>
                      <w:r>
                        <w:rPr>
                          <w:rFonts w:eastAsia="Calibri"/>
                          <w:color w:val="000000"/>
                          <w:szCs w:val="24"/>
                        </w:rPr>
                        <w:t>. citologinis Pap tyrimas moterims – nuo 35 m;</w:t>
                      </w:r>
                    </w:p>
                  </w:sdtContent>
                </w:sdt>
                <w:sdt>
                  <w:sdtPr>
                    <w:alias w:val="11 pr. 12.16 pp."/>
                    <w:tag w:val="part_1ead58615f744f0eb641ad3f63a790fc"/>
                    <w:lock w:val="sdtLocked"/>
                    <w:richText/>
                  </w:sdtPr>
                  <w:sdtContent>
                    <w:p>
                      <w:pPr>
                        <w:ind w:firstLine="709"/>
                        <w:jc w:val="both"/>
                        <w:rPr>
                          <w:color w:val="000000"/>
                          <w:szCs w:val="24"/>
                        </w:rPr>
                      </w:pPr>
                      <w:sdt>
                        <w:sdtPr>
                          <w:alias w:val="Numeris"/>
                          <w:tag w:val="nr_1ead58615f744f0eb641ad3f63a790fc"/>
                          <w:lock w:val="sdtLocked"/>
                          <w:richText/>
                        </w:sdtPr>
                        <w:sdtContent>
                          <w:r>
                            <w:rPr>
                              <w:rFonts w:eastAsia="Calibri"/>
                              <w:color w:val="000000"/>
                              <w:szCs w:val="24"/>
                            </w:rPr>
                            <w:t>12.16</w:t>
                          </w:r>
                        </w:sdtContent>
                      </w:sdt>
                      <w:r>
                        <w:rPr>
                          <w:rFonts w:eastAsia="Calibri"/>
                          <w:color w:val="000000"/>
                          <w:szCs w:val="24"/>
                        </w:rPr>
                        <w:t>. rekomenduojamas PSA tyrimas vyrams, vyresniems kaip 50 m. amžiaus.</w:t>
                      </w:r>
                    </w:p>
                  </w:sdtContent>
                </w:sdt>
              </w:sdtContent>
            </w:sdt>
            <w:sdt>
              <w:sdtPr>
                <w:alias w:val="11 pr. 13 p."/>
                <w:tag w:val="part_4e6f5044613d4cda8b71eab1d9180e66"/>
                <w:lock w:val="sdtLocked"/>
                <w:richText/>
              </w:sdtPr>
              <w:sdtContent>
                <w:p>
                  <w:pPr>
                    <w:ind w:firstLine="709"/>
                    <w:jc w:val="both"/>
                    <w:rPr>
                      <w:color w:val="FF0000"/>
                      <w:szCs w:val="24"/>
                      <w:lang w:val="en-AU" w:eastAsia="x-none"/>
                    </w:rPr>
                  </w:pPr>
                  <w:sdt>
                    <w:sdtPr>
                      <w:alias w:val="Numeris"/>
                      <w:tag w:val="nr_4e6f5044613d4cda8b71eab1d9180e66"/>
                      <w:lock w:val="sdtLocked"/>
                      <w:richText/>
                    </w:sdtPr>
                    <w:sdtContent>
                      <w:r>
                        <w:rPr>
                          <w:szCs w:val="24"/>
                          <w:lang w:eastAsia="x-none"/>
                        </w:rPr>
                        <w:t>13</w:t>
                      </w:r>
                    </w:sdtContent>
                  </w:sdt>
                  <w:r>
                    <w:rPr>
                      <w:szCs w:val="24"/>
                      <w:lang w:eastAsia="x-none"/>
                    </w:rPr>
                    <w:t xml:space="preserve">. </w:t>
                  </w:r>
                  <w:r>
                    <w:rPr>
                      <w:szCs w:val="24"/>
                      <w:lang w:val="en-AU" w:eastAsia="x-none"/>
                    </w:rPr>
                    <w:t>Kiekvienas sveikatą tikrinantis gydytojas, nurodytas Aprašo 11 punkte, nustato paciento sveikatos būklės profesinį tinkamumą ir į formą Nr. 025/a įrašo i</w:t>
                  </w:r>
                  <w:r>
                    <w:rPr>
                      <w:color w:val="000000"/>
                      <w:szCs w:val="24"/>
                      <w:lang w:val="en-AU" w:eastAsia="x-none"/>
                    </w:rPr>
                    <w:t>švadą</w:t>
                  </w:r>
                  <w:r>
                    <w:rPr>
                      <w:szCs w:val="24"/>
                      <w:lang w:val="en-AU" w:eastAsia="x-none"/>
                    </w:rPr>
                    <w:t xml:space="preserve">, pasirašo, patvirtina savo gydytojo spaudu. Išvadoje nurodo, ar asmuo gali dirbti, pažymi konkrečią profesinę grupę ir apribojimus, jei tokių yra. </w:t>
                  </w:r>
                </w:p>
              </w:sdtContent>
            </w:sdt>
            <w:sdt>
              <w:sdtPr>
                <w:alias w:val="11 pr. 14 p."/>
                <w:tag w:val="part_493288af3a2e4fdeb5121d843be52ace"/>
                <w:lock w:val="sdtLocked"/>
                <w:richText/>
              </w:sdtPr>
              <w:sdtContent>
                <w:p>
                  <w:pPr>
                    <w:widowControl w:val="0"/>
                    <w:ind w:firstLine="709"/>
                    <w:jc w:val="both"/>
                    <w:rPr>
                      <w:szCs w:val="24"/>
                      <w:lang w:eastAsia="x-none"/>
                    </w:rPr>
                  </w:pPr>
                  <w:sdt>
                    <w:sdtPr>
                      <w:alias w:val="Numeris"/>
                      <w:tag w:val="nr_493288af3a2e4fdeb5121d843be52ace"/>
                      <w:lock w:val="sdtLocked"/>
                      <w:richText/>
                    </w:sdtPr>
                    <w:sdtContent>
                      <w:r>
                        <w:rPr>
                          <w:szCs w:val="24"/>
                          <w:lang w:eastAsia="x-none"/>
                        </w:rPr>
                        <w:t>14</w:t>
                      </w:r>
                    </w:sdtContent>
                  </w:sdt>
                  <w:r>
                    <w:rPr>
                      <w:szCs w:val="24"/>
                      <w:lang w:eastAsia="x-none"/>
                    </w:rPr>
                    <w:t xml:space="preserve">. 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 sveikata tikrinama ASPĮ, turinčioje licenciją teikti asmens sveikatos priežiūros paslaugas, kurioje pacientas teisės aktų nustatyta tvarka yra prisirašęs, arba kitoje ASPĮ, turinčioje licenciją teikti asmens sveikatos priežiūros paslaugas. Pastaruoju atveju pacientas pateikia pasirinktoje ASPĮ dirbančio šeimos medicinos paslaugas teikiančio gydytojo, prie kurio jis yra prisirašęs, užpildytą formą Nr. 027/a apie jam per laikotarpį nuo praeito sveikatos tikrinimo (tikrinant pirmą kartą – už pastarųjų 5 (penkerių) metų laikotarpį) teiktas asmens sveikatos priežiūros paslaugas.</w:t>
                  </w:r>
                </w:p>
              </w:sdtContent>
            </w:sdt>
            <w:sdt>
              <w:sdtPr>
                <w:alias w:val="11 pr. 15 p."/>
                <w:tag w:val="part_4bdebc7b853d4cd3acff205da4c30d60"/>
                <w:lock w:val="sdtLocked"/>
                <w:richText/>
              </w:sdtPr>
              <w:sdtContent>
                <w:p>
                  <w:pPr>
                    <w:ind w:firstLine="709"/>
                    <w:jc w:val="both"/>
                    <w:rPr>
                      <w:rFonts w:eastAsia="Calibri"/>
                      <w:color w:val="000000"/>
                      <w:szCs w:val="24"/>
                      <w:lang w:eastAsia="x-none"/>
                    </w:rPr>
                  </w:pPr>
                  <w:sdt>
                    <w:sdtPr>
                      <w:alias w:val="Numeris"/>
                      <w:tag w:val="nr_4bdebc7b853d4cd3acff205da4c30d60"/>
                      <w:lock w:val="sdtLocked"/>
                      <w:richText/>
                    </w:sdtPr>
                    <w:sdtContent>
                      <w:r>
                        <w:rPr>
                          <w:color w:val="000000"/>
                          <w:szCs w:val="24"/>
                          <w:lang w:eastAsia="x-none"/>
                        </w:rPr>
                        <w:t>15</w:t>
                      </w:r>
                    </w:sdtContent>
                  </w:sdt>
                  <w:r>
                    <w:rPr>
                      <w:color w:val="000000"/>
                      <w:szCs w:val="24"/>
                      <w:lang w:eastAsia="x-none"/>
                    </w:rPr>
                    <w:t xml:space="preserve">. </w:t>
                  </w:r>
                  <w:r>
                    <w:rPr>
                      <w:szCs w:val="24"/>
                      <w:lang w:eastAsia="x-none"/>
                    </w:rPr>
                    <w:t xml:space="preserve">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w:t>
                  </w:r>
                  <w:r>
                    <w:rPr>
                      <w:color w:val="000000"/>
                      <w:szCs w:val="24"/>
                      <w:lang w:eastAsia="x-none"/>
                    </w:rPr>
                    <w:t>, kuriems reikia sveikatos pažymėjimo dėl vykdomų funkcijų, sveikatą tikrina ASPĮ šeimos medicinos paslaugas teikiantys gydytojai (šeimos gydytojas, vidaus ligų gydytojas) arba darbo medicinos gydytojas, įvertinę</w:t>
                  </w:r>
                  <w:r>
                    <w:rPr>
                      <w:rFonts w:eastAsia="Calibri"/>
                      <w:color w:val="000000"/>
                      <w:szCs w:val="24"/>
                      <w:lang w:eastAsia="x-none"/>
                    </w:rPr>
                    <w:t xml:space="preserve"> gydytojo psichiatro bei kitų reikiamų profesinių kvalifikacijų gydytojų tikrinimų išvadas, įrašytas formoje Nr. 027/a. </w:t>
                  </w:r>
                </w:p>
              </w:sdtContent>
            </w:sdt>
            <w:sdt>
              <w:sdtPr>
                <w:alias w:val="11 pr. 16 p."/>
                <w:tag w:val="part_9837561fdedc4663b9b91219b363fc95"/>
                <w:lock w:val="sdtLocked"/>
                <w:richText/>
              </w:sdtPr>
              <w:sdtContent>
                <w:p>
                  <w:pPr>
                    <w:widowControl w:val="0"/>
                    <w:ind w:firstLine="709"/>
                    <w:jc w:val="both"/>
                    <w:rPr>
                      <w:rFonts w:eastAsia="Calibri"/>
                      <w:color w:val="000000"/>
                      <w:szCs w:val="24"/>
                      <w:lang w:eastAsia="x-none"/>
                    </w:rPr>
                  </w:pPr>
                  <w:sdt>
                    <w:sdtPr>
                      <w:alias w:val="Numeris"/>
                      <w:tag w:val="nr_9837561fdedc4663b9b91219b363fc95"/>
                      <w:lock w:val="sdtLocked"/>
                      <w:richText/>
                    </w:sdtPr>
                    <w:sdtContent>
                      <w:r>
                        <w:rPr>
                          <w:color w:val="000000"/>
                          <w:szCs w:val="24"/>
                          <w:lang w:eastAsia="x-none"/>
                        </w:rPr>
                        <w:t>16</w:t>
                      </w:r>
                    </w:sdtContent>
                  </w:sdt>
                  <w:r>
                    <w:rPr>
                      <w:color w:val="000000"/>
                      <w:szCs w:val="24"/>
                      <w:lang w:eastAsia="x-none"/>
                    </w:rPr>
                    <w:t xml:space="preserve">. </w:t>
                  </w:r>
                  <w:r>
                    <w:rPr>
                      <w:szCs w:val="24"/>
                      <w:lang w:eastAsia="x-none"/>
                    </w:rPr>
                    <w:t xml:space="preserve">Gydytojai, tikrinantys vidaus vandenų transporto specialistų bei </w:t>
                  </w:r>
                  <w:r>
                    <w:rPr>
                      <w:color w:val="000000"/>
                      <w:szCs w:val="24"/>
                      <w:lang w:val="en-AU" w:eastAsia="x-none"/>
                    </w:rPr>
                    <w:t>m</w:t>
                  </w:r>
                  <w:r>
                    <w:rPr>
                      <w:szCs w:val="24"/>
                      <w:lang w:val="en-AU" w:eastAsia="x-none"/>
                    </w:rPr>
                    <w:t>otorinių pramoginių laivų ir kitų motorinių plaukiojimo priemonių</w:t>
                  </w:r>
                  <w:r>
                    <w:rPr>
                      <w:szCs w:val="24"/>
                      <w:lang w:eastAsia="x-none"/>
                    </w:rPr>
                    <w:t xml:space="preserve"> laivavedžių sveikatą, paskiria tyrimus ir nustato jų dažnumą, vadovaudamiesi savo profesinės kvalifikacijos gydytojo Lietuvos medicinos norma, šiuo Aprašu, </w:t>
                  </w:r>
                  <w:r>
                    <w:rPr>
                      <w:lang w:eastAsia="x-none"/>
                    </w:rPr>
                    <w:t xml:space="preserve">Neinfekcinių ligų profilaktikos ir kontrolės tvarka (6 priedas) </w:t>
                  </w:r>
                  <w:r>
                    <w:rPr>
                      <w:szCs w:val="24"/>
                      <w:lang w:eastAsia="x-none"/>
                    </w:rPr>
                    <w:t>bei kitais teisės aktais, ir atsako už sveikatos tikrinimo kokybę.</w:t>
                  </w:r>
                </w:p>
              </w:sdtContent>
            </w:sdt>
            <w:sdt>
              <w:sdtPr>
                <w:alias w:val="11 pr. 17 p."/>
                <w:tag w:val="part_3f763ab8e46f482f86af33906e5a487c"/>
                <w:lock w:val="sdtLocked"/>
                <w:richText/>
              </w:sdtPr>
              <w:sdtContent>
                <w:p>
                  <w:pPr>
                    <w:widowControl w:val="0"/>
                    <w:ind w:firstLine="709"/>
                    <w:jc w:val="both"/>
                    <w:rPr>
                      <w:szCs w:val="24"/>
                      <w:lang w:eastAsia="x-none"/>
                    </w:rPr>
                  </w:pPr>
                  <w:sdt>
                    <w:sdtPr>
                      <w:alias w:val="Numeris"/>
                      <w:tag w:val="nr_3f763ab8e46f482f86af33906e5a487c"/>
                      <w:lock w:val="sdtLocked"/>
                      <w:richText/>
                    </w:sdtPr>
                    <w:sdtContent>
                      <w:r>
                        <w:rPr>
                          <w:szCs w:val="24"/>
                          <w:lang w:eastAsia="x-none"/>
                        </w:rPr>
                        <w:t>17</w:t>
                      </w:r>
                    </w:sdtContent>
                  </w:sdt>
                  <w:r>
                    <w:rPr>
                      <w:szCs w:val="24"/>
                      <w:lang w:eastAsia="x-none"/>
                    </w:rPr>
                    <w:t xml:space="preserve">. </w:t>
                  </w:r>
                  <w:r>
                    <w:rPr>
                      <w:color w:val="000000"/>
                      <w:szCs w:val="24"/>
                      <w:lang w:eastAsia="x-none"/>
                    </w:rPr>
                    <w:t xml:space="preserve">Visais atvejais paciento regėjimo aštrumą, spalvų jutimą tikrina gydytojas oftalmologas, o klausą – gydytojas </w:t>
                  </w:r>
                  <w:r>
                    <w:rPr>
                      <w:rFonts w:eastAsia="Calibri"/>
                      <w:color w:val="000000"/>
                      <w:szCs w:val="24"/>
                      <w:lang w:eastAsia="x-none"/>
                    </w:rPr>
                    <w:t xml:space="preserve">otorinolaringologas. Jie nustato </w:t>
                  </w:r>
                  <w:r>
                    <w:rPr>
                      <w:szCs w:val="24"/>
                      <w:lang w:val="en-AU" w:eastAsia="x-none"/>
                    </w:rPr>
                    <w:t xml:space="preserve">paciento sveikatos būklės profesinį tinkamumą ir išvadose nurodo, ar asmuo gali dirbti vidaus vandenų transporto specialistu, motorinių pramoginių laivų ir kitų motorinių plaukiojimo priemonių laivavedžiu, pažymi konkrečią profesinę grupę ir apribojimus, jei tokių yra. Išvadą įrašo į formą Nr. 025/a ir, jei reikia, į </w:t>
                  </w:r>
                  <w:r>
                    <w:rPr>
                      <w:szCs w:val="24"/>
                      <w:lang w:eastAsia="x-none"/>
                    </w:rPr>
                    <w:t>formą Nr. 027/a.</w:t>
                  </w:r>
                </w:p>
              </w:sdtContent>
            </w:sdt>
            <w:sdt>
              <w:sdtPr>
                <w:alias w:val="11 pr. 18 p."/>
                <w:tag w:val="part_3ecbc56127ff41c2b0575d71f7c4e170"/>
                <w:lock w:val="sdtLocked"/>
                <w:richText/>
              </w:sdtPr>
              <w:sdtContent>
                <w:p>
                  <w:pPr>
                    <w:ind w:firstLine="709"/>
                    <w:jc w:val="both"/>
                    <w:rPr>
                      <w:szCs w:val="24"/>
                      <w:lang w:val="en-AU" w:eastAsia="x-none"/>
                    </w:rPr>
                  </w:pPr>
                  <w:sdt>
                    <w:sdtPr>
                      <w:alias w:val="Numeris"/>
                      <w:tag w:val="nr_3ecbc56127ff41c2b0575d71f7c4e170"/>
                      <w:lock w:val="sdtLocked"/>
                      <w:richText/>
                    </w:sdtPr>
                    <w:sdtContent>
                      <w:r>
                        <w:rPr>
                          <w:szCs w:val="24"/>
                          <w:lang w:val="en-AU" w:eastAsia="x-none"/>
                        </w:rPr>
                        <w:t>18</w:t>
                      </w:r>
                    </w:sdtContent>
                  </w:sdt>
                  <w:r>
                    <w:rPr>
                      <w:szCs w:val="24"/>
                      <w:lang w:val="en-AU" w:eastAsia="x-none"/>
                    </w:rPr>
                    <w:t>. Sveikatos tikrinimo ir tyrimų duomenys įrašomi formoje Nr. 025/a. Gydytojai nustato 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w:t>
                  </w:r>
                </w:p>
              </w:sdtContent>
            </w:sdt>
            <w:sdt>
              <w:sdtPr>
                <w:alias w:val="11 pr. 19 p."/>
                <w:tag w:val="part_7493f58d73a345fc8d91e79de34b6d40"/>
                <w:lock w:val="sdtLocked"/>
                <w:richText/>
              </w:sdtPr>
              <w:sdtContent>
                <w:p>
                  <w:pPr>
                    <w:ind w:firstLine="709"/>
                    <w:jc w:val="both"/>
                    <w:rPr>
                      <w:color w:val="000000"/>
                      <w:szCs w:val="24"/>
                    </w:rPr>
                  </w:pPr>
                  <w:sdt>
                    <w:sdtPr>
                      <w:alias w:val="Numeris"/>
                      <w:tag w:val="nr_7493f58d73a345fc8d91e79de34b6d40"/>
                      <w:lock w:val="sdtLocked"/>
                      <w:richText/>
                    </w:sdtPr>
                    <w:sdtContent>
                      <w:r>
                        <w:rPr>
                          <w:color w:val="000000"/>
                          <w:szCs w:val="24"/>
                        </w:rPr>
                        <w:t>19</w:t>
                      </w:r>
                    </w:sdtContent>
                  </w:sdt>
                  <w:r>
                    <w:rPr>
                      <w:color w:val="000000"/>
                      <w:szCs w:val="24"/>
                    </w:rPr>
                    <w:t xml:space="preserve">. </w:t>
                  </w:r>
                  <w:r>
                    <w:rPr>
                      <w:szCs w:val="24"/>
                    </w:rPr>
                    <w:t>Aprašo 15 punkte nurodytas sveikatą tikrinantis gydytojas į formą Nr. 025/a įrašo apibendrintą i</w:t>
                  </w:r>
                  <w:r>
                    <w:rPr>
                      <w:color w:val="000000"/>
                      <w:szCs w:val="24"/>
                    </w:rPr>
                    <w:t>švadą</w:t>
                  </w:r>
                  <w:r>
                    <w:rPr>
                      <w:szCs w:val="24"/>
                    </w:rPr>
                    <w:t xml:space="preserve">, pasirašo, patvirtina savo gydytojo spaudu ir siunčia atitinkamai ASPĮ vadovo įsakymu </w:t>
                  </w:r>
                  <w:r>
                    <w:rPr>
                      <w:color w:val="000000"/>
                      <w:szCs w:val="24"/>
                    </w:rPr>
                    <w:t xml:space="preserve">paskirtam gydytojui ar į ASPĮ gydytojų konsultacinę komisiją (toliau – GKK) dėl galutinės išvados. </w:t>
                  </w:r>
                </w:p>
              </w:sdtContent>
            </w:sdt>
            <w:sdt>
              <w:sdtPr>
                <w:alias w:val="11 pr. 20 p."/>
                <w:tag w:val="part_aab3a3a23dbf427a93a64e1cb01d3b86"/>
                <w:lock w:val="sdtLocked"/>
                <w:richText/>
              </w:sdtPr>
              <w:sdtContent>
                <w:p>
                  <w:pPr>
                    <w:ind w:firstLine="720"/>
                    <w:jc w:val="both"/>
                    <w:rPr>
                      <w:color w:val="000000"/>
                      <w:szCs w:val="24"/>
                    </w:rPr>
                  </w:pPr>
                  <w:sdt>
                    <w:sdtPr>
                      <w:alias w:val="Numeris"/>
                      <w:tag w:val="nr_aab3a3a23dbf427a93a64e1cb01d3b86"/>
                      <w:lock w:val="sdtLocked"/>
                      <w:richText/>
                    </w:sdtPr>
                    <w:sdtContent>
                      <w:r>
                        <w:rPr>
                          <w:color w:val="000000"/>
                          <w:szCs w:val="24"/>
                        </w:rPr>
                        <w:t>20</w:t>
                      </w:r>
                    </w:sdtContent>
                  </w:sdt>
                  <w:r>
                    <w:rPr>
                      <w:color w:val="000000"/>
                      <w:szCs w:val="24"/>
                    </w:rPr>
                    <w:t xml:space="preserve">. Galutinė išvada formuluojama taip: „Tinka (be apribojimų)“, „Tinka, taikant tam tikrus apribojimus (pažymėti / įrašyti tai, kas tinka)“, „Netinka“, ir įrašoma į atitinkamą sveikatos pažymėjimą (jūrininkui – į įsakymu Nr. 515 patvirtintos formos Nr. 048-1/a jūrininko sveikatos pažymėjimą (toliau – forma Nr. 048-1/a), o vidaus vandenų transporto specialistui bei motorinių pramoginių laivų ir kitų motorinių plaukiojimo priemonių laivavedžių – į įsakymu Nr. 515 patvirtintos formos Nr. 048-2/a vidaus vandenų transporto specialisto bei motorinių pramoginių laivų ir kitų motorinių plaukiojimo priemonių laivavedžio sveikatos pažymėjimą (toliau – forma Nr. 048-2/a). </w:t>
                  </w:r>
                </w:p>
              </w:sdtContent>
            </w:sdt>
            <w:sdt>
              <w:sdtPr>
                <w:alias w:val="11 pr. 21 p."/>
                <w:tag w:val="part_30adbb396b5d4a25b392821bad73fe90"/>
                <w:lock w:val="sdtLocked"/>
                <w:richText/>
              </w:sdtPr>
              <w:sdtContent>
                <w:p>
                  <w:pPr>
                    <w:tabs>
                      <w:tab w:val="left" w:pos="851"/>
                    </w:tabs>
                    <w:ind w:firstLine="709"/>
                    <w:jc w:val="both"/>
                    <w:rPr>
                      <w:szCs w:val="24"/>
                    </w:rPr>
                  </w:pPr>
                  <w:sdt>
                    <w:sdtPr>
                      <w:alias w:val="Numeris"/>
                      <w:tag w:val="nr_30adbb396b5d4a25b392821bad73fe90"/>
                      <w:lock w:val="sdtLocked"/>
                      <w:richText/>
                    </w:sdtPr>
                    <w:sdtContent>
                      <w:r>
                        <w:rPr>
                          <w:color w:val="000000"/>
                          <w:szCs w:val="24"/>
                        </w:rPr>
                        <w:t>21</w:t>
                      </w:r>
                    </w:sdtContent>
                  </w:sdt>
                  <w:r>
                    <w:rPr>
                      <w:color w:val="000000"/>
                      <w:szCs w:val="24"/>
                    </w:rPr>
                    <w:t>. Minimalūs sveikatos tinkamumo reikalavimai, taikomi jūrininkams ir vidaus vandenų</w:t>
                  </w:r>
                  <w:r>
                    <w:rPr>
                      <w:szCs w:val="24"/>
                    </w:rPr>
                    <w:t xml:space="preserve"> transporto specialistams bei </w:t>
                  </w:r>
                  <w:r>
                    <w:rPr>
                      <w:color w:val="000000"/>
                      <w:szCs w:val="24"/>
                    </w:rPr>
                    <w:t>m</w:t>
                  </w:r>
                  <w:r>
                    <w:rPr>
                      <w:szCs w:val="24"/>
                    </w:rPr>
                    <w:t>otorinių pramoginių laivų ir kitų motorinių plaukiojimo priemonių laivavedžiams, ir tikrinimo mastai nurodyti Aprašo 1 priede.</w:t>
                  </w:r>
                </w:p>
              </w:sdtContent>
            </w:sdt>
            <w:sdt>
              <w:sdtPr>
                <w:alias w:val="11 pr. 22 p."/>
                <w:tag w:val="part_4d1d00e44d2043c1a9f65ce73b4c2b64"/>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2018-09-05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834b0b03d11e88f64a5ecc703f89b">
                    <w:r w:rsidRPr="00532B9F">
                      <w:rPr>
                        <w:rFonts w:ascii="Times New Roman" w:eastAsia="MS Mincho" w:hAnsi="Times New Roman"/>
                        <w:sz w:val="20"/>
                        <w:i/>
                        <w:iCs/>
                        <w:color w:val="0000FF" w:themeColor="hyperlink"/>
                        <w:u w:val="single"/>
                      </w:rPr>
                      <w:t>V-976</w:t>
                    </w:r>
                  </w:fldSimple>
                  <w:r>
                    <w:rPr>
                      <w:rFonts w:ascii="Times New Roman" w:eastAsia="MS Mincho" w:hAnsi="Times New Roman"/>
                      <w:sz w:val="20"/>
                      <w:i/>
                      <w:iCs/>
                    </w:rPr>
                    <w:t>,
2018-09-04,
paskelbta TAR 2018-09-04, i. k. 2018-13962        </w:t>
                  </w:r>
                </w:p>
                <w:p/>
              </w:sdtContent>
            </w:sdt>
          </w:sdtContent>
        </w:sdt>
        <w:sdt>
          <w:sdtPr>
            <w:alias w:val="skyrius"/>
            <w:tag w:val="part_d99e4a60a2894dc9ab0c2cedbc77672c"/>
            <w:lock w:val="sdtLocked"/>
            <w:richText/>
          </w:sdtPr>
          <w:sdtContent>
            <w:p>
              <w:pPr>
                <w:ind w:left="568"/>
                <w:jc w:val="center"/>
                <w:rPr>
                  <w:b/>
                  <w:szCs w:val="24"/>
                </w:rPr>
              </w:pPr>
              <w:sdt>
                <w:sdtPr>
                  <w:alias w:val="Numeris"/>
                  <w:tag w:val="nr_d99e4a60a2894dc9ab0c2cedbc77672c"/>
                  <w:lock w:val="sdtLocked"/>
                  <w:richText/>
                </w:sdtPr>
                <w:sdtContent>
                  <w:r>
                    <w:rPr>
                      <w:b/>
                      <w:szCs w:val="24"/>
                    </w:rPr>
                    <w:t>III</w:t>
                  </w:r>
                </w:sdtContent>
              </w:sdt>
              <w:r>
                <w:rPr>
                  <w:b/>
                  <w:szCs w:val="24"/>
                </w:rPr>
                <w:t xml:space="preserve">. </w:t>
              </w:r>
              <w:sdt>
                <w:sdtPr>
                  <w:alias w:val="Pavadinimas"/>
                  <w:tag w:val="title_d99e4a60a2894dc9ab0c2cedbc77672c"/>
                  <w:lock w:val="sdtLocked"/>
                  <w:richText/>
                </w:sdtPr>
                <w:sdtContent>
                  <w:r>
                    <w:rPr>
                      <w:b/>
                      <w:color w:val="000000"/>
                      <w:szCs w:val="24"/>
                    </w:rPr>
                    <w:t xml:space="preserve">JŪRININKŲ IR VIDAUS VANDENŲ TRANSPORTO SPECIALISTŲ BEI MOTORINIŲ PRAMOGINIŲ LAIVŲ IR KITŲ MOTORINIŲ PLAUKIOJIMO PRIEMONIŲ LAIVAVEDŽIŲ SVEIKATOS TIKRINIMŲ </w:t>
                  </w:r>
                  <w:r>
                    <w:rPr>
                      <w:b/>
                      <w:szCs w:val="24"/>
                    </w:rPr>
                    <w:t>PERIODIŠKUMAS</w:t>
                  </w:r>
                </w:sdtContent>
              </w:sdt>
            </w:p>
            <w:p>
              <w:pPr>
                <w:jc w:val="both"/>
                <w:rPr>
                  <w:b/>
                  <w:szCs w:val="24"/>
                </w:rPr>
              </w:pPr>
            </w:p>
            <w:sdt>
              <w:sdtPr>
                <w:alias w:val="11 pr. 23 p."/>
                <w:tag w:val="part_62c46a946159434683041306ed1c5aa3"/>
                <w:lock w:val="sdtLocked"/>
                <w:richText/>
              </w:sdtPr>
              <w:sdtContent>
                <w:p>
                  <w:pPr>
                    <w:ind w:firstLine="709"/>
                    <w:jc w:val="both"/>
                    <w:rPr>
                      <w:color w:val="000000"/>
                      <w:szCs w:val="24"/>
                    </w:rPr>
                  </w:pPr>
                  <w:sdt>
                    <w:sdtPr>
                      <w:alias w:val="Numeris"/>
                      <w:tag w:val="nr_62c46a946159434683041306ed1c5aa3"/>
                      <w:lock w:val="sdtLocked"/>
                      <w:richText/>
                    </w:sdtPr>
                    <w:sdtContent>
                      <w:r>
                        <w:rPr>
                          <w:szCs w:val="24"/>
                        </w:rPr>
                        <w:t>23</w:t>
                      </w:r>
                    </w:sdtContent>
                  </w:sdt>
                  <w:r>
                    <w:rPr>
                      <w:szCs w:val="24"/>
                    </w:rPr>
                    <w:t xml:space="preserve">. Profesinių grupių, nurodytų </w:t>
                  </w:r>
                  <w:r>
                    <w:rPr>
                      <w:color w:val="000000"/>
                      <w:szCs w:val="24"/>
                    </w:rPr>
                    <w:t>Aprašo 6 punkte, j</w:t>
                  </w:r>
                  <w:r>
                    <w:rPr>
                      <w:szCs w:val="24"/>
                    </w:rPr>
                    <w:t xml:space="preserve">ūrininkai ir vidaus vandenų transporto specialistai bei </w:t>
                  </w:r>
                  <w:r>
                    <w:rPr>
                      <w:color w:val="000000"/>
                      <w:szCs w:val="24"/>
                    </w:rPr>
                    <w:t>m</w:t>
                  </w:r>
                  <w:r>
                    <w:rPr>
                      <w:szCs w:val="24"/>
                    </w:rPr>
                    <w:t xml:space="preserve">otorinių pramoginių laivų ir kitų motorinių plaukiojimo priemonių </w:t>
                  </w:r>
                  <w:r>
                    <w:rPr>
                      <w:color w:val="000000"/>
                      <w:szCs w:val="24"/>
                    </w:rPr>
                    <w:t>laivavedžiai (toliau – darbuotojai) sveikatą privalo tikrintis:</w:t>
                  </w:r>
                </w:p>
                <w:sdt>
                  <w:sdtPr>
                    <w:alias w:val="11 pr. 23.1 pp."/>
                    <w:tag w:val="part_e9baee25ee2f4f628c37885f07ad429d"/>
                    <w:lock w:val="sdtLocked"/>
                    <w:richText/>
                  </w:sdtPr>
                  <w:sdtContent>
                    <w:p>
                      <w:pPr>
                        <w:tabs>
                          <w:tab w:val="left" w:pos="709"/>
                          <w:tab w:val="left" w:pos="851"/>
                          <w:tab w:val="left" w:pos="1134"/>
                        </w:tabs>
                        <w:ind w:firstLine="709"/>
                        <w:jc w:val="both"/>
                        <w:rPr>
                          <w:color w:val="000000"/>
                          <w:szCs w:val="24"/>
                        </w:rPr>
                      </w:pPr>
                      <w:sdt>
                        <w:sdtPr>
                          <w:alias w:val="Numeris"/>
                          <w:tag w:val="nr_e9baee25ee2f4f628c37885f07ad429d"/>
                          <w:lock w:val="sdtLocked"/>
                          <w:richText/>
                        </w:sdtPr>
                        <w:sdtContent>
                          <w:r>
                            <w:rPr>
                              <w:color w:val="000000"/>
                              <w:szCs w:val="24"/>
                            </w:rPr>
                            <w:t>23.1</w:t>
                          </w:r>
                        </w:sdtContent>
                      </w:sdt>
                      <w:r>
                        <w:rPr>
                          <w:color w:val="000000"/>
                          <w:szCs w:val="24"/>
                        </w:rPr>
                        <w:t>. I–III profesinės grupės darbuotojai iki 18 ir nuo 46 metų – 1 kartą per 1 metus;</w:t>
                      </w:r>
                    </w:p>
                  </w:sdtContent>
                </w:sdt>
                <w:sdt>
                  <w:sdtPr>
                    <w:alias w:val="11 pr. 23.2 pp."/>
                    <w:tag w:val="part_f96f4e6622564d5ea8eae7ca6266bf71"/>
                    <w:lock w:val="sdtLocked"/>
                    <w:richText/>
                  </w:sdtPr>
                  <w:sdtContent>
                    <w:p>
                      <w:pPr>
                        <w:tabs>
                          <w:tab w:val="left" w:pos="709"/>
                          <w:tab w:val="left" w:pos="851"/>
                          <w:tab w:val="left" w:pos="1134"/>
                        </w:tabs>
                        <w:ind w:firstLine="709"/>
                        <w:jc w:val="both"/>
                        <w:rPr>
                          <w:szCs w:val="24"/>
                        </w:rPr>
                      </w:pPr>
                      <w:sdt>
                        <w:sdtPr>
                          <w:alias w:val="Numeris"/>
                          <w:tag w:val="nr_f96f4e6622564d5ea8eae7ca6266bf71"/>
                          <w:lock w:val="sdtLocked"/>
                          <w:richText/>
                        </w:sdtPr>
                        <w:sdtContent>
                          <w:r>
                            <w:rPr>
                              <w:szCs w:val="24"/>
                            </w:rPr>
                            <w:t>23.2</w:t>
                          </w:r>
                        </w:sdtContent>
                      </w:sdt>
                      <w:r>
                        <w:rPr>
                          <w:szCs w:val="24"/>
                        </w:rPr>
                        <w:t xml:space="preserve">. I–III profesinės grupės </w:t>
                      </w:r>
                      <w:r>
                        <w:rPr>
                          <w:color w:val="000000"/>
                          <w:szCs w:val="24"/>
                        </w:rPr>
                        <w:t>darbuotojai</w:t>
                      </w:r>
                      <w:r>
                        <w:rPr>
                          <w:szCs w:val="24"/>
                        </w:rPr>
                        <w:t xml:space="preserve"> nuo 18 iki 45 metų – 1 kartą per 2 metus;</w:t>
                      </w:r>
                    </w:p>
                  </w:sdtContent>
                </w:sdt>
                <w:sdt>
                  <w:sdtPr>
                    <w:alias w:val="11 pr. 23.3 pp."/>
                    <w:tag w:val="part_d858041a18c74c019a482fc81f4ba896"/>
                    <w:lock w:val="sdtLocked"/>
                    <w:richText/>
                  </w:sdtPr>
                  <w:sdtContent>
                    <w:p>
                      <w:pPr>
                        <w:tabs>
                          <w:tab w:val="left" w:pos="709"/>
                          <w:tab w:val="left" w:pos="851"/>
                          <w:tab w:val="left" w:pos="1134"/>
                        </w:tabs>
                        <w:ind w:firstLine="709"/>
                        <w:jc w:val="both"/>
                        <w:rPr>
                          <w:szCs w:val="24"/>
                        </w:rPr>
                      </w:pPr>
                      <w:sdt>
                        <w:sdtPr>
                          <w:alias w:val="Numeris"/>
                          <w:tag w:val="nr_d858041a18c74c019a482fc81f4ba896"/>
                          <w:lock w:val="sdtLocked"/>
                          <w:richText/>
                        </w:sdtPr>
                        <w:sdtContent>
                          <w:r>
                            <w:rPr>
                              <w:szCs w:val="24"/>
                            </w:rPr>
                            <w:t>23.3</w:t>
                          </w:r>
                        </w:sdtContent>
                      </w:sdt>
                      <w:r>
                        <w:rPr>
                          <w:szCs w:val="24"/>
                        </w:rPr>
                        <w:t xml:space="preserve">. IV profesinės grupės </w:t>
                      </w:r>
                      <w:r>
                        <w:rPr>
                          <w:color w:val="000000"/>
                          <w:szCs w:val="24"/>
                        </w:rPr>
                        <w:t>darbuotojai</w:t>
                      </w:r>
                      <w:r>
                        <w:rPr>
                          <w:szCs w:val="24"/>
                        </w:rPr>
                        <w:t xml:space="preserve"> iki 55 metų – 1 kartą per 10 metų;</w:t>
                      </w:r>
                    </w:p>
                  </w:sdtContent>
                </w:sdt>
                <w:sdt>
                  <w:sdtPr>
                    <w:alias w:val="11 pr. 23.4 pp."/>
                    <w:tag w:val="part_205e1cff86c44a2ebfcfe8aa44acfbb7"/>
                    <w:lock w:val="sdtLocked"/>
                    <w:richText/>
                  </w:sdtPr>
                  <w:sdtContent>
                    <w:p>
                      <w:pPr>
                        <w:tabs>
                          <w:tab w:val="left" w:pos="709"/>
                          <w:tab w:val="left" w:pos="851"/>
                          <w:tab w:val="left" w:pos="1134"/>
                        </w:tabs>
                        <w:ind w:firstLine="709"/>
                        <w:jc w:val="both"/>
                        <w:rPr>
                          <w:szCs w:val="24"/>
                        </w:rPr>
                      </w:pPr>
                      <w:sdt>
                        <w:sdtPr>
                          <w:alias w:val="Numeris"/>
                          <w:tag w:val="nr_205e1cff86c44a2ebfcfe8aa44acfbb7"/>
                          <w:lock w:val="sdtLocked"/>
                          <w:richText/>
                        </w:sdtPr>
                        <w:sdtContent>
                          <w:r>
                            <w:rPr>
                              <w:szCs w:val="24"/>
                            </w:rPr>
                            <w:t>23.4</w:t>
                          </w:r>
                        </w:sdtContent>
                      </w:sdt>
                      <w:r>
                        <w:rPr>
                          <w:szCs w:val="24"/>
                        </w:rPr>
                        <w:t xml:space="preserve">. IV profesinės grupės </w:t>
                      </w:r>
                      <w:r>
                        <w:rPr>
                          <w:color w:val="000000"/>
                          <w:szCs w:val="24"/>
                        </w:rPr>
                        <w:t>darbuotojai</w:t>
                      </w:r>
                      <w:r>
                        <w:rPr>
                          <w:szCs w:val="24"/>
                        </w:rPr>
                        <w:t xml:space="preserve"> nuo 56 iki 69 metų – 1 kartą per 5 metus;</w:t>
                      </w:r>
                    </w:p>
                  </w:sdtContent>
                </w:sdt>
                <w:sdt>
                  <w:sdtPr>
                    <w:alias w:val="11 pr. 23.5 pp."/>
                    <w:tag w:val="part_e49019a24a6448fe855cb230b6bafe6e"/>
                    <w:lock w:val="sdtLocked"/>
                    <w:richText/>
                  </w:sdtPr>
                  <w:sdtContent>
                    <w:p>
                      <w:pPr>
                        <w:tabs>
                          <w:tab w:val="left" w:pos="709"/>
                          <w:tab w:val="left" w:pos="851"/>
                          <w:tab w:val="left" w:pos="1134"/>
                        </w:tabs>
                        <w:ind w:firstLine="709"/>
                        <w:jc w:val="both"/>
                        <w:rPr>
                          <w:szCs w:val="24"/>
                        </w:rPr>
                      </w:pPr>
                      <w:sdt>
                        <w:sdtPr>
                          <w:alias w:val="Numeris"/>
                          <w:tag w:val="nr_e49019a24a6448fe855cb230b6bafe6e"/>
                          <w:lock w:val="sdtLocked"/>
                          <w:richText/>
                        </w:sdtPr>
                        <w:sdtContent>
                          <w:r>
                            <w:rPr>
                              <w:szCs w:val="24"/>
                            </w:rPr>
                            <w:t>23.5</w:t>
                          </w:r>
                        </w:sdtContent>
                      </w:sdt>
                      <w:r>
                        <w:rPr>
                          <w:szCs w:val="24"/>
                        </w:rPr>
                        <w:t xml:space="preserve">. IV profesinės grupės </w:t>
                      </w:r>
                      <w:r>
                        <w:rPr>
                          <w:color w:val="000000"/>
                          <w:szCs w:val="24"/>
                        </w:rPr>
                        <w:t>darbuotojai</w:t>
                      </w:r>
                      <w:r>
                        <w:rPr>
                          <w:szCs w:val="24"/>
                        </w:rPr>
                        <w:t xml:space="preserve"> nuo 70 iki 79 metų – 1 kartą per 2 metus;</w:t>
                      </w:r>
                    </w:p>
                  </w:sdtContent>
                </w:sdt>
                <w:sdt>
                  <w:sdtPr>
                    <w:alias w:val="11 pr. 23.6 pp."/>
                    <w:tag w:val="part_f1f777d8a5cc4de297492d15c78e1a37"/>
                    <w:lock w:val="sdtLocked"/>
                    <w:richText/>
                  </w:sdtPr>
                  <w:sdtContent>
                    <w:p>
                      <w:pPr>
                        <w:tabs>
                          <w:tab w:val="left" w:pos="709"/>
                          <w:tab w:val="left" w:pos="851"/>
                          <w:tab w:val="left" w:pos="1134"/>
                        </w:tabs>
                        <w:ind w:firstLine="709"/>
                        <w:jc w:val="both"/>
                        <w:rPr>
                          <w:szCs w:val="24"/>
                        </w:rPr>
                      </w:pPr>
                      <w:sdt>
                        <w:sdtPr>
                          <w:alias w:val="Numeris"/>
                          <w:tag w:val="nr_f1f777d8a5cc4de297492d15c78e1a37"/>
                          <w:lock w:val="sdtLocked"/>
                          <w:richText/>
                        </w:sdtPr>
                        <w:sdtContent>
                          <w:r>
                            <w:rPr>
                              <w:szCs w:val="24"/>
                            </w:rPr>
                            <w:t>23.6</w:t>
                          </w:r>
                        </w:sdtContent>
                      </w:sdt>
                      <w:r>
                        <w:rPr>
                          <w:szCs w:val="24"/>
                        </w:rPr>
                        <w:t xml:space="preserve">. IV profesinės grupės </w:t>
                      </w:r>
                      <w:r>
                        <w:rPr>
                          <w:color w:val="000000"/>
                          <w:szCs w:val="24"/>
                        </w:rPr>
                        <w:t>darbuotojai</w:t>
                      </w:r>
                      <w:r>
                        <w:rPr>
                          <w:szCs w:val="24"/>
                        </w:rPr>
                        <w:t xml:space="preserve"> nuo 80 metų – 1 kartą per 1 metus.</w:t>
                      </w:r>
                    </w:p>
                  </w:sdtContent>
                </w:sdt>
              </w:sdtContent>
            </w:sdt>
            <w:sdt>
              <w:sdtPr>
                <w:alias w:val="11 pr. 24 p."/>
                <w:tag w:val="part_d98f957738484e3695db3cd48725abe4"/>
                <w:lock w:val="sdtLocked"/>
                <w:richText/>
              </w:sdtPr>
              <w:sdtContent>
                <w:p>
                  <w:pPr>
                    <w:tabs>
                      <w:tab w:val="left" w:pos="709"/>
                      <w:tab w:val="left" w:pos="851"/>
                    </w:tabs>
                    <w:ind w:firstLine="709"/>
                    <w:jc w:val="both"/>
                    <w:rPr>
                      <w:szCs w:val="24"/>
                    </w:rPr>
                  </w:pPr>
                  <w:sdt>
                    <w:sdtPr>
                      <w:alias w:val="Numeris"/>
                      <w:tag w:val="nr_d98f957738484e3695db3cd48725abe4"/>
                      <w:lock w:val="sdtLocked"/>
                      <w:richText/>
                    </w:sdtPr>
                    <w:sdtContent>
                      <w:r>
                        <w:rPr>
                          <w:szCs w:val="24"/>
                        </w:rPr>
                        <w:t>24</w:t>
                      </w:r>
                    </w:sdtContent>
                  </w:sdt>
                  <w:r>
                    <w:rPr>
                      <w:szCs w:val="24"/>
                    </w:rPr>
                    <w:t xml:space="preserve">. Komisijos pirmininkas arba GKK komisijos pirmininkas ar ASPĮ vadovo įsakymu paskirtas gydytojas sveikatos tikrinimus gali skirti dažniau, jei to reikia dėl tikrinamo </w:t>
                  </w:r>
                  <w:r>
                    <w:rPr>
                      <w:color w:val="000000"/>
                      <w:szCs w:val="24"/>
                    </w:rPr>
                    <w:t xml:space="preserve">darbuotojo </w:t>
                  </w:r>
                  <w:r>
                    <w:rPr>
                      <w:szCs w:val="24"/>
                    </w:rPr>
                    <w:t>sveikatos būklės.</w:t>
                  </w:r>
                </w:p>
              </w:sdtContent>
            </w:sdt>
            <w:sdt>
              <w:sdtPr>
                <w:alias w:val="11 pr. 25 p."/>
                <w:tag w:val="part_2073163b9cc54c4faefef829f38f7fe7"/>
                <w:lock w:val="sdtLocked"/>
                <w:richText/>
              </w:sdtPr>
              <w:sdtContent>
                <w:p>
                  <w:pPr>
                    <w:widowControl w:val="0"/>
                    <w:tabs>
                      <w:tab w:val="left" w:pos="709"/>
                      <w:tab w:val="left" w:pos="851"/>
                    </w:tabs>
                    <w:ind w:right="-1" w:firstLine="709"/>
                    <w:jc w:val="both"/>
                    <w:rPr>
                      <w:szCs w:val="24"/>
                    </w:rPr>
                  </w:pPr>
                  <w:sdt>
                    <w:sdtPr>
                      <w:alias w:val="Numeris"/>
                      <w:tag w:val="nr_2073163b9cc54c4faefef829f38f7fe7"/>
                      <w:lock w:val="sdtLocked"/>
                      <w:richText/>
                    </w:sdtPr>
                    <w:sdtContent>
                      <w:r>
                        <w:rPr>
                          <w:szCs w:val="24"/>
                        </w:rPr>
                        <w:t>25</w:t>
                      </w:r>
                    </w:sdtContent>
                  </w:sdt>
                  <w:r>
                    <w:rPr>
                      <w:szCs w:val="24"/>
                    </w:rPr>
                    <w:t>. Darbdaviui atstovaujantis ar jo įgaliotas asmuo turi teisę, raštu nurodęs priežastį, siųsti darbuotoją neeilinio sveikatos tikrinimo.</w:t>
                  </w:r>
                </w:p>
              </w:sdtContent>
            </w:sdt>
            <w:sdt>
              <w:sdtPr>
                <w:alias w:val="11 pr. 26 p."/>
                <w:tag w:val="part_b119282eeb384e05ad9c0b0dffdabcbe"/>
                <w:lock w:val="sdtLocked"/>
                <w:richText/>
              </w:sdtPr>
              <w:sdtContent>
                <w:p>
                  <w:pPr>
                    <w:widowControl w:val="0"/>
                    <w:tabs>
                      <w:tab w:val="left" w:pos="0"/>
                    </w:tabs>
                    <w:ind w:right="-1" w:firstLine="709"/>
                    <w:jc w:val="both"/>
                    <w:rPr>
                      <w:szCs w:val="24"/>
                    </w:rPr>
                  </w:pPr>
                  <w:sdt>
                    <w:sdtPr>
                      <w:alias w:val="Numeris"/>
                      <w:tag w:val="nr_b119282eeb384e05ad9c0b0dffdabcbe"/>
                      <w:lock w:val="sdtLocked"/>
                      <w:richText/>
                    </w:sdtPr>
                    <w:sdtContent>
                      <w:r>
                        <w:rPr>
                          <w:szCs w:val="24"/>
                          <w:lang w:val="pt-BR"/>
                        </w:rPr>
                        <w:t>26</w:t>
                      </w:r>
                    </w:sdtContent>
                  </w:sdt>
                  <w:r>
                    <w:rPr>
                      <w:szCs w:val="24"/>
                      <w:lang w:val="pt-BR"/>
                    </w:rPr>
                    <w:t>. Dėl tokio tikrinimo turi teisę kreiptis ir pats asmuo</w:t>
                  </w:r>
                  <w:r>
                    <w:rPr>
                      <w:color w:val="0000FF"/>
                      <w:szCs w:val="24"/>
                      <w:lang w:val="pt-BR"/>
                    </w:rPr>
                    <w:t xml:space="preserve"> </w:t>
                  </w:r>
                  <w:r>
                    <w:rPr>
                      <w:color w:val="000000"/>
                      <w:szCs w:val="24"/>
                      <w:lang w:val="pt-BR"/>
                    </w:rPr>
                    <w:t>–</w:t>
                  </w:r>
                  <w:r>
                    <w:rPr>
                      <w:color w:val="000000"/>
                      <w:szCs w:val="24"/>
                    </w:rPr>
                    <w:t xml:space="preserve"> jei</w:t>
                  </w:r>
                  <w:r>
                    <w:rPr>
                      <w:szCs w:val="24"/>
                    </w:rPr>
                    <w:t xml:space="preserve"> mano, kad dėl jo sveikatos būklės tinkamumo saugiai vykdyti nustatytas funkcijas kyla abejonių, jis tuojau pat praneša apie tai darbdaviui atstovaujančiam ar jo įgaliotam asmeniui.</w:t>
                  </w:r>
                </w:p>
                <w:p>
                  <w:pPr>
                    <w:widowControl w:val="0"/>
                    <w:tabs>
                      <w:tab w:val="left" w:pos="0"/>
                      <w:tab w:val="left" w:pos="1080"/>
                    </w:tabs>
                    <w:ind w:left="709" w:right="-1"/>
                    <w:jc w:val="both"/>
                    <w:rPr>
                      <w:b/>
                      <w:szCs w:val="24"/>
                    </w:rPr>
                  </w:pPr>
                </w:p>
              </w:sdtContent>
            </w:sdt>
          </w:sdtContent>
        </w:sdt>
        <w:sdt>
          <w:sdtPr>
            <w:alias w:val="skyrius"/>
            <w:tag w:val="part_158e39d4febf4b3da5b1c5ab40ae0b0f"/>
            <w:lock w:val="sdtLocked"/>
            <w:richText/>
          </w:sdtPr>
          <w:sdtContent>
            <w:p>
              <w:pPr>
                <w:widowControl w:val="0"/>
                <w:tabs>
                  <w:tab w:val="left" w:pos="0"/>
                  <w:tab w:val="left" w:pos="1080"/>
                </w:tabs>
                <w:ind w:left="709" w:right="-1"/>
                <w:jc w:val="center"/>
                <w:rPr>
                  <w:b/>
                  <w:szCs w:val="24"/>
                </w:rPr>
              </w:pPr>
              <w:sdt>
                <w:sdtPr>
                  <w:alias w:val="Numeris"/>
                  <w:tag w:val="nr_158e39d4febf4b3da5b1c5ab40ae0b0f"/>
                  <w:lock w:val="sdtLocked"/>
                  <w:richText/>
                </w:sdtPr>
                <w:sdtContent>
                  <w:r>
                    <w:rPr>
                      <w:b/>
                      <w:szCs w:val="24"/>
                    </w:rPr>
                    <w:t>IV</w:t>
                  </w:r>
                </w:sdtContent>
              </w:sdt>
              <w:r>
                <w:rPr>
                  <w:b/>
                  <w:szCs w:val="24"/>
                </w:rPr>
                <w:t xml:space="preserve">. </w:t>
              </w:r>
              <w:sdt>
                <w:sdtPr>
                  <w:alias w:val="Pavadinimas"/>
                  <w:tag w:val="title_158e39d4febf4b3da5b1c5ab40ae0b0f"/>
                  <w:lock w:val="sdtLocked"/>
                  <w:richText/>
                </w:sdtPr>
                <w:sdtContent>
                  <w:r>
                    <w:rPr>
                      <w:b/>
                      <w:szCs w:val="24"/>
                    </w:rPr>
                    <w:t>SVEIKATOS PAŽYMĖJIMŲ</w:t>
                  </w:r>
                  <w:r>
                    <w:rPr>
                      <w:b/>
                      <w:color w:val="000000"/>
                      <w:szCs w:val="24"/>
                    </w:rPr>
                    <w:t xml:space="preserve"> IŠDAVIMO </w:t>
                  </w:r>
                  <w:r>
                    <w:rPr>
                      <w:b/>
                      <w:szCs w:val="24"/>
                    </w:rPr>
                    <w:t xml:space="preserve">TVARKA </w:t>
                  </w:r>
                </w:sdtContent>
              </w:sdt>
            </w:p>
            <w:p>
              <w:pPr>
                <w:tabs>
                  <w:tab w:val="left" w:pos="0"/>
                </w:tabs>
                <w:ind w:firstLine="709"/>
                <w:rPr>
                  <w:b/>
                  <w:szCs w:val="24"/>
                </w:rPr>
              </w:pPr>
            </w:p>
            <w:sdt>
              <w:sdtPr>
                <w:alias w:val="11 pr. 27 p."/>
                <w:tag w:val="part_aa92bfa48e4a4148a885f2362ec2061e"/>
                <w:lock w:val="sdtLocked"/>
                <w:richText/>
              </w:sdtPr>
              <w:sdtContent>
                <w:p>
                  <w:pPr>
                    <w:ind w:firstLine="709"/>
                    <w:jc w:val="both"/>
                    <w:rPr>
                      <w:color w:val="000000"/>
                      <w:szCs w:val="24"/>
                    </w:rPr>
                  </w:pPr>
                  <w:sdt>
                    <w:sdtPr>
                      <w:alias w:val="Numeris"/>
                      <w:tag w:val="nr_aa92bfa48e4a4148a885f2362ec2061e"/>
                      <w:lock w:val="sdtLocked"/>
                      <w:richText/>
                    </w:sdtPr>
                    <w:sdtContent>
                      <w:r>
                        <w:rPr>
                          <w:color w:val="000000"/>
                          <w:szCs w:val="24"/>
                        </w:rPr>
                        <w:t>27</w:t>
                      </w:r>
                    </w:sdtContent>
                  </w:sdt>
                  <w:r>
                    <w:rPr>
                      <w:color w:val="000000"/>
                      <w:szCs w:val="24"/>
                    </w:rPr>
                    <w:t>. Galutinę išvadą, įvertinę tyrimų duomenis ir visų konsultavusių gydytojų išvadas, vadovaujantis šiuo Aprašu, į atitinkamos formos (Nr. 048-1/a ar Nr. 048-2/a) sveikatos pažymėjimą įrašo ir pasirašo:</w:t>
                  </w:r>
                </w:p>
                <w:sdt>
                  <w:sdtPr>
                    <w:alias w:val="11 pr. 27.1 pp."/>
                    <w:tag w:val="part_f0c07ef4abd849d0a9ee930959c8eb9e"/>
                    <w:lock w:val="sdtLocked"/>
                    <w:richText/>
                  </w:sdtPr>
                  <w:sdtContent>
                    <w:p>
                      <w:pPr>
                        <w:ind w:firstLine="709"/>
                        <w:jc w:val="both"/>
                        <w:rPr>
                          <w:color w:val="000000"/>
                          <w:szCs w:val="24"/>
                        </w:rPr>
                      </w:pPr>
                      <w:sdt>
                        <w:sdtPr>
                          <w:alias w:val="Numeris"/>
                          <w:tag w:val="nr_f0c07ef4abd849d0a9ee930959c8eb9e"/>
                          <w:lock w:val="sdtLocked"/>
                          <w:richText/>
                        </w:sdtPr>
                        <w:sdtContent>
                          <w:r>
                            <w:rPr>
                              <w:color w:val="000000"/>
                              <w:szCs w:val="24"/>
                            </w:rPr>
                            <w:t>27.1</w:t>
                          </w:r>
                        </w:sdtContent>
                      </w:sdt>
                      <w:r>
                        <w:rPr>
                          <w:color w:val="000000"/>
                          <w:szCs w:val="24"/>
                        </w:rPr>
                        <w:t>. jūrininkams – Jūrininkų ligoninės direktoriaus įsakymu patvirtintas Jūrininkų sveikatos tikrinimo komisijos pirmininkas, vadovaudamasis Komisijos darbo reglamentu, ir patvirtina savo gydytojo spaudu bei Jūrininkų ligoninės Jūros medicinos poskyrio antspaudu;</w:t>
                      </w:r>
                    </w:p>
                  </w:sdtContent>
                </w:sdt>
                <w:sdt>
                  <w:sdtPr>
                    <w:alias w:val="11 pr. 27.2 pp."/>
                    <w:tag w:val="part_079a030b70394a2e94848e1fed0a07c8"/>
                    <w:lock w:val="sdtLocked"/>
                    <w:richText/>
                  </w:sdtPr>
                  <w:sdtContent>
                    <w:p>
                      <w:pPr>
                        <w:ind w:firstLine="709"/>
                        <w:jc w:val="both"/>
                        <w:rPr>
                          <w:color w:val="000000"/>
                          <w:szCs w:val="24"/>
                        </w:rPr>
                      </w:pPr>
                      <w:sdt>
                        <w:sdtPr>
                          <w:alias w:val="Numeris"/>
                          <w:tag w:val="nr_079a030b70394a2e94848e1fed0a07c8"/>
                          <w:lock w:val="sdtLocked"/>
                          <w:richText/>
                        </w:sdtPr>
                        <w:sdtContent>
                          <w:r>
                            <w:rPr>
                              <w:color w:val="000000"/>
                              <w:szCs w:val="24"/>
                            </w:rPr>
                            <w:t>27.2</w:t>
                          </w:r>
                        </w:sdtContent>
                      </w:sdt>
                      <w:r>
                        <w:rPr>
                          <w:color w:val="000000"/>
                          <w:szCs w:val="24"/>
                        </w:rPr>
                        <w:t xml:space="preserve">. vidaus vandenų transporto specialistams bei motorinių pramoginių laivų ir kitų motorinių plaukiojimo priemonių laivavedžiams – ASPĮ vadovo įsakymu patvirtintas gydytojas arba GKK pirmininkas, atitinkamai vadovaudamasis ASPĮ vadovo patvirtintu įsakymu arba Lietuvos nacionalinės sveikatos sistemos sveikatos priežiūros įstaigos GKK nuostatais, patvirtintais Lietuvos Respublikos sveikatos apsaugos ministro 2004 m. kovo 31 d. įsakymu Nr. V-172, ir patvirtina savo gydytojo spaudu bei atitinkamai ASPĮ arba GKK antspaudu. </w:t>
                      </w:r>
                    </w:p>
                  </w:sdtContent>
                </w:sdt>
              </w:sdtContent>
            </w:sdt>
            <w:sdt>
              <w:sdtPr>
                <w:alias w:val="11 pr. 28 p."/>
                <w:tag w:val="part_3c5ece7320e34fd0b6c1e5ea6849cf93"/>
                <w:lock w:val="sdtLocked"/>
                <w:richText/>
              </w:sdtPr>
              <w:sdtContent>
                <w:p>
                  <w:pPr>
                    <w:tabs>
                      <w:tab w:val="left" w:pos="851"/>
                    </w:tabs>
                    <w:ind w:firstLine="709"/>
                    <w:jc w:val="both"/>
                    <w:rPr>
                      <w:szCs w:val="24"/>
                    </w:rPr>
                  </w:pPr>
                  <w:sdt>
                    <w:sdtPr>
                      <w:alias w:val="Numeris"/>
                      <w:tag w:val="nr_3c5ece7320e34fd0b6c1e5ea6849cf93"/>
                      <w:lock w:val="sdtLocked"/>
                      <w:richText/>
                    </w:sdtPr>
                    <w:sdtContent>
                      <w:r>
                        <w:rPr>
                          <w:color w:val="000000"/>
                          <w:szCs w:val="24"/>
                        </w:rPr>
                        <w:t>28</w:t>
                      </w:r>
                    </w:sdtContent>
                  </w:sdt>
                  <w:r>
                    <w:rPr>
                      <w:color w:val="000000"/>
                      <w:szCs w:val="24"/>
                    </w:rPr>
                    <w:t>. Sudėtingais ir ginčytinais (kai dėl išvados reikia spręsti individualiai</w:t>
                  </w:r>
                  <w:r>
                    <w:rPr>
                      <w:szCs w:val="24"/>
                    </w:rPr>
                    <w:t>) atvejais apie tinkamumą dirbti sprendžia:</w:t>
                  </w:r>
                </w:p>
                <w:sdt>
                  <w:sdtPr>
                    <w:alias w:val="11 pr. 28.1 pp."/>
                    <w:tag w:val="part_3b9624ca1dd64a7e82f5d2aac4d6b96d"/>
                    <w:lock w:val="sdtLocked"/>
                    <w:richText/>
                  </w:sdtPr>
                  <w:sdtContent>
                    <w:p>
                      <w:pPr>
                        <w:tabs>
                          <w:tab w:val="left" w:pos="851"/>
                        </w:tabs>
                        <w:ind w:firstLine="709"/>
                        <w:jc w:val="both"/>
                        <w:rPr>
                          <w:szCs w:val="24"/>
                        </w:rPr>
                      </w:pPr>
                      <w:sdt>
                        <w:sdtPr>
                          <w:alias w:val="Numeris"/>
                          <w:tag w:val="nr_3b9624ca1dd64a7e82f5d2aac4d6b96d"/>
                          <w:lock w:val="sdtLocked"/>
                          <w:richText/>
                        </w:sdtPr>
                        <w:sdtContent>
                          <w:r>
                            <w:rPr>
                              <w:szCs w:val="24"/>
                            </w:rPr>
                            <w:t>28.1</w:t>
                          </w:r>
                        </w:sdtContent>
                      </w:sdt>
                      <w:r>
                        <w:rPr>
                          <w:szCs w:val="24"/>
                        </w:rPr>
                        <w:t>. dėl jūrininkų – Jūrininkų ligoninės GKK;</w:t>
                      </w:r>
                    </w:p>
                  </w:sdtContent>
                </w:sdt>
                <w:sdt>
                  <w:sdtPr>
                    <w:alias w:val="11 pr. 28.2 pp."/>
                    <w:tag w:val="part_4b1a43f791094f8a81e3acac11586ddb"/>
                    <w:lock w:val="sdtLocked"/>
                    <w:richText/>
                  </w:sdtPr>
                  <w:sdtContent>
                    <w:p>
                      <w:pPr>
                        <w:tabs>
                          <w:tab w:val="left" w:pos="851"/>
                        </w:tabs>
                        <w:ind w:firstLine="709"/>
                        <w:jc w:val="both"/>
                        <w:rPr>
                          <w:szCs w:val="24"/>
                        </w:rPr>
                      </w:pPr>
                      <w:sdt>
                        <w:sdtPr>
                          <w:alias w:val="Numeris"/>
                          <w:tag w:val="nr_4b1a43f791094f8a81e3acac11586ddb"/>
                          <w:lock w:val="sdtLocked"/>
                          <w:richText/>
                        </w:sdtPr>
                        <w:sdtContent>
                          <w:r>
                            <w:rPr>
                              <w:szCs w:val="24"/>
                            </w:rPr>
                            <w:t>28.2</w:t>
                          </w:r>
                        </w:sdtContent>
                      </w:sdt>
                      <w:r>
                        <w:rPr>
                          <w:szCs w:val="24"/>
                        </w:rPr>
                        <w:t xml:space="preserve">. dėl vidaus vandenų transporto specialistų </w:t>
                      </w:r>
                      <w:r>
                        <w:rPr>
                          <w:color w:val="000000"/>
                          <w:szCs w:val="24"/>
                        </w:rPr>
                        <w:t>bei motorinių pramoginių laivų ir kitų motorinių plaukiojimo priemonių</w:t>
                      </w:r>
                      <w:r>
                        <w:rPr>
                          <w:szCs w:val="24"/>
                        </w:rPr>
                        <w:t xml:space="preserve"> laivavedžių – ASPĮ GKK. </w:t>
                      </w:r>
                    </w:p>
                  </w:sdtContent>
                </w:sdt>
              </w:sdtContent>
            </w:sdt>
            <w:sdt>
              <w:sdtPr>
                <w:alias w:val="11 pr. 29 p."/>
                <w:tag w:val="part_4bd1c57578874f28836b10f2d34ff6ef"/>
                <w:lock w:val="sdtLocked"/>
                <w:richText/>
              </w:sdtPr>
              <w:sdtContent>
                <w:p>
                  <w:pPr>
                    <w:tabs>
                      <w:tab w:val="left" w:pos="851"/>
                    </w:tabs>
                    <w:ind w:firstLine="709"/>
                    <w:jc w:val="both"/>
                    <w:rPr>
                      <w:szCs w:val="24"/>
                    </w:rPr>
                  </w:pPr>
                  <w:sdt>
                    <w:sdtPr>
                      <w:alias w:val="Numeris"/>
                      <w:tag w:val="nr_4bd1c57578874f28836b10f2d34ff6ef"/>
                      <w:lock w:val="sdtLocked"/>
                      <w:richText/>
                    </w:sdtPr>
                    <w:sdtContent>
                      <w:r>
                        <w:rPr>
                          <w:szCs w:val="24"/>
                        </w:rPr>
                        <w:t>29</w:t>
                      </w:r>
                    </w:sdtContent>
                  </w:sdt>
                  <w:r>
                    <w:rPr>
                      <w:szCs w:val="24"/>
                    </w:rPr>
                    <w:t xml:space="preserve">. Sveikatos tikrinimo </w:t>
                  </w:r>
                  <w:r>
                    <w:rPr>
                      <w:color w:val="000000"/>
                      <w:szCs w:val="24"/>
                    </w:rPr>
                    <w:t>išvada registruojama atitinkamai Ambulatorinių ligonių registravimo žurnale (forma Nr. 074/a) (toliau – forma Nr. 074/a) arba Gydytojų konsultacinės komisijos išvadų registravimo žurnale (forma Nr. 035/a (toliau – forma Nr. 035/a).</w:t>
                  </w:r>
                </w:p>
              </w:sdtContent>
            </w:sdt>
            <w:sdt>
              <w:sdtPr>
                <w:alias w:val="11 pr. 30 p."/>
                <w:tag w:val="part_5e0d7fd257ec4134883dbbc2f186babf"/>
                <w:lock w:val="sdtLocked"/>
                <w:richText/>
              </w:sdtPr>
              <w:sdtContent>
                <w:p>
                  <w:pPr>
                    <w:tabs>
                      <w:tab w:val="left" w:pos="851"/>
                    </w:tabs>
                    <w:ind w:firstLine="709"/>
                    <w:jc w:val="both"/>
                    <w:rPr>
                      <w:szCs w:val="24"/>
                    </w:rPr>
                  </w:pPr>
                  <w:sdt>
                    <w:sdtPr>
                      <w:alias w:val="Numeris"/>
                      <w:tag w:val="nr_5e0d7fd257ec4134883dbbc2f186babf"/>
                      <w:lock w:val="sdtLocked"/>
                      <w:richText/>
                    </w:sdtPr>
                    <w:sdtContent>
                      <w:r>
                        <w:rPr>
                          <w:szCs w:val="24"/>
                        </w:rPr>
                        <w:t>30</w:t>
                      </w:r>
                    </w:sdtContent>
                  </w:sdt>
                  <w:r>
                    <w:rPr>
                      <w:szCs w:val="24"/>
                    </w:rPr>
                    <w:t xml:space="preserve">. </w:t>
                  </w:r>
                  <w:r>
                    <w:rPr>
                      <w:color w:val="000000"/>
                      <w:szCs w:val="24"/>
                    </w:rPr>
                    <w:t>Išvada priimama, įrašoma ir išrašomas atitinkamas pažymėjimas, kurio numeris atitinka registracijos numerį, atitinkamame</w:t>
                  </w:r>
                  <w:r>
                    <w:rPr>
                      <w:szCs w:val="24"/>
                    </w:rPr>
                    <w:t xml:space="preserve"> žurnale (formoje Nr. 074/a ar formoje Nr. 035/a). </w:t>
                  </w:r>
                </w:p>
              </w:sdtContent>
            </w:sdt>
            <w:sdt>
              <w:sdtPr>
                <w:alias w:val="11 pr. 31 p."/>
                <w:tag w:val="part_22d3fd5784d046668eaaeb9196f8f9b2"/>
                <w:lock w:val="sdtLocked"/>
                <w:richText/>
              </w:sdtPr>
              <w:sdtContent>
                <w:p>
                  <w:pPr>
                    <w:ind w:firstLine="709"/>
                    <w:jc w:val="both"/>
                    <w:rPr>
                      <w:szCs w:val="24"/>
                    </w:rPr>
                  </w:pPr>
                  <w:sdt>
                    <w:sdtPr>
                      <w:alias w:val="Numeris"/>
                      <w:tag w:val="nr_22d3fd5784d046668eaaeb9196f8f9b2"/>
                      <w:lock w:val="sdtLocked"/>
                      <w:richText/>
                    </w:sdtPr>
                    <w:sdtContent>
                      <w:r>
                        <w:rPr>
                          <w:szCs w:val="24"/>
                        </w:rPr>
                        <w:t>31</w:t>
                      </w:r>
                    </w:sdtContent>
                  </w:sdt>
                  <w:r>
                    <w:rPr>
                      <w:szCs w:val="24"/>
                    </w:rPr>
                    <w:t>. Asmenims, atitinkantiems sveikatos būklės reikalavimus, yra išduodami tai patvirtinantys atitinkamai formos Nr. 048-1/a arba formos Nr. 048-2/a sveikatos pažymėjimai.</w:t>
                  </w:r>
                </w:p>
              </w:sdtContent>
            </w:sdt>
            <w:sdt>
              <w:sdtPr>
                <w:alias w:val="11 pr. 32 p."/>
                <w:tag w:val="part_e695d4d5b641437cbf8d7fe87a607037"/>
                <w:lock w:val="sdtLocked"/>
                <w:richText/>
              </w:sdtPr>
              <w:sdtContent>
                <w:p>
                  <w:pPr>
                    <w:tabs>
                      <w:tab w:val="left" w:pos="0"/>
                    </w:tabs>
                    <w:ind w:firstLine="709"/>
                    <w:jc w:val="both"/>
                    <w:rPr>
                      <w:szCs w:val="24"/>
                    </w:rPr>
                  </w:pPr>
                  <w:sdt>
                    <w:sdtPr>
                      <w:alias w:val="Numeris"/>
                      <w:tag w:val="nr_e695d4d5b641437cbf8d7fe87a607037"/>
                      <w:lock w:val="sdtLocked"/>
                      <w:richText/>
                    </w:sdtPr>
                    <w:sdtContent>
                      <w:r>
                        <w:rPr>
                          <w:szCs w:val="24"/>
                        </w:rPr>
                        <w:t>32</w:t>
                      </w:r>
                    </w:sdtContent>
                  </w:sdt>
                  <w:r>
                    <w:rPr>
                      <w:szCs w:val="24"/>
                    </w:rPr>
                    <w:t>. Atitinkamų grupių, nurodytų</w:t>
                  </w:r>
                  <w:r>
                    <w:rPr>
                      <w:color w:val="000000"/>
                      <w:szCs w:val="24"/>
                    </w:rPr>
                    <w:t xml:space="preserve"> Aprašo 6 punkte, </w:t>
                  </w:r>
                  <w:r>
                    <w:rPr>
                      <w:szCs w:val="24"/>
                    </w:rPr>
                    <w:t xml:space="preserve">jūrininkų ir vidaus vandenų transporto specialistų bei </w:t>
                  </w:r>
                  <w:r>
                    <w:rPr>
                      <w:color w:val="000000"/>
                      <w:szCs w:val="24"/>
                    </w:rPr>
                    <w:t>motorinių pramoginių laivų ir kitų motorinių plaukiojimo priemonių</w:t>
                  </w:r>
                  <w:r>
                    <w:rPr>
                      <w:szCs w:val="24"/>
                    </w:rPr>
                    <w:t xml:space="preserve"> laivavedžių sveikatos pažymėjimo (toliau – sveikatos pažymėjimas) galiojimo terminas nuo sveikatos tikrinimo datos yra ne ilgesnis kaip:</w:t>
                  </w:r>
                </w:p>
                <w:sdt>
                  <w:sdtPr>
                    <w:alias w:val="11 pr. 32.1 pp."/>
                    <w:tag w:val="part_00e43b9c755d4cccb46d618e5e70865c"/>
                    <w:lock w:val="sdtLocked"/>
                    <w:richText/>
                  </w:sdtPr>
                  <w:sdtContent>
                    <w:p>
                      <w:pPr>
                        <w:tabs>
                          <w:tab w:val="left" w:pos="0"/>
                          <w:tab w:val="left" w:pos="1134"/>
                        </w:tabs>
                        <w:ind w:left="709"/>
                        <w:jc w:val="both"/>
                        <w:rPr>
                          <w:szCs w:val="24"/>
                        </w:rPr>
                      </w:pPr>
                      <w:sdt>
                        <w:sdtPr>
                          <w:alias w:val="Numeris"/>
                          <w:tag w:val="nr_00e43b9c755d4cccb46d618e5e70865c"/>
                          <w:lock w:val="sdtLocked"/>
                          <w:richText/>
                        </w:sdtPr>
                        <w:sdtContent>
                          <w:r>
                            <w:rPr>
                              <w:szCs w:val="24"/>
                            </w:rPr>
                            <w:t>32.1</w:t>
                          </w:r>
                        </w:sdtContent>
                      </w:sdt>
                      <w:r>
                        <w:rPr>
                          <w:szCs w:val="24"/>
                        </w:rPr>
                        <w:t>. I–III profesinės grupės darbuotojams iki 18 metų ir nuo 4</w:t>
                      </w:r>
                      <w:r>
                        <w:rPr>
                          <w:szCs w:val="24"/>
                          <w:lang w:val="en-US"/>
                        </w:rPr>
                        <w:t>6</w:t>
                      </w:r>
                      <w:r>
                        <w:rPr>
                          <w:szCs w:val="24"/>
                        </w:rPr>
                        <w:t xml:space="preserve"> metų – 1 metai;</w:t>
                      </w:r>
                    </w:p>
                  </w:sdtContent>
                </w:sdt>
                <w:sdt>
                  <w:sdtPr>
                    <w:alias w:val="11 pr. 32.2 pp."/>
                    <w:tag w:val="part_49cafaefdebe40ca82f906c2a6fea444"/>
                    <w:lock w:val="sdtLocked"/>
                    <w:richText/>
                  </w:sdtPr>
                  <w:sdtContent>
                    <w:p>
                      <w:pPr>
                        <w:tabs>
                          <w:tab w:val="left" w:pos="0"/>
                          <w:tab w:val="left" w:pos="1134"/>
                        </w:tabs>
                        <w:ind w:left="709"/>
                        <w:jc w:val="both"/>
                        <w:rPr>
                          <w:szCs w:val="24"/>
                        </w:rPr>
                      </w:pPr>
                      <w:sdt>
                        <w:sdtPr>
                          <w:alias w:val="Numeris"/>
                          <w:tag w:val="nr_49cafaefdebe40ca82f906c2a6fea444"/>
                          <w:lock w:val="sdtLocked"/>
                          <w:richText/>
                        </w:sdtPr>
                        <w:sdtContent>
                          <w:r>
                            <w:rPr>
                              <w:szCs w:val="24"/>
                            </w:rPr>
                            <w:t>32.2</w:t>
                          </w:r>
                        </w:sdtContent>
                      </w:sdt>
                      <w:r>
                        <w:rPr>
                          <w:szCs w:val="24"/>
                        </w:rPr>
                        <w:t>. I–III profesinės grupės darbuotojams nuo 18 metų iki 45 metų – 2 metai;</w:t>
                      </w:r>
                    </w:p>
                  </w:sdtContent>
                </w:sdt>
                <w:sdt>
                  <w:sdtPr>
                    <w:alias w:val="11 pr. 32.3 pp."/>
                    <w:tag w:val="part_4d6a9134ca1e4b0791d365ea56997d82"/>
                    <w:lock w:val="sdtLocked"/>
                    <w:richText/>
                  </w:sdtPr>
                  <w:sdtContent>
                    <w:p>
                      <w:pPr>
                        <w:tabs>
                          <w:tab w:val="left" w:pos="0"/>
                          <w:tab w:val="left" w:pos="1134"/>
                        </w:tabs>
                        <w:ind w:left="709"/>
                        <w:jc w:val="both"/>
                        <w:rPr>
                          <w:szCs w:val="24"/>
                        </w:rPr>
                      </w:pPr>
                      <w:sdt>
                        <w:sdtPr>
                          <w:alias w:val="Numeris"/>
                          <w:tag w:val="nr_4d6a9134ca1e4b0791d365ea56997d82"/>
                          <w:lock w:val="sdtLocked"/>
                          <w:richText/>
                        </w:sdtPr>
                        <w:sdtContent>
                          <w:r>
                            <w:rPr>
                              <w:szCs w:val="24"/>
                            </w:rPr>
                            <w:t>32.3</w:t>
                          </w:r>
                        </w:sdtContent>
                      </w:sdt>
                      <w:r>
                        <w:rPr>
                          <w:szCs w:val="24"/>
                        </w:rPr>
                        <w:t>. IV profesinės grupės darbuotojams iki 55 metų – 10 metų;</w:t>
                      </w:r>
                    </w:p>
                  </w:sdtContent>
                </w:sdt>
                <w:sdt>
                  <w:sdtPr>
                    <w:alias w:val="11 pr. 32.4 pp."/>
                    <w:tag w:val="part_06f29c2ce4c44b42ae55fbdde5e256e0"/>
                    <w:lock w:val="sdtLocked"/>
                    <w:richText/>
                  </w:sdtPr>
                  <w:sdtContent>
                    <w:p>
                      <w:pPr>
                        <w:tabs>
                          <w:tab w:val="left" w:pos="0"/>
                        </w:tabs>
                        <w:ind w:left="709"/>
                        <w:jc w:val="both"/>
                        <w:rPr>
                          <w:szCs w:val="24"/>
                        </w:rPr>
                      </w:pPr>
                      <w:sdt>
                        <w:sdtPr>
                          <w:alias w:val="Numeris"/>
                          <w:tag w:val="nr_06f29c2ce4c44b42ae55fbdde5e256e0"/>
                          <w:lock w:val="sdtLocked"/>
                          <w:richText/>
                        </w:sdtPr>
                        <w:sdtContent>
                          <w:r>
                            <w:rPr>
                              <w:szCs w:val="24"/>
                            </w:rPr>
                            <w:t>32.4</w:t>
                          </w:r>
                        </w:sdtContent>
                      </w:sdt>
                      <w:r>
                        <w:rPr>
                          <w:szCs w:val="24"/>
                        </w:rPr>
                        <w:t xml:space="preserve">. </w:t>
                      </w:r>
                      <w:r>
                        <w:rPr>
                          <w:szCs w:val="24"/>
                          <w:lang w:val="en-US"/>
                        </w:rPr>
                        <w:t xml:space="preserve">IV </w:t>
                      </w:r>
                      <w:r>
                        <w:rPr>
                          <w:szCs w:val="24"/>
                        </w:rPr>
                        <w:t>profesinės grupės darbuotojams nuo 56 iki 69 metų –</w:t>
                      </w:r>
                      <w:r>
                        <w:rPr>
                          <w:szCs w:val="24"/>
                          <w:lang w:val="en-US"/>
                        </w:rPr>
                        <w:t xml:space="preserve"> 5 metai;</w:t>
                      </w:r>
                    </w:p>
                  </w:sdtContent>
                </w:sdt>
                <w:sdt>
                  <w:sdtPr>
                    <w:alias w:val="11 pr. 32.5 pp."/>
                    <w:tag w:val="part_4374fdb3cf2948c6a7f5e601e5380ac7"/>
                    <w:lock w:val="sdtLocked"/>
                    <w:richText/>
                  </w:sdtPr>
                  <w:sdtContent>
                    <w:p>
                      <w:pPr>
                        <w:tabs>
                          <w:tab w:val="left" w:pos="0"/>
                          <w:tab w:val="left" w:pos="1134"/>
                        </w:tabs>
                        <w:ind w:left="709"/>
                        <w:jc w:val="both"/>
                        <w:rPr>
                          <w:szCs w:val="24"/>
                        </w:rPr>
                      </w:pPr>
                      <w:sdt>
                        <w:sdtPr>
                          <w:alias w:val="Numeris"/>
                          <w:tag w:val="nr_4374fdb3cf2948c6a7f5e601e5380ac7"/>
                          <w:lock w:val="sdtLocked"/>
                          <w:richText/>
                        </w:sdtPr>
                        <w:sdtContent>
                          <w:r>
                            <w:rPr>
                              <w:szCs w:val="24"/>
                            </w:rPr>
                            <w:t>32</w:t>
                          </w:r>
                          <w:r>
                            <w:rPr>
                              <w:szCs w:val="24"/>
                              <w:lang w:val="en-US"/>
                            </w:rPr>
                            <w:t>.5</w:t>
                          </w:r>
                        </w:sdtContent>
                      </w:sdt>
                      <w:r>
                        <w:rPr>
                          <w:szCs w:val="24"/>
                          <w:lang w:val="en-US"/>
                        </w:rPr>
                        <w:t xml:space="preserve">. IV </w:t>
                      </w:r>
                      <w:r>
                        <w:rPr>
                          <w:szCs w:val="24"/>
                        </w:rPr>
                        <w:t>profesinės grupės darbuotojams nuo 70 iki 79 metų –</w:t>
                      </w:r>
                      <w:r>
                        <w:rPr>
                          <w:szCs w:val="24"/>
                          <w:lang w:val="en-US"/>
                        </w:rPr>
                        <w:t xml:space="preserve"> 2 metai;</w:t>
                      </w:r>
                    </w:p>
                  </w:sdtContent>
                </w:sdt>
                <w:sdt>
                  <w:sdtPr>
                    <w:alias w:val="11 pr. 32.6 pp."/>
                    <w:tag w:val="part_168241fa41314e8ca3b86ef82dab9fb4"/>
                    <w:lock w:val="sdtLocked"/>
                    <w:richText/>
                  </w:sdtPr>
                  <w:sdtContent>
                    <w:p>
                      <w:pPr>
                        <w:tabs>
                          <w:tab w:val="left" w:pos="0"/>
                          <w:tab w:val="left" w:pos="1134"/>
                        </w:tabs>
                        <w:ind w:left="709"/>
                        <w:jc w:val="both"/>
                        <w:rPr>
                          <w:szCs w:val="24"/>
                        </w:rPr>
                      </w:pPr>
                      <w:sdt>
                        <w:sdtPr>
                          <w:alias w:val="Numeris"/>
                          <w:tag w:val="nr_168241fa41314e8ca3b86ef82dab9fb4"/>
                          <w:lock w:val="sdtLocked"/>
                          <w:richText/>
                        </w:sdtPr>
                        <w:sdtContent>
                          <w:r>
                            <w:rPr>
                              <w:szCs w:val="24"/>
                            </w:rPr>
                            <w:t>32.6</w:t>
                          </w:r>
                        </w:sdtContent>
                      </w:sdt>
                      <w:r>
                        <w:rPr>
                          <w:szCs w:val="24"/>
                        </w:rPr>
                        <w:t xml:space="preserve">. </w:t>
                      </w:r>
                      <w:r>
                        <w:rPr>
                          <w:szCs w:val="24"/>
                          <w:lang w:val="en-US"/>
                        </w:rPr>
                        <w:t>IV profesin</w:t>
                      </w:r>
                      <w:r>
                        <w:rPr>
                          <w:szCs w:val="24"/>
                        </w:rPr>
                        <w:t>ės grupės darbuotojams nuo 80 metų –</w:t>
                      </w:r>
                      <w:r>
                        <w:rPr>
                          <w:szCs w:val="24"/>
                          <w:lang w:val="en-US"/>
                        </w:rPr>
                        <w:t xml:space="preserve"> 1 metai.</w:t>
                      </w:r>
                    </w:p>
                  </w:sdtContent>
                </w:sdt>
              </w:sdtContent>
            </w:sdt>
            <w:sdt>
              <w:sdtPr>
                <w:alias w:val="11 pr. 33 p."/>
                <w:tag w:val="part_272124d43b674bbba0d1b0ce466e7d9c"/>
                <w:lock w:val="sdtLocked"/>
                <w:richText/>
              </w:sdtPr>
              <w:sdtContent>
                <w:p>
                  <w:pPr>
                    <w:tabs>
                      <w:tab w:val="left" w:pos="0"/>
                    </w:tabs>
                    <w:ind w:firstLine="709"/>
                    <w:jc w:val="both"/>
                    <w:rPr>
                      <w:szCs w:val="24"/>
                      <w:lang w:eastAsia="x-none"/>
                    </w:rPr>
                  </w:pPr>
                  <w:sdt>
                    <w:sdtPr>
                      <w:alias w:val="Numeris"/>
                      <w:tag w:val="nr_272124d43b674bbba0d1b0ce466e7d9c"/>
                      <w:lock w:val="sdtLocked"/>
                      <w:richText/>
                    </w:sdtPr>
                    <w:sdtContent>
                      <w:r>
                        <w:rPr>
                          <w:szCs w:val="24"/>
                          <w:lang w:eastAsia="x-none"/>
                        </w:rPr>
                        <w:t>33</w:t>
                      </w:r>
                    </w:sdtContent>
                  </w:sdt>
                  <w:r>
                    <w:rPr>
                      <w:szCs w:val="24"/>
                      <w:lang w:eastAsia="x-none"/>
                    </w:rPr>
                    <w:t>. Esant 24 punkte numatytoms aplinkybėms, sveikatos pažymėjimas gali būti išduotas trumpesniam laikotarpiui, nei nurodyta 32 punkte.</w:t>
                  </w:r>
                </w:p>
              </w:sdtContent>
            </w:sdt>
            <w:sdt>
              <w:sdtPr>
                <w:alias w:val="11 pr. 34 p."/>
                <w:tag w:val="part_de20ce18618a4bbfa9442f133d3c87c5"/>
                <w:lock w:val="sdtLocked"/>
                <w:richText/>
              </w:sdtPr>
              <w:sdtContent>
                <w:p>
                  <w:pPr>
                    <w:ind w:firstLine="709"/>
                    <w:jc w:val="both"/>
                    <w:rPr>
                      <w:strike/>
                      <w:color w:val="000000"/>
                      <w:szCs w:val="24"/>
                      <w:lang w:eastAsia="x-none"/>
                    </w:rPr>
                  </w:pPr>
                  <w:sdt>
                    <w:sdtPr>
                      <w:alias w:val="Numeris"/>
                      <w:tag w:val="nr_de20ce18618a4bbfa9442f133d3c87c5"/>
                      <w:lock w:val="sdtLocked"/>
                      <w:richText/>
                    </w:sdtPr>
                    <w:sdtContent>
                      <w:r>
                        <w:rPr>
                          <w:color w:val="000000"/>
                          <w:szCs w:val="24"/>
                          <w:lang w:eastAsia="x-none"/>
                        </w:rPr>
                        <w:t>34</w:t>
                      </w:r>
                    </w:sdtContent>
                  </w:sdt>
                  <w:r>
                    <w:rPr>
                      <w:color w:val="000000"/>
                      <w:szCs w:val="24"/>
                      <w:lang w:eastAsia="x-none"/>
                    </w:rPr>
                    <w:t xml:space="preserve">. Jei sveikatos pažymėjimo galiojimas baigiasi laivo reiso metu, jūrininko sveikatos pažymėjimas toliau galioja iki kito uosto, kuriame kvalifikuotas praktikuojantis gydytojas jam galėtų išduoti jūrininko sveikatos pažymėjimą, bet ne ilgiau kaip tris mėnesius nuo jūrininko sveikatos pažymėjimo galiojimo pasibaigimo datos. </w:t>
                  </w:r>
                </w:p>
              </w:sdtContent>
            </w:sdt>
            <w:sdt>
              <w:sdtPr>
                <w:alias w:val="11 pr. 35 p."/>
                <w:tag w:val="part_5a5f6077afe440e29f0343a5aa3f5852"/>
                <w:lock w:val="sdtLocked"/>
                <w:richText/>
              </w:sdtPr>
              <w:sdtContent>
                <w:p>
                  <w:pPr>
                    <w:tabs>
                      <w:tab w:val="left" w:pos="0"/>
                      <w:tab w:val="left" w:pos="426"/>
                    </w:tabs>
                    <w:ind w:left="709"/>
                    <w:jc w:val="both"/>
                    <w:rPr>
                      <w:szCs w:val="24"/>
                      <w:lang w:eastAsia="x-none"/>
                    </w:rPr>
                  </w:pPr>
                  <w:sdt>
                    <w:sdtPr>
                      <w:alias w:val="Numeris"/>
                      <w:tag w:val="nr_5a5f6077afe440e29f0343a5aa3f5852"/>
                      <w:lock w:val="sdtLocked"/>
                      <w:richText/>
                    </w:sdtPr>
                    <w:sdtContent>
                      <w:r>
                        <w:rPr>
                          <w:color w:val="000000"/>
                          <w:szCs w:val="24"/>
                          <w:lang w:eastAsia="x-none"/>
                        </w:rPr>
                        <w:t>35</w:t>
                      </w:r>
                    </w:sdtContent>
                  </w:sdt>
                  <w:r>
                    <w:rPr>
                      <w:color w:val="000000"/>
                      <w:szCs w:val="24"/>
                      <w:lang w:eastAsia="x-none"/>
                    </w:rPr>
                    <w:t>. Sveikatos pažymėjimas</w:t>
                  </w:r>
                  <w:r>
                    <w:rPr>
                      <w:szCs w:val="24"/>
                      <w:lang w:eastAsia="x-none"/>
                    </w:rPr>
                    <w:t xml:space="preserve"> išrašomas lietuvių ir anglų kalbomis.</w:t>
                  </w:r>
                </w:p>
              </w:sdtContent>
            </w:sdt>
            <w:sdt>
              <w:sdtPr>
                <w:alias w:val="11 pr. 36 p."/>
                <w:tag w:val="part_c0a9d9d7742a4b439e5c3700e181c32b"/>
                <w:lock w:val="sdtLocked"/>
                <w:richText/>
              </w:sdtPr>
              <w:sdtContent>
                <w:p>
                  <w:pPr>
                    <w:ind w:firstLine="709"/>
                    <w:jc w:val="both"/>
                    <w:rPr>
                      <w:color w:val="000000"/>
                      <w:szCs w:val="24"/>
                      <w:lang w:eastAsia="x-none"/>
                    </w:rPr>
                  </w:pPr>
                  <w:sdt>
                    <w:sdtPr>
                      <w:alias w:val="Numeris"/>
                      <w:tag w:val="nr_c0a9d9d7742a4b439e5c3700e181c32b"/>
                      <w:lock w:val="sdtLocked"/>
                      <w:richText/>
                    </w:sdtPr>
                    <w:sdtContent>
                      <w:r>
                        <w:rPr>
                          <w:szCs w:val="24"/>
                          <w:lang w:eastAsia="x-none"/>
                        </w:rPr>
                        <w:t>36</w:t>
                      </w:r>
                    </w:sdtContent>
                  </w:sdt>
                  <w:r>
                    <w:rPr>
                      <w:szCs w:val="24"/>
                      <w:lang w:eastAsia="x-none"/>
                    </w:rPr>
                    <w:t>. Jūrininko sveikatos pažymėjimas yra pripažįstamas tinkamu V</w:t>
                  </w:r>
                  <w:r>
                    <w:rPr>
                      <w:color w:val="000000"/>
                      <w:szCs w:val="24"/>
                      <w:lang w:eastAsia="x-none"/>
                    </w:rPr>
                    <w:t xml:space="preserve">idaus vandenų transporto specialisto bei </w:t>
                  </w:r>
                  <w:r>
                    <w:rPr>
                      <w:color w:val="000000"/>
                      <w:szCs w:val="24"/>
                      <w:lang w:val="en-AU" w:eastAsia="x-none"/>
                    </w:rPr>
                    <w:t>motorinių pramoginių laivų ir kitų motorinių plaukiojimo priemonių</w:t>
                  </w:r>
                  <w:r>
                    <w:rPr>
                      <w:color w:val="000000"/>
                      <w:szCs w:val="24"/>
                      <w:lang w:eastAsia="x-none"/>
                    </w:rPr>
                    <w:t xml:space="preserve"> laivavedžio sveikatos pažymėjimo atitikmeniu.</w:t>
                  </w:r>
                </w:p>
              </w:sdtContent>
            </w:sdt>
            <w:sdt>
              <w:sdtPr>
                <w:alias w:val="11 pr. 37 p."/>
                <w:tag w:val="part_377d764ef6e54556962b6d1a025fe512"/>
                <w:lock w:val="sdtLocked"/>
                <w:richText/>
              </w:sdtPr>
              <w:sdtContent>
                <w:p>
                  <w:pPr>
                    <w:ind w:firstLine="709"/>
                    <w:jc w:val="both"/>
                    <w:rPr>
                      <w:szCs w:val="24"/>
                    </w:rPr>
                  </w:pPr>
                  <w:sdt>
                    <w:sdtPr>
                      <w:alias w:val="Numeris"/>
                      <w:tag w:val="nr_377d764ef6e54556962b6d1a025fe512"/>
                      <w:lock w:val="sdtLocked"/>
                      <w:richText/>
                    </w:sdtPr>
                    <w:sdtContent>
                      <w:r>
                        <w:rPr>
                          <w:color w:val="000000"/>
                          <w:szCs w:val="24"/>
                        </w:rPr>
                        <w:t>37</w:t>
                      </w:r>
                    </w:sdtContent>
                  </w:sdt>
                  <w:r>
                    <w:rPr>
                      <w:color w:val="000000"/>
                      <w:szCs w:val="24"/>
                    </w:rPr>
                    <w:t>. Įrašai sveikatos pažymėjime turi</w:t>
                  </w:r>
                  <w:r>
                    <w:rPr>
                      <w:szCs w:val="24"/>
                    </w:rPr>
                    <w:t xml:space="preserve"> būti įskaitomi, atitikti įrašus asmens tapatybės dokumente, jų negalima taisyti.</w:t>
                  </w:r>
                </w:p>
              </w:sdtContent>
            </w:sdt>
            <w:sdt>
              <w:sdtPr>
                <w:alias w:val="11 pr. 38 p."/>
                <w:tag w:val="part_eea916fcb2d64774891608e4df56703a"/>
                <w:lock w:val="sdtLocked"/>
                <w:richText/>
              </w:sdtPr>
              <w:sdtContent>
                <w:p>
                  <w:pPr>
                    <w:ind w:firstLine="709"/>
                    <w:jc w:val="both"/>
                    <w:rPr>
                      <w:color w:val="000000"/>
                      <w:szCs w:val="24"/>
                    </w:rPr>
                  </w:pPr>
                  <w:sdt>
                    <w:sdtPr>
                      <w:alias w:val="Numeris"/>
                      <w:tag w:val="nr_eea916fcb2d64774891608e4df56703a"/>
                      <w:lock w:val="sdtLocked"/>
                      <w:richText/>
                    </w:sdtPr>
                    <w:sdtContent>
                      <w:r>
                        <w:rPr>
                          <w:szCs w:val="24"/>
                        </w:rPr>
                        <w:t>38</w:t>
                      </w:r>
                    </w:sdtContent>
                  </w:sdt>
                  <w:r>
                    <w:rPr>
                      <w:szCs w:val="24"/>
                    </w:rPr>
                    <w:t xml:space="preserve">. Pildant elektroninę sveikatos pažymėjimo formą Nr. 048-1/a ar formą Nr. 048-2/a, duomenys įrašomi laužtiniuose skliaustuose. </w:t>
                  </w:r>
                </w:p>
              </w:sdtContent>
            </w:sdt>
            <w:sdt>
              <w:sdtPr>
                <w:alias w:val="11 pr. 39 p."/>
                <w:tag w:val="part_a274cb37eb5c4a75a57bdc266a02a56f"/>
                <w:lock w:val="sdtLocked"/>
                <w:richText/>
              </w:sdtPr>
              <w:sdtContent>
                <w:p>
                  <w:pPr>
                    <w:keepNext/>
                    <w:tabs>
                      <w:tab w:val="left" w:pos="0"/>
                      <w:tab w:val="left" w:pos="709"/>
                    </w:tabs>
                    <w:ind w:firstLine="709"/>
                    <w:outlineLvl w:val="5"/>
                    <w:rPr>
                      <w:color w:val="000000"/>
                      <w:szCs w:val="24"/>
                    </w:rPr>
                  </w:pPr>
                  <w:sdt>
                    <w:sdtPr>
                      <w:alias w:val="Numeris"/>
                      <w:tag w:val="nr_a274cb37eb5c4a75a57bdc266a02a56f"/>
                      <w:lock w:val="sdtLocked"/>
                      <w:richText/>
                    </w:sdtPr>
                    <w:sdtContent>
                      <w:r>
                        <w:rPr>
                          <w:color w:val="000000"/>
                          <w:szCs w:val="24"/>
                        </w:rPr>
                        <w:t>39</w:t>
                      </w:r>
                    </w:sdtContent>
                  </w:sdt>
                  <w:r>
                    <w:rPr>
                      <w:color w:val="000000"/>
                      <w:szCs w:val="24"/>
                    </w:rPr>
                    <w:t xml:space="preserve">. Elektroninė </w:t>
                  </w:r>
                  <w:r>
                    <w:rPr>
                      <w:szCs w:val="24"/>
                    </w:rPr>
                    <w:t>sveikatos</w:t>
                  </w:r>
                  <w:r>
                    <w:rPr>
                      <w:color w:val="000000"/>
                      <w:szCs w:val="24"/>
                    </w:rPr>
                    <w:t xml:space="preserve"> pažymėjimo forma išduodama ir registruojama teisės aktų nustatyta tvarka.</w:t>
                  </w:r>
                </w:p>
                <w:p>
                  <w:pPr>
                    <w:rPr>
                      <w:sz w:val="20"/>
                    </w:rPr>
                  </w:pPr>
                </w:p>
              </w:sdtContent>
            </w:sdt>
          </w:sdtContent>
        </w:sdt>
        <w:sdt>
          <w:sdtPr>
            <w:alias w:val="skyrius"/>
            <w:tag w:val="part_03fb52190de14fd6b508d83d35f16cf6"/>
            <w:lock w:val="sdtLocked"/>
            <w:richText/>
          </w:sdtPr>
          <w:sdtContent>
            <w:p>
              <w:pPr>
                <w:keepNext/>
                <w:tabs>
                  <w:tab w:val="left" w:pos="0"/>
                </w:tabs>
                <w:ind w:firstLine="709"/>
                <w:jc w:val="center"/>
                <w:outlineLvl w:val="5"/>
                <w:rPr>
                  <w:b/>
                </w:rPr>
              </w:pPr>
              <w:sdt>
                <w:sdtPr>
                  <w:alias w:val="Numeris"/>
                  <w:tag w:val="nr_03fb52190de14fd6b508d83d35f16cf6"/>
                  <w:lock w:val="sdtLocked"/>
                  <w:richText/>
                </w:sdtPr>
                <w:sdtContent>
                  <w:r>
                    <w:rPr>
                      <w:b/>
                    </w:rPr>
                    <w:t>V</w:t>
                  </w:r>
                </w:sdtContent>
              </w:sdt>
              <w:r>
                <w:rPr>
                  <w:b/>
                </w:rPr>
                <w:t xml:space="preserve">. </w:t>
              </w:r>
              <w:sdt>
                <w:sdtPr>
                  <w:alias w:val="Pavadinimas"/>
                  <w:tag w:val="title_03fb52190de14fd6b508d83d35f16cf6"/>
                  <w:lock w:val="sdtLocked"/>
                  <w:richText/>
                </w:sdtPr>
                <w:sdtContent>
                  <w:r>
                    <w:rPr>
                      <w:b/>
                    </w:rPr>
                    <w:t>BAIGIAMOSIOS NUOSTATOS</w:t>
                  </w:r>
                </w:sdtContent>
              </w:sdt>
            </w:p>
            <w:p>
              <w:pPr>
                <w:tabs>
                  <w:tab w:val="left" w:pos="0"/>
                </w:tabs>
                <w:ind w:firstLine="709"/>
                <w:rPr>
                  <w:sz w:val="20"/>
                </w:rPr>
              </w:pPr>
            </w:p>
            <w:sdt>
              <w:sdtPr>
                <w:alias w:val="11 pr. 40 p."/>
                <w:tag w:val="part_7fb996fb2def4826af923b43cb3c19ec"/>
                <w:lock w:val="sdtLocked"/>
                <w:richText/>
              </w:sdtPr>
              <w:sdtContent>
                <w:p>
                  <w:pPr>
                    <w:tabs>
                      <w:tab w:val="left" w:pos="0"/>
                    </w:tabs>
                    <w:ind w:firstLine="709"/>
                    <w:jc w:val="both"/>
                    <w:rPr>
                      <w:lang w:eastAsia="x-none"/>
                    </w:rPr>
                  </w:pPr>
                  <w:sdt>
                    <w:sdtPr>
                      <w:alias w:val="Numeris"/>
                      <w:tag w:val="nr_7fb996fb2def4826af923b43cb3c19ec"/>
                      <w:lock w:val="sdtLocked"/>
                      <w:richText/>
                    </w:sdtPr>
                    <w:sdtContent>
                      <w:r>
                        <w:rPr>
                          <w:color w:val="000000"/>
                          <w:szCs w:val="24"/>
                          <w:lang w:eastAsia="x-none"/>
                        </w:rPr>
                        <w:t>40</w:t>
                      </w:r>
                    </w:sdtContent>
                  </w:sdt>
                  <w:r>
                    <w:rPr>
                      <w:color w:val="000000"/>
                      <w:szCs w:val="24"/>
                      <w:lang w:eastAsia="x-none"/>
                    </w:rPr>
                    <w:t xml:space="preserve">. Atlikus sveikatos tikrinimą, atitinkamas sveikatos pažymėjimas išduodamas pasitikrinusiam asmeniui, kuris pasirašo jame ir </w:t>
                  </w:r>
                  <w:r>
                    <w:rPr>
                      <w:szCs w:val="24"/>
                      <w:lang w:eastAsia="x-none"/>
                    </w:rPr>
                    <w:t>formoje Nr. 074/a ar formoje Nr. 035/a.</w:t>
                  </w:r>
                  <w:r>
                    <w:rPr>
                      <w:lang w:eastAsia="x-none"/>
                    </w:rPr>
                    <w:t xml:space="preserve"> </w:t>
                  </w:r>
                </w:p>
              </w:sdtContent>
            </w:sdt>
            <w:sdt>
              <w:sdtPr>
                <w:alias w:val="11 pr. 41 p."/>
                <w:tag w:val="part_a8e4e13935ae4671aeafa5caade6edf2"/>
                <w:lock w:val="sdtLocked"/>
                <w:richText/>
              </w:sdtPr>
              <w:sdtContent>
                <w:p>
                  <w:pPr>
                    <w:tabs>
                      <w:tab w:val="left" w:pos="0"/>
                    </w:tabs>
                    <w:ind w:firstLine="709"/>
                    <w:jc w:val="both"/>
                    <w:rPr>
                      <w:lang w:eastAsia="x-none"/>
                    </w:rPr>
                  </w:pPr>
                  <w:sdt>
                    <w:sdtPr>
                      <w:alias w:val="Numeris"/>
                      <w:tag w:val="nr_a8e4e13935ae4671aeafa5caade6edf2"/>
                      <w:lock w:val="sdtLocked"/>
                      <w:richText/>
                    </w:sdtPr>
                    <w:sdtContent>
                      <w:r>
                        <w:rPr>
                          <w:lang w:eastAsia="x-none"/>
                        </w:rPr>
                        <w:t>41</w:t>
                      </w:r>
                    </w:sdtContent>
                  </w:sdt>
                  <w:r>
                    <w:rPr>
                      <w:lang w:eastAsia="x-none"/>
                    </w:rPr>
                    <w:t>. Asmuo, nesutinkantis su privalomo sveikatos tikrinimo išvadomis, gali jas apskųsti Lietuvos Respublikos teisės aktų nustatyta tvarka.</w:t>
                  </w:r>
                </w:p>
                <w:p>
                  <w:pPr>
                    <w:tabs>
                      <w:tab w:val="left" w:pos="0"/>
                    </w:tabs>
                    <w:ind w:firstLine="709"/>
                    <w:jc w:val="center"/>
                    <w:rPr>
                      <w:lang w:eastAsia="x-none"/>
                    </w:rPr>
                  </w:pPr>
                  <w:r>
                    <w:rPr>
                      <w:lang w:eastAsia="x-none"/>
                    </w:rPr>
                    <w:t>___________________________</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w:tag w:val="part_15b02405709a40e4a0e3ff4abccc2257"/>
        <w:lock w:val="sdtLocked"/>
        <w:richText/>
      </w:sdtPr>
      <w:sdtContent>
        <w:p>
          <w:pPr>
            <w:ind w:left="720" w:hanging="11"/>
            <w:jc w:val="center"/>
            <w:rPr>
              <w:szCs w:val="24"/>
            </w:rPr>
          </w:pPr>
        </w:p>
        <w:p>
          <w:pPr>
            <w:ind w:right="27"/>
            <w:jc w:val="both"/>
            <w:rPr>
              <w:sz w:val="20"/>
              <w:szCs w:val="24"/>
            </w:rPr>
            <w:sectPr>
              <w:headerReference w:type="even" r:id="rId84"/>
              <w:headerReference w:type="default" r:id="rId85"/>
              <w:pgSz w:w="11906" w:h="16838"/>
              <w:pgMar w:top="1276" w:right="567" w:bottom="851" w:left="1134" w:header="720" w:footer="720" w:gutter="0"/>
              <w:pgNumType w:start="1"/>
              <w:cols w:space="720"/>
              <w:titlePg/>
            </w:sectPr>
          </w:pPr>
        </w:p>
        <w:p>
          <w:pPr>
            <w:spacing w:line="276" w:lineRule="auto"/>
            <w:ind w:left="7788"/>
            <w:jc w:val="both"/>
            <w:rPr>
              <w:rFonts w:eastAsia="Calibri"/>
              <w:color w:val="000000"/>
              <w:szCs w:val="24"/>
            </w:rPr>
          </w:pPr>
          <w:r>
            <w:rPr>
              <w:rFonts w:eastAsia="Calibri"/>
              <w:color w:val="000000"/>
              <w:szCs w:val="24"/>
            </w:rPr>
            <w:t>Jūrininkų ir vidaus vandenų transporto</w:t>
          </w:r>
        </w:p>
        <w:p>
          <w:pPr>
            <w:spacing w:line="276" w:lineRule="auto"/>
            <w:ind w:left="7788"/>
            <w:jc w:val="both"/>
            <w:rPr>
              <w:rFonts w:eastAsia="Calibri"/>
              <w:color w:val="000000"/>
              <w:szCs w:val="24"/>
            </w:rPr>
          </w:pPr>
          <w:r>
            <w:rPr>
              <w:rFonts w:eastAsia="Calibri"/>
              <w:color w:val="000000"/>
              <w:szCs w:val="24"/>
            </w:rPr>
            <w:t xml:space="preserve">specialistų bei motorinių pramoginių laivų ir </w:t>
          </w:r>
        </w:p>
        <w:p>
          <w:pPr>
            <w:spacing w:line="276" w:lineRule="auto"/>
            <w:ind w:left="7788"/>
            <w:jc w:val="both"/>
            <w:rPr>
              <w:rFonts w:eastAsia="Calibri"/>
              <w:color w:val="000000"/>
              <w:szCs w:val="24"/>
            </w:rPr>
          </w:pPr>
          <w:r>
            <w:rPr>
              <w:rFonts w:eastAsia="Calibri"/>
              <w:color w:val="000000"/>
              <w:szCs w:val="24"/>
            </w:rPr>
            <w:t xml:space="preserve">kitų motorinių plaukiojimo priemonių </w:t>
          </w:r>
        </w:p>
        <w:p>
          <w:pPr>
            <w:spacing w:line="276" w:lineRule="auto"/>
            <w:ind w:left="7788"/>
            <w:jc w:val="both"/>
            <w:rPr>
              <w:rFonts w:eastAsia="Calibri"/>
              <w:color w:val="000000"/>
              <w:szCs w:val="24"/>
            </w:rPr>
          </w:pPr>
          <w:r>
            <w:rPr>
              <w:rFonts w:eastAsia="Calibri"/>
              <w:color w:val="000000"/>
              <w:szCs w:val="24"/>
            </w:rPr>
            <w:t>laivavedžių sveikatos tikrinimo tvarkos aprašo</w:t>
          </w:r>
          <w:r>
            <w:rPr>
              <w:rFonts w:eastAsia="Calibri"/>
              <w:b/>
              <w:color w:val="000000"/>
              <w:szCs w:val="24"/>
            </w:rPr>
            <w:t xml:space="preserve"> </w:t>
          </w:r>
        </w:p>
        <w:p>
          <w:pPr>
            <w:spacing w:line="276" w:lineRule="auto"/>
            <w:ind w:left="7788"/>
            <w:jc w:val="both"/>
            <w:rPr>
              <w:rFonts w:eastAsia="Calibri"/>
              <w:szCs w:val="24"/>
            </w:rPr>
          </w:pPr>
          <w:r>
            <w:rPr>
              <w:rFonts w:eastAsia="Calibri"/>
              <w:szCs w:val="24"/>
            </w:rPr>
            <w:t>1 priedas</w:t>
          </w:r>
        </w:p>
        <w:p>
          <w:pPr>
            <w:spacing w:line="276" w:lineRule="auto"/>
            <w:jc w:val="both"/>
            <w:rPr>
              <w:rFonts w:eastAsia="Calibri"/>
              <w:b/>
              <w:szCs w:val="24"/>
            </w:rPr>
          </w:pPr>
        </w:p>
        <w:sdt>
          <w:sdtPr>
            <w:alias w:val="Pavadinimas"/>
            <w:tag w:val="title_15b02405709a40e4a0e3ff4abccc2257"/>
            <w:lock w:val="sdtLocked"/>
            <w:richText/>
          </w:sdtPr>
          <w:sdtContent>
            <w:p>
              <w:pPr>
                <w:spacing w:line="276" w:lineRule="auto"/>
                <w:jc w:val="center"/>
                <w:rPr>
                  <w:rFonts w:eastAsia="Calibri"/>
                  <w:b/>
                  <w:color w:val="000000"/>
                  <w:szCs w:val="24"/>
                </w:rPr>
              </w:pPr>
              <w:r>
                <w:rPr>
                  <w:rFonts w:eastAsia="Calibri"/>
                  <w:b/>
                  <w:color w:val="000000"/>
                  <w:szCs w:val="24"/>
                </w:rPr>
                <w:t>MINIMALŪS SVEIKATOS BŪKLĖS REIKALAVIMAI, TAIKOMI JŪRININKAMS IR VIDAUS VANDENŲ TRANSPORTO SPECIALISTAMS BEI MOTORINIŲ PRAMOGINIŲ LAIVŲ IR KITŲ MOTORINIŲ PLAUKIOJIMO PRIEMONIŲ LAIVAVEDŽIAMS</w:t>
              </w:r>
            </w:p>
          </w:sdtContent>
        </w:sdt>
        <w:p>
          <w:pPr>
            <w:spacing w:line="276" w:lineRule="auto"/>
            <w:jc w:val="center"/>
            <w:rPr>
              <w:rFonts w:eastAsia="Calibri"/>
              <w:b/>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2977"/>
            <w:gridCol w:w="4110"/>
            <w:gridCol w:w="4252"/>
            <w:gridCol w:w="2801"/>
          </w:tblGrid>
          <w:tr>
            <w:trPr>
              <w:trHeight w:val="2359"/>
            </w:trPr>
            <w:tc>
              <w:tcPr>
                <w:tcW w:w="816" w:type="dxa"/>
              </w:tcPr>
              <w:p>
                <w:pPr>
                  <w:jc w:val="center"/>
                  <w:rPr>
                    <w:rFonts w:eastAsia="Calibri"/>
                    <w:b/>
                    <w:color w:val="000000"/>
                    <w:szCs w:val="24"/>
                  </w:rPr>
                </w:pPr>
                <w:r>
                  <w:rPr>
                    <w:rFonts w:eastAsia="Calibri"/>
                    <w:b/>
                    <w:color w:val="000000"/>
                    <w:szCs w:val="24"/>
                  </w:rPr>
                  <w:t>Eil.</w:t>
                </w:r>
              </w:p>
              <w:p>
                <w:pPr>
                  <w:jc w:val="center"/>
                  <w:rPr>
                    <w:rFonts w:eastAsia="Calibri"/>
                    <w:b/>
                    <w:color w:val="000000"/>
                    <w:szCs w:val="24"/>
                  </w:rPr>
                </w:pPr>
                <w:r>
                  <w:rPr>
                    <w:rFonts w:eastAsia="Calibri"/>
                    <w:b/>
                    <w:color w:val="000000"/>
                    <w:szCs w:val="24"/>
                  </w:rPr>
                  <w:t>Nr.</w:t>
                </w:r>
              </w:p>
            </w:tc>
            <w:tc>
              <w:tcPr>
                <w:tcW w:w="2977" w:type="dxa"/>
              </w:tcPr>
              <w:p>
                <w:pPr>
                  <w:jc w:val="center"/>
                  <w:rPr>
                    <w:b/>
                    <w:color w:val="000000"/>
                    <w:szCs w:val="24"/>
                    <w:lang w:val="en-AU" w:eastAsia="x-none"/>
                  </w:rPr>
                </w:pPr>
                <w:r>
                  <w:rPr>
                    <w:b/>
                    <w:color w:val="000000"/>
                    <w:szCs w:val="24"/>
                    <w:lang w:eastAsia="x-none"/>
                  </w:rPr>
                  <w:t xml:space="preserve">Ligos ir sveikatos sutrikimai, dėl kurių ribojama teisė dirbti jūrininkais ir (ar) vidaus vandenų transporto specialistais bei motorinių pramoginių laivų ir kitų motorinių plaukiojimo priemonių laivavedžiais </w:t>
                </w:r>
              </w:p>
            </w:tc>
            <w:tc>
              <w:tcPr>
                <w:tcW w:w="4110" w:type="dxa"/>
              </w:tcPr>
              <w:p>
                <w:pPr>
                  <w:jc w:val="center"/>
                  <w:rPr>
                    <w:rFonts w:eastAsia="Calibri"/>
                    <w:b/>
                    <w:color w:val="000000"/>
                    <w:szCs w:val="24"/>
                  </w:rPr>
                </w:pPr>
                <w:r>
                  <w:rPr>
                    <w:rFonts w:eastAsia="Calibri"/>
                    <w:b/>
                    <w:color w:val="000000"/>
                    <w:szCs w:val="24"/>
                  </w:rPr>
                  <w:t>Jūrininkų sveikatos būklės reikalavimai pagal profesines grupes</w:t>
                </w:r>
              </w:p>
            </w:tc>
            <w:tc>
              <w:tcPr>
                <w:tcW w:w="4252" w:type="dxa"/>
              </w:tcPr>
              <w:p>
                <w:pPr>
                  <w:jc w:val="center"/>
                  <w:rPr>
                    <w:rFonts w:eastAsia="Calibri"/>
                    <w:b/>
                    <w:color w:val="000000"/>
                    <w:szCs w:val="24"/>
                  </w:rPr>
                </w:pPr>
                <w:r>
                  <w:rPr>
                    <w:rFonts w:eastAsia="Calibri"/>
                    <w:b/>
                    <w:color w:val="000000"/>
                    <w:szCs w:val="24"/>
                  </w:rPr>
                  <w:t>Vidaus vandenų transporto specialistų bei motorinių pramoginių laivų ir kitų motorinių plaukiojimo priemonių laivavedžių sveikatos būklės reikalavimai pagal profesines grupes</w:t>
                </w:r>
              </w:p>
            </w:tc>
            <w:tc>
              <w:tcPr>
                <w:tcW w:w="2801" w:type="dxa"/>
              </w:tcPr>
              <w:p>
                <w:pPr>
                  <w:jc w:val="center"/>
                  <w:rPr>
                    <w:rFonts w:eastAsia="Calibri"/>
                    <w:b/>
                    <w:color w:val="000000"/>
                    <w:szCs w:val="24"/>
                  </w:rPr>
                </w:pPr>
                <w:r>
                  <w:rPr>
                    <w:rFonts w:eastAsia="Calibri"/>
                    <w:b/>
                    <w:color w:val="000000"/>
                    <w:szCs w:val="24"/>
                  </w:rPr>
                  <w:t>Pastabos</w:t>
                </w:r>
              </w:p>
            </w:tc>
          </w:tr>
          <w:tr>
            <w:tc>
              <w:tcPr>
                <w:tcW w:w="816" w:type="dxa"/>
              </w:tcPr>
              <w:p>
                <w:pPr>
                  <w:spacing w:line="276" w:lineRule="auto"/>
                  <w:jc w:val="center"/>
                  <w:rPr>
                    <w:rFonts w:eastAsia="Calibri"/>
                    <w:szCs w:val="24"/>
                  </w:rPr>
                </w:pPr>
                <w:r>
                  <w:rPr>
                    <w:rFonts w:eastAsia="Calibri"/>
                    <w:szCs w:val="24"/>
                  </w:rPr>
                  <w:t>1</w:t>
                </w:r>
              </w:p>
            </w:tc>
            <w:tc>
              <w:tcPr>
                <w:tcW w:w="2977" w:type="dxa"/>
              </w:tcPr>
              <w:p>
                <w:pPr>
                  <w:spacing w:line="276" w:lineRule="auto"/>
                  <w:jc w:val="center"/>
                  <w:rPr>
                    <w:rFonts w:eastAsia="Calibri"/>
                    <w:szCs w:val="24"/>
                  </w:rPr>
                </w:pPr>
                <w:r>
                  <w:rPr>
                    <w:rFonts w:eastAsia="Calibri"/>
                    <w:szCs w:val="24"/>
                  </w:rPr>
                  <w:t>2</w:t>
                </w:r>
              </w:p>
            </w:tc>
            <w:tc>
              <w:tcPr>
                <w:tcW w:w="4110" w:type="dxa"/>
              </w:tcPr>
              <w:p>
                <w:pPr>
                  <w:spacing w:line="276" w:lineRule="auto"/>
                  <w:jc w:val="center"/>
                  <w:rPr>
                    <w:rFonts w:eastAsia="Calibri"/>
                    <w:szCs w:val="24"/>
                  </w:rPr>
                </w:pPr>
                <w:r>
                  <w:rPr>
                    <w:rFonts w:eastAsia="Calibri"/>
                    <w:szCs w:val="24"/>
                  </w:rPr>
                  <w:t>3</w:t>
                </w:r>
              </w:p>
            </w:tc>
            <w:tc>
              <w:tcPr>
                <w:tcW w:w="4252" w:type="dxa"/>
              </w:tcPr>
              <w:p>
                <w:pPr>
                  <w:spacing w:line="276" w:lineRule="auto"/>
                  <w:jc w:val="center"/>
                  <w:rPr>
                    <w:rFonts w:eastAsia="Calibri"/>
                    <w:szCs w:val="24"/>
                  </w:rPr>
                </w:pPr>
                <w:r>
                  <w:rPr>
                    <w:rFonts w:eastAsia="Calibri"/>
                    <w:szCs w:val="24"/>
                  </w:rPr>
                  <w:t>4</w:t>
                </w:r>
              </w:p>
            </w:tc>
            <w:tc>
              <w:tcPr>
                <w:tcW w:w="2801" w:type="dxa"/>
              </w:tcPr>
              <w:p>
                <w:pPr>
                  <w:spacing w:line="276" w:lineRule="auto"/>
                  <w:jc w:val="center"/>
                  <w:rPr>
                    <w:rFonts w:eastAsia="Calibri"/>
                    <w:szCs w:val="24"/>
                  </w:rPr>
                </w:pPr>
                <w:r>
                  <w:rPr>
                    <w:rFonts w:eastAsia="Calibri"/>
                    <w:szCs w:val="24"/>
                  </w:rPr>
                  <w:t>5</w:t>
                </w:r>
              </w:p>
            </w:tc>
          </w:tr>
          <w:tr>
            <w:tc>
              <w:tcPr>
                <w:tcW w:w="816" w:type="dxa"/>
              </w:tcPr>
              <w:p>
                <w:pPr>
                  <w:spacing w:line="276" w:lineRule="auto"/>
                  <w:rPr>
                    <w:rFonts w:eastAsia="Calibri"/>
                    <w:szCs w:val="24"/>
                  </w:rPr>
                </w:pPr>
                <w:r>
                  <w:rPr>
                    <w:rFonts w:eastAsia="Calibri"/>
                    <w:szCs w:val="24"/>
                  </w:rPr>
                  <w:t xml:space="preserve">1. </w:t>
                </w:r>
              </w:p>
            </w:tc>
            <w:tc>
              <w:tcPr>
                <w:tcW w:w="14140" w:type="dxa"/>
                <w:gridSpan w:val="4"/>
              </w:tcPr>
              <w:p>
                <w:pPr>
                  <w:spacing w:line="276" w:lineRule="auto"/>
                  <w:jc w:val="center"/>
                  <w:rPr>
                    <w:rFonts w:eastAsia="Calibri"/>
                    <w:szCs w:val="24"/>
                  </w:rPr>
                </w:pPr>
                <w:r>
                  <w:rPr>
                    <w:rFonts w:eastAsia="Calibri"/>
                    <w:b/>
                    <w:color w:val="000000"/>
                    <w:szCs w:val="24"/>
                  </w:rPr>
                  <w:t>REGA BEI AKIES IR JOS PRIEDINIŲ ORGANŲ LIGOS</w:t>
                </w:r>
              </w:p>
            </w:tc>
          </w:tr>
          <w:tr>
            <w:trPr>
              <w:trHeight w:val="2427"/>
            </w:trPr>
            <w:tc>
              <w:tcPr>
                <w:tcW w:w="816" w:type="dxa"/>
              </w:tcPr>
              <w:p>
                <w:pPr>
                  <w:spacing w:line="276" w:lineRule="auto"/>
                  <w:jc w:val="both"/>
                  <w:rPr>
                    <w:rFonts w:eastAsia="Calibri"/>
                    <w:color w:val="000000"/>
                    <w:szCs w:val="24"/>
                  </w:rPr>
                </w:pPr>
                <w:r>
                  <w:rPr>
                    <w:rFonts w:eastAsia="Calibri"/>
                    <w:color w:val="000000"/>
                    <w:szCs w:val="24"/>
                  </w:rPr>
                  <w:t>1.1.</w:t>
                </w:r>
              </w:p>
            </w:tc>
            <w:tc>
              <w:tcPr>
                <w:tcW w:w="2977" w:type="dxa"/>
              </w:tcPr>
              <w:p>
                <w:pPr>
                  <w:spacing w:line="276" w:lineRule="auto"/>
                  <w:rPr>
                    <w:rFonts w:eastAsia="Calibri"/>
                    <w:b/>
                    <w:color w:val="000000"/>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color w:val="000000"/>
                    <w:szCs w:val="24"/>
                  </w:rPr>
                </w:pPr>
                <w:r>
                  <w:rPr>
                    <w:rFonts w:eastAsia="Calibri"/>
                    <w:szCs w:val="24"/>
                  </w:rPr>
                  <w:t xml:space="preserve">Akiplotis – normalus regėjimo laukas. </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szCs w:val="24"/>
                  </w:rPr>
                </w:pPr>
                <w:r>
                  <w:rPr>
                    <w:rFonts w:eastAsia="Calibri"/>
                    <w:szCs w:val="24"/>
                  </w:rPr>
                  <w:t>Akiplotis – normalus regėjimo laukas.</w:t>
                </w:r>
              </w:p>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Tikrina gydytojas oftalmologas. Vertinamas regėjimo aštrumas, spalvinė rega, akispūdis, akiplotis ir progresuojančios akių ligos.</w:t>
                </w:r>
              </w:p>
            </w:tc>
          </w:tr>
          <w:tr>
            <w:tc>
              <w:tcPr>
                <w:tcW w:w="816" w:type="dxa"/>
              </w:tcPr>
              <w:p>
                <w:pPr>
                  <w:spacing w:line="276" w:lineRule="auto"/>
                  <w:jc w:val="both"/>
                  <w:rPr>
                    <w:rFonts w:eastAsia="Calibri"/>
                    <w:szCs w:val="24"/>
                  </w:rPr>
                </w:pPr>
                <w:r>
                  <w:rPr>
                    <w:rFonts w:eastAsia="Calibri"/>
                    <w:szCs w:val="24"/>
                  </w:rPr>
                  <w:t>1.2.</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4252"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2801" w:type="dxa"/>
              </w:tcPr>
              <w:p>
                <w:pPr>
                  <w:spacing w:line="276" w:lineRule="auto"/>
                  <w:jc w:val="both"/>
                  <w:rPr>
                    <w:rFonts w:eastAsia="Calibri"/>
                    <w:szCs w:val="24"/>
                  </w:rPr>
                </w:pPr>
              </w:p>
            </w:tc>
          </w:tr>
          <w:tr>
            <w:trPr>
              <w:trHeight w:val="2266"/>
            </w:trPr>
            <w:tc>
              <w:tcPr>
                <w:tcW w:w="816" w:type="dxa"/>
              </w:tcPr>
              <w:p>
                <w:pPr>
                  <w:spacing w:line="276" w:lineRule="auto"/>
                  <w:jc w:val="both"/>
                  <w:rPr>
                    <w:rFonts w:eastAsia="Calibri"/>
                    <w:szCs w:val="24"/>
                  </w:rPr>
                </w:pPr>
                <w:r>
                  <w:rPr>
                    <w:rFonts w:eastAsia="Calibri"/>
                    <w:szCs w:val="24"/>
                  </w:rPr>
                  <w:t>1.3.</w:t>
                </w:r>
              </w:p>
            </w:tc>
            <w:tc>
              <w:tcPr>
                <w:tcW w:w="2977" w:type="dxa"/>
              </w:tcPr>
              <w:p>
                <w:pPr>
                  <w:spacing w:line="276" w:lineRule="auto"/>
                  <w:rPr>
                    <w:rFonts w:eastAsia="Calibri"/>
                    <w:szCs w:val="24"/>
                  </w:rPr>
                </w:pPr>
              </w:p>
              <w:p>
                <w:pPr>
                  <w:spacing w:line="276" w:lineRule="auto"/>
                  <w:rPr>
                    <w:rFonts w:eastAsia="Calibri"/>
                    <w:b/>
                    <w:i/>
                    <w:szCs w:val="24"/>
                  </w:rPr>
                </w:pPr>
              </w:p>
            </w:tc>
            <w:tc>
              <w:tcPr>
                <w:tcW w:w="4110"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4252"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2801" w:type="dxa"/>
              </w:tcPr>
              <w:p>
                <w:pPr>
                  <w:spacing w:line="276" w:lineRule="auto"/>
                  <w:rPr>
                    <w:rFonts w:eastAsia="Calibri"/>
                    <w:szCs w:val="24"/>
                  </w:rPr>
                </w:pPr>
                <w:r>
                  <w:rPr>
                    <w:rFonts w:eastAsia="Calibri"/>
                    <w:szCs w:val="24"/>
                  </w:rPr>
                  <w:t>Asmenys, kurių regėjimas koreguojamas kontaktiniais lęšiais ar akiniais, dirbti narais netinka.</w:t>
                </w:r>
              </w:p>
              <w:p>
                <w:pPr>
                  <w:spacing w:line="276" w:lineRule="auto"/>
                  <w:rPr>
                    <w:rFonts w:eastAsia="Calibri"/>
                    <w:szCs w:val="24"/>
                  </w:rPr>
                </w:pPr>
                <w:r>
                  <w:rPr>
                    <w:rFonts w:eastAsia="Calibri"/>
                    <w:szCs w:val="24"/>
                  </w:rPr>
                  <w:t>Esant normatyvų neatitikimams, sprendžiama individualiai po gydytojo oftalmologo konsultacijos.</w:t>
                </w:r>
              </w:p>
              <w:p>
                <w:pPr>
                  <w:spacing w:line="276" w:lineRule="auto"/>
                  <w:jc w:val="both"/>
                  <w:rPr>
                    <w:rFonts w:eastAsia="Calibri"/>
                    <w:szCs w:val="24"/>
                  </w:rPr>
                </w:pPr>
                <w:r>
                  <w:rPr>
                    <w:rFonts w:eastAsia="Calibri"/>
                    <w:szCs w:val="24"/>
                  </w:rPr>
                  <w:t>Narams nekoreguotas regėjimas į tolį viena akimi 0.5 ar daugiau, kita akimi – 0.5 ar daugiau.</w:t>
                </w:r>
              </w:p>
            </w:tc>
          </w:tr>
          <w:tr>
            <w:trPr>
              <w:trHeight w:val="2729"/>
            </w:trPr>
            <w:tc>
              <w:tcPr>
                <w:tcW w:w="816" w:type="dxa"/>
              </w:tcPr>
              <w:p>
                <w:pPr>
                  <w:spacing w:line="276" w:lineRule="auto"/>
                  <w:jc w:val="both"/>
                  <w:rPr>
                    <w:rFonts w:eastAsia="Calibri"/>
                    <w:szCs w:val="24"/>
                  </w:rPr>
                </w:pPr>
                <w:r>
                  <w:rPr>
                    <w:rFonts w:eastAsia="Calibri"/>
                    <w:szCs w:val="24"/>
                  </w:rPr>
                  <w:t>1.4.</w:t>
                </w:r>
              </w:p>
            </w:tc>
            <w:tc>
              <w:tcPr>
                <w:tcW w:w="2977" w:type="dxa"/>
              </w:tcPr>
              <w:p>
                <w:pPr>
                  <w:spacing w:line="276" w:lineRule="auto"/>
                  <w:rPr>
                    <w:rFonts w:eastAsia="Calibri"/>
                    <w:szCs w:val="24"/>
                  </w:rPr>
                </w:pPr>
                <w:r>
                  <w:rPr>
                    <w:rFonts w:eastAsia="Calibri"/>
                    <w:szCs w:val="24"/>
                  </w:rPr>
                  <w:t>Vokų, ašarų sistemos ir akiduobės ligos, H00–H06</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konservatyvaus ar operacinio gydymo 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priklausomai nuo regėjimo funkcijos ir susirgimo, po gydytojo oftalmologo konsultacijos.</w:t>
                </w:r>
              </w:p>
            </w:tc>
          </w:tr>
          <w:tr>
            <w:tc>
              <w:tcPr>
                <w:tcW w:w="816" w:type="dxa"/>
              </w:tcPr>
              <w:p>
                <w:pPr>
                  <w:spacing w:line="276" w:lineRule="auto"/>
                  <w:jc w:val="center"/>
                  <w:rPr>
                    <w:rFonts w:eastAsia="Calibri"/>
                    <w:szCs w:val="24"/>
                  </w:rPr>
                </w:pPr>
                <w:r>
                  <w:rPr>
                    <w:rFonts w:eastAsia="Calibri"/>
                    <w:szCs w:val="24"/>
                  </w:rPr>
                  <w:t>1.5.</w:t>
                </w:r>
              </w:p>
            </w:tc>
            <w:tc>
              <w:tcPr>
                <w:tcW w:w="2977" w:type="dxa"/>
              </w:tcPr>
              <w:p>
                <w:pPr>
                  <w:spacing w:line="276" w:lineRule="auto"/>
                  <w:rPr>
                    <w:rFonts w:eastAsia="Calibri"/>
                    <w:szCs w:val="24"/>
                  </w:rPr>
                </w:pPr>
                <w:r>
                  <w:rPr>
                    <w:rFonts w:eastAsia="Calibri"/>
                    <w:szCs w:val="24"/>
                  </w:rPr>
                  <w:t xml:space="preserve">Lęšiuko ligos, H25–H28 </w:t>
                </w:r>
              </w:p>
              <w:p>
                <w:pPr>
                  <w:spacing w:line="276" w:lineRule="auto"/>
                  <w:rPr>
                    <w:rFonts w:eastAsia="Calibri"/>
                    <w:szCs w:val="24"/>
                  </w:rPr>
                </w:pPr>
              </w:p>
            </w:tc>
            <w:tc>
              <w:tcPr>
                <w:tcW w:w="4110" w:type="dxa"/>
              </w:tcPr>
              <w:p>
                <w:pPr>
                  <w:spacing w:line="276" w:lineRule="auto"/>
                  <w:jc w:val="center"/>
                  <w:rPr>
                    <w:rFonts w:eastAsia="Calibri"/>
                    <w:szCs w:val="24"/>
                  </w:rPr>
                </w:pPr>
              </w:p>
            </w:tc>
            <w:tc>
              <w:tcPr>
                <w:tcW w:w="4252" w:type="dxa"/>
              </w:tcPr>
              <w:p>
                <w:pPr>
                  <w:spacing w:line="276" w:lineRule="auto"/>
                  <w:jc w:val="center"/>
                  <w:rPr>
                    <w:rFonts w:eastAsia="Calibri"/>
                    <w:szCs w:val="24"/>
                  </w:rPr>
                </w:pPr>
              </w:p>
            </w:tc>
            <w:tc>
              <w:tcPr>
                <w:tcW w:w="2801" w:type="dxa"/>
              </w:tcPr>
              <w:p>
                <w:pPr>
                  <w:spacing w:line="276" w:lineRule="auto"/>
                  <w:rPr>
                    <w:rFonts w:eastAsia="Calibri"/>
                    <w:szCs w:val="24"/>
                  </w:rPr>
                </w:pPr>
                <w:r>
                  <w:rPr>
                    <w:rFonts w:eastAsia="Calibri"/>
                    <w:szCs w:val="24"/>
                  </w:rPr>
                  <w:t xml:space="preserve">Praėjus po kataraktos ar refrakcinės ragenos operacijų ne mažiau kaip 1 mėnesiui, pasiekus stabilizacijos periodą, dėl darbo jūrų ir vidaus vandenų laive sprendžiama individualiai po gydytojo oftalmologo konsultacijos. </w:t>
                </w:r>
              </w:p>
            </w:tc>
          </w:tr>
          <w:tr>
            <w:tc>
              <w:tcPr>
                <w:tcW w:w="816" w:type="dxa"/>
              </w:tcPr>
              <w:p>
                <w:pPr>
                  <w:spacing w:line="276" w:lineRule="auto"/>
                  <w:jc w:val="both"/>
                  <w:rPr>
                    <w:rFonts w:eastAsia="Calibri"/>
                    <w:szCs w:val="24"/>
                  </w:rPr>
                </w:pPr>
                <w:r>
                  <w:rPr>
                    <w:rFonts w:eastAsia="Calibri"/>
                    <w:szCs w:val="24"/>
                  </w:rPr>
                  <w:t>1.6.</w:t>
                </w:r>
              </w:p>
            </w:tc>
            <w:tc>
              <w:tcPr>
                <w:tcW w:w="2977" w:type="dxa"/>
              </w:tcPr>
              <w:p>
                <w:pPr>
                  <w:spacing w:line="276" w:lineRule="auto"/>
                  <w:rPr>
                    <w:rFonts w:eastAsia="Calibri"/>
                    <w:szCs w:val="24"/>
                  </w:rPr>
                </w:pPr>
                <w:r>
                  <w:rPr>
                    <w:rFonts w:eastAsia="Calibri"/>
                    <w:szCs w:val="24"/>
                  </w:rPr>
                  <w:t xml:space="preserve">Gyslainės ir tinklainės ligos, H30–H36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atsižvelgiant į regėjimo funkcijas ir tinklainės atšokimo ar plyšio dydį, po gydytojo oftalmologo konsultacijos.</w:t>
                </w:r>
              </w:p>
            </w:tc>
          </w:tr>
          <w:tr>
            <w:tc>
              <w:tcPr>
                <w:tcW w:w="816" w:type="dxa"/>
              </w:tcPr>
              <w:p>
                <w:pPr>
                  <w:spacing w:line="276" w:lineRule="auto"/>
                  <w:jc w:val="both"/>
                  <w:rPr>
                    <w:rFonts w:eastAsia="Calibri"/>
                    <w:szCs w:val="24"/>
                  </w:rPr>
                </w:pPr>
                <w:r>
                  <w:rPr>
                    <w:rFonts w:eastAsia="Calibri"/>
                    <w:szCs w:val="24"/>
                  </w:rPr>
                  <w:t>1.7.</w:t>
                </w:r>
              </w:p>
            </w:tc>
            <w:tc>
              <w:tcPr>
                <w:tcW w:w="2977" w:type="dxa"/>
              </w:tcPr>
              <w:p>
                <w:pPr>
                  <w:spacing w:line="276" w:lineRule="auto"/>
                  <w:rPr>
                    <w:rFonts w:eastAsia="Calibri"/>
                    <w:szCs w:val="24"/>
                  </w:rPr>
                </w:pPr>
                <w:r>
                  <w:rPr>
                    <w:rFonts w:eastAsia="Calibri"/>
                    <w:szCs w:val="24"/>
                  </w:rPr>
                  <w:t>Glaukoma, H40</w:t>
                </w:r>
              </w:p>
            </w:tc>
            <w:tc>
              <w:tcPr>
                <w:tcW w:w="4110" w:type="dxa"/>
              </w:tcPr>
              <w:p>
                <w:pPr>
                  <w:spacing w:line="276" w:lineRule="auto"/>
                  <w:jc w:val="both"/>
                  <w:rPr>
                    <w:rFonts w:eastAsia="Calibri"/>
                    <w:szCs w:val="24"/>
                  </w:rPr>
                </w:pPr>
                <w:r>
                  <w:rPr>
                    <w:rFonts w:eastAsia="Calibri"/>
                    <w:color w:val="000000"/>
                    <w:szCs w:val="24"/>
                  </w:rPr>
                  <w:t>Nustačius II</w:t>
                </w:r>
                <w:r>
                  <w:rPr>
                    <w:rFonts w:eastAsia="Calibri"/>
                    <w:szCs w:val="24"/>
                  </w:rPr>
                  <w:t>–</w:t>
                </w:r>
                <w:r>
                  <w:rPr>
                    <w:rFonts w:eastAsia="Calibri"/>
                    <w:color w:val="000000"/>
                    <w:szCs w:val="24"/>
                  </w:rPr>
                  <w:t xml:space="preserve">IV stadijos glaukomą, nė vienos profesinės grupės </w:t>
                </w:r>
                <w:r>
                  <w:rPr>
                    <w:rFonts w:eastAsia="Calibri"/>
                    <w:szCs w:val="24"/>
                  </w:rPr>
                  <w:t xml:space="preserve">darbuotojai </w:t>
                </w:r>
                <w:r>
                  <w:rPr>
                    <w:rFonts w:eastAsia="Calibri"/>
                    <w:color w:val="000000"/>
                    <w:szCs w:val="24"/>
                  </w:rPr>
                  <w:t>negali dirbti jūrų laive.</w:t>
                </w:r>
              </w:p>
            </w:tc>
            <w:tc>
              <w:tcPr>
                <w:tcW w:w="4252" w:type="dxa"/>
              </w:tcPr>
              <w:p>
                <w:pPr>
                  <w:spacing w:line="276" w:lineRule="auto"/>
                  <w:jc w:val="both"/>
                  <w:rPr>
                    <w:rFonts w:eastAsia="Calibri"/>
                    <w:szCs w:val="24"/>
                  </w:rPr>
                </w:pPr>
                <w:r>
                  <w:rPr>
                    <w:rFonts w:eastAsia="Calibri"/>
                    <w:szCs w:val="24"/>
                  </w:rPr>
                  <w:t xml:space="preserve">Nustačius II–IV stadijos glaukomą, nė vienos profesinės grupės darbuotojai negali dirbti </w:t>
                </w:r>
                <w:r>
                  <w:rPr>
                    <w:rFonts w:eastAsia="Calibri"/>
                    <w:color w:val="000000"/>
                    <w:szCs w:val="24"/>
                  </w:rPr>
                  <w:t>vidaus vandenų</w:t>
                </w:r>
                <w:r>
                  <w:rPr>
                    <w:rFonts w:eastAsia="Calibri"/>
                    <w:szCs w:val="24"/>
                  </w:rPr>
                  <w:t xml:space="preserve"> laive.</w:t>
                </w:r>
              </w:p>
            </w:tc>
            <w:tc>
              <w:tcPr>
                <w:tcW w:w="2801" w:type="dxa"/>
              </w:tcPr>
              <w:p>
                <w:pPr>
                  <w:spacing w:line="276" w:lineRule="auto"/>
                  <w:rPr>
                    <w:rFonts w:eastAsia="Calibri"/>
                    <w:szCs w:val="24"/>
                  </w:rPr>
                </w:pPr>
                <w:r>
                  <w:rPr>
                    <w:rFonts w:eastAsia="Calibri"/>
                    <w:color w:val="000000"/>
                    <w:szCs w:val="24"/>
                  </w:rPr>
                  <w:t>Esant kompensuotai glaukomai (I stadija), asmenys gali dirbti jūrų ar vidaus vandenų laivuose</w:t>
                </w:r>
                <w:r>
                  <w:rPr>
                    <w:rFonts w:eastAsia="Calibri"/>
                    <w:szCs w:val="24"/>
                  </w:rPr>
                  <w:t xml:space="preserve">. </w:t>
                </w:r>
              </w:p>
              <w:p>
                <w:pPr>
                  <w:spacing w:line="276" w:lineRule="auto"/>
                  <w:rPr>
                    <w:rFonts w:eastAsia="Calibri"/>
                    <w:szCs w:val="24"/>
                  </w:rPr>
                </w:pPr>
                <w:r>
                  <w:rPr>
                    <w:rFonts w:eastAsia="Calibri"/>
                    <w:szCs w:val="24"/>
                  </w:rPr>
                  <w:t>Gydytojo oftalmologo konsultacija – kas 6 mėnesiai.</w:t>
                </w:r>
              </w:p>
            </w:tc>
          </w:tr>
          <w:tr>
            <w:tc>
              <w:tcPr>
                <w:tcW w:w="816" w:type="dxa"/>
              </w:tcPr>
              <w:p>
                <w:pPr>
                  <w:spacing w:line="276" w:lineRule="auto"/>
                  <w:jc w:val="both"/>
                  <w:rPr>
                    <w:rFonts w:eastAsia="Calibri"/>
                    <w:szCs w:val="24"/>
                  </w:rPr>
                </w:pPr>
                <w:r>
                  <w:rPr>
                    <w:rFonts w:eastAsia="Calibri"/>
                    <w:szCs w:val="24"/>
                  </w:rPr>
                  <w:t>1.8.</w:t>
                </w:r>
              </w:p>
            </w:tc>
            <w:tc>
              <w:tcPr>
                <w:tcW w:w="2977" w:type="dxa"/>
              </w:tcPr>
              <w:p>
                <w:pPr>
                  <w:spacing w:line="276" w:lineRule="auto"/>
                  <w:rPr>
                    <w:rFonts w:eastAsia="Calibri"/>
                    <w:szCs w:val="24"/>
                  </w:rPr>
                </w:pPr>
                <w:r>
                  <w:rPr>
                    <w:rFonts w:eastAsia="Calibri"/>
                    <w:szCs w:val="24"/>
                  </w:rPr>
                  <w:t>Žvairumas, H49, H50,</w:t>
                </w:r>
              </w:p>
              <w:p>
                <w:pPr>
                  <w:spacing w:line="276" w:lineRule="auto"/>
                  <w:rPr>
                    <w:rFonts w:eastAsia="Calibri"/>
                    <w:szCs w:val="24"/>
                  </w:rPr>
                </w:pPr>
                <w:r>
                  <w:rPr>
                    <w:rFonts w:eastAsia="Calibri"/>
                    <w:szCs w:val="24"/>
                  </w:rPr>
                  <w:t>Dvejinimasis (diplopija), H53.2,</w:t>
                </w:r>
              </w:p>
              <w:p>
                <w:pPr>
                  <w:spacing w:line="276" w:lineRule="auto"/>
                  <w:rPr>
                    <w:rFonts w:eastAsia="Calibri"/>
                    <w:szCs w:val="24"/>
                  </w:rPr>
                </w:pPr>
                <w:r>
                  <w:rPr>
                    <w:rFonts w:eastAsia="Calibri"/>
                    <w:szCs w:val="24"/>
                  </w:rPr>
                  <w:t>Aklumas naktį, H53.6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r>
                  <w:rPr>
                    <w:rFonts w:eastAsia="Calibri"/>
                    <w:color w:val="0000FF"/>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1.9.</w:t>
                </w:r>
              </w:p>
            </w:tc>
            <w:tc>
              <w:tcPr>
                <w:tcW w:w="2977" w:type="dxa"/>
              </w:tcPr>
              <w:p>
                <w:pPr>
                  <w:spacing w:line="276" w:lineRule="auto"/>
                  <w:rPr>
                    <w:rFonts w:eastAsia="Calibri"/>
                    <w:szCs w:val="24"/>
                  </w:rPr>
                </w:pPr>
                <w:r>
                  <w:rPr>
                    <w:rFonts w:eastAsia="Calibri"/>
                    <w:szCs w:val="24"/>
                  </w:rPr>
                  <w:t>Dirbtinė akis, Z97.0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2.</w:t>
                </w:r>
              </w:p>
            </w:tc>
            <w:tc>
              <w:tcPr>
                <w:tcW w:w="14140" w:type="dxa"/>
                <w:gridSpan w:val="4"/>
              </w:tcPr>
              <w:p>
                <w:pPr>
                  <w:spacing w:line="276" w:lineRule="auto"/>
                  <w:jc w:val="center"/>
                  <w:rPr>
                    <w:rFonts w:eastAsia="Calibri"/>
                    <w:szCs w:val="24"/>
                  </w:rPr>
                </w:pPr>
                <w:r>
                  <w:rPr>
                    <w:rFonts w:eastAsia="Calibri"/>
                    <w:b/>
                    <w:szCs w:val="24"/>
                  </w:rPr>
                  <w:t>KLAUSA BEI AUSIES IR SPENINĖS ATAUGOS LIGOS</w:t>
                </w:r>
              </w:p>
            </w:tc>
          </w:tr>
          <w:tr>
            <w:trPr>
              <w:trHeight w:val="1920"/>
            </w:trPr>
            <w:tc>
              <w:tcPr>
                <w:tcW w:w="816" w:type="dxa"/>
              </w:tcPr>
              <w:p>
                <w:pPr>
                  <w:spacing w:line="276" w:lineRule="auto"/>
                  <w:jc w:val="both"/>
                  <w:rPr>
                    <w:rFonts w:eastAsia="Calibri"/>
                    <w:szCs w:val="24"/>
                  </w:rPr>
                </w:pPr>
                <w:r>
                  <w:rPr>
                    <w:rFonts w:eastAsia="Calibri"/>
                    <w:szCs w:val="24"/>
                  </w:rPr>
                  <w:t>2.1.</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2801" w:type="dxa"/>
              </w:tcPr>
              <w:p>
                <w:pPr>
                  <w:spacing w:line="276" w:lineRule="auto"/>
                  <w:rPr>
                    <w:rFonts w:eastAsia="Calibri"/>
                    <w:szCs w:val="24"/>
                  </w:rPr>
                </w:pPr>
                <w:r>
                  <w:rPr>
                    <w:rFonts w:eastAsia="Calibri"/>
                    <w:szCs w:val="24"/>
                  </w:rPr>
                  <w:t>Tikrina gydytojas otorinolaringologas.</w:t>
                </w:r>
              </w:p>
            </w:tc>
          </w:tr>
          <w:tr>
            <w:tc>
              <w:tcPr>
                <w:tcW w:w="816" w:type="dxa"/>
              </w:tcPr>
              <w:p>
                <w:pPr>
                  <w:spacing w:line="276" w:lineRule="auto"/>
                  <w:jc w:val="both"/>
                  <w:rPr>
                    <w:rFonts w:eastAsia="Calibri"/>
                    <w:szCs w:val="24"/>
                  </w:rPr>
                </w:pPr>
                <w:r>
                  <w:rPr>
                    <w:rFonts w:eastAsia="Calibri"/>
                    <w:szCs w:val="24"/>
                  </w:rPr>
                  <w:t>2.2.</w:t>
                </w:r>
              </w:p>
            </w:tc>
            <w:tc>
              <w:tcPr>
                <w:tcW w:w="2977" w:type="dxa"/>
              </w:tcPr>
              <w:p>
                <w:pPr>
                  <w:spacing w:line="276" w:lineRule="auto"/>
                  <w:rPr>
                    <w:rFonts w:eastAsia="Calibri"/>
                    <w:szCs w:val="24"/>
                  </w:rPr>
                </w:pPr>
              </w:p>
              <w:p>
                <w:pPr>
                  <w:spacing w:line="276" w:lineRule="auto"/>
                  <w:rPr>
                    <w:rFonts w:eastAsia="Calibri"/>
                    <w:b/>
                    <w:i/>
                    <w:szCs w:val="24"/>
                    <w:u w:val="single"/>
                  </w:rPr>
                </w:pPr>
              </w:p>
            </w:tc>
            <w:tc>
              <w:tcPr>
                <w:tcW w:w="4110"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4252"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2801" w:type="dxa"/>
              </w:tcPr>
              <w:p>
                <w:pPr>
                  <w:spacing w:line="276" w:lineRule="auto"/>
                  <w:rPr>
                    <w:rFonts w:eastAsia="Calibri"/>
                    <w:szCs w:val="24"/>
                  </w:rPr>
                </w:pPr>
                <w:r>
                  <w:rPr>
                    <w:rFonts w:eastAsia="Calibri"/>
                    <w:color w:val="000000"/>
                    <w:szCs w:val="24"/>
                  </w:rPr>
                  <w:t>Narus, prieš juos įdarbinant, tiria gydytojas</w:t>
                </w:r>
                <w:r>
                  <w:rPr>
                    <w:rFonts w:eastAsia="Calibri"/>
                    <w:szCs w:val="24"/>
                  </w:rPr>
                  <w:t xml:space="preserve"> otorinolaringologas (vestibulinės funkcijos tyrimas, audiometrija), taip pat įvertinama baro funkcija, </w:t>
                </w:r>
                <w:r>
                  <w:rPr>
                    <w:rFonts w:eastAsia="Calibri"/>
                    <w:color w:val="000000"/>
                    <w:szCs w:val="24"/>
                  </w:rPr>
                  <w:t>atliekant bandymą baro kameroje.</w:t>
                </w:r>
                <w:r>
                  <w:rPr>
                    <w:rFonts w:eastAsia="Calibri"/>
                    <w:szCs w:val="24"/>
                  </w:rPr>
                  <w:t xml:space="preserve"> </w:t>
                </w:r>
              </w:p>
              <w:p>
                <w:pPr>
                  <w:spacing w:line="276" w:lineRule="auto"/>
                  <w:rPr>
                    <w:rFonts w:eastAsia="Calibri"/>
                    <w:szCs w:val="24"/>
                  </w:rPr>
                </w:pPr>
                <w:r>
                  <w:rPr>
                    <w:rFonts w:eastAsia="Calibri"/>
                    <w:szCs w:val="24"/>
                  </w:rPr>
                  <w:t>Esant indikacijų, tiriama išorinio kvėpavimo funkcija.</w:t>
                </w:r>
              </w:p>
            </w:tc>
          </w:tr>
          <w:tr>
            <w:trPr>
              <w:trHeight w:val="1038"/>
            </w:trPr>
            <w:tc>
              <w:tcPr>
                <w:tcW w:w="816" w:type="dxa"/>
              </w:tcPr>
              <w:p>
                <w:pPr>
                  <w:spacing w:line="276" w:lineRule="auto"/>
                  <w:jc w:val="both"/>
                  <w:rPr>
                    <w:rFonts w:eastAsia="Calibri"/>
                    <w:szCs w:val="24"/>
                  </w:rPr>
                </w:pPr>
                <w:r>
                  <w:rPr>
                    <w:rFonts w:eastAsia="Calibri"/>
                    <w:szCs w:val="24"/>
                  </w:rPr>
                  <w:t>2.3.</w:t>
                </w:r>
              </w:p>
            </w:tc>
            <w:tc>
              <w:tcPr>
                <w:tcW w:w="2977" w:type="dxa"/>
              </w:tcPr>
              <w:p>
                <w:pPr>
                  <w:spacing w:line="276" w:lineRule="auto"/>
                  <w:rPr>
                    <w:rFonts w:eastAsia="Calibri"/>
                    <w:szCs w:val="24"/>
                  </w:rPr>
                </w:pPr>
              </w:p>
            </w:tc>
            <w:tc>
              <w:tcPr>
                <w:tcW w:w="4110"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4252"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2801" w:type="dxa"/>
              </w:tcPr>
              <w:p>
                <w:pPr>
                  <w:spacing w:line="276" w:lineRule="auto"/>
                  <w:rPr>
                    <w:rFonts w:eastAsia="Calibri"/>
                    <w:szCs w:val="24"/>
                  </w:rPr>
                </w:pPr>
                <w:r>
                  <w:rPr>
                    <w:rFonts w:eastAsia="Calibri"/>
                    <w:szCs w:val="24"/>
                  </w:rPr>
                  <w:t>Naudoti klausos aparatus leidžiama tik laivo aptarnavimo tarnybos darbuotojams. Klausos aparatai turi būti aprūpinti baterijomis ir turi būti laikomi prieinamoje vietoje, jeigu miego metu būtų paskelbtas aliarmas.</w:t>
                </w:r>
              </w:p>
            </w:tc>
          </w:tr>
          <w:tr>
            <w:tc>
              <w:tcPr>
                <w:tcW w:w="816" w:type="dxa"/>
              </w:tcPr>
              <w:p>
                <w:pPr>
                  <w:spacing w:line="276" w:lineRule="auto"/>
                  <w:jc w:val="both"/>
                  <w:rPr>
                    <w:rFonts w:eastAsia="Calibri"/>
                    <w:szCs w:val="24"/>
                  </w:rPr>
                </w:pPr>
                <w:r>
                  <w:rPr>
                    <w:rFonts w:eastAsia="Calibri"/>
                    <w:szCs w:val="24"/>
                  </w:rPr>
                  <w:t>2.4.</w:t>
                </w:r>
              </w:p>
            </w:tc>
            <w:tc>
              <w:tcPr>
                <w:tcW w:w="2977" w:type="dxa"/>
              </w:tcPr>
              <w:p>
                <w:pPr>
                  <w:spacing w:line="276" w:lineRule="auto"/>
                  <w:rPr>
                    <w:rFonts w:eastAsia="Calibri"/>
                    <w:szCs w:val="24"/>
                  </w:rPr>
                </w:pPr>
                <w:r>
                  <w:rPr>
                    <w:rFonts w:eastAsia="Calibri"/>
                    <w:szCs w:val="24"/>
                  </w:rPr>
                  <w:t xml:space="preserve">Išorinės ir vidurinės ausies ligos, H60–H75 </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Sergant lėtiniu otitu ir esant ligos progresavimo rizikai,  sprendžiama individualiai po gydytojo otorinolaringologo konsultacijos. </w:t>
                </w:r>
              </w:p>
              <w:p>
                <w:pPr>
                  <w:spacing w:line="276" w:lineRule="auto"/>
                  <w:rPr>
                    <w:rFonts w:eastAsia="Calibri"/>
                    <w:szCs w:val="24"/>
                  </w:rPr>
                </w:pPr>
                <w:r>
                  <w:rPr>
                    <w:rFonts w:eastAsia="Calibri"/>
                    <w:szCs w:val="24"/>
                  </w:rPr>
                  <w:t xml:space="preserve">Nesant tikimybės, kad liga pasikartos, kai klausa atitinka girdėjimo standartus, visų grupių išgydyti asmenys gali dirbti jūrų </w:t>
                </w:r>
                <w:r>
                  <w:rPr>
                    <w:rFonts w:eastAsia="Calibri"/>
                    <w:color w:val="000000"/>
                    <w:szCs w:val="24"/>
                  </w:rPr>
                  <w:t>ir vidaus vandenų</w:t>
                </w:r>
                <w:r>
                  <w:rPr>
                    <w:rFonts w:eastAsia="Calibri"/>
                    <w:szCs w:val="24"/>
                  </w:rPr>
                  <w:t xml:space="preserve"> laivuose.</w:t>
                </w:r>
              </w:p>
            </w:tc>
          </w:tr>
          <w:tr>
            <w:tc>
              <w:tcPr>
                <w:tcW w:w="816" w:type="dxa"/>
              </w:tcPr>
              <w:p>
                <w:pPr>
                  <w:spacing w:line="276" w:lineRule="auto"/>
                  <w:jc w:val="both"/>
                  <w:rPr>
                    <w:rFonts w:eastAsia="Calibri"/>
                    <w:color w:val="000000"/>
                    <w:szCs w:val="24"/>
                  </w:rPr>
                </w:pPr>
                <w:r>
                  <w:rPr>
                    <w:rFonts w:eastAsia="Calibri"/>
                    <w:color w:val="000000"/>
                    <w:szCs w:val="24"/>
                  </w:rPr>
                  <w:t xml:space="preserve">2.5. </w:t>
                </w:r>
              </w:p>
            </w:tc>
            <w:tc>
              <w:tcPr>
                <w:tcW w:w="2977" w:type="dxa"/>
              </w:tcPr>
              <w:p>
                <w:pPr>
                  <w:spacing w:line="276" w:lineRule="auto"/>
                  <w:rPr>
                    <w:rFonts w:eastAsia="Calibri"/>
                    <w:color w:val="000000"/>
                    <w:szCs w:val="24"/>
                  </w:rPr>
                </w:pPr>
                <w:r>
                  <w:rPr>
                    <w:rFonts w:eastAsia="Calibri"/>
                    <w:color w:val="000000"/>
                    <w:szCs w:val="24"/>
                  </w:rPr>
                  <w:t>Vestibulinės funkcijos sutrikimai, H81</w:t>
                </w:r>
              </w:p>
              <w:p>
                <w:pPr>
                  <w:spacing w:line="276" w:lineRule="auto"/>
                  <w:rPr>
                    <w:rFonts w:eastAsia="Calibri"/>
                    <w:color w:val="000000"/>
                    <w:szCs w:val="24"/>
                  </w:rPr>
                </w:pPr>
                <w:r>
                  <w:rPr>
                    <w:rFonts w:eastAsia="Calibri"/>
                    <w:color w:val="000000"/>
                    <w:szCs w:val="24"/>
                  </w:rPr>
                  <w:t>Menjero liga, H81.0</w:t>
                </w:r>
              </w:p>
            </w:tc>
            <w:tc>
              <w:tcPr>
                <w:tcW w:w="4110" w:type="dxa"/>
              </w:tcPr>
              <w:p>
                <w:pPr>
                  <w:spacing w:line="276" w:lineRule="auto"/>
                  <w:jc w:val="both"/>
                  <w:rPr>
                    <w:rFonts w:eastAsia="Calibri"/>
                    <w:color w:val="000000"/>
                    <w:szCs w:val="24"/>
                  </w:rPr>
                </w:pPr>
                <w:r>
                  <w:rPr>
                    <w:rFonts w:eastAsia="Calibri"/>
                    <w:color w:val="000000"/>
                    <w:szCs w:val="24"/>
                  </w:rPr>
                  <w:t>Nė vienos profesinės grupės darbuotojai negali dirbti jūrų laive.</w:t>
                </w:r>
              </w:p>
            </w:tc>
            <w:tc>
              <w:tcPr>
                <w:tcW w:w="4252" w:type="dxa"/>
              </w:tcPr>
              <w:p>
                <w:pPr>
                  <w:spacing w:line="276" w:lineRule="auto"/>
                  <w:jc w:val="both"/>
                  <w:rPr>
                    <w:rFonts w:eastAsia="Calibri"/>
                    <w:color w:val="000000"/>
                    <w:szCs w:val="24"/>
                  </w:rPr>
                </w:pPr>
                <w:r>
                  <w:rPr>
                    <w:rFonts w:eastAsia="Calibri"/>
                    <w:color w:val="000000"/>
                    <w:szCs w:val="24"/>
                  </w:rPr>
                  <w:t>Nė vienos profesinės grupės darbuotojai 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color w:val="000000"/>
                    <w:szCs w:val="24"/>
                  </w:rPr>
                </w:pPr>
                <w:r>
                  <w:rPr>
                    <w:rFonts w:eastAsia="Calibri"/>
                    <w:color w:val="000000"/>
                    <w:szCs w:val="24"/>
                  </w:rPr>
                  <w:t>2.6.</w:t>
                </w:r>
              </w:p>
            </w:tc>
            <w:tc>
              <w:tcPr>
                <w:tcW w:w="2977" w:type="dxa"/>
              </w:tcPr>
              <w:p>
                <w:pPr>
                  <w:spacing w:line="276" w:lineRule="auto"/>
                  <w:rPr>
                    <w:rFonts w:eastAsia="Calibri"/>
                    <w:color w:val="000000"/>
                    <w:szCs w:val="24"/>
                  </w:rPr>
                </w:pPr>
                <w:r>
                  <w:rPr>
                    <w:rFonts w:eastAsia="Calibri"/>
                    <w:color w:val="000000"/>
                    <w:szCs w:val="24"/>
                  </w:rPr>
                  <w:t>Otosklerozė, H80</w:t>
                </w:r>
              </w:p>
              <w:p>
                <w:pPr>
                  <w:spacing w:line="276" w:lineRule="auto"/>
                  <w:rPr>
                    <w:rFonts w:eastAsia="Calibri"/>
                    <w:color w:val="000000"/>
                    <w:szCs w:val="24"/>
                  </w:rPr>
                </w:pPr>
                <w:r>
                  <w:rPr>
                    <w:rFonts w:eastAsia="Calibri"/>
                    <w:color w:val="000000"/>
                    <w:szCs w:val="24"/>
                  </w:rPr>
                  <w:t>Neurosensorinis prikurtimas, H90.3</w:t>
                </w:r>
              </w:p>
              <w:p>
                <w:pPr>
                  <w:spacing w:line="276" w:lineRule="auto"/>
                  <w:rPr>
                    <w:rFonts w:eastAsia="Calibri"/>
                    <w:color w:val="000000"/>
                    <w:szCs w:val="24"/>
                  </w:rPr>
                </w:pP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Po gydymo ir esant klausos standartų reikalavimų neatitikimų asmenys negali dirbti jūrų ir vidaus vandenų laivuose.</w:t>
                </w:r>
              </w:p>
            </w:tc>
          </w:tr>
          <w:tr>
            <w:tc>
              <w:tcPr>
                <w:tcW w:w="816" w:type="dxa"/>
              </w:tcPr>
              <w:p>
                <w:pPr>
                  <w:spacing w:line="276" w:lineRule="auto"/>
                  <w:jc w:val="both"/>
                  <w:rPr>
                    <w:rFonts w:eastAsia="Calibri"/>
                    <w:b/>
                    <w:szCs w:val="24"/>
                  </w:rPr>
                </w:pPr>
                <w:r>
                  <w:rPr>
                    <w:rFonts w:eastAsia="Calibri"/>
                    <w:b/>
                    <w:szCs w:val="24"/>
                  </w:rPr>
                  <w:t>3.</w:t>
                </w:r>
              </w:p>
            </w:tc>
            <w:tc>
              <w:tcPr>
                <w:tcW w:w="14140" w:type="dxa"/>
                <w:gridSpan w:val="4"/>
              </w:tcPr>
              <w:p>
                <w:pPr>
                  <w:spacing w:line="276" w:lineRule="auto"/>
                  <w:jc w:val="center"/>
                  <w:rPr>
                    <w:rFonts w:eastAsia="Calibri"/>
                    <w:color w:val="000000"/>
                    <w:szCs w:val="24"/>
                  </w:rPr>
                </w:pPr>
                <w:r>
                  <w:rPr>
                    <w:rFonts w:eastAsia="Calibri"/>
                    <w:b/>
                    <w:color w:val="000000"/>
                    <w:szCs w:val="24"/>
                  </w:rPr>
                  <w:t xml:space="preserve">KRAUJOTAKOS SISTEMOS LIGOS, ĮGIMTOS KRAUJO APYTAKOS SISTEMOS FORMAVIMOSI YDOS BEI GĖRYBINIAI ŠIRDIES NAVIKAI </w:t>
                </w:r>
              </w:p>
            </w:tc>
          </w:tr>
          <w:tr>
            <w:tc>
              <w:tcPr>
                <w:tcW w:w="816" w:type="dxa"/>
              </w:tcPr>
              <w:p>
                <w:pPr>
                  <w:spacing w:line="276" w:lineRule="auto"/>
                  <w:jc w:val="both"/>
                  <w:rPr>
                    <w:rFonts w:eastAsia="Calibri"/>
                    <w:szCs w:val="24"/>
                  </w:rPr>
                </w:pPr>
                <w:r>
                  <w:rPr>
                    <w:rFonts w:eastAsia="Calibri"/>
                    <w:szCs w:val="24"/>
                  </w:rPr>
                  <w:t>3.1.</w:t>
                </w:r>
              </w:p>
            </w:tc>
            <w:tc>
              <w:tcPr>
                <w:tcW w:w="2977" w:type="dxa"/>
              </w:tcPr>
              <w:p>
                <w:pPr>
                  <w:spacing w:line="276" w:lineRule="auto"/>
                  <w:rPr>
                    <w:rFonts w:eastAsia="Calibri"/>
                    <w:szCs w:val="24"/>
                  </w:rPr>
                </w:pPr>
                <w:r>
                  <w:rPr>
                    <w:rFonts w:eastAsia="Calibri"/>
                    <w:szCs w:val="24"/>
                  </w:rPr>
                  <w:t>Pirminė (esencialinė) hipertenzija, I10</w:t>
                </w:r>
              </w:p>
            </w:tc>
            <w:tc>
              <w:tcPr>
                <w:tcW w:w="4110" w:type="dxa"/>
              </w:tcPr>
              <w:p>
                <w:pPr>
                  <w:spacing w:line="276" w:lineRule="auto"/>
                  <w:rPr>
                    <w:rFonts w:eastAsia="Calibri"/>
                    <w:szCs w:val="24"/>
                  </w:rPr>
                </w:pPr>
                <w:r>
                  <w:rPr>
                    <w:rFonts w:eastAsia="Calibri"/>
                    <w:szCs w:val="24"/>
                  </w:rPr>
                  <w:t>Jeigu sistolinis kraujo spaudimas mažesnis kaip 160 ar diastolinis mažesnis kaip 100 mm/Hg po gydymo vaistiniais preparatais, visų profesinių grupių asmenys gali dirbti jūrų laive.</w:t>
                </w:r>
              </w:p>
              <w:p>
                <w:pPr>
                  <w:spacing w:line="276" w:lineRule="auto"/>
                  <w:rPr>
                    <w:rFonts w:eastAsia="Calibri"/>
                    <w:szCs w:val="24"/>
                  </w:rPr>
                </w:pPr>
                <w:r>
                  <w:rPr>
                    <w:rFonts w:eastAsia="Calibri"/>
                    <w:szCs w:val="24"/>
                  </w:rPr>
                  <w:t>Jeigu sistolinis kraujo spaudimas didesnis kaip 160 ar diastolinis didesnis kaip 100 mm/Hg ir šie rodikliai nekinta tiek gydant, tiek negydant, nė vienos profesinės grupės asmenys negali dirbti jūrų laive.</w:t>
                </w:r>
              </w:p>
            </w:tc>
            <w:tc>
              <w:tcPr>
                <w:tcW w:w="4252" w:type="dxa"/>
              </w:tcPr>
              <w:p>
                <w:pPr>
                  <w:spacing w:line="276" w:lineRule="auto"/>
                  <w:rPr>
                    <w:rFonts w:eastAsia="Calibri"/>
                    <w:szCs w:val="24"/>
                  </w:rPr>
                </w:pPr>
                <w:r>
                  <w:rPr>
                    <w:rFonts w:eastAsia="Calibri"/>
                    <w:szCs w:val="24"/>
                  </w:rPr>
                  <w:t>Jeigu sistolinis kraujo spaudimas mažesnis kaip160 ar diastolinis mažesnis kaip 100 mm/Hg po gydymo vaistiniais preparatais, visų profesinių grupių asmenys</w:t>
                </w:r>
                <w:r>
                  <w:rPr>
                    <w:rFonts w:eastAsia="Calibri"/>
                    <w:color w:val="000000"/>
                    <w:szCs w:val="24"/>
                  </w:rPr>
                  <w:t xml:space="preserve"> g</w:t>
                </w:r>
                <w:r>
                  <w:rPr>
                    <w:rFonts w:eastAsia="Calibri"/>
                    <w:szCs w:val="24"/>
                  </w:rPr>
                  <w:t>ali dirbti vidaus vandenų laive.</w:t>
                </w:r>
              </w:p>
              <w:p>
                <w:pPr>
                  <w:spacing w:line="276" w:lineRule="auto"/>
                  <w:rPr>
                    <w:rFonts w:eastAsia="Calibri"/>
                    <w:szCs w:val="24"/>
                  </w:rPr>
                </w:pPr>
                <w:r>
                  <w:rPr>
                    <w:rFonts w:eastAsia="Calibri"/>
                    <w:szCs w:val="24"/>
                  </w:rPr>
                  <w:t>Jeigu sistolinis kraujo spaudimas didesnis kaip 160 ar diastolinis didesnis kaip100 mm/Hg ir šie rodikliai nekinta tiek gydant, tiek negydant, nė vienos profesinės grupės asmenys negali dirbti vidaus vandenų laive.</w:t>
                </w:r>
              </w:p>
            </w:tc>
            <w:tc>
              <w:tcPr>
                <w:tcW w:w="2801" w:type="dxa"/>
              </w:tcPr>
              <w:p>
                <w:pPr>
                  <w:spacing w:line="276" w:lineRule="auto"/>
                  <w:rPr>
                    <w:rFonts w:eastAsia="Calibri"/>
                    <w:szCs w:val="24"/>
                  </w:rPr>
                </w:pPr>
                <w:r>
                  <w:rPr>
                    <w:rFonts w:eastAsia="Calibri"/>
                    <w:color w:val="000000"/>
                    <w:szCs w:val="24"/>
                  </w:rPr>
                  <w:t>Gydytojo kardiologo</w:t>
                </w:r>
                <w:r>
                  <w:rPr>
                    <w:rFonts w:eastAsia="Calibri"/>
                    <w:szCs w:val="24"/>
                  </w:rPr>
                  <w:t xml:space="preserve"> konsultacija kas 12 mėnesių.</w:t>
                </w:r>
              </w:p>
            </w:tc>
          </w:tr>
          <w:tr>
            <w:tc>
              <w:tcPr>
                <w:tcW w:w="816" w:type="dxa"/>
              </w:tcPr>
              <w:p>
                <w:pPr>
                  <w:spacing w:line="276" w:lineRule="auto"/>
                  <w:jc w:val="both"/>
                  <w:rPr>
                    <w:rFonts w:eastAsia="Calibri"/>
                    <w:szCs w:val="24"/>
                  </w:rPr>
                </w:pPr>
                <w:r>
                  <w:rPr>
                    <w:rFonts w:eastAsia="Calibri"/>
                    <w:szCs w:val="24"/>
                  </w:rPr>
                  <w:t>3.2.</w:t>
                </w:r>
              </w:p>
            </w:tc>
            <w:tc>
              <w:tcPr>
                <w:tcW w:w="2977" w:type="dxa"/>
              </w:tcPr>
              <w:p>
                <w:pPr>
                  <w:spacing w:line="276" w:lineRule="auto"/>
                  <w:rPr>
                    <w:rFonts w:eastAsia="Calibri"/>
                    <w:szCs w:val="24"/>
                  </w:rPr>
                </w:pPr>
                <w:r>
                  <w:rPr>
                    <w:rFonts w:eastAsia="Calibri"/>
                    <w:szCs w:val="24"/>
                  </w:rPr>
                  <w:t xml:space="preserve">Krūtinės angina, I20 </w:t>
                </w:r>
              </w:p>
            </w:tc>
            <w:tc>
              <w:tcPr>
                <w:tcW w:w="4110" w:type="dxa"/>
              </w:tcPr>
              <w:p>
                <w:pPr>
                  <w:spacing w:line="276" w:lineRule="auto"/>
                  <w:rPr>
                    <w:rFonts w:eastAsia="Calibri"/>
                    <w:szCs w:val="24"/>
                  </w:rPr>
                </w:pPr>
                <w:r>
                  <w:rPr>
                    <w:rFonts w:eastAsia="Calibri"/>
                    <w:color w:val="000000"/>
                    <w:szCs w:val="24"/>
                  </w:rPr>
                  <w:t>Dėl galimybės visų profesinių grupių asmenims dirbti jūrų laive sprendžiama individualiai po gydytojo kardiologo konsultacijos.</w:t>
                </w:r>
              </w:p>
            </w:tc>
            <w:tc>
              <w:tcPr>
                <w:tcW w:w="4252" w:type="dxa"/>
              </w:tcPr>
              <w:p>
                <w:pPr>
                  <w:spacing w:line="276" w:lineRule="auto"/>
                  <w:rPr>
                    <w:rFonts w:eastAsia="Calibri"/>
                    <w:szCs w:val="24"/>
                  </w:rPr>
                </w:pPr>
                <w:r>
                  <w:rPr>
                    <w:rFonts w:eastAsia="Calibri"/>
                    <w:szCs w:val="24"/>
                  </w:rPr>
                  <w:t xml:space="preserve">Dėl galimybės </w:t>
                </w:r>
                <w:r>
                  <w:rPr>
                    <w:rFonts w:eastAsia="Calibri"/>
                    <w:color w:val="000000"/>
                    <w:szCs w:val="24"/>
                  </w:rPr>
                  <w:t>visų profesinių</w:t>
                </w:r>
                <w:r>
                  <w:rPr>
                    <w:rFonts w:eastAsia="Calibri"/>
                    <w:szCs w:val="24"/>
                  </w:rPr>
                  <w:t xml:space="preserve"> grupių asmenims dirbti </w:t>
                </w:r>
                <w:r>
                  <w:rPr>
                    <w:rFonts w:eastAsia="Calibri"/>
                    <w:color w:val="000000"/>
                    <w:szCs w:val="24"/>
                  </w:rPr>
                  <w:t>vidaus vandenų laive sprendžiama individualiai po gydytojo kardiologo konsultacijos</w:t>
                </w:r>
                <w:r>
                  <w:rPr>
                    <w:rFonts w:eastAsia="Calibri"/>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3.3.</w:t>
                </w:r>
              </w:p>
            </w:tc>
            <w:tc>
              <w:tcPr>
                <w:tcW w:w="2977" w:type="dxa"/>
              </w:tcPr>
              <w:p>
                <w:pPr>
                  <w:spacing w:line="276" w:lineRule="auto"/>
                  <w:rPr>
                    <w:rFonts w:eastAsia="Calibri"/>
                    <w:szCs w:val="24"/>
                  </w:rPr>
                </w:pPr>
                <w:r>
                  <w:rPr>
                    <w:rFonts w:eastAsia="Calibri"/>
                    <w:szCs w:val="24"/>
                  </w:rPr>
                  <w:t xml:space="preserve">Ūminis miokardo infarktas, I21 </w:t>
                </w:r>
              </w:p>
            </w:tc>
            <w:tc>
              <w:tcPr>
                <w:tcW w:w="4110" w:type="dxa"/>
              </w:tcPr>
              <w:p>
                <w:pPr>
                  <w:spacing w:line="276" w:lineRule="auto"/>
                  <w:rPr>
                    <w:rFonts w:eastAsia="Calibri"/>
                    <w:szCs w:val="24"/>
                  </w:rPr>
                </w:pPr>
                <w:r>
                  <w:rPr>
                    <w:rFonts w:eastAsia="Calibri"/>
                    <w:szCs w:val="24"/>
                  </w:rPr>
                  <w:t xml:space="preserve">Dėl galimybės dirbti jūrų laive sprendžiama individualiai, bet ne anksčiau kaip po 6 </w:t>
                </w:r>
                <w:r>
                  <w:rPr>
                    <w:rFonts w:eastAsia="Calibri"/>
                    <w:color w:val="000000"/>
                    <w:szCs w:val="24"/>
                  </w:rPr>
                  <w:t>mėnesių, po gydytojo kardiologo</w:t>
                </w:r>
                <w:r>
                  <w:rPr>
                    <w:rFonts w:eastAsia="Calibri"/>
                    <w:szCs w:val="24"/>
                  </w:rPr>
                  <w:t xml:space="preserve"> konsultacijos.</w:t>
                </w:r>
              </w:p>
            </w:tc>
            <w:tc>
              <w:tcPr>
                <w:tcW w:w="4252" w:type="dxa"/>
              </w:tcPr>
              <w:p>
                <w:pPr>
                  <w:spacing w:line="276" w:lineRule="auto"/>
                  <w:rPr>
                    <w:rFonts w:eastAsia="Calibri"/>
                    <w:szCs w:val="24"/>
                  </w:rPr>
                </w:pPr>
                <w:r>
                  <w:rPr>
                    <w:rFonts w:eastAsia="Calibri"/>
                    <w:szCs w:val="24"/>
                  </w:rPr>
                  <w:t xml:space="preserve">Dėl galimybės dirbti vidaus vandenų laive sprendžiama </w:t>
                </w:r>
                <w:r>
                  <w:rPr>
                    <w:rFonts w:eastAsia="Calibri"/>
                    <w:color w:val="000000"/>
                    <w:szCs w:val="24"/>
                  </w:rPr>
                  <w:t xml:space="preserve">individualiai po 4 </w:t>
                </w:r>
                <w:r>
                  <w:rPr>
                    <w:rFonts w:eastAsia="Calibri"/>
                    <w:szCs w:val="24"/>
                  </w:rPr>
                  <w:t xml:space="preserve"> </w:t>
                </w:r>
                <w:r>
                  <w:rPr>
                    <w:rFonts w:eastAsia="Calibri"/>
                    <w:color w:val="000000"/>
                    <w:szCs w:val="24"/>
                  </w:rPr>
                  <w:t xml:space="preserve">mėnesių, po gydytojo kardiologo konsultacijos. </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3.4.</w:t>
                </w:r>
              </w:p>
            </w:tc>
            <w:tc>
              <w:tcPr>
                <w:tcW w:w="2977" w:type="dxa"/>
              </w:tcPr>
              <w:p>
                <w:pPr>
                  <w:spacing w:line="276" w:lineRule="auto"/>
                  <w:rPr>
                    <w:rFonts w:eastAsia="Calibri"/>
                    <w:szCs w:val="24"/>
                  </w:rPr>
                </w:pPr>
                <w:r>
                  <w:rPr>
                    <w:rFonts w:eastAsia="Calibri"/>
                    <w:szCs w:val="24"/>
                  </w:rPr>
                  <w:t>Plaučių embolija, I26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Dėl galimybės dirbti vidaus vandenų laive</w:t>
                </w:r>
                <w:r>
                  <w:rPr>
                    <w:rFonts w:eastAsia="Calibri"/>
                    <w:color w:val="000000"/>
                    <w:szCs w:val="24"/>
                  </w:rPr>
                  <w:t xml:space="preserve"> sprendžiama individualiai, esant 6 mėnesių ligos remisijai,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3.5.</w:t>
                </w:r>
              </w:p>
            </w:tc>
            <w:tc>
              <w:tcPr>
                <w:tcW w:w="2977" w:type="dxa"/>
              </w:tcPr>
              <w:p>
                <w:pPr>
                  <w:spacing w:line="276" w:lineRule="auto"/>
                  <w:rPr>
                    <w:rFonts w:eastAsia="Calibri"/>
                    <w:szCs w:val="24"/>
                  </w:rPr>
                </w:pPr>
                <w:r>
                  <w:rPr>
                    <w:rFonts w:eastAsia="Calibri"/>
                    <w:szCs w:val="24"/>
                  </w:rPr>
                  <w:t xml:space="preserve">Kitos širdies ligos (Perikarditas, I30.0– I32.8 Mitralinio vožtuvo prolapsas, I34.1 </w:t>
                </w:r>
              </w:p>
              <w:p>
                <w:pPr>
                  <w:spacing w:line="276" w:lineRule="auto"/>
                  <w:rPr>
                    <w:rFonts w:eastAsia="Calibri"/>
                    <w:szCs w:val="24"/>
                  </w:rPr>
                </w:pPr>
                <w:r>
                  <w:rPr>
                    <w:rFonts w:eastAsia="Calibri"/>
                    <w:szCs w:val="24"/>
                  </w:rPr>
                  <w:t>Miokarditas, I40.0–I41.8 Kardiomiopatija, I42–I43 ir kt.)</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galimybės dirbti jūrų ir vidaus vandenų laivuose sprendžiama individualiai po gydytojo kardiologo konsultacijos.</w:t>
                </w:r>
              </w:p>
            </w:tc>
          </w:tr>
          <w:tr>
            <w:tc>
              <w:tcPr>
                <w:tcW w:w="816" w:type="dxa"/>
              </w:tcPr>
              <w:p>
                <w:pPr>
                  <w:spacing w:line="276" w:lineRule="auto"/>
                  <w:jc w:val="both"/>
                  <w:rPr>
                    <w:rFonts w:eastAsia="Calibri"/>
                    <w:szCs w:val="24"/>
                  </w:rPr>
                </w:pPr>
                <w:r>
                  <w:rPr>
                    <w:rFonts w:eastAsia="Calibri"/>
                    <w:szCs w:val="24"/>
                  </w:rPr>
                  <w:t>3.6.</w:t>
                </w:r>
              </w:p>
            </w:tc>
            <w:tc>
              <w:tcPr>
                <w:tcW w:w="2977" w:type="dxa"/>
              </w:tcPr>
              <w:p>
                <w:pPr>
                  <w:spacing w:line="276" w:lineRule="auto"/>
                  <w:rPr>
                    <w:rFonts w:eastAsia="Calibri"/>
                    <w:szCs w:val="24"/>
                  </w:rPr>
                </w:pPr>
                <w:r>
                  <w:rPr>
                    <w:rFonts w:eastAsia="Calibri"/>
                    <w:szCs w:val="24"/>
                  </w:rPr>
                  <w:t>Širdies laidumo sutrikimai, atrioventrikulinė (toliau – AV) I–III</w:t>
                </w:r>
                <w:r>
                  <w:rPr>
                    <w:rFonts w:eastAsia="Calibri"/>
                    <w:szCs w:val="24"/>
                    <w:vertAlign w:val="superscript"/>
                  </w:rPr>
                  <w:t xml:space="preserve"> </w:t>
                </w:r>
                <w:r>
                  <w:rPr>
                    <w:rFonts w:eastAsia="Calibri"/>
                    <w:szCs w:val="24"/>
                  </w:rPr>
                  <w:t xml:space="preserve">laipsnio blokada, </w:t>
                </w:r>
              </w:p>
              <w:p>
                <w:pPr>
                  <w:spacing w:line="276" w:lineRule="auto"/>
                  <w:rPr>
                    <w:rFonts w:eastAsia="Calibri"/>
                    <w:szCs w:val="24"/>
                  </w:rPr>
                </w:pPr>
                <w:r>
                  <w:rPr>
                    <w:rFonts w:eastAsia="Calibri"/>
                    <w:szCs w:val="24"/>
                  </w:rPr>
                  <w:t>I44.0–I44.3</w:t>
                </w:r>
              </w:p>
            </w:tc>
            <w:tc>
              <w:tcPr>
                <w:tcW w:w="4110" w:type="dxa"/>
              </w:tcPr>
              <w:p>
                <w:pPr>
                  <w:spacing w:line="276" w:lineRule="auto"/>
                  <w:rPr>
                    <w:rFonts w:eastAsia="Calibri"/>
                    <w:szCs w:val="24"/>
                  </w:rPr>
                </w:pPr>
                <w:r>
                  <w:rPr>
                    <w:rFonts w:eastAsia="Calibri"/>
                    <w:szCs w:val="24"/>
                  </w:rPr>
                  <w:t xml:space="preserve">Nė vienos profesinės grupės darbuotojai </w:t>
                </w:r>
                <w:r>
                  <w:rPr>
                    <w:rFonts w:eastAsia="Calibri"/>
                    <w:color w:val="000000"/>
                    <w:szCs w:val="24"/>
                  </w:rPr>
                  <w:t>n</w:t>
                </w:r>
                <w:r>
                  <w:rPr>
                    <w:rFonts w:eastAsia="Calibri"/>
                    <w:szCs w:val="24"/>
                  </w:rPr>
                  <w:t xml:space="preserve">egali dirbti jūrų laive, esant III  laipsnio AV blokadai.</w:t>
                </w:r>
              </w:p>
            </w:tc>
            <w:tc>
              <w:tcPr>
                <w:tcW w:w="4252" w:type="dxa"/>
              </w:tcPr>
              <w:p>
                <w:pPr>
                  <w:spacing w:line="276" w:lineRule="auto"/>
                  <w:rPr>
                    <w:rFonts w:eastAsia="Calibri"/>
                    <w:szCs w:val="24"/>
                  </w:rPr>
                </w:pPr>
                <w:r>
                  <w:rPr>
                    <w:rFonts w:eastAsia="Calibri"/>
                    <w:szCs w:val="24"/>
                  </w:rPr>
                  <w:t>Nė vienos profesinės grupės darbuotojai negali dirbti vidaus vandenų laive, esant III</w:t>
                </w:r>
                <w:r>
                  <w:rPr>
                    <w:rFonts w:eastAsia="Calibri"/>
                    <w:szCs w:val="24"/>
                    <w:vertAlign w:val="superscript"/>
                  </w:rPr>
                  <w:t xml:space="preserve"> </w:t>
                </w:r>
                <w:r>
                  <w:rPr>
                    <w:rFonts w:eastAsia="Calibri"/>
                    <w:szCs w:val="24"/>
                  </w:rPr>
                  <w:t>laipsnio AV blokadai.</w:t>
                </w:r>
              </w:p>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I–II</w:t>
                </w:r>
                <w:r>
                  <w:rPr>
                    <w:rFonts w:eastAsia="Calibri"/>
                    <w:szCs w:val="24"/>
                    <w:vertAlign w:val="superscript"/>
                  </w:rPr>
                  <w:t xml:space="preserve"> </w:t>
                </w:r>
                <w:r>
                  <w:rPr>
                    <w:rFonts w:eastAsia="Calibri"/>
                    <w:szCs w:val="24"/>
                  </w:rPr>
                  <w:t>laipsnio</w:t>
                </w:r>
                <w:r>
                  <w:rPr>
                    <w:rFonts w:eastAsia="Calibri"/>
                    <w:szCs w:val="24"/>
                    <w:vertAlign w:val="superscript"/>
                  </w:rPr>
                  <w:t xml:space="preserve"> </w:t>
                </w:r>
                <w:r>
                  <w:rPr>
                    <w:rFonts w:eastAsia="Calibri"/>
                    <w:szCs w:val="24"/>
                  </w:rPr>
                  <w:t xml:space="preserve">AV blokadai dėl galimybės dirbti jūrų ir vidaus vandenų laivuose spendžiama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3.7.</w:t>
                </w:r>
              </w:p>
            </w:tc>
            <w:tc>
              <w:tcPr>
                <w:tcW w:w="2977" w:type="dxa"/>
              </w:tcPr>
              <w:p>
                <w:pPr>
                  <w:spacing w:line="276" w:lineRule="auto"/>
                  <w:rPr>
                    <w:rFonts w:eastAsia="Calibri"/>
                    <w:szCs w:val="24"/>
                  </w:rPr>
                </w:pPr>
                <w:r>
                  <w:rPr>
                    <w:rFonts w:eastAsia="Calibri"/>
                    <w:szCs w:val="24"/>
                  </w:rPr>
                  <w:t>Bet kurios Hiso pluošto kojytės blokada, I45.0–I45.5 WPW sindromas, I45.6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galimybės dirbti jūrų ir vidaus vandenų laivuose sprendžiama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3.8.</w:t>
                </w:r>
              </w:p>
            </w:tc>
            <w:tc>
              <w:tcPr>
                <w:tcW w:w="2977" w:type="dxa"/>
              </w:tcPr>
              <w:p>
                <w:pPr>
                  <w:spacing w:line="276" w:lineRule="auto"/>
                  <w:rPr>
                    <w:rFonts w:eastAsia="Calibri"/>
                    <w:szCs w:val="24"/>
                  </w:rPr>
                </w:pPr>
                <w:r>
                  <w:rPr>
                    <w:rFonts w:eastAsia="Calibri"/>
                    <w:szCs w:val="24"/>
                  </w:rPr>
                  <w:t>Supraventrikulinė tachikardija, I47.1</w:t>
                </w:r>
              </w:p>
              <w:p>
                <w:pPr>
                  <w:spacing w:line="276" w:lineRule="auto"/>
                  <w:rPr>
                    <w:rFonts w:eastAsia="Calibri"/>
                    <w:szCs w:val="24"/>
                  </w:rPr>
                </w:pPr>
                <w:r>
                  <w:rPr>
                    <w:rFonts w:eastAsia="Calibri"/>
                    <w:szCs w:val="24"/>
                  </w:rPr>
                  <w:t>Skilvelinė tachikardija, I47.2</w:t>
                </w:r>
              </w:p>
              <w:p>
                <w:pPr>
                  <w:spacing w:line="276" w:lineRule="auto"/>
                  <w:rPr>
                    <w:rFonts w:eastAsia="Calibri"/>
                    <w:szCs w:val="24"/>
                  </w:rPr>
                </w:pPr>
                <w:r>
                  <w:rPr>
                    <w:rFonts w:eastAsia="Calibri"/>
                    <w:szCs w:val="24"/>
                  </w:rPr>
                  <w:t>Paroksizminė tachikardija,</w:t>
                </w:r>
              </w:p>
              <w:p>
                <w:pPr>
                  <w:spacing w:line="276" w:lineRule="auto"/>
                  <w:rPr>
                    <w:rFonts w:eastAsia="Calibri"/>
                    <w:szCs w:val="24"/>
                  </w:rPr>
                </w:pPr>
                <w:r>
                  <w:rPr>
                    <w:rFonts w:eastAsia="Calibri"/>
                    <w:szCs w:val="24"/>
                  </w:rPr>
                  <w:t xml:space="preserve">I47.9 </w:t>
                </w:r>
              </w:p>
            </w:tc>
            <w:tc>
              <w:tcPr>
                <w:tcW w:w="4110" w:type="dxa"/>
              </w:tcPr>
              <w:p>
                <w:pPr>
                  <w:spacing w:line="276" w:lineRule="auto"/>
                  <w:rPr>
                    <w:rFonts w:eastAsia="Calibri"/>
                    <w:color w:val="000000"/>
                    <w:szCs w:val="24"/>
                  </w:rPr>
                </w:pPr>
                <w:r>
                  <w:rPr>
                    <w:rFonts w:eastAsia="Calibri"/>
                    <w:szCs w:val="24"/>
                  </w:rPr>
                  <w:t>Nė vienos profesinės grupės darbuotojai negali dirbti jūrų laive.</w:t>
                </w:r>
              </w:p>
            </w:tc>
            <w:tc>
              <w:tcPr>
                <w:tcW w:w="4252" w:type="dxa"/>
              </w:tcPr>
              <w:p>
                <w:pPr>
                  <w:spacing w:line="276" w:lineRule="auto"/>
                  <w:rPr>
                    <w:rFonts w:eastAsia="Calibri"/>
                    <w:color w:val="000000"/>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Po širdies ritmo korekcijos (radiodažninė abliacija) dėl tinkamumo dirbti jūrų ir vidaus vandenų laivuose sprendžiama individualiai, praėjus 6 mėnesiams </w:t>
                </w:r>
                <w:r>
                  <w:rPr>
                    <w:rFonts w:eastAsia="Calibri"/>
                    <w:color w:val="000000"/>
                    <w:szCs w:val="24"/>
                  </w:rPr>
                  <w:t>nuo operacijos, po gydytojo</w:t>
                </w:r>
                <w:r>
                  <w:rPr>
                    <w:rFonts w:eastAsia="Calibri"/>
                    <w:color w:val="0000FF"/>
                    <w:szCs w:val="24"/>
                  </w:rPr>
                  <w:t xml:space="preserve"> </w:t>
                </w:r>
                <w:r>
                  <w:rPr>
                    <w:rFonts w:eastAsia="Calibri"/>
                    <w:szCs w:val="24"/>
                  </w:rPr>
                  <w:t>kardiologo konsultacijos.</w:t>
                </w:r>
              </w:p>
            </w:tc>
          </w:tr>
          <w:tr>
            <w:tc>
              <w:tcPr>
                <w:tcW w:w="816" w:type="dxa"/>
              </w:tcPr>
              <w:p>
                <w:pPr>
                  <w:spacing w:line="276" w:lineRule="auto"/>
                  <w:jc w:val="both"/>
                  <w:rPr>
                    <w:rFonts w:eastAsia="Calibri"/>
                    <w:szCs w:val="24"/>
                  </w:rPr>
                </w:pPr>
                <w:r>
                  <w:rPr>
                    <w:rFonts w:eastAsia="Calibri"/>
                    <w:szCs w:val="24"/>
                  </w:rPr>
                  <w:t>3.9.</w:t>
                </w:r>
              </w:p>
            </w:tc>
            <w:tc>
              <w:tcPr>
                <w:tcW w:w="2977" w:type="dxa"/>
              </w:tcPr>
              <w:p>
                <w:pPr>
                  <w:spacing w:line="276" w:lineRule="auto"/>
                  <w:rPr>
                    <w:rFonts w:eastAsia="Calibri"/>
                    <w:szCs w:val="24"/>
                  </w:rPr>
                </w:pPr>
                <w:r>
                  <w:rPr>
                    <w:rFonts w:eastAsia="Calibri"/>
                    <w:szCs w:val="24"/>
                  </w:rPr>
                  <w:t>Prieširdžių virpėjimas ir prieširdžių plazdėjimas, I48</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6 mėnesiams po širdies ritmo atkūrimo, po gydytojo kardiologo konsultacijos.</w:t>
                </w:r>
              </w:p>
              <w:p>
                <w:pPr>
                  <w:spacing w:line="276" w:lineRule="auto"/>
                  <w:rPr>
                    <w:rFonts w:eastAsia="Calibri"/>
                    <w:szCs w:val="24"/>
                  </w:rPr>
                </w:pPr>
                <w:r>
                  <w:rPr>
                    <w:rFonts w:eastAsia="Calibri"/>
                    <w:color w:val="000000"/>
                    <w:szCs w:val="24"/>
                  </w:rPr>
                  <w:t xml:space="preserve">Esant lėtiniam </w:t>
                </w:r>
                <w:r>
                  <w:rPr>
                    <w:rFonts w:eastAsia="Calibri"/>
                    <w:szCs w:val="24"/>
                  </w:rPr>
                  <w:t>prieširdžių virpėjimui ar plazdėjimui nė vienos profesinės grupės darbuotojai negali dirbti jūrų laive.</w:t>
                </w:r>
              </w:p>
            </w:tc>
            <w:tc>
              <w:tcPr>
                <w:tcW w:w="4252" w:type="dxa"/>
              </w:tcPr>
              <w:p>
                <w:pPr>
                  <w:spacing w:line="276" w:lineRule="auto"/>
                  <w:rPr>
                    <w:rFonts w:eastAsia="Calibri"/>
                    <w:szCs w:val="24"/>
                  </w:rPr>
                </w:pPr>
                <w:r>
                  <w:rPr>
                    <w:rFonts w:eastAsia="Calibri"/>
                    <w:color w:val="000000"/>
                    <w:szCs w:val="24"/>
                  </w:rPr>
                  <w:t xml:space="preserve">Dėl galimybės dirbti vidaus vandenų laive sprendžiama individualiai, praėjus 3 mėnesiams po širdies ritmo atkūrimo, po gydytojo kardiologo konsultacijos. Esant lėtiniam </w:t>
                </w:r>
                <w:r>
                  <w:rPr>
                    <w:rFonts w:eastAsia="Calibri"/>
                    <w:szCs w:val="24"/>
                  </w:rPr>
                  <w:t xml:space="preserve">prieširdžių virpėjimui ar plazdėjimui visų profesinių grupių darbuotojai  gali dirbti vidaus vandenų laive po gydytojo kardiologo konsultacijos.</w:t>
                </w:r>
              </w:p>
            </w:tc>
            <w:tc>
              <w:tcPr>
                <w:tcW w:w="2801" w:type="dxa"/>
              </w:tcPr>
              <w:p>
                <w:pPr>
                  <w:spacing w:line="276" w:lineRule="auto"/>
                  <w:rPr>
                    <w:rFonts w:eastAsia="Calibri"/>
                    <w:szCs w:val="24"/>
                  </w:rPr>
                </w:pPr>
                <w:r>
                  <w:rPr>
                    <w:rFonts w:eastAsia="Calibri"/>
                    <w:szCs w:val="24"/>
                  </w:rPr>
                  <w:t>Gydytojo kardiologo konsultacija kas 12 mėnesių.</w:t>
                </w:r>
              </w:p>
            </w:tc>
          </w:tr>
          <w:tr>
            <w:tc>
              <w:tcPr>
                <w:tcW w:w="816" w:type="dxa"/>
              </w:tcPr>
              <w:p>
                <w:pPr>
                  <w:spacing w:line="276" w:lineRule="auto"/>
                  <w:jc w:val="both"/>
                  <w:rPr>
                    <w:rFonts w:eastAsia="Calibri"/>
                    <w:szCs w:val="24"/>
                  </w:rPr>
                </w:pPr>
                <w:r>
                  <w:rPr>
                    <w:rFonts w:eastAsia="Calibri"/>
                    <w:szCs w:val="24"/>
                  </w:rPr>
                  <w:t>3.10.</w:t>
                </w:r>
              </w:p>
            </w:tc>
            <w:tc>
              <w:tcPr>
                <w:tcW w:w="2977" w:type="dxa"/>
              </w:tcPr>
              <w:p>
                <w:pPr>
                  <w:spacing w:line="276" w:lineRule="auto"/>
                  <w:rPr>
                    <w:rFonts w:eastAsia="Calibri"/>
                    <w:szCs w:val="24"/>
                  </w:rPr>
                </w:pPr>
                <w:r>
                  <w:rPr>
                    <w:rFonts w:eastAsia="Calibri"/>
                    <w:szCs w:val="24"/>
                  </w:rPr>
                  <w:t xml:space="preserve">Širdies nepakankamumas, </w:t>
                </w:r>
              </w:p>
              <w:p>
                <w:pPr>
                  <w:spacing w:line="276" w:lineRule="auto"/>
                  <w:rPr>
                    <w:rFonts w:eastAsia="Calibri"/>
                    <w:szCs w:val="24"/>
                  </w:rPr>
                </w:pPr>
                <w:r>
                  <w:rPr>
                    <w:rFonts w:eastAsia="Calibri"/>
                    <w:szCs w:val="24"/>
                  </w:rPr>
                  <w:t>I50</w:t>
                </w:r>
              </w:p>
            </w:tc>
            <w:tc>
              <w:tcPr>
                <w:tcW w:w="4110"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jūrų laive.</w:t>
                </w:r>
              </w:p>
            </w:tc>
            <w:tc>
              <w:tcPr>
                <w:tcW w:w="4252"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vidaus vandenų laive.</w:t>
                </w:r>
              </w:p>
            </w:tc>
            <w:tc>
              <w:tcPr>
                <w:tcW w:w="2801" w:type="dxa"/>
              </w:tcPr>
              <w:p>
                <w:pPr>
                  <w:spacing w:line="276" w:lineRule="auto"/>
                  <w:rPr>
                    <w:rFonts w:eastAsia="Calibri"/>
                    <w:szCs w:val="24"/>
                  </w:rPr>
                </w:pPr>
                <w:r>
                  <w:rPr>
                    <w:rFonts w:eastAsia="Calibri"/>
                    <w:color w:val="000000"/>
                    <w:szCs w:val="24"/>
                  </w:rPr>
                  <w:t>Visų profesinių grupių darbuotojai, esant širdies veiklos (kraujotakos) nepakankamumui (funkcinė klasė pagal NYHA I–II), gali dirbti jūrų ir vidaus vandenų laivuose. Gydytojo kardiologo konsultacija</w:t>
                </w:r>
                <w:r>
                  <w:rPr>
                    <w:rFonts w:eastAsia="Calibri"/>
                    <w:szCs w:val="24"/>
                  </w:rPr>
                  <w:t xml:space="preserve"> – kas 6 mėnesiai.</w:t>
                </w:r>
              </w:p>
            </w:tc>
          </w:tr>
          <w:tr>
            <w:tc>
              <w:tcPr>
                <w:tcW w:w="816" w:type="dxa"/>
              </w:tcPr>
              <w:p>
                <w:pPr>
                  <w:spacing w:line="276" w:lineRule="auto"/>
                  <w:jc w:val="both"/>
                  <w:rPr>
                    <w:rFonts w:eastAsia="Calibri"/>
                    <w:szCs w:val="24"/>
                  </w:rPr>
                </w:pPr>
                <w:r>
                  <w:rPr>
                    <w:rFonts w:eastAsia="Calibri"/>
                    <w:szCs w:val="24"/>
                  </w:rPr>
                  <w:t>3.11.</w:t>
                </w:r>
              </w:p>
            </w:tc>
            <w:tc>
              <w:tcPr>
                <w:tcW w:w="2977" w:type="dxa"/>
              </w:tcPr>
              <w:p>
                <w:pPr>
                  <w:spacing w:line="276" w:lineRule="auto"/>
                  <w:rPr>
                    <w:rFonts w:eastAsia="Calibri"/>
                    <w:szCs w:val="24"/>
                  </w:rPr>
                </w:pPr>
                <w:r>
                  <w:rPr>
                    <w:rFonts w:eastAsia="Calibri"/>
                    <w:szCs w:val="24"/>
                  </w:rPr>
                  <w:t>Gerybiniai širdies navikai,</w:t>
                </w:r>
              </w:p>
              <w:p>
                <w:pPr>
                  <w:spacing w:line="276" w:lineRule="auto"/>
                  <w:rPr>
                    <w:rFonts w:eastAsia="Calibri"/>
                    <w:szCs w:val="24"/>
                  </w:rPr>
                </w:pPr>
                <w:r>
                  <w:rPr>
                    <w:rFonts w:eastAsia="Calibri"/>
                    <w:szCs w:val="24"/>
                  </w:rPr>
                  <w:t>D15.1</w:t>
                </w:r>
              </w:p>
              <w:p>
                <w:pPr>
                  <w:spacing w:line="276" w:lineRule="auto"/>
                  <w:rPr>
                    <w:rFonts w:eastAsia="Calibri"/>
                    <w:szCs w:val="24"/>
                  </w:rPr>
                </w:pPr>
                <w:r>
                  <w:rPr>
                    <w:rFonts w:eastAsia="Calibri"/>
                    <w:szCs w:val="24"/>
                  </w:rPr>
                  <w:t>Įgimtos kraujo apytakos sistemos formavimosi ydos, Q20.0–Q25.9</w:t>
                </w:r>
              </w:p>
              <w:p>
                <w:pPr>
                  <w:spacing w:line="276" w:lineRule="auto"/>
                  <w:rPr>
                    <w:rFonts w:eastAsia="Calibri"/>
                    <w:szCs w:val="24"/>
                  </w:rPr>
                </w:pPr>
              </w:p>
            </w:tc>
            <w:tc>
              <w:tcPr>
                <w:tcW w:w="4110" w:type="dxa"/>
              </w:tcPr>
              <w:p>
                <w:pPr>
                  <w:spacing w:line="276" w:lineRule="auto"/>
                  <w:rPr>
                    <w:rFonts w:eastAsia="Calibri"/>
                    <w:color w:val="000000"/>
                    <w:szCs w:val="24"/>
                  </w:rPr>
                </w:pPr>
              </w:p>
            </w:tc>
            <w:tc>
              <w:tcPr>
                <w:tcW w:w="4252" w:type="dxa"/>
              </w:tcPr>
              <w:p>
                <w:pPr>
                  <w:spacing w:line="276" w:lineRule="auto"/>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Dėl galimybės dirbti jūrų ir vidaus vandenų laivuose sprendžiama praėjus 6 mėnesiams nuo operacinio gydymo, po gydytojo kardiologo konsultacijos.</w:t>
                </w:r>
              </w:p>
            </w:tc>
          </w:tr>
          <w:tr>
            <w:tc>
              <w:tcPr>
                <w:tcW w:w="816" w:type="dxa"/>
              </w:tcPr>
              <w:p>
                <w:pPr>
                  <w:spacing w:line="276" w:lineRule="auto"/>
                  <w:jc w:val="both"/>
                  <w:rPr>
                    <w:rFonts w:eastAsia="Calibri"/>
                    <w:szCs w:val="24"/>
                  </w:rPr>
                </w:pPr>
                <w:r>
                  <w:rPr>
                    <w:rFonts w:eastAsia="Calibri"/>
                    <w:szCs w:val="24"/>
                  </w:rPr>
                  <w:t>3.12.</w:t>
                </w:r>
              </w:p>
            </w:tc>
            <w:tc>
              <w:tcPr>
                <w:tcW w:w="2977" w:type="dxa"/>
              </w:tcPr>
              <w:p>
                <w:pPr>
                  <w:spacing w:line="276" w:lineRule="auto"/>
                  <w:rPr>
                    <w:rFonts w:eastAsia="Calibri"/>
                    <w:szCs w:val="24"/>
                  </w:rPr>
                </w:pPr>
                <w:r>
                  <w:rPr>
                    <w:rFonts w:eastAsia="Calibri"/>
                    <w:szCs w:val="24"/>
                  </w:rPr>
                  <w:t xml:space="preserve">Širdies prietaisas. Buvimas: AIKD, širdies ritmo reguliavimo prietaiso, Z95.0 </w:t>
                </w:r>
              </w:p>
            </w:tc>
            <w:tc>
              <w:tcPr>
                <w:tcW w:w="4110" w:type="dxa"/>
              </w:tcPr>
              <w:p>
                <w:pPr>
                  <w:spacing w:line="276" w:lineRule="auto"/>
                  <w:rPr>
                    <w:rFonts w:eastAsia="Calibri"/>
                    <w:szCs w:val="24"/>
                  </w:rPr>
                </w:pPr>
                <w:r>
                  <w:rPr>
                    <w:rFonts w:eastAsia="Calibri"/>
                    <w:szCs w:val="24"/>
                  </w:rPr>
                  <w:t xml:space="preserve">Nė vienos grupės </w:t>
                </w:r>
                <w:r>
                  <w:rPr>
                    <w:rFonts w:eastAsia="Calibri"/>
                    <w:color w:val="000000"/>
                    <w:szCs w:val="24"/>
                  </w:rPr>
                  <w:t xml:space="preserve">darbuotojai </w:t>
                </w:r>
                <w:r>
                  <w:rPr>
                    <w:rFonts w:eastAsia="Calibri"/>
                    <w:szCs w:val="24"/>
                  </w:rPr>
                  <w:t>negali dirbti jūrų laive.</w:t>
                </w:r>
              </w:p>
            </w:tc>
            <w:tc>
              <w:tcPr>
                <w:tcW w:w="4252" w:type="dxa"/>
              </w:tcPr>
              <w:p>
                <w:pPr>
                  <w:spacing w:line="276" w:lineRule="auto"/>
                  <w:rPr>
                    <w:rFonts w:eastAsia="Calibri"/>
                    <w:color w:val="000000"/>
                    <w:szCs w:val="24"/>
                  </w:rPr>
                </w:pPr>
                <w:r>
                  <w:rPr>
                    <w:rFonts w:eastAsia="Calibri"/>
                    <w:color w:val="000000"/>
                    <w:szCs w:val="24"/>
                  </w:rPr>
                  <w:t>Visų profesinių grupių darbuotojai gali dirbti vidaus vandenų laive, dėl to spendžiama individualiai po gydytojo kardiologo konsultacijos.</w:t>
                </w:r>
              </w:p>
            </w:tc>
            <w:tc>
              <w:tcPr>
                <w:tcW w:w="2801" w:type="dxa"/>
              </w:tcPr>
              <w:p>
                <w:pPr>
                  <w:spacing w:line="276" w:lineRule="auto"/>
                  <w:rPr>
                    <w:rFonts w:eastAsia="Calibri"/>
                    <w:color w:val="000000"/>
                    <w:szCs w:val="24"/>
                  </w:rPr>
                </w:pPr>
                <w:r>
                  <w:rPr>
                    <w:rFonts w:eastAsia="Calibri"/>
                    <w:color w:val="000000"/>
                    <w:szCs w:val="24"/>
                  </w:rPr>
                  <w:t xml:space="preserve">Gydytojo kardiologo konsultacija kas 12 mėnesių. </w:t>
                </w:r>
              </w:p>
            </w:tc>
          </w:tr>
          <w:tr>
            <w:tc>
              <w:tcPr>
                <w:tcW w:w="816" w:type="dxa"/>
              </w:tcPr>
              <w:p>
                <w:pPr>
                  <w:spacing w:line="276" w:lineRule="auto"/>
                  <w:jc w:val="both"/>
                  <w:rPr>
                    <w:rFonts w:eastAsia="Calibri"/>
                    <w:szCs w:val="24"/>
                  </w:rPr>
                </w:pPr>
                <w:r>
                  <w:rPr>
                    <w:rFonts w:eastAsia="Calibri"/>
                    <w:szCs w:val="24"/>
                  </w:rPr>
                  <w:t>3.13.</w:t>
                </w:r>
              </w:p>
            </w:tc>
            <w:tc>
              <w:tcPr>
                <w:tcW w:w="2977" w:type="dxa"/>
              </w:tcPr>
              <w:p>
                <w:pPr>
                  <w:spacing w:line="276" w:lineRule="auto"/>
                  <w:rPr>
                    <w:rFonts w:eastAsia="Calibri"/>
                    <w:szCs w:val="24"/>
                  </w:rPr>
                </w:pPr>
                <w:r>
                  <w:rPr>
                    <w:rFonts w:eastAsia="Calibri"/>
                    <w:szCs w:val="24"/>
                  </w:rPr>
                  <w:t xml:space="preserve">Širdies vožtuvo protezas, </w:t>
                </w:r>
              </w:p>
              <w:p>
                <w:pPr>
                  <w:spacing w:line="276" w:lineRule="auto"/>
                  <w:rPr>
                    <w:rFonts w:eastAsia="Calibri"/>
                    <w:szCs w:val="24"/>
                  </w:rPr>
                </w:pPr>
                <w:r>
                  <w:rPr>
                    <w:rFonts w:eastAsia="Calibri"/>
                    <w:szCs w:val="24"/>
                  </w:rPr>
                  <w:t xml:space="preserve">Z95.2 </w:t>
                </w:r>
              </w:p>
            </w:tc>
            <w:tc>
              <w:tcPr>
                <w:tcW w:w="4110" w:type="dxa"/>
              </w:tcPr>
              <w:p>
                <w:pPr>
                  <w:spacing w:line="276" w:lineRule="auto"/>
                  <w:rPr>
                    <w:rFonts w:eastAsia="Calibri"/>
                    <w:color w:val="000000"/>
                    <w:szCs w:val="24"/>
                  </w:rPr>
                </w:pPr>
                <w:r>
                  <w:rPr>
                    <w:rFonts w:eastAsia="Calibri"/>
                    <w:szCs w:val="24"/>
                  </w:rPr>
                  <w:t>Nė vienos profesinės grupės darbuotojai</w:t>
                </w:r>
                <w:r>
                  <w:rPr>
                    <w:rFonts w:eastAsia="Calibri"/>
                    <w:color w:val="000000"/>
                    <w:szCs w:val="24"/>
                  </w:rPr>
                  <w:t>, kuriems implantuotas širdies vožtuvo mechaninis protezas</w:t>
                </w:r>
                <w:r>
                  <w:rPr>
                    <w:rFonts w:eastAsia="Calibri"/>
                    <w:szCs w:val="24"/>
                  </w:rPr>
                  <w:t>, negali dirbti jūrų laive.</w:t>
                </w:r>
              </w:p>
            </w:tc>
            <w:tc>
              <w:tcPr>
                <w:tcW w:w="4252" w:type="dxa"/>
              </w:tcPr>
              <w:p>
                <w:pPr>
                  <w:spacing w:line="276" w:lineRule="auto"/>
                  <w:rPr>
                    <w:rFonts w:eastAsia="Calibri"/>
                    <w:color w:val="000000"/>
                    <w:szCs w:val="24"/>
                  </w:rPr>
                </w:pPr>
                <w:r>
                  <w:rPr>
                    <w:rFonts w:eastAsia="Calibri"/>
                    <w:szCs w:val="24"/>
                  </w:rPr>
                  <w:t xml:space="preserve">Visų profesinių grupių darbuotojai </w:t>
                </w:r>
                <w:r>
                  <w:rPr>
                    <w:rFonts w:eastAsia="Calibri"/>
                    <w:color w:val="000000"/>
                    <w:szCs w:val="24"/>
                  </w:rPr>
                  <w:t xml:space="preserve">gali dirbti vidaus vandenų laive, dėl to </w:t>
                </w:r>
                <w:r>
                  <w:rPr>
                    <w:rFonts w:eastAsia="Calibri"/>
                    <w:szCs w:val="24"/>
                  </w:rPr>
                  <w:t xml:space="preserve">sprendžiama </w:t>
                </w:r>
                <w:r>
                  <w:rPr>
                    <w:rFonts w:eastAsia="Calibri"/>
                    <w:color w:val="000000"/>
                    <w:szCs w:val="24"/>
                  </w:rPr>
                  <w:t>individualiai, praėjus 6 mėnesiams po operacinio gydymo, po gydytojo kardiologo konsultacijos.</w:t>
                </w:r>
              </w:p>
            </w:tc>
            <w:tc>
              <w:tcPr>
                <w:tcW w:w="2801" w:type="dxa"/>
              </w:tcPr>
              <w:p>
                <w:pPr>
                  <w:spacing w:line="276" w:lineRule="auto"/>
                  <w:rPr>
                    <w:rFonts w:eastAsia="Calibri"/>
                    <w:szCs w:val="24"/>
                  </w:rPr>
                </w:pPr>
                <w:r>
                  <w:rPr>
                    <w:rFonts w:eastAsia="Calibri"/>
                    <w:color w:val="000000"/>
                    <w:szCs w:val="24"/>
                  </w:rPr>
                  <w:t xml:space="preserve">Jeigu implantuotas </w:t>
                </w:r>
                <w:r>
                  <w:rPr>
                    <w:rFonts w:eastAsia="Calibri"/>
                    <w:szCs w:val="24"/>
                  </w:rPr>
                  <w:t xml:space="preserve"> </w:t>
                </w:r>
                <w:r>
                  <w:rPr>
                    <w:rFonts w:eastAsia="Calibri"/>
                    <w:color w:val="000000"/>
                    <w:szCs w:val="24"/>
                  </w:rPr>
                  <w:t>biologinis protezas arba atlikta vožtuvų plastikos operacija, jūrų laive galima dirbti ne anksčiau kaip praėjus 6 mėnesiams po operacijos, po gydytojo kardiologo konsultacijos.</w:t>
                </w:r>
              </w:p>
            </w:tc>
          </w:tr>
          <w:tr>
            <w:tc>
              <w:tcPr>
                <w:tcW w:w="816" w:type="dxa"/>
              </w:tcPr>
              <w:p>
                <w:pPr>
                  <w:spacing w:line="276" w:lineRule="auto"/>
                  <w:jc w:val="both"/>
                  <w:rPr>
                    <w:rFonts w:eastAsia="Calibri"/>
                    <w:szCs w:val="24"/>
                  </w:rPr>
                </w:pPr>
                <w:r>
                  <w:rPr>
                    <w:rFonts w:eastAsia="Calibri"/>
                    <w:szCs w:val="24"/>
                  </w:rPr>
                  <w:t>3.14.</w:t>
                </w:r>
              </w:p>
            </w:tc>
            <w:tc>
              <w:tcPr>
                <w:tcW w:w="2977" w:type="dxa"/>
              </w:tcPr>
              <w:p>
                <w:pPr>
                  <w:spacing w:line="276" w:lineRule="auto"/>
                  <w:rPr>
                    <w:rFonts w:eastAsia="Calibri"/>
                    <w:szCs w:val="24"/>
                  </w:rPr>
                </w:pPr>
                <w:r>
                  <w:rPr>
                    <w:rFonts w:eastAsia="Calibri"/>
                    <w:szCs w:val="24"/>
                  </w:rPr>
                  <w:t>Koronarinis angioplastinis implantatas ar transplantatas, Z95.5</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4 mėnesiams nuo stentavimo procedūros, po gydytojo kardiologo konsultacijos.</w:t>
                </w:r>
              </w:p>
            </w:tc>
            <w:tc>
              <w:tcPr>
                <w:tcW w:w="4252" w:type="dxa"/>
              </w:tcPr>
              <w:p>
                <w:pPr>
                  <w:spacing w:line="276" w:lineRule="auto"/>
                  <w:rPr>
                    <w:rFonts w:eastAsia="Calibri"/>
                    <w:color w:val="000000"/>
                    <w:szCs w:val="24"/>
                  </w:rPr>
                </w:pPr>
                <w:r>
                  <w:rPr>
                    <w:rFonts w:eastAsia="Calibri"/>
                    <w:szCs w:val="24"/>
                  </w:rPr>
                  <w:t xml:space="preserve">Dėl galimybės dirbti </w:t>
                </w:r>
                <w:r>
                  <w:rPr>
                    <w:rFonts w:eastAsia="Calibri"/>
                    <w:color w:val="000000"/>
                    <w:szCs w:val="24"/>
                  </w:rPr>
                  <w:t>vidaus vandenų laive sprendžiama individualiai, praėjus 2 mėnesiams nuo stentavimo procedūros, po gydytojo</w:t>
                </w:r>
                <w:r>
                  <w:rPr>
                    <w:rFonts w:eastAsia="Calibri"/>
                    <w:szCs w:val="24"/>
                  </w:rPr>
                  <w:t xml:space="preserve">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3.15.</w:t>
                </w:r>
              </w:p>
            </w:tc>
            <w:tc>
              <w:tcPr>
                <w:tcW w:w="2977" w:type="dxa"/>
              </w:tcPr>
              <w:p>
                <w:pPr>
                  <w:spacing w:line="276" w:lineRule="auto"/>
                  <w:rPr>
                    <w:rFonts w:eastAsia="Calibri"/>
                    <w:szCs w:val="24"/>
                  </w:rPr>
                </w:pPr>
                <w:r>
                  <w:rPr>
                    <w:rFonts w:eastAsia="Calibri"/>
                    <w:szCs w:val="24"/>
                  </w:rPr>
                  <w:t xml:space="preserve">Kitas širdies ar kraujagyslių (krūtinės aortos)  implantatas ar transplantatas, Z95.8</w:t>
                </w:r>
              </w:p>
            </w:tc>
            <w:tc>
              <w:tcPr>
                <w:tcW w:w="4110" w:type="dxa"/>
              </w:tcPr>
              <w:p>
                <w:pPr>
                  <w:spacing w:line="276" w:lineRule="auto"/>
                  <w:rPr>
                    <w:rFonts w:eastAsia="Calibri"/>
                    <w:szCs w:val="24"/>
                  </w:rPr>
                </w:pPr>
                <w:r>
                  <w:rPr>
                    <w:rFonts w:eastAsia="Calibri"/>
                    <w:color w:val="000000"/>
                    <w:szCs w:val="24"/>
                  </w:rPr>
                  <w:t>Dėl galimybės dirbti jūrų laive spendžiama individualiai, praėjus 6 mėnesiams po operacinio gydymo, po gydytojo kardiologo konsultacijos.</w:t>
                </w:r>
              </w:p>
            </w:tc>
            <w:tc>
              <w:tcPr>
                <w:tcW w:w="4252" w:type="dxa"/>
              </w:tcPr>
              <w:p>
                <w:pPr>
                  <w:spacing w:line="276" w:lineRule="auto"/>
                  <w:rPr>
                    <w:rFonts w:eastAsia="Calibri"/>
                    <w:szCs w:val="24"/>
                  </w:rPr>
                </w:pPr>
                <w:r>
                  <w:rPr>
                    <w:rFonts w:eastAsia="Calibri"/>
                    <w:color w:val="000000"/>
                    <w:szCs w:val="24"/>
                  </w:rPr>
                  <w:t>Dėl galimybės dirbti vidaus vandenų laive sprendžiama individualiai, praėjus 6 mėnesiams po operacijos,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3.16.</w:t>
                </w:r>
              </w:p>
            </w:tc>
            <w:tc>
              <w:tcPr>
                <w:tcW w:w="2977" w:type="dxa"/>
              </w:tcPr>
              <w:p>
                <w:pPr>
                  <w:spacing w:line="276" w:lineRule="auto"/>
                  <w:rPr>
                    <w:rFonts w:eastAsia="Calibri"/>
                    <w:szCs w:val="24"/>
                  </w:rPr>
                </w:pPr>
                <w:r>
                  <w:rPr>
                    <w:rFonts w:eastAsia="Calibri"/>
                    <w:szCs w:val="24"/>
                  </w:rPr>
                  <w:t xml:space="preserve">Antikoagulianto  Warfarinum vartojimas</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4.</w:t>
                </w:r>
              </w:p>
            </w:tc>
            <w:tc>
              <w:tcPr>
                <w:tcW w:w="14140" w:type="dxa"/>
                <w:gridSpan w:val="4"/>
              </w:tcPr>
              <w:p>
                <w:pPr>
                  <w:spacing w:line="276" w:lineRule="auto"/>
                  <w:jc w:val="center"/>
                  <w:rPr>
                    <w:rFonts w:eastAsia="Calibri"/>
                    <w:szCs w:val="24"/>
                  </w:rPr>
                </w:pPr>
                <w:r>
                  <w:rPr>
                    <w:rFonts w:eastAsia="Calibri"/>
                    <w:b/>
                    <w:szCs w:val="24"/>
                  </w:rPr>
                  <w:t>KVĖPAVIMO SIS</w:t>
                </w:r>
                <w:r>
                  <w:rPr>
                    <w:rFonts w:eastAsia="Calibri"/>
                    <w:b/>
                    <w:color w:val="000000"/>
                    <w:szCs w:val="24"/>
                  </w:rPr>
                  <w:t>TEMOS LIGOS</w:t>
                </w:r>
              </w:p>
            </w:tc>
          </w:tr>
          <w:tr>
            <w:tc>
              <w:tcPr>
                <w:tcW w:w="816" w:type="dxa"/>
              </w:tcPr>
              <w:p>
                <w:pPr>
                  <w:spacing w:line="276" w:lineRule="auto"/>
                  <w:jc w:val="both"/>
                  <w:rPr>
                    <w:rFonts w:eastAsia="Calibri"/>
                    <w:szCs w:val="24"/>
                  </w:rPr>
                </w:pPr>
                <w:r>
                  <w:rPr>
                    <w:rFonts w:eastAsia="Calibri"/>
                    <w:szCs w:val="24"/>
                  </w:rPr>
                  <w:t>4.1.</w:t>
                </w:r>
              </w:p>
            </w:tc>
            <w:tc>
              <w:tcPr>
                <w:tcW w:w="2977" w:type="dxa"/>
              </w:tcPr>
              <w:p>
                <w:pPr>
                  <w:spacing w:line="276" w:lineRule="auto"/>
                  <w:rPr>
                    <w:rFonts w:eastAsia="Calibri"/>
                    <w:color w:val="000000"/>
                    <w:szCs w:val="24"/>
                  </w:rPr>
                </w:pPr>
                <w:r>
                  <w:rPr>
                    <w:rFonts w:eastAsia="Calibri"/>
                    <w:szCs w:val="24"/>
                  </w:rPr>
                  <w:t>Kvėpavimo organų tuberkuliozė,</w:t>
                </w:r>
                <w:r>
                  <w:rPr>
                    <w:rFonts w:eastAsia="Calibri"/>
                    <w:color w:val="000000"/>
                    <w:szCs w:val="24"/>
                  </w:rPr>
                  <w:t xml:space="preserve"> A16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Esant neaktyviai tuberkuliozės formai, visų profesinių grupių </w:t>
                </w:r>
                <w:r>
                  <w:rPr>
                    <w:rFonts w:eastAsia="Calibri"/>
                    <w:color w:val="000000"/>
                    <w:szCs w:val="24"/>
                  </w:rPr>
                  <w:t>darbuotojai gali dirbti jūrų ir vidaus vandenų laivuose.</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4.2.</w:t>
                </w:r>
              </w:p>
            </w:tc>
            <w:tc>
              <w:tcPr>
                <w:tcW w:w="2977" w:type="dxa"/>
              </w:tcPr>
              <w:p>
                <w:pPr>
                  <w:spacing w:line="276" w:lineRule="auto"/>
                  <w:rPr>
                    <w:rFonts w:eastAsia="Calibri"/>
                    <w:szCs w:val="24"/>
                  </w:rPr>
                </w:pPr>
                <w:r>
                  <w:rPr>
                    <w:rFonts w:eastAsia="Calibri"/>
                    <w:szCs w:val="24"/>
                  </w:rPr>
                  <w:t>Ūminės viršutinių kvėpavimo takų infekcijos, J00–J06</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Kol tiriama, nustatoma liga ir gydoma, asmenys negali dirbti laive. Pabaigus gydymą, nesikartojant jokiems ligos požymiams, asmenys gali dirbti jūrų ir vidaus vandenų laivuose. </w:t>
                </w:r>
              </w:p>
            </w:tc>
          </w:tr>
          <w:tr>
            <w:tc>
              <w:tcPr>
                <w:tcW w:w="816" w:type="dxa"/>
              </w:tcPr>
              <w:p>
                <w:pPr>
                  <w:spacing w:line="276" w:lineRule="auto"/>
                  <w:jc w:val="both"/>
                  <w:rPr>
                    <w:rFonts w:eastAsia="Calibri"/>
                    <w:szCs w:val="24"/>
                  </w:rPr>
                </w:pPr>
                <w:r>
                  <w:rPr>
                    <w:rFonts w:eastAsia="Calibri"/>
                    <w:szCs w:val="24"/>
                  </w:rPr>
                  <w:t>4.3.</w:t>
                </w:r>
              </w:p>
            </w:tc>
            <w:tc>
              <w:tcPr>
                <w:tcW w:w="2977" w:type="dxa"/>
              </w:tcPr>
              <w:p>
                <w:pPr>
                  <w:spacing w:line="276" w:lineRule="auto"/>
                  <w:rPr>
                    <w:rFonts w:eastAsia="Calibri"/>
                    <w:szCs w:val="24"/>
                  </w:rPr>
                </w:pPr>
                <w:r>
                  <w:rPr>
                    <w:rFonts w:eastAsia="Calibri"/>
                    <w:szCs w:val="24"/>
                  </w:rPr>
                  <w:t xml:space="preserve">Lėtinės apatinių kvėpavimo takų ligos, J40–J47, išskyrus astmą </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4.4.</w:t>
                </w:r>
              </w:p>
            </w:tc>
            <w:tc>
              <w:tcPr>
                <w:tcW w:w="2977" w:type="dxa"/>
              </w:tcPr>
              <w:p>
                <w:pPr>
                  <w:spacing w:line="276" w:lineRule="auto"/>
                  <w:rPr>
                    <w:rFonts w:eastAsia="Calibri"/>
                    <w:szCs w:val="24"/>
                  </w:rPr>
                </w:pPr>
                <w:r>
                  <w:rPr>
                    <w:rFonts w:eastAsia="Calibri"/>
                    <w:szCs w:val="24"/>
                  </w:rPr>
                  <w:t>Astma, J45</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sergantys sunkios formos astma, 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w:t>
                </w:r>
                <w:r>
                  <w:rPr>
                    <w:rFonts w:eastAsia="Calibri"/>
                    <w:szCs w:val="24"/>
                  </w:rPr>
                  <w:t xml:space="preserve"> sergantys sunkios formos astma, negali dirbti vidaus vandenų laive.</w:t>
                </w:r>
              </w:p>
            </w:tc>
            <w:tc>
              <w:tcPr>
                <w:tcW w:w="2801" w:type="dxa"/>
              </w:tcPr>
              <w:p>
                <w:pPr>
                  <w:spacing w:line="276" w:lineRule="auto"/>
                  <w:rPr>
                    <w:rFonts w:eastAsia="Calibri"/>
                    <w:szCs w:val="24"/>
                  </w:rPr>
                </w:pPr>
                <w:r>
                  <w:rPr>
                    <w:rFonts w:eastAsia="Calibri"/>
                    <w:szCs w:val="24"/>
                  </w:rPr>
                  <w:t>Visų profesinių grupių darbuotojai</w:t>
                </w:r>
                <w:r>
                  <w:rPr>
                    <w:rFonts w:eastAsia="Calibri"/>
                    <w:color w:val="000000"/>
                    <w:szCs w:val="24"/>
                  </w:rPr>
                  <w:t>, sergantys</w:t>
                </w:r>
                <w:r>
                  <w:rPr>
                    <w:rFonts w:eastAsia="Calibri"/>
                    <w:szCs w:val="24"/>
                  </w:rPr>
                  <w:t xml:space="preserve"> lengvos ir vidutinės formos astma, gali dirbti jūrų ir vidaus vandenų laivuose. </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4.5.</w:t>
                </w:r>
              </w:p>
            </w:tc>
            <w:tc>
              <w:tcPr>
                <w:tcW w:w="2977" w:type="dxa"/>
              </w:tcPr>
              <w:p>
                <w:pPr>
                  <w:spacing w:line="276" w:lineRule="auto"/>
                  <w:rPr>
                    <w:rFonts w:eastAsia="Calibri"/>
                    <w:szCs w:val="24"/>
                  </w:rPr>
                </w:pPr>
                <w:r>
                  <w:rPr>
                    <w:rFonts w:eastAsia="Calibri"/>
                    <w:szCs w:val="24"/>
                  </w:rPr>
                  <w:t>Bronchektazės, J47</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4.6.</w:t>
                </w:r>
              </w:p>
            </w:tc>
            <w:tc>
              <w:tcPr>
                <w:tcW w:w="2977" w:type="dxa"/>
              </w:tcPr>
              <w:p>
                <w:pPr>
                  <w:spacing w:line="276" w:lineRule="auto"/>
                  <w:rPr>
                    <w:rFonts w:eastAsia="Calibri"/>
                    <w:color w:val="000000"/>
                    <w:szCs w:val="24"/>
                  </w:rPr>
                </w:pPr>
                <w:r>
                  <w:rPr>
                    <w:rFonts w:eastAsia="Calibri"/>
                    <w:color w:val="000000"/>
                    <w:szCs w:val="24"/>
                  </w:rPr>
                  <w:t>Išorinių veiksnių sukeltos plaučių ligos, J60–J70</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4.7.</w:t>
                </w:r>
              </w:p>
            </w:tc>
            <w:tc>
              <w:tcPr>
                <w:tcW w:w="2977" w:type="dxa"/>
              </w:tcPr>
              <w:p>
                <w:pPr>
                  <w:spacing w:line="276" w:lineRule="auto"/>
                  <w:rPr>
                    <w:rFonts w:eastAsia="Calibri"/>
                    <w:szCs w:val="24"/>
                  </w:rPr>
                </w:pPr>
                <w:r>
                  <w:rPr>
                    <w:rFonts w:eastAsia="Calibri"/>
                    <w:color w:val="000000"/>
                    <w:szCs w:val="24"/>
                  </w:rPr>
                  <w:t>Pneumotoraksas, J93</w:t>
                </w:r>
                <w:r>
                  <w:rPr>
                    <w:rFonts w:eastAsia="Calibri"/>
                    <w:szCs w:val="24"/>
                  </w:rPr>
                  <w:t xml:space="preserve">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12 mėn. po diagnozuoto pneumotorakso. Gydytojo pulmonologo konsultacija – kas 12 mėnesių.</w:t>
                </w:r>
              </w:p>
            </w:tc>
          </w:tr>
          <w:tr>
            <w:tc>
              <w:tcPr>
                <w:tcW w:w="816" w:type="dxa"/>
              </w:tcPr>
              <w:p>
                <w:pPr>
                  <w:spacing w:line="276" w:lineRule="auto"/>
                  <w:jc w:val="both"/>
                  <w:rPr>
                    <w:rFonts w:eastAsia="Calibri"/>
                    <w:szCs w:val="24"/>
                  </w:rPr>
                </w:pPr>
                <w:r>
                  <w:rPr>
                    <w:rFonts w:eastAsia="Calibri"/>
                    <w:szCs w:val="24"/>
                  </w:rPr>
                  <w:t>4.8.</w:t>
                </w:r>
              </w:p>
            </w:tc>
            <w:tc>
              <w:tcPr>
                <w:tcW w:w="2977" w:type="dxa"/>
              </w:tcPr>
              <w:p>
                <w:pPr>
                  <w:spacing w:line="276" w:lineRule="auto"/>
                  <w:rPr>
                    <w:rFonts w:eastAsia="Calibri"/>
                    <w:szCs w:val="24"/>
                  </w:rPr>
                </w:pPr>
                <w:r>
                  <w:rPr>
                    <w:rFonts w:eastAsia="Calibri"/>
                    <w:szCs w:val="24"/>
                  </w:rPr>
                  <w:t>Įgytas plaučio nebuvimas, Z90.2</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 xml:space="preserve">Dėl galimybės dirbti </w:t>
                </w:r>
                <w:r>
                  <w:rPr>
                    <w:rFonts w:eastAsia="Calibri"/>
                    <w:color w:val="000000"/>
                    <w:szCs w:val="24"/>
                  </w:rPr>
                  <w:t>vidaus vandenų laive sprendžiama individualiai</w:t>
                </w:r>
              </w:p>
            </w:tc>
            <w:tc>
              <w:tcPr>
                <w:tcW w:w="2801" w:type="dxa"/>
              </w:tcPr>
              <w:p>
                <w:pPr>
                  <w:spacing w:line="276" w:lineRule="auto"/>
                  <w:rPr>
                    <w:rFonts w:eastAsia="Calibri"/>
                    <w:color w:val="000000"/>
                    <w:szCs w:val="24"/>
                  </w:rPr>
                </w:pPr>
                <w:r>
                  <w:rPr>
                    <w:rFonts w:eastAsia="Calibri"/>
                    <w:color w:val="000000"/>
                    <w:szCs w:val="24"/>
                  </w:rPr>
                  <w:t>Dėl tinkamumo dirbti vidaus vandenų laivuose sprendžiama individualiai, po gydytojo pulmonologo konsultacijos.</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b/>
                    <w:szCs w:val="24"/>
                  </w:rPr>
                </w:pPr>
                <w:r>
                  <w:rPr>
                    <w:rFonts w:eastAsia="Calibri"/>
                    <w:b/>
                    <w:szCs w:val="24"/>
                  </w:rPr>
                  <w:t>5.</w:t>
                </w:r>
              </w:p>
            </w:tc>
            <w:tc>
              <w:tcPr>
                <w:tcW w:w="14140" w:type="dxa"/>
                <w:gridSpan w:val="4"/>
              </w:tcPr>
              <w:p>
                <w:pPr>
                  <w:spacing w:line="276" w:lineRule="auto"/>
                  <w:jc w:val="center"/>
                  <w:rPr>
                    <w:rFonts w:eastAsia="Calibri"/>
                    <w:b/>
                    <w:szCs w:val="24"/>
                  </w:rPr>
                </w:pPr>
                <w:r>
                  <w:rPr>
                    <w:rFonts w:eastAsia="Calibri"/>
                    <w:b/>
                    <w:szCs w:val="24"/>
                  </w:rPr>
                  <w:t xml:space="preserve">KRAUJO IR KRAUJODAROS ORGANŲ LIGOS </w:t>
                </w:r>
              </w:p>
            </w:tc>
          </w:tr>
          <w:tr>
            <w:tc>
              <w:tcPr>
                <w:tcW w:w="816" w:type="dxa"/>
              </w:tcPr>
              <w:p>
                <w:pPr>
                  <w:spacing w:line="276" w:lineRule="auto"/>
                  <w:jc w:val="both"/>
                  <w:rPr>
                    <w:rFonts w:eastAsia="Calibri"/>
                    <w:szCs w:val="24"/>
                  </w:rPr>
                </w:pPr>
                <w:r>
                  <w:rPr>
                    <w:rFonts w:eastAsia="Calibri"/>
                    <w:szCs w:val="24"/>
                  </w:rPr>
                  <w:t>5.1.</w:t>
                </w:r>
              </w:p>
            </w:tc>
            <w:tc>
              <w:tcPr>
                <w:tcW w:w="2977" w:type="dxa"/>
              </w:tcPr>
              <w:p>
                <w:pPr>
                  <w:spacing w:line="276" w:lineRule="auto"/>
                  <w:rPr>
                    <w:rFonts w:eastAsia="Calibri"/>
                    <w:szCs w:val="24"/>
                  </w:rPr>
                </w:pPr>
                <w:r>
                  <w:rPr>
                    <w:rFonts w:eastAsia="Calibri"/>
                    <w:szCs w:val="24"/>
                  </w:rPr>
                  <w:t>Limfinio, kraujodaros ir jiems giminingų audinių piktybiniai navikai,</w:t>
                </w:r>
              </w:p>
              <w:p>
                <w:pPr>
                  <w:spacing w:line="276" w:lineRule="auto"/>
                  <w:rPr>
                    <w:rFonts w:eastAsia="Calibri"/>
                    <w:szCs w:val="24"/>
                  </w:rPr>
                </w:pPr>
                <w:r>
                  <w:rPr>
                    <w:rFonts w:eastAsia="Calibri"/>
                    <w:szCs w:val="24"/>
                  </w:rPr>
                  <w:t>C81–C96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aktyvia ligos forma, negali dirbti jūrų ir vidaus vandenų laivuose.</w:t>
                </w:r>
              </w:p>
              <w:p>
                <w:pPr>
                  <w:spacing w:line="276" w:lineRule="auto"/>
                  <w:rPr>
                    <w:rFonts w:eastAsia="Calibri"/>
                    <w:color w:val="000000"/>
                    <w:szCs w:val="24"/>
                  </w:rPr>
                </w:pPr>
                <w:r>
                  <w:rPr>
                    <w:rFonts w:eastAsia="Calibri"/>
                    <w:szCs w:val="24"/>
                  </w:rPr>
                  <w:t xml:space="preserve">Esant visiškai ar dalinei </w:t>
                </w:r>
                <w:r>
                  <w:rPr>
                    <w:rFonts w:eastAsia="Calibri"/>
                    <w:color w:val="000000"/>
                    <w:szCs w:val="24"/>
                  </w:rPr>
                  <w:t>remisijai, kurios trukmė ≥6 mėnesiai, bet ≤5 metai, dėl tinkamumo dirbti jūrų ir vidaus vandenų laivuose sprendžiama individualiai po gydytojo hematologo konsultacijos.</w:t>
                </w:r>
              </w:p>
              <w:p>
                <w:pPr>
                  <w:spacing w:line="276" w:lineRule="auto"/>
                  <w:rPr>
                    <w:rFonts w:eastAsia="Calibri"/>
                    <w:szCs w:val="24"/>
                  </w:rPr>
                </w:pPr>
                <w:r>
                  <w:rPr>
                    <w:rFonts w:eastAsia="Calibri"/>
                    <w:szCs w:val="24"/>
                  </w:rPr>
                  <w:t xml:space="preserve">Esant ligos remisijai ≥5 m., visų profesinių grupių </w:t>
                </w:r>
                <w:r>
                  <w:rPr>
                    <w:rFonts w:eastAsia="Calibri"/>
                    <w:color w:val="000000"/>
                    <w:szCs w:val="24"/>
                  </w:rPr>
                  <w:t>darbuotojai</w:t>
                </w:r>
                <w:r>
                  <w:rPr>
                    <w:rFonts w:eastAsia="Calibri"/>
                    <w:szCs w:val="24"/>
                  </w:rPr>
                  <w:t xml:space="preserve"> gali dirbti jūrų ir vidaus vandenų laivuose.</w:t>
                </w:r>
              </w:p>
            </w:tc>
          </w:tr>
          <w:tr>
            <w:tc>
              <w:tcPr>
                <w:tcW w:w="816" w:type="dxa"/>
              </w:tcPr>
              <w:p>
                <w:pPr>
                  <w:spacing w:line="276" w:lineRule="auto"/>
                  <w:jc w:val="both"/>
                  <w:rPr>
                    <w:rFonts w:eastAsia="Calibri"/>
                    <w:szCs w:val="24"/>
                  </w:rPr>
                </w:pPr>
                <w:r>
                  <w:rPr>
                    <w:rFonts w:eastAsia="Calibri"/>
                    <w:szCs w:val="24"/>
                  </w:rPr>
                  <w:t>5.2.</w:t>
                </w:r>
              </w:p>
            </w:tc>
            <w:tc>
              <w:tcPr>
                <w:tcW w:w="2977" w:type="dxa"/>
              </w:tcPr>
              <w:p>
                <w:pPr>
                  <w:spacing w:line="276" w:lineRule="auto"/>
                  <w:rPr>
                    <w:rFonts w:eastAsia="Calibri"/>
                    <w:szCs w:val="24"/>
                  </w:rPr>
                </w:pPr>
                <w:r>
                  <w:rPr>
                    <w:rFonts w:eastAsia="Calibri"/>
                    <w:szCs w:val="24"/>
                  </w:rPr>
                  <w:t>Tikroji policitemija, D45</w:t>
                </w:r>
              </w:p>
              <w:p>
                <w:pPr>
                  <w:spacing w:line="276" w:lineRule="auto"/>
                  <w:rPr>
                    <w:rFonts w:eastAsia="Calibri"/>
                    <w:szCs w:val="24"/>
                  </w:rPr>
                </w:pPr>
                <w:r>
                  <w:rPr>
                    <w:rFonts w:eastAsia="Calibri"/>
                    <w:szCs w:val="24"/>
                  </w:rPr>
                  <w:t>Mielodisplaziniai sindromai, D46</w:t>
                </w:r>
              </w:p>
              <w:p>
                <w:pPr>
                  <w:spacing w:line="276" w:lineRule="auto"/>
                  <w:rPr>
                    <w:rFonts w:eastAsia="Calibri"/>
                    <w:szCs w:val="24"/>
                  </w:rPr>
                </w:pPr>
                <w:r>
                  <w:rPr>
                    <w:rFonts w:eastAsia="Calibri"/>
                    <w:szCs w:val="24"/>
                  </w:rPr>
                  <w:t>Lėtinė mieloproliferacinė liga, D47.1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hematologo konsultacijos.</w:t>
                </w:r>
              </w:p>
            </w:tc>
          </w:tr>
          <w:tr>
            <w:tc>
              <w:tcPr>
                <w:tcW w:w="816" w:type="dxa"/>
              </w:tcPr>
              <w:p>
                <w:pPr>
                  <w:spacing w:line="276" w:lineRule="auto"/>
                  <w:jc w:val="both"/>
                  <w:rPr>
                    <w:rFonts w:eastAsia="Calibri"/>
                    <w:szCs w:val="24"/>
                  </w:rPr>
                </w:pPr>
                <w:r>
                  <w:rPr>
                    <w:rFonts w:eastAsia="Calibri"/>
                    <w:szCs w:val="24"/>
                  </w:rPr>
                  <w:t>5.3.</w:t>
                </w:r>
              </w:p>
            </w:tc>
            <w:tc>
              <w:tcPr>
                <w:tcW w:w="2977" w:type="dxa"/>
              </w:tcPr>
              <w:p>
                <w:pPr>
                  <w:spacing w:line="276" w:lineRule="auto"/>
                  <w:rPr>
                    <w:rFonts w:eastAsia="Calibri"/>
                    <w:szCs w:val="24"/>
                  </w:rPr>
                </w:pPr>
                <w:r>
                  <w:rPr>
                    <w:rFonts w:eastAsia="Calibri"/>
                    <w:szCs w:val="24"/>
                  </w:rPr>
                  <w:t xml:space="preserve">Mitybinės, hemolizinės, aplazinės ir kitos  anemijos, D50–D64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gydymo, esant normaliems kraujo rodikliams, visų profesinių grupių darbuotojai gali dirbti jūrų ir vidaus vandenų laivuose. Gydymo metu, esant Hb ≥100 g/l, dėl tinkamumo dirbti laive sprendžiama </w:t>
                </w:r>
                <w:r>
                  <w:rPr>
                    <w:rFonts w:eastAsia="Calibri"/>
                    <w:color w:val="000000"/>
                    <w:szCs w:val="24"/>
                  </w:rPr>
                  <w:t>individualiai po gydytojo hematologo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5.4.</w:t>
                </w:r>
              </w:p>
            </w:tc>
            <w:tc>
              <w:tcPr>
                <w:tcW w:w="2977" w:type="dxa"/>
              </w:tcPr>
              <w:p>
                <w:pPr>
                  <w:spacing w:line="276" w:lineRule="auto"/>
                  <w:rPr>
                    <w:rFonts w:eastAsia="Calibri"/>
                    <w:szCs w:val="24"/>
                  </w:rPr>
                </w:pPr>
                <w:r>
                  <w:rPr>
                    <w:rFonts w:eastAsia="Calibri"/>
                    <w:szCs w:val="24"/>
                  </w:rPr>
                  <w:t>Krešėjimo defektai, purpura ir kitos hemoraginės būklės,</w:t>
                </w:r>
              </w:p>
              <w:p>
                <w:pPr>
                  <w:spacing w:line="276" w:lineRule="auto"/>
                  <w:rPr>
                    <w:rFonts w:eastAsia="Calibri"/>
                    <w:szCs w:val="24"/>
                  </w:rPr>
                </w:pPr>
                <w:r>
                  <w:rPr>
                    <w:rFonts w:eastAsia="Calibri"/>
                    <w:szCs w:val="24"/>
                  </w:rPr>
                  <w:t xml:space="preserve">D65–D69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sunkia ligos forma, negali dirbti jūrų ir vidaus vandenų laivuose;</w:t>
                </w:r>
              </w:p>
              <w:p>
                <w:pPr>
                  <w:spacing w:line="276" w:lineRule="auto"/>
                  <w:rPr>
                    <w:rFonts w:eastAsia="Calibri"/>
                    <w:szCs w:val="24"/>
                  </w:rPr>
                </w:pPr>
                <w:r>
                  <w:rPr>
                    <w:rFonts w:eastAsia="Calibri"/>
                    <w:szCs w:val="24"/>
                  </w:rPr>
                  <w:t xml:space="preserve">asmenys, sergantys lengva ir vidutine ligos forma, gali dirbti jūrų ir vidaus vandenų laivuose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6.</w:t>
                </w:r>
              </w:p>
            </w:tc>
            <w:tc>
              <w:tcPr>
                <w:tcW w:w="14140" w:type="dxa"/>
                <w:gridSpan w:val="4"/>
              </w:tcPr>
              <w:p>
                <w:pPr>
                  <w:spacing w:line="276" w:lineRule="auto"/>
                  <w:jc w:val="center"/>
                  <w:rPr>
                    <w:rFonts w:eastAsia="Calibri"/>
                    <w:szCs w:val="24"/>
                  </w:rPr>
                </w:pPr>
                <w:r>
                  <w:rPr>
                    <w:rFonts w:eastAsia="Calibri"/>
                    <w:b/>
                    <w:szCs w:val="24"/>
                  </w:rPr>
                  <w:t>ENDOKRININĖS, MITYBOS IR MEDŽIAGŲ APYKAITOS LIGOS</w:t>
                </w:r>
              </w:p>
            </w:tc>
          </w:tr>
          <w:tr>
            <w:tc>
              <w:tcPr>
                <w:tcW w:w="816" w:type="dxa"/>
              </w:tcPr>
              <w:p>
                <w:pPr>
                  <w:spacing w:line="276" w:lineRule="auto"/>
                  <w:jc w:val="both"/>
                  <w:rPr>
                    <w:rFonts w:eastAsia="Calibri"/>
                    <w:szCs w:val="24"/>
                  </w:rPr>
                </w:pPr>
                <w:r>
                  <w:rPr>
                    <w:rFonts w:eastAsia="Calibri"/>
                    <w:szCs w:val="24"/>
                  </w:rPr>
                  <w:t>6.1.</w:t>
                </w:r>
              </w:p>
            </w:tc>
            <w:tc>
              <w:tcPr>
                <w:tcW w:w="2977" w:type="dxa"/>
              </w:tcPr>
              <w:p>
                <w:pPr>
                  <w:spacing w:line="276" w:lineRule="auto"/>
                  <w:rPr>
                    <w:rFonts w:eastAsia="Calibri"/>
                    <w:szCs w:val="24"/>
                  </w:rPr>
                </w:pPr>
                <w:r>
                  <w:rPr>
                    <w:rFonts w:eastAsia="Calibri"/>
                    <w:color w:val="000000"/>
                    <w:szCs w:val="24"/>
                  </w:rPr>
                  <w:t>Hipotirozė, E03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asmenų, kuriems po gydymo nustatoma normali skydliaukės funkcija, tinkamumo dirbti laive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6.2.</w:t>
                </w:r>
              </w:p>
            </w:tc>
            <w:tc>
              <w:tcPr>
                <w:tcW w:w="2977" w:type="dxa"/>
              </w:tcPr>
              <w:p>
                <w:pPr>
                  <w:spacing w:line="276" w:lineRule="auto"/>
                  <w:rPr>
                    <w:rFonts w:eastAsia="Calibri"/>
                    <w:color w:val="000000"/>
                    <w:szCs w:val="24"/>
                  </w:rPr>
                </w:pPr>
                <w:r>
                  <w:rPr>
                    <w:rFonts w:eastAsia="Calibri"/>
                    <w:color w:val="000000"/>
                    <w:szCs w:val="24"/>
                  </w:rPr>
                  <w:t>Tirotoksikozė, E05</w:t>
                </w:r>
              </w:p>
              <w:p>
                <w:pPr>
                  <w:spacing w:line="276" w:lineRule="auto"/>
                  <w:rPr>
                    <w:rFonts w:eastAsia="Calibri"/>
                    <w:strike/>
                    <w:color w:val="000000"/>
                    <w:szCs w:val="24"/>
                  </w:rPr>
                </w:pP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Visų profesinių grupių asmenys, jei gydant skydliaukės funkcija tampa normali, dirbti jūrų ir vidaus vandenų laivuose</w:t>
                </w:r>
              </w:p>
              <w:p>
                <w:pPr>
                  <w:spacing w:line="276" w:lineRule="auto"/>
                  <w:rPr>
                    <w:rFonts w:eastAsia="Calibri"/>
                    <w:szCs w:val="24"/>
                  </w:rPr>
                </w:pPr>
                <w:r>
                  <w:rPr>
                    <w:rFonts w:eastAsia="Calibri"/>
                    <w:color w:val="000000"/>
                    <w:szCs w:val="24"/>
                  </w:rPr>
                  <w:t>gali po gydytojo endokrinologo konsultacijos.</w:t>
                </w:r>
              </w:p>
            </w:tc>
          </w:tr>
          <w:tr>
            <w:tc>
              <w:tcPr>
                <w:tcW w:w="816" w:type="dxa"/>
              </w:tcPr>
              <w:p>
                <w:pPr>
                  <w:spacing w:line="276" w:lineRule="auto"/>
                  <w:jc w:val="both"/>
                  <w:rPr>
                    <w:rFonts w:eastAsia="Calibri"/>
                    <w:szCs w:val="24"/>
                  </w:rPr>
                </w:pPr>
                <w:r>
                  <w:rPr>
                    <w:rFonts w:eastAsia="Calibri"/>
                    <w:szCs w:val="24"/>
                  </w:rPr>
                  <w:t>6.3.</w:t>
                </w:r>
              </w:p>
            </w:tc>
            <w:tc>
              <w:tcPr>
                <w:tcW w:w="2977" w:type="dxa"/>
              </w:tcPr>
              <w:p>
                <w:pPr>
                  <w:spacing w:line="276" w:lineRule="auto"/>
                  <w:rPr>
                    <w:rFonts w:eastAsia="Calibri"/>
                    <w:szCs w:val="24"/>
                  </w:rPr>
                </w:pPr>
                <w:r>
                  <w:rPr>
                    <w:rFonts w:eastAsia="Calibri"/>
                    <w:szCs w:val="24"/>
                  </w:rPr>
                  <w:t>I tipo cukrinis diabetas, gydomas insulinu, E10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6.4.</w:t>
                </w:r>
              </w:p>
            </w:tc>
            <w:tc>
              <w:tcPr>
                <w:tcW w:w="2977" w:type="dxa"/>
              </w:tcPr>
              <w:p>
                <w:pPr>
                  <w:spacing w:line="276" w:lineRule="auto"/>
                  <w:rPr>
                    <w:rFonts w:eastAsia="Calibri"/>
                    <w:szCs w:val="24"/>
                  </w:rPr>
                </w:pPr>
                <w:r>
                  <w:rPr>
                    <w:rFonts w:eastAsia="Calibri"/>
                    <w:szCs w:val="24"/>
                  </w:rPr>
                  <w:t xml:space="preserve">II tipo cukrinis diabetas, E11, gydomas dieta arba hipoglikemizuojančiais peroraliniais medikamentais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Dėl tinkamumo dirbti jūrų ir vidaus vandenų laivuose sprendžiama individualiai po gydytojo endokrinologo konsultacijos. </w:t>
                </w:r>
              </w:p>
            </w:tc>
          </w:tr>
          <w:tr>
            <w:tc>
              <w:tcPr>
                <w:tcW w:w="816" w:type="dxa"/>
              </w:tcPr>
              <w:p>
                <w:pPr>
                  <w:spacing w:line="276" w:lineRule="auto"/>
                  <w:jc w:val="both"/>
                  <w:rPr>
                    <w:rFonts w:eastAsia="Calibri"/>
                    <w:szCs w:val="24"/>
                  </w:rPr>
                </w:pPr>
                <w:r>
                  <w:rPr>
                    <w:rFonts w:eastAsia="Calibri"/>
                    <w:szCs w:val="24"/>
                  </w:rPr>
                  <w:t>6.5.</w:t>
                </w:r>
              </w:p>
            </w:tc>
            <w:tc>
              <w:tcPr>
                <w:tcW w:w="2977" w:type="dxa"/>
              </w:tcPr>
              <w:p>
                <w:pPr>
                  <w:spacing w:line="276" w:lineRule="auto"/>
                  <w:rPr>
                    <w:rFonts w:eastAsia="Calibri"/>
                    <w:szCs w:val="24"/>
                  </w:rPr>
                </w:pPr>
                <w:r>
                  <w:rPr>
                    <w:rFonts w:eastAsia="Calibri"/>
                    <w:szCs w:val="24"/>
                  </w:rPr>
                  <w:t>II tipo cukrinis diabetas E11 (nekontroliuojamas skiriant peroralinius hipoglikemizuojančius medikamentus didelėmis dozėmis, išryškėjus encefalopatijai, retinopatijai, nefropatijai, polineuropatijai), taikant pakaitinę terapiją insulinu</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color w:val="000000"/>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color w:val="000000"/>
                    <w:szCs w:val="24"/>
                  </w:rPr>
                </w:pPr>
                <w:r>
                  <w:rPr>
                    <w:rFonts w:eastAsia="Calibri"/>
                    <w:color w:val="000000"/>
                    <w:szCs w:val="24"/>
                  </w:rPr>
                  <w:t>6.6.</w:t>
                </w:r>
              </w:p>
            </w:tc>
            <w:tc>
              <w:tcPr>
                <w:tcW w:w="2977" w:type="dxa"/>
              </w:tcPr>
              <w:p>
                <w:pPr>
                  <w:spacing w:line="276" w:lineRule="auto"/>
                  <w:rPr>
                    <w:rFonts w:eastAsia="Calibri"/>
                    <w:szCs w:val="24"/>
                  </w:rPr>
                </w:pPr>
                <w:r>
                  <w:rPr>
                    <w:rFonts w:eastAsia="Calibri"/>
                    <w:szCs w:val="24"/>
                  </w:rPr>
                  <w:t>Hipofizės hiperfunkcija, E22.0–E22.9</w:t>
                </w:r>
              </w:p>
              <w:p>
                <w:pPr>
                  <w:spacing w:line="276" w:lineRule="auto"/>
                  <w:rPr>
                    <w:rFonts w:eastAsia="Calibri"/>
                    <w:szCs w:val="24"/>
                  </w:rPr>
                </w:pPr>
                <w:r>
                  <w:rPr>
                    <w:rFonts w:eastAsia="Calibri"/>
                    <w:szCs w:val="24"/>
                  </w:rPr>
                  <w:t xml:space="preserve">Hipofizės hipofunkcija ir kiti funkcijos sutrikimai, </w:t>
                </w:r>
              </w:p>
              <w:p>
                <w:pPr>
                  <w:spacing w:line="276" w:lineRule="auto"/>
                  <w:rPr>
                    <w:rFonts w:eastAsia="Calibri"/>
                    <w:color w:val="000000"/>
                    <w:szCs w:val="24"/>
                  </w:rPr>
                </w:pPr>
                <w:r>
                  <w:rPr>
                    <w:rFonts w:eastAsia="Calibri"/>
                    <w:szCs w:val="24"/>
                  </w:rPr>
                  <w:t>E23.0–E23.7</w:t>
                </w: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szCs w:val="24"/>
                  </w:rPr>
                  <w:t xml:space="preserve">Dėl tinkamumo dirbti </w:t>
                </w:r>
                <w:r>
                  <w:rPr>
                    <w:rFonts w:eastAsia="Calibri"/>
                    <w:color w:val="000000"/>
                    <w:szCs w:val="24"/>
                  </w:rPr>
                  <w:t>jūrų ir vidaus vandenų laivuose</w:t>
                </w:r>
                <w:r>
                  <w:rPr>
                    <w:rFonts w:eastAsia="Calibri"/>
                    <w:szCs w:val="24"/>
                  </w:rPr>
                  <w:t xml:space="preserve"> sprendžiama individualiai </w:t>
                </w:r>
                <w:r>
                  <w:rPr>
                    <w:rFonts w:eastAsia="Calibri"/>
                    <w:color w:val="000000"/>
                    <w:szCs w:val="24"/>
                  </w:rPr>
                  <w:t>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6.7.</w:t>
                </w:r>
              </w:p>
            </w:tc>
            <w:tc>
              <w:tcPr>
                <w:tcW w:w="2977" w:type="dxa"/>
              </w:tcPr>
              <w:p>
                <w:pPr>
                  <w:spacing w:line="276" w:lineRule="auto"/>
                  <w:rPr>
                    <w:rFonts w:eastAsia="Calibri"/>
                    <w:szCs w:val="24"/>
                  </w:rPr>
                </w:pPr>
                <w:r>
                  <w:rPr>
                    <w:rFonts w:eastAsia="Calibri"/>
                    <w:szCs w:val="24"/>
                  </w:rPr>
                  <w:t>Pirminis antinksčių žievės nepakankamumas, E27.1–E27.4</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6.8.</w:t>
                </w:r>
              </w:p>
            </w:tc>
            <w:tc>
              <w:tcPr>
                <w:tcW w:w="2977" w:type="dxa"/>
              </w:tcPr>
              <w:p>
                <w:pPr>
                  <w:spacing w:line="276" w:lineRule="auto"/>
                  <w:rPr>
                    <w:rFonts w:eastAsia="Calibri"/>
                    <w:color w:val="000000"/>
                    <w:szCs w:val="24"/>
                  </w:rPr>
                </w:pPr>
                <w:r>
                  <w:rPr>
                    <w:rFonts w:eastAsia="Calibri"/>
                    <w:szCs w:val="24"/>
                  </w:rPr>
                  <w:t>Antinksčių funkcijos sutrikimai, E27.5–E27.9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dirbti </w:t>
                </w:r>
                <w:r>
                  <w:rPr>
                    <w:rFonts w:eastAsia="Calibri"/>
                    <w:color w:val="000000"/>
                    <w:szCs w:val="24"/>
                  </w:rPr>
                  <w:t>jūrų ir vidaus vandenų laive</w:t>
                </w:r>
                <w:r>
                  <w:rPr>
                    <w:rFonts w:eastAsia="Calibri"/>
                    <w:szCs w:val="24"/>
                  </w:rPr>
                  <w:t xml:space="preserve"> </w:t>
                </w:r>
                <w:r>
                  <w:rPr>
                    <w:rFonts w:eastAsia="Calibri"/>
                    <w:color w:val="000000"/>
                    <w:szCs w:val="24"/>
                  </w:rPr>
                  <w:t>sprendžiama individualiai 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6.9.</w:t>
                </w:r>
              </w:p>
            </w:tc>
            <w:tc>
              <w:tcPr>
                <w:tcW w:w="2977" w:type="dxa"/>
              </w:tcPr>
              <w:p>
                <w:pPr>
                  <w:spacing w:line="276" w:lineRule="auto"/>
                  <w:rPr>
                    <w:rFonts w:eastAsia="Calibri"/>
                    <w:szCs w:val="24"/>
                  </w:rPr>
                </w:pPr>
                <w:r>
                  <w:rPr>
                    <w:rFonts w:eastAsia="Calibri"/>
                    <w:szCs w:val="24"/>
                  </w:rPr>
                  <w:t>Nutukimas, E66</w:t>
                </w:r>
              </w:p>
            </w:tc>
            <w:tc>
              <w:tcPr>
                <w:tcW w:w="4110" w:type="dxa"/>
              </w:tcPr>
              <w:p>
                <w:pPr>
                  <w:spacing w:line="276" w:lineRule="auto"/>
                  <w:rPr>
                    <w:rFonts w:eastAsia="Calibri"/>
                    <w:szCs w:val="24"/>
                  </w:rPr>
                </w:pPr>
                <w:r>
                  <w:rPr>
                    <w:rFonts w:eastAsia="Calibri"/>
                    <w:szCs w:val="24"/>
                  </w:rPr>
                  <w:t>Nė vienos profesinės grupės darbuotojai, kurių KMI &gt; 40,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endokrinologo konsultacijos.</w:t>
                </w:r>
                <w:r>
                  <w:rPr>
                    <w:rFonts w:eastAsia="Calibri"/>
                    <w:color w:val="FF0000"/>
                    <w:szCs w:val="24"/>
                  </w:rPr>
                  <w:t xml:space="preserve"> </w:t>
                </w:r>
              </w:p>
            </w:tc>
          </w:tr>
          <w:tr>
            <w:tc>
              <w:tcPr>
                <w:tcW w:w="816" w:type="dxa"/>
              </w:tcPr>
              <w:p>
                <w:pPr>
                  <w:spacing w:line="276" w:lineRule="auto"/>
                  <w:jc w:val="both"/>
                  <w:rPr>
                    <w:rFonts w:eastAsia="Calibri"/>
                    <w:b/>
                    <w:szCs w:val="24"/>
                  </w:rPr>
                </w:pPr>
                <w:r>
                  <w:rPr>
                    <w:rFonts w:eastAsia="Calibri"/>
                    <w:b/>
                    <w:szCs w:val="24"/>
                  </w:rPr>
                  <w:t>7.</w:t>
                </w:r>
              </w:p>
            </w:tc>
            <w:tc>
              <w:tcPr>
                <w:tcW w:w="14140" w:type="dxa"/>
                <w:gridSpan w:val="4"/>
              </w:tcPr>
              <w:p>
                <w:pPr>
                  <w:spacing w:line="276" w:lineRule="auto"/>
                  <w:jc w:val="center"/>
                  <w:rPr>
                    <w:rFonts w:eastAsia="Calibri"/>
                    <w:b/>
                    <w:szCs w:val="24"/>
                  </w:rPr>
                </w:pPr>
                <w:r>
                  <w:rPr>
                    <w:rFonts w:eastAsia="Calibri"/>
                    <w:b/>
                    <w:szCs w:val="24"/>
                  </w:rPr>
                  <w:t xml:space="preserve">VIRŠKINIMO SISTEMOS LIGOS </w:t>
                </w:r>
              </w:p>
            </w:tc>
          </w:tr>
          <w:tr>
            <w:tc>
              <w:tcPr>
                <w:tcW w:w="816" w:type="dxa"/>
              </w:tcPr>
              <w:p>
                <w:pPr>
                  <w:spacing w:line="276" w:lineRule="auto"/>
                  <w:jc w:val="both"/>
                  <w:rPr>
                    <w:rFonts w:eastAsia="Calibri"/>
                    <w:szCs w:val="24"/>
                  </w:rPr>
                </w:pPr>
                <w:r>
                  <w:rPr>
                    <w:rFonts w:eastAsia="Calibri"/>
                    <w:szCs w:val="24"/>
                  </w:rPr>
                  <w:t>7.1.</w:t>
                </w:r>
              </w:p>
            </w:tc>
            <w:tc>
              <w:tcPr>
                <w:tcW w:w="2977" w:type="dxa"/>
              </w:tcPr>
              <w:p>
                <w:pPr>
                  <w:spacing w:line="276" w:lineRule="auto"/>
                  <w:rPr>
                    <w:rFonts w:eastAsia="Calibri"/>
                    <w:szCs w:val="24"/>
                  </w:rPr>
                </w:pPr>
                <w:r>
                  <w:rPr>
                    <w:rFonts w:eastAsia="Calibri"/>
                    <w:szCs w:val="24"/>
                  </w:rPr>
                  <w:t>Lėtinis hepatitas B, B18.1</w:t>
                </w:r>
              </w:p>
              <w:p>
                <w:pPr>
                  <w:spacing w:line="276" w:lineRule="auto"/>
                  <w:rPr>
                    <w:rFonts w:eastAsia="Calibri"/>
                    <w:szCs w:val="24"/>
                  </w:rPr>
                </w:pPr>
                <w:r>
                  <w:rPr>
                    <w:rFonts w:eastAsia="Calibri"/>
                    <w:szCs w:val="24"/>
                  </w:rPr>
                  <w:t>Lėtinis hepatitas C, B18.2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Po gydymo dėl tinkamumo dirbti </w:t>
                </w:r>
                <w:r>
                  <w:rPr>
                    <w:rFonts w:eastAsia="Calibri"/>
                    <w:color w:val="000000"/>
                    <w:szCs w:val="24"/>
                  </w:rPr>
                  <w:t>jūrų ir vidaus vandenų laivuose</w:t>
                </w:r>
                <w:r>
                  <w:rPr>
                    <w:rFonts w:eastAsia="Calibri"/>
                    <w:szCs w:val="24"/>
                  </w:rPr>
                  <w:t xml:space="preserve"> sprendžiama </w:t>
                </w:r>
                <w:r>
                  <w:rPr>
                    <w:rFonts w:eastAsia="Calibri"/>
                    <w:color w:val="000000"/>
                    <w:szCs w:val="24"/>
                  </w:rPr>
                  <w:t>individualiai po gydytojo gastroenterologo</w:t>
                </w:r>
                <w:r>
                  <w:rPr>
                    <w:rFonts w:eastAsia="Calibri"/>
                    <w:szCs w:val="24"/>
                  </w:rPr>
                  <w:t xml:space="preserve"> ar </w:t>
                </w:r>
                <w:r>
                  <w:rPr>
                    <w:rFonts w:eastAsia="Calibri"/>
                    <w:color w:val="000000"/>
                    <w:szCs w:val="24"/>
                  </w:rPr>
                  <w:t xml:space="preserve">gydytojo </w:t>
                </w:r>
                <w:r>
                  <w:rPr>
                    <w:rFonts w:eastAsia="Calibri"/>
                    <w:szCs w:val="24"/>
                  </w:rPr>
                  <w:t>infektologo konsultacijos.</w:t>
                </w:r>
              </w:p>
            </w:tc>
          </w:tr>
          <w:tr>
            <w:tc>
              <w:tcPr>
                <w:tcW w:w="816" w:type="dxa"/>
              </w:tcPr>
              <w:p>
                <w:pPr>
                  <w:spacing w:line="276" w:lineRule="auto"/>
                  <w:jc w:val="both"/>
                  <w:rPr>
                    <w:rFonts w:eastAsia="Calibri"/>
                    <w:szCs w:val="24"/>
                  </w:rPr>
                </w:pPr>
                <w:r>
                  <w:rPr>
                    <w:rFonts w:eastAsia="Calibri"/>
                    <w:szCs w:val="24"/>
                  </w:rPr>
                  <w:t>7.2.</w:t>
                </w:r>
              </w:p>
            </w:tc>
            <w:tc>
              <w:tcPr>
                <w:tcW w:w="2977" w:type="dxa"/>
              </w:tcPr>
              <w:p>
                <w:pPr>
                  <w:spacing w:line="276" w:lineRule="auto"/>
                  <w:rPr>
                    <w:rFonts w:eastAsia="Calibri"/>
                    <w:szCs w:val="24"/>
                  </w:rPr>
                </w:pPr>
                <w:r>
                  <w:rPr>
                    <w:rFonts w:eastAsia="Calibri"/>
                    <w:szCs w:val="24"/>
                  </w:rPr>
                  <w:t>Erozinis ezofagitas, K20</w:t>
                </w:r>
              </w:p>
              <w:p>
                <w:pPr>
                  <w:spacing w:line="276" w:lineRule="auto"/>
                  <w:rPr>
                    <w:rFonts w:eastAsia="Calibri"/>
                    <w:szCs w:val="24"/>
                  </w:rPr>
                </w:pPr>
                <w:r>
                  <w:rPr>
                    <w:rFonts w:eastAsia="Calibri"/>
                    <w:szCs w:val="24"/>
                  </w:rPr>
                  <w:t>Skrandžio opa, K25.7</w:t>
                </w:r>
              </w:p>
              <w:p>
                <w:pPr>
                  <w:spacing w:line="276" w:lineRule="auto"/>
                  <w:rPr>
                    <w:rFonts w:eastAsia="Calibri"/>
                    <w:szCs w:val="24"/>
                  </w:rPr>
                </w:pPr>
                <w:r>
                  <w:rPr>
                    <w:rFonts w:eastAsia="Calibri"/>
                    <w:szCs w:val="24"/>
                  </w:rPr>
                  <w:t>Dvylikapirštės žarnos opa, K26.7</w:t>
                </w:r>
              </w:p>
              <w:p>
                <w:pPr>
                  <w:spacing w:line="276" w:lineRule="auto"/>
                  <w:rPr>
                    <w:rFonts w:eastAsia="Calibri"/>
                    <w:szCs w:val="24"/>
                  </w:rPr>
                </w:pPr>
                <w:r>
                  <w:rPr>
                    <w:rFonts w:eastAsia="Calibri"/>
                    <w:szCs w:val="24"/>
                  </w:rPr>
                  <w:t>Ūminis hemoraginis gastritas, K29.0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jei liga komplikuojasi (po kraujavimo), praėjus 3 mėn. po pasveikimo, po gydytojo gastroenterologo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7.3.</w:t>
                </w:r>
              </w:p>
            </w:tc>
            <w:tc>
              <w:tcPr>
                <w:tcW w:w="2977" w:type="dxa"/>
              </w:tcPr>
              <w:p>
                <w:pPr>
                  <w:spacing w:line="276" w:lineRule="auto"/>
                  <w:rPr>
                    <w:rFonts w:eastAsia="Calibri"/>
                    <w:szCs w:val="24"/>
                  </w:rPr>
                </w:pPr>
                <w:r>
                  <w:rPr>
                    <w:rFonts w:eastAsia="Calibri"/>
                    <w:szCs w:val="24"/>
                  </w:rPr>
                  <w:t>Krono liga, K50</w:t>
                </w:r>
              </w:p>
              <w:p>
                <w:pPr>
                  <w:spacing w:line="276" w:lineRule="auto"/>
                  <w:rPr>
                    <w:rFonts w:eastAsia="Calibri"/>
                    <w:szCs w:val="24"/>
                  </w:rPr>
                </w:pPr>
                <w:r>
                  <w:rPr>
                    <w:rFonts w:eastAsia="Calibri"/>
                    <w:szCs w:val="24"/>
                  </w:rPr>
                  <w:t>Opinis kolitas, K51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w:t>
                </w:r>
                <w:r>
                  <w:rPr>
                    <w:rFonts w:eastAsia="Calibri"/>
                    <w:szCs w:val="24"/>
                  </w:rPr>
                  <w:t xml:space="preserve"> jūrų ir vidaus vandenų laivuose </w:t>
                </w:r>
                <w:r>
                  <w:rPr>
                    <w:rFonts w:eastAsia="Calibri"/>
                    <w:color w:val="000000"/>
                    <w:szCs w:val="24"/>
                  </w:rPr>
                  <w:t>po gydytojo gastroenterologo konsultacijos sprendžiama individualiai</w:t>
                </w:r>
                <w:r>
                  <w:rPr>
                    <w:rFonts w:eastAsia="Calibri"/>
                    <w:szCs w:val="24"/>
                  </w:rPr>
                  <w:t>, jeigu 1 metų laikotarpiu buvo ligos remisija.</w:t>
                </w:r>
              </w:p>
            </w:tc>
          </w:tr>
          <w:tr>
            <w:tc>
              <w:tcPr>
                <w:tcW w:w="816" w:type="dxa"/>
              </w:tcPr>
              <w:p>
                <w:pPr>
                  <w:spacing w:line="276" w:lineRule="auto"/>
                  <w:jc w:val="both"/>
                  <w:rPr>
                    <w:rFonts w:eastAsia="Calibri"/>
                    <w:szCs w:val="24"/>
                  </w:rPr>
                </w:pPr>
                <w:r>
                  <w:rPr>
                    <w:rFonts w:eastAsia="Calibri"/>
                    <w:szCs w:val="24"/>
                  </w:rPr>
                  <w:t>7.4.</w:t>
                </w:r>
              </w:p>
            </w:tc>
            <w:tc>
              <w:tcPr>
                <w:tcW w:w="2977" w:type="dxa"/>
              </w:tcPr>
              <w:p>
                <w:pPr>
                  <w:spacing w:line="276" w:lineRule="auto"/>
                  <w:rPr>
                    <w:rFonts w:eastAsia="Calibri"/>
                    <w:szCs w:val="24"/>
                  </w:rPr>
                </w:pPr>
                <w:r>
                  <w:rPr>
                    <w:rFonts w:eastAsia="Calibri"/>
                    <w:szCs w:val="24"/>
                  </w:rPr>
                  <w:t>Storosios žarnos divertikulinė liga, komplikuota divertikulitu, kraujavimu,</w:t>
                </w:r>
              </w:p>
              <w:p>
                <w:pPr>
                  <w:spacing w:line="276" w:lineRule="auto"/>
                  <w:rPr>
                    <w:rFonts w:eastAsia="Calibri"/>
                    <w:szCs w:val="24"/>
                  </w:rPr>
                </w:pPr>
                <w:r>
                  <w:rPr>
                    <w:rFonts w:eastAsia="Calibri"/>
                    <w:szCs w:val="24"/>
                  </w:rPr>
                  <w:t>K57.23</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po 3 mėn. </w:t>
                </w:r>
                <w:r>
                  <w:rPr>
                    <w:rFonts w:eastAsia="Calibri"/>
                    <w:color w:val="000000"/>
                    <w:szCs w:val="24"/>
                  </w:rPr>
                  <w:t>po gydytojo gastroenterologo konsultacijos, jeigu</w:t>
                </w:r>
                <w:r>
                  <w:rPr>
                    <w:rFonts w:eastAsia="Calibri"/>
                    <w:szCs w:val="24"/>
                  </w:rPr>
                  <w:t xml:space="preserve"> 3 mėnesių laikotarpiu buvo ligos remisija.</w:t>
                </w:r>
              </w:p>
            </w:tc>
          </w:tr>
          <w:tr>
            <w:tc>
              <w:tcPr>
                <w:tcW w:w="816" w:type="dxa"/>
              </w:tcPr>
              <w:p>
                <w:pPr>
                  <w:spacing w:line="276" w:lineRule="auto"/>
                  <w:jc w:val="both"/>
                  <w:rPr>
                    <w:rFonts w:eastAsia="Calibri"/>
                    <w:szCs w:val="24"/>
                  </w:rPr>
                </w:pPr>
                <w:r>
                  <w:rPr>
                    <w:rFonts w:eastAsia="Calibri"/>
                    <w:szCs w:val="24"/>
                  </w:rPr>
                  <w:t>7.5.</w:t>
                </w:r>
              </w:p>
            </w:tc>
            <w:tc>
              <w:tcPr>
                <w:tcW w:w="2977" w:type="dxa"/>
              </w:tcPr>
              <w:p>
                <w:pPr>
                  <w:spacing w:line="276" w:lineRule="auto"/>
                  <w:rPr>
                    <w:rFonts w:eastAsia="Calibri"/>
                    <w:szCs w:val="24"/>
                  </w:rPr>
                </w:pPr>
                <w:r>
                  <w:rPr>
                    <w:rFonts w:eastAsia="Calibri"/>
                    <w:szCs w:val="24"/>
                  </w:rPr>
                  <w:t>Kepenų cirozė, K74</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7.6.</w:t>
                </w:r>
              </w:p>
            </w:tc>
            <w:tc>
              <w:tcPr>
                <w:tcW w:w="2977" w:type="dxa"/>
              </w:tcPr>
              <w:p>
                <w:pPr>
                  <w:spacing w:line="276" w:lineRule="auto"/>
                  <w:rPr>
                    <w:rFonts w:eastAsia="Calibri"/>
                    <w:szCs w:val="24"/>
                  </w:rPr>
                </w:pPr>
                <w:r>
                  <w:rPr>
                    <w:rFonts w:eastAsia="Calibri"/>
                    <w:szCs w:val="24"/>
                  </w:rPr>
                  <w:t>Tulžies pūslės akmuo be</w:t>
                </w:r>
                <w:r>
                  <w:rPr>
                    <w:rFonts w:eastAsia="Calibri"/>
                    <w:strike/>
                    <w:szCs w:val="24"/>
                  </w:rPr>
                  <w:t xml:space="preserve"> </w:t>
                </w:r>
                <w:r>
                  <w:rPr>
                    <w:rFonts w:eastAsia="Calibri"/>
                    <w:szCs w:val="24"/>
                  </w:rPr>
                  <w:t>cholecistito, K80.2</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nėra klinikinių požymių – visų profesinių grupių asmenys gali dirbti jūrų ir vidaus vandenų laivuose.</w:t>
                </w:r>
              </w:p>
            </w:tc>
          </w:tr>
          <w:tr>
            <w:tc>
              <w:tcPr>
                <w:tcW w:w="816" w:type="dxa"/>
              </w:tcPr>
              <w:p>
                <w:pPr>
                  <w:spacing w:line="276" w:lineRule="auto"/>
                  <w:jc w:val="both"/>
                  <w:rPr>
                    <w:rFonts w:eastAsia="Calibri"/>
                    <w:szCs w:val="24"/>
                  </w:rPr>
                </w:pPr>
                <w:r>
                  <w:rPr>
                    <w:rFonts w:eastAsia="Calibri"/>
                    <w:szCs w:val="24"/>
                  </w:rPr>
                  <w:t>7.7.</w:t>
                </w:r>
              </w:p>
            </w:tc>
            <w:tc>
              <w:tcPr>
                <w:tcW w:w="2977" w:type="dxa"/>
              </w:tcPr>
              <w:p>
                <w:pPr>
                  <w:spacing w:line="276" w:lineRule="auto"/>
                  <w:rPr>
                    <w:rFonts w:eastAsia="Calibri"/>
                    <w:szCs w:val="24"/>
                  </w:rPr>
                </w:pPr>
                <w:r>
                  <w:rPr>
                    <w:rFonts w:eastAsia="Calibri"/>
                    <w:szCs w:val="24"/>
                  </w:rPr>
                  <w:t>Ūminis pankreatitas, K85 Lėtinis pankreatitas, K86.1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gastroenterologo</w:t>
                </w:r>
                <w:r>
                  <w:rPr>
                    <w:rFonts w:eastAsia="Calibri"/>
                    <w:szCs w:val="24"/>
                  </w:rPr>
                  <w:t xml:space="preserve"> konsultacijos, jeigu 3 mėnesių laikotarpiu buvo ligos remisija.</w:t>
                </w:r>
              </w:p>
            </w:tc>
          </w:tr>
          <w:tr>
            <w:tc>
              <w:tcPr>
                <w:tcW w:w="816" w:type="dxa"/>
              </w:tcPr>
              <w:p>
                <w:pPr>
                  <w:spacing w:line="276" w:lineRule="auto"/>
                  <w:jc w:val="both"/>
                  <w:rPr>
                    <w:rFonts w:eastAsia="Calibri"/>
                    <w:b/>
                    <w:szCs w:val="24"/>
                  </w:rPr>
                </w:pPr>
                <w:r>
                  <w:rPr>
                    <w:rFonts w:eastAsia="Calibri"/>
                    <w:b/>
                    <w:szCs w:val="24"/>
                  </w:rPr>
                  <w:t>8.</w:t>
                </w:r>
              </w:p>
            </w:tc>
            <w:tc>
              <w:tcPr>
                <w:tcW w:w="14140" w:type="dxa"/>
                <w:gridSpan w:val="4"/>
              </w:tcPr>
              <w:p>
                <w:pPr>
                  <w:spacing w:line="276" w:lineRule="auto"/>
                  <w:jc w:val="center"/>
                  <w:rPr>
                    <w:rFonts w:eastAsia="Calibri"/>
                    <w:b/>
                    <w:szCs w:val="24"/>
                  </w:rPr>
                </w:pPr>
                <w:r>
                  <w:rPr>
                    <w:rFonts w:eastAsia="Calibri"/>
                    <w:b/>
                    <w:szCs w:val="24"/>
                  </w:rPr>
                  <w:t>JUNGIAMOJO AUDINIO IR RAUMENŲ BEI SKELETO LIGOS</w:t>
                </w:r>
              </w:p>
            </w:tc>
          </w:tr>
          <w:tr>
            <w:tc>
              <w:tcPr>
                <w:tcW w:w="816" w:type="dxa"/>
              </w:tcPr>
              <w:p>
                <w:pPr>
                  <w:spacing w:line="276" w:lineRule="auto"/>
                  <w:jc w:val="both"/>
                  <w:rPr>
                    <w:rFonts w:eastAsia="Calibri"/>
                    <w:szCs w:val="24"/>
                  </w:rPr>
                </w:pPr>
                <w:r>
                  <w:rPr>
                    <w:rFonts w:eastAsia="Calibri"/>
                    <w:szCs w:val="24"/>
                  </w:rPr>
                  <w:t>8.1.</w:t>
                </w:r>
              </w:p>
            </w:tc>
            <w:tc>
              <w:tcPr>
                <w:tcW w:w="2977" w:type="dxa"/>
              </w:tcPr>
              <w:p>
                <w:pPr>
                  <w:spacing w:line="276" w:lineRule="auto"/>
                  <w:rPr>
                    <w:rFonts w:eastAsia="Calibri"/>
                    <w:szCs w:val="24"/>
                  </w:rPr>
                </w:pPr>
                <w:r>
                  <w:rPr>
                    <w:rFonts w:eastAsia="Calibri"/>
                    <w:szCs w:val="24"/>
                  </w:rPr>
                  <w:t>Uždegiminės poliartropatijos, M05–M14</w:t>
                </w:r>
              </w:p>
              <w:p>
                <w:pPr>
                  <w:spacing w:line="276" w:lineRule="auto"/>
                  <w:rPr>
                    <w:rFonts w:eastAsia="Calibri"/>
                    <w:szCs w:val="24"/>
                  </w:rPr>
                </w:pPr>
                <w:r>
                  <w:rPr>
                    <w:rFonts w:eastAsia="Calibri"/>
                    <w:szCs w:val="24"/>
                  </w:rPr>
                  <w:t>Sisteminės jungiamojo audinio ligos, M30–M36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w:t>
                </w:r>
                <w:r>
                  <w:rPr>
                    <w:rFonts w:eastAsia="Calibri"/>
                    <w:color w:val="000000"/>
                    <w:szCs w:val="24"/>
                  </w:rPr>
                  <w:t>po gydytojo reumatologo konsultacijos.</w:t>
                </w:r>
              </w:p>
            </w:tc>
          </w:tr>
          <w:tr>
            <w:tc>
              <w:tcPr>
                <w:tcW w:w="816" w:type="dxa"/>
              </w:tcPr>
              <w:p>
                <w:pPr>
                  <w:spacing w:line="276" w:lineRule="auto"/>
                  <w:jc w:val="both"/>
                  <w:rPr>
                    <w:rFonts w:eastAsia="Calibri"/>
                    <w:b/>
                    <w:szCs w:val="24"/>
                  </w:rPr>
                </w:pPr>
                <w:r>
                  <w:rPr>
                    <w:rFonts w:eastAsia="Calibri"/>
                    <w:b/>
                    <w:szCs w:val="24"/>
                  </w:rPr>
                  <w:t>9.</w:t>
                </w:r>
              </w:p>
            </w:tc>
            <w:tc>
              <w:tcPr>
                <w:tcW w:w="14140" w:type="dxa"/>
                <w:gridSpan w:val="4"/>
              </w:tcPr>
              <w:p>
                <w:pPr>
                  <w:spacing w:line="276" w:lineRule="auto"/>
                  <w:jc w:val="center"/>
                  <w:rPr>
                    <w:rFonts w:eastAsia="Calibri"/>
                    <w:b/>
                    <w:szCs w:val="24"/>
                  </w:rPr>
                </w:pPr>
                <w:r>
                  <w:rPr>
                    <w:rFonts w:eastAsia="Calibri"/>
                    <w:b/>
                    <w:szCs w:val="24"/>
                  </w:rPr>
                  <w:t>LYTINĖS IR ŠLAPIMO SISTEMOS LIGOS</w:t>
                </w:r>
              </w:p>
            </w:tc>
          </w:tr>
          <w:tr>
            <w:tc>
              <w:tcPr>
                <w:tcW w:w="816" w:type="dxa"/>
              </w:tcPr>
              <w:p>
                <w:pPr>
                  <w:spacing w:line="276" w:lineRule="auto"/>
                  <w:jc w:val="both"/>
                  <w:rPr>
                    <w:rFonts w:eastAsia="Calibri"/>
                    <w:szCs w:val="24"/>
                  </w:rPr>
                </w:pPr>
                <w:r>
                  <w:rPr>
                    <w:rFonts w:eastAsia="Calibri"/>
                    <w:szCs w:val="24"/>
                  </w:rPr>
                  <w:t>9.1.</w:t>
                </w:r>
              </w:p>
            </w:tc>
            <w:tc>
              <w:tcPr>
                <w:tcW w:w="2977" w:type="dxa"/>
              </w:tcPr>
              <w:p>
                <w:pPr>
                  <w:spacing w:line="276" w:lineRule="auto"/>
                  <w:rPr>
                    <w:rFonts w:eastAsia="Calibri"/>
                    <w:szCs w:val="24"/>
                  </w:rPr>
                </w:pPr>
                <w:r>
                  <w:rPr>
                    <w:rFonts w:eastAsia="Calibri"/>
                    <w:szCs w:val="24"/>
                  </w:rPr>
                  <w:t>Glomerulų ligos, N00–N08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Jei nėra inkstų funkcijos nepakankamumo, dėl </w:t>
                </w:r>
                <w:r>
                  <w:rPr>
                    <w:rFonts w:eastAsia="Calibri"/>
                    <w:color w:val="000000"/>
                    <w:szCs w:val="24"/>
                  </w:rPr>
                  <w:t>tinkamumo dirbti jūrų ir vidaus vandenų laivuose sprendžiama individualiai po gydytojo nefrologo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9.2.</w:t>
                </w:r>
              </w:p>
            </w:tc>
            <w:tc>
              <w:tcPr>
                <w:tcW w:w="2977" w:type="dxa"/>
              </w:tcPr>
              <w:p>
                <w:pPr>
                  <w:spacing w:line="276" w:lineRule="auto"/>
                  <w:rPr>
                    <w:rFonts w:eastAsia="Calibri"/>
                    <w:szCs w:val="24"/>
                  </w:rPr>
                </w:pPr>
                <w:r>
                  <w:rPr>
                    <w:rFonts w:eastAsia="Calibri"/>
                    <w:szCs w:val="24"/>
                  </w:rPr>
                  <w:t>Lėtinės urogenitalinės sistemos uždegiminės ligos,</w:t>
                </w:r>
              </w:p>
              <w:p>
                <w:pPr>
                  <w:spacing w:line="276" w:lineRule="auto"/>
                  <w:rPr>
                    <w:rFonts w:eastAsia="Calibri"/>
                    <w:szCs w:val="24"/>
                  </w:rPr>
                </w:pPr>
                <w:r>
                  <w:rPr>
                    <w:rFonts w:eastAsia="Calibri"/>
                    <w:szCs w:val="24"/>
                  </w:rPr>
                  <w:t>N11.1, N30.2,N34.1, N41.1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Visų profesinių grupių asmenys, jei liga neūmi ir nesutrikusios organų funkcijos, gali dirbti jūrų ir vidaus vandenų laivuose. </w:t>
                </w:r>
              </w:p>
              <w:p>
                <w:pPr>
                  <w:spacing w:line="276" w:lineRule="auto"/>
                  <w:rPr>
                    <w:rFonts w:eastAsia="Calibri"/>
                    <w:szCs w:val="24"/>
                  </w:rPr>
                </w:pPr>
                <w:r>
                  <w:rPr>
                    <w:rFonts w:eastAsia="Calibri"/>
                    <w:szCs w:val="24"/>
                  </w:rPr>
                  <w:t xml:space="preserve">Periodinis tikrinimas </w:t>
                </w:r>
                <w:r>
                  <w:rPr>
                    <w:rFonts w:eastAsia="Calibri"/>
                    <w:color w:val="000000"/>
                    <w:szCs w:val="24"/>
                  </w:rPr>
                  <w:t>– pagal gydytojo urologo rekomendacijas</w:t>
                </w:r>
                <w:r>
                  <w:rPr>
                    <w:rFonts w:eastAsia="Calibri"/>
                    <w:szCs w:val="24"/>
                  </w:rPr>
                  <w:t>.</w:t>
                </w:r>
              </w:p>
            </w:tc>
          </w:tr>
          <w:tr>
            <w:tc>
              <w:tcPr>
                <w:tcW w:w="816" w:type="dxa"/>
              </w:tcPr>
              <w:p>
                <w:pPr>
                  <w:spacing w:line="276" w:lineRule="auto"/>
                  <w:jc w:val="both"/>
                  <w:rPr>
                    <w:rFonts w:eastAsia="Calibri"/>
                    <w:szCs w:val="24"/>
                  </w:rPr>
                </w:pPr>
                <w:r>
                  <w:rPr>
                    <w:rFonts w:eastAsia="Calibri"/>
                    <w:szCs w:val="24"/>
                  </w:rPr>
                  <w:t>9.3.</w:t>
                </w:r>
              </w:p>
            </w:tc>
            <w:tc>
              <w:tcPr>
                <w:tcW w:w="2977" w:type="dxa"/>
              </w:tcPr>
              <w:p>
                <w:pPr>
                  <w:spacing w:line="276" w:lineRule="auto"/>
                  <w:rPr>
                    <w:rFonts w:eastAsia="Calibri"/>
                    <w:szCs w:val="24"/>
                  </w:rPr>
                </w:pPr>
                <w:r>
                  <w:rPr>
                    <w:rFonts w:eastAsia="Calibri"/>
                    <w:szCs w:val="24"/>
                  </w:rPr>
                  <w:t>Obstrukcinė ir refliuksinė uropatija, N13.0–N13.9</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9.4.</w:t>
                </w:r>
              </w:p>
            </w:tc>
            <w:tc>
              <w:tcPr>
                <w:tcW w:w="2977" w:type="dxa"/>
              </w:tcPr>
              <w:p>
                <w:pPr>
                  <w:spacing w:line="276" w:lineRule="auto"/>
                  <w:rPr>
                    <w:rFonts w:eastAsia="Calibri"/>
                    <w:szCs w:val="24"/>
                  </w:rPr>
                </w:pPr>
                <w:r>
                  <w:rPr>
                    <w:rFonts w:eastAsia="Calibri"/>
                    <w:szCs w:val="24"/>
                  </w:rPr>
                  <w:t>Lėtinis inkstų nepakankamumas, N18 (I–II laipsnio)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9.5.</w:t>
                </w:r>
              </w:p>
            </w:tc>
            <w:tc>
              <w:tcPr>
                <w:tcW w:w="2977" w:type="dxa"/>
              </w:tcPr>
              <w:p>
                <w:pPr>
                  <w:spacing w:line="276" w:lineRule="auto"/>
                  <w:rPr>
                    <w:rFonts w:eastAsia="Calibri"/>
                    <w:szCs w:val="24"/>
                  </w:rPr>
                </w:pPr>
                <w:r>
                  <w:rPr>
                    <w:rFonts w:eastAsia="Calibri"/>
                    <w:szCs w:val="24"/>
                  </w:rPr>
                  <w:t>Lėtinis inkstų nepakankamumas, N18 (III–IV laipsnio)</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9.6.</w:t>
                </w:r>
              </w:p>
            </w:tc>
            <w:tc>
              <w:tcPr>
                <w:tcW w:w="2977" w:type="dxa"/>
              </w:tcPr>
              <w:p>
                <w:pPr>
                  <w:spacing w:line="276" w:lineRule="auto"/>
                  <w:rPr>
                    <w:rFonts w:eastAsia="Calibri"/>
                    <w:szCs w:val="24"/>
                  </w:rPr>
                </w:pPr>
                <w:r>
                  <w:rPr>
                    <w:rFonts w:eastAsia="Calibri"/>
                    <w:szCs w:val="24"/>
                  </w:rPr>
                  <w:t>Inkstų ir šlapimo takų akmenligė, N20–N23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Nekomplikuotos ir komplikuotos akmenligės (uždegimas, hidronefrozė ir kitos komplikacijos) atveju po gydymo dėl tinkamumo </w:t>
                </w:r>
                <w:r>
                  <w:rPr>
                    <w:rFonts w:eastAsia="Calibri"/>
                    <w:color w:val="000000"/>
                    <w:szCs w:val="24"/>
                  </w:rPr>
                  <w:t>dirbti jūrų ir vidaus vandenų laiv</w:t>
                </w:r>
                <w:r>
                  <w:rPr>
                    <w:rFonts w:eastAsia="Calibri"/>
                    <w:szCs w:val="24"/>
                  </w:rPr>
                  <w:t xml:space="preserve">uose sprendžiama individualiai po </w:t>
                </w:r>
                <w:r>
                  <w:rPr>
                    <w:rFonts w:eastAsia="Calibri"/>
                    <w:color w:val="000000"/>
                    <w:szCs w:val="24"/>
                  </w:rPr>
                  <w:t>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9.7.</w:t>
                </w:r>
              </w:p>
            </w:tc>
            <w:tc>
              <w:tcPr>
                <w:tcW w:w="2977" w:type="dxa"/>
              </w:tcPr>
              <w:p>
                <w:pPr>
                  <w:spacing w:line="276" w:lineRule="auto"/>
                  <w:rPr>
                    <w:rFonts w:eastAsia="Calibri"/>
                    <w:color w:val="000000"/>
                    <w:szCs w:val="24"/>
                  </w:rPr>
                </w:pPr>
                <w:r>
                  <w:rPr>
                    <w:rFonts w:eastAsia="Calibri"/>
                    <w:color w:val="000000"/>
                    <w:szCs w:val="24"/>
                  </w:rPr>
                  <w:t>Įgyta inksto cista, (dauginė) (solitarinė) N28.1</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Negalima </w:t>
                </w:r>
                <w:r>
                  <w:rPr>
                    <w:rFonts w:eastAsia="Calibri"/>
                    <w:color w:val="000000"/>
                    <w:szCs w:val="24"/>
                  </w:rPr>
                  <w:t>dirbti jūrų ir vidaus vandenų</w:t>
                </w:r>
                <w:r>
                  <w:rPr>
                    <w:rFonts w:eastAsia="Calibri"/>
                    <w:szCs w:val="24"/>
                  </w:rPr>
                  <w:t xml:space="preserve"> laivuose, kai yra didelė komplikacijų rizika ar inkstų funkcijos nepakankamumas. Dėl tinkamumo sprendžiama individualiai </w:t>
                </w:r>
                <w:r>
                  <w:rPr>
                    <w:rFonts w:eastAsia="Calibri"/>
                    <w:color w:val="000000"/>
                    <w:szCs w:val="24"/>
                  </w:rPr>
                  <w:t>po gydytojo urologo ir (ar) gydytojo</w:t>
                </w:r>
                <w:r>
                  <w:rPr>
                    <w:rFonts w:eastAsia="Calibri"/>
                    <w:szCs w:val="24"/>
                  </w:rPr>
                  <w:t xml:space="preserve"> nefrologo konsultacijos.</w:t>
                </w:r>
              </w:p>
            </w:tc>
          </w:tr>
          <w:tr>
            <w:tc>
              <w:tcPr>
                <w:tcW w:w="816" w:type="dxa"/>
              </w:tcPr>
              <w:p>
                <w:pPr>
                  <w:spacing w:line="276" w:lineRule="auto"/>
                  <w:jc w:val="both"/>
                  <w:rPr>
                    <w:rFonts w:eastAsia="Calibri"/>
                    <w:szCs w:val="24"/>
                  </w:rPr>
                </w:pPr>
                <w:r>
                  <w:rPr>
                    <w:rFonts w:eastAsia="Calibri"/>
                    <w:szCs w:val="24"/>
                  </w:rPr>
                  <w:t>9.8.</w:t>
                </w:r>
              </w:p>
            </w:tc>
            <w:tc>
              <w:tcPr>
                <w:tcW w:w="2977" w:type="dxa"/>
              </w:tcPr>
              <w:p>
                <w:pPr>
                  <w:spacing w:line="276" w:lineRule="auto"/>
                  <w:rPr>
                    <w:rFonts w:eastAsia="Calibri"/>
                    <w:szCs w:val="24"/>
                  </w:rPr>
                </w:pPr>
                <w:r>
                  <w:rPr>
                    <w:rFonts w:eastAsia="Calibri"/>
                    <w:szCs w:val="24"/>
                  </w:rPr>
                  <w:t>Priešinės liaukos (prostatos) hiperplazija, N40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 laivuose</w:t>
                </w:r>
                <w:r>
                  <w:rPr>
                    <w:rFonts w:eastAsia="Calibri"/>
                    <w:szCs w:val="24"/>
                  </w:rPr>
                  <w:t xml:space="preserve"> sprendžiama individualiai </w:t>
                </w:r>
                <w:r>
                  <w:rPr>
                    <w:rFonts w:eastAsia="Calibri"/>
                    <w:color w:val="000000"/>
                    <w:szCs w:val="24"/>
                  </w:rPr>
                  <w:t>po 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9.9.</w:t>
                </w:r>
              </w:p>
            </w:tc>
            <w:tc>
              <w:tcPr>
                <w:tcW w:w="2977" w:type="dxa"/>
              </w:tcPr>
              <w:p>
                <w:pPr>
                  <w:spacing w:line="276" w:lineRule="auto"/>
                  <w:rPr>
                    <w:rFonts w:eastAsia="Calibri"/>
                    <w:color w:val="000000"/>
                    <w:szCs w:val="24"/>
                  </w:rPr>
                </w:pPr>
                <w:r>
                  <w:rPr>
                    <w:rFonts w:eastAsia="Calibri"/>
                    <w:color w:val="000000"/>
                    <w:szCs w:val="24"/>
                  </w:rPr>
                  <w:t>Įgimtos šlapimo organų sistemos formavimosi ydos, Q60– Q64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9.10.</w:t>
                </w:r>
              </w:p>
            </w:tc>
            <w:tc>
              <w:tcPr>
                <w:tcW w:w="2977" w:type="dxa"/>
              </w:tcPr>
              <w:p>
                <w:pPr>
                  <w:spacing w:line="276" w:lineRule="auto"/>
                  <w:rPr>
                    <w:rFonts w:eastAsia="Calibri"/>
                    <w:szCs w:val="24"/>
                  </w:rPr>
                </w:pPr>
                <w:r>
                  <w:rPr>
                    <w:rFonts w:eastAsia="Calibri"/>
                    <w:szCs w:val="24"/>
                  </w:rPr>
                  <w:t>Inksto įgytas nebuvimas (būklė po nefrektomijos), Z90.5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vienintelio inksto funkcija normali, dėl 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9.11.</w:t>
                </w:r>
              </w:p>
            </w:tc>
            <w:tc>
              <w:tcPr>
                <w:tcW w:w="2977" w:type="dxa"/>
              </w:tcPr>
              <w:p>
                <w:pPr>
                  <w:spacing w:line="276" w:lineRule="auto"/>
                  <w:rPr>
                    <w:rFonts w:eastAsia="Calibri"/>
                    <w:szCs w:val="24"/>
                  </w:rPr>
                </w:pPr>
                <w:r>
                  <w:rPr>
                    <w:rFonts w:eastAsia="Calibri"/>
                    <w:szCs w:val="24"/>
                  </w:rPr>
                  <w:t xml:space="preserve">Kitos dirbtinės šlapimo takų angos </w:t>
                </w:r>
                <w:r>
                  <w:rPr>
                    <w:rFonts w:eastAsia="Calibri"/>
                    <w:color w:val="000000"/>
                    <w:szCs w:val="24"/>
                  </w:rPr>
                  <w:t>(nefrostoma, urostoma), Z93.6</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Dėl asmenų, kuriems atlikta </w:t>
                </w:r>
                <w:r>
                  <w:rPr>
                    <w:rFonts w:eastAsia="Calibri"/>
                    <w:color w:val="000000"/>
                    <w:szCs w:val="24"/>
                  </w:rPr>
                  <w:t>urostoma, tinkamumo</w:t>
                </w:r>
                <w:r>
                  <w:rPr>
                    <w:rFonts w:eastAsia="Calibri"/>
                    <w:szCs w:val="24"/>
                  </w:rPr>
                  <w:t xml:space="preserve"> </w:t>
                </w:r>
                <w:r>
                  <w:rPr>
                    <w:rFonts w:eastAsia="Calibri"/>
                    <w:color w:val="000000"/>
                    <w:szCs w:val="24"/>
                  </w:rPr>
                  <w:t>dirbti vidaus</w:t>
                </w:r>
                <w:r>
                  <w:rPr>
                    <w:rFonts w:eastAsia="Calibri"/>
                    <w:szCs w:val="24"/>
                  </w:rPr>
                  <w:t xml:space="preserve"> vandenų laivuose sprendžiama individualiai </w:t>
                </w:r>
                <w:r>
                  <w:rPr>
                    <w:rFonts w:eastAsia="Calibri"/>
                    <w:color w:val="000000"/>
                    <w:szCs w:val="24"/>
                  </w:rPr>
                  <w:t>po gydytojo urologo konsultacijos.</w:t>
                </w:r>
              </w:p>
            </w:tc>
          </w:tr>
          <w:tr>
            <w:tc>
              <w:tcPr>
                <w:tcW w:w="816" w:type="dxa"/>
              </w:tcPr>
              <w:p>
                <w:pPr>
                  <w:spacing w:line="276" w:lineRule="auto"/>
                  <w:jc w:val="both"/>
                  <w:rPr>
                    <w:rFonts w:eastAsia="Calibri"/>
                    <w:color w:val="000000"/>
                    <w:szCs w:val="24"/>
                  </w:rPr>
                </w:pPr>
                <w:r>
                  <w:rPr>
                    <w:rFonts w:eastAsia="Calibri"/>
                    <w:color w:val="000000"/>
                    <w:szCs w:val="24"/>
                  </w:rPr>
                  <w:t>9.12.</w:t>
                </w:r>
              </w:p>
            </w:tc>
            <w:tc>
              <w:tcPr>
                <w:tcW w:w="2977" w:type="dxa"/>
              </w:tcPr>
              <w:p>
                <w:pPr>
                  <w:spacing w:line="276" w:lineRule="auto"/>
                  <w:rPr>
                    <w:rFonts w:eastAsia="Calibri"/>
                    <w:color w:val="000000"/>
                    <w:szCs w:val="24"/>
                  </w:rPr>
                </w:pPr>
                <w:r>
                  <w:rPr>
                    <w:rFonts w:eastAsia="Calibri"/>
                    <w:color w:val="000000"/>
                    <w:szCs w:val="24"/>
                  </w:rPr>
                  <w:t>Persodintas inkstas, Z94.0</w:t>
                </w:r>
              </w:p>
              <w:p>
                <w:pPr>
                  <w:spacing w:line="276" w:lineRule="auto"/>
                  <w:rPr>
                    <w:rFonts w:eastAsia="Calibri"/>
                    <w:color w:val="000000"/>
                    <w:szCs w:val="24"/>
                  </w:rPr>
                </w:pP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nefrologo konsultacijos.</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b/>
                    <w:szCs w:val="24"/>
                  </w:rPr>
                </w:pPr>
                <w:r>
                  <w:rPr>
                    <w:rFonts w:eastAsia="Calibri"/>
                    <w:b/>
                    <w:szCs w:val="24"/>
                  </w:rPr>
                  <w:t>10.</w:t>
                </w:r>
              </w:p>
            </w:tc>
            <w:tc>
              <w:tcPr>
                <w:tcW w:w="14140" w:type="dxa"/>
                <w:gridSpan w:val="4"/>
              </w:tcPr>
              <w:p>
                <w:pPr>
                  <w:spacing w:line="276" w:lineRule="auto"/>
                  <w:jc w:val="center"/>
                  <w:rPr>
                    <w:rFonts w:eastAsia="Calibri"/>
                    <w:b/>
                    <w:szCs w:val="24"/>
                  </w:rPr>
                </w:pPr>
                <w:r>
                  <w:rPr>
                    <w:rFonts w:eastAsia="Calibri"/>
                    <w:b/>
                    <w:szCs w:val="24"/>
                  </w:rPr>
                  <w:t xml:space="preserve">NĖŠTUMAS </w:t>
                </w:r>
              </w:p>
            </w:tc>
          </w:tr>
          <w:tr>
            <w:tc>
              <w:tcPr>
                <w:tcW w:w="816" w:type="dxa"/>
              </w:tcPr>
              <w:p>
                <w:pPr>
                  <w:spacing w:line="276" w:lineRule="auto"/>
                  <w:jc w:val="both"/>
                  <w:rPr>
                    <w:rFonts w:eastAsia="Calibri"/>
                    <w:szCs w:val="24"/>
                  </w:rPr>
                </w:pPr>
                <w:r>
                  <w:rPr>
                    <w:rFonts w:eastAsia="Calibri"/>
                    <w:szCs w:val="24"/>
                  </w:rPr>
                  <w:t>10.1.</w:t>
                </w:r>
              </w:p>
            </w:tc>
            <w:tc>
              <w:tcPr>
                <w:tcW w:w="2977" w:type="dxa"/>
              </w:tcPr>
              <w:p>
                <w:pPr>
                  <w:spacing w:line="276" w:lineRule="auto"/>
                  <w:rPr>
                    <w:rFonts w:eastAsia="Calibri"/>
                    <w:szCs w:val="24"/>
                  </w:rPr>
                </w:pPr>
                <w:r>
                  <w:rPr>
                    <w:rFonts w:eastAsia="Calibri"/>
                    <w:szCs w:val="24"/>
                  </w:rPr>
                  <w:t>Nėštumas, O09</w:t>
                </w:r>
              </w:p>
            </w:tc>
            <w:tc>
              <w:tcPr>
                <w:tcW w:w="4110" w:type="dxa"/>
              </w:tcPr>
              <w:p>
                <w:pPr>
                  <w:spacing w:line="276" w:lineRule="auto"/>
                  <w:rPr>
                    <w:rFonts w:eastAsia="Calibri"/>
                    <w:szCs w:val="24"/>
                  </w:rPr>
                </w:pPr>
                <w:r>
                  <w:rPr>
                    <w:rFonts w:eastAsia="Calibri"/>
                    <w:szCs w:val="24"/>
                  </w:rPr>
                  <w:t>Nė vienos profesinės grupės darbuotojos</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 xml:space="preserve">Nė vienos profesinės grupės darbuotojos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11.</w:t>
                </w:r>
              </w:p>
            </w:tc>
            <w:tc>
              <w:tcPr>
                <w:tcW w:w="14140" w:type="dxa"/>
                <w:gridSpan w:val="4"/>
              </w:tcPr>
              <w:p>
                <w:pPr>
                  <w:spacing w:line="276" w:lineRule="auto"/>
                  <w:jc w:val="center"/>
                  <w:rPr>
                    <w:rFonts w:eastAsia="Calibri"/>
                    <w:szCs w:val="24"/>
                  </w:rPr>
                </w:pPr>
                <w:r>
                  <w:rPr>
                    <w:rFonts w:eastAsia="Calibri"/>
                    <w:b/>
                    <w:szCs w:val="24"/>
                  </w:rPr>
                  <w:t>NEUŽDEGIMINĖS MOTERS LYTIES ORGANŲ LIGOS</w:t>
                </w:r>
              </w:p>
            </w:tc>
          </w:tr>
          <w:tr>
            <w:tc>
              <w:tcPr>
                <w:tcW w:w="816" w:type="dxa"/>
              </w:tcPr>
              <w:p>
                <w:pPr>
                  <w:spacing w:line="276" w:lineRule="auto"/>
                  <w:jc w:val="both"/>
                  <w:rPr>
                    <w:rFonts w:eastAsia="Calibri"/>
                    <w:szCs w:val="24"/>
                  </w:rPr>
                </w:pPr>
                <w:r>
                  <w:rPr>
                    <w:rFonts w:eastAsia="Calibri"/>
                    <w:szCs w:val="24"/>
                  </w:rPr>
                  <w:t>11.1.</w:t>
                </w:r>
              </w:p>
            </w:tc>
            <w:tc>
              <w:tcPr>
                <w:tcW w:w="2977" w:type="dxa"/>
              </w:tcPr>
              <w:p>
                <w:pPr>
                  <w:spacing w:line="276" w:lineRule="auto"/>
                  <w:rPr>
                    <w:rFonts w:eastAsia="Calibri"/>
                    <w:szCs w:val="24"/>
                  </w:rPr>
                </w:pPr>
                <w:r>
                  <w:rPr>
                    <w:rFonts w:eastAsia="Calibri"/>
                    <w:szCs w:val="24"/>
                  </w:rPr>
                  <w:t xml:space="preserve">Gerybiniai navikai </w:t>
                </w:r>
              </w:p>
              <w:p>
                <w:pPr>
                  <w:spacing w:line="276" w:lineRule="auto"/>
                  <w:rPr>
                    <w:rFonts w:eastAsia="Calibri"/>
                    <w:szCs w:val="24"/>
                  </w:rPr>
                </w:pPr>
                <w:r>
                  <w:rPr>
                    <w:rFonts w:eastAsia="Calibri"/>
                    <w:szCs w:val="24"/>
                  </w:rPr>
                  <w:t>Gimdos gerybiniai navikai, D25, D26</w:t>
                </w:r>
              </w:p>
              <w:p>
                <w:pPr>
                  <w:spacing w:line="276" w:lineRule="auto"/>
                  <w:rPr>
                    <w:rFonts w:eastAsia="Calibri"/>
                    <w:szCs w:val="24"/>
                  </w:rPr>
                </w:pPr>
                <w:r>
                  <w:rPr>
                    <w:rFonts w:eastAsia="Calibri"/>
                    <w:szCs w:val="24"/>
                  </w:rPr>
                  <w:t>Kiaušidžių gerybiniai navikai, D27</w:t>
                </w:r>
              </w:p>
              <w:p>
                <w:pPr>
                  <w:spacing w:line="276" w:lineRule="auto"/>
                  <w:rPr>
                    <w:rFonts w:eastAsia="Calibri"/>
                    <w:szCs w:val="24"/>
                  </w:rPr>
                </w:pPr>
                <w:r>
                  <w:rPr>
                    <w:rFonts w:eastAsia="Calibri"/>
                    <w:szCs w:val="24"/>
                  </w:rPr>
                  <w:t>Kitų ir nepatikslintų moters lyties organų gerybiniai navikai, D28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akušerio-ginekologo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11.2.</w:t>
                </w:r>
              </w:p>
            </w:tc>
            <w:tc>
              <w:tcPr>
                <w:tcW w:w="2977" w:type="dxa"/>
              </w:tcPr>
              <w:p>
                <w:pPr>
                  <w:spacing w:line="276" w:lineRule="auto"/>
                  <w:rPr>
                    <w:rFonts w:eastAsia="Calibri"/>
                    <w:szCs w:val="24"/>
                  </w:rPr>
                </w:pPr>
                <w:r>
                  <w:rPr>
                    <w:rFonts w:eastAsia="Calibri"/>
                    <w:szCs w:val="24"/>
                  </w:rPr>
                  <w:t xml:space="preserve">Neuždegiminės moters lyties organų ligos, N80–N98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3 mėn. po operacinio gydymo, po gydytojo akušerio-ginekologo konsultacijos.</w:t>
                </w:r>
              </w:p>
            </w:tc>
          </w:tr>
          <w:tr>
            <w:tc>
              <w:tcPr>
                <w:tcW w:w="816" w:type="dxa"/>
              </w:tcPr>
              <w:p>
                <w:pPr>
                  <w:spacing w:line="276" w:lineRule="auto"/>
                  <w:jc w:val="both"/>
                  <w:rPr>
                    <w:rFonts w:eastAsia="Calibri"/>
                    <w:b/>
                    <w:szCs w:val="24"/>
                  </w:rPr>
                </w:pPr>
                <w:r>
                  <w:rPr>
                    <w:rFonts w:eastAsia="Calibri"/>
                    <w:b/>
                    <w:szCs w:val="24"/>
                  </w:rPr>
                  <w:t>12.</w:t>
                </w:r>
              </w:p>
            </w:tc>
            <w:tc>
              <w:tcPr>
                <w:tcW w:w="14140" w:type="dxa"/>
                <w:gridSpan w:val="4"/>
              </w:tcPr>
              <w:p>
                <w:pPr>
                  <w:spacing w:line="276" w:lineRule="auto"/>
                  <w:jc w:val="center"/>
                  <w:rPr>
                    <w:rFonts w:eastAsia="Calibri"/>
                    <w:b/>
                    <w:szCs w:val="24"/>
                  </w:rPr>
                </w:pPr>
                <w:r>
                  <w:rPr>
                    <w:rFonts w:eastAsia="Calibri"/>
                    <w:b/>
                    <w:szCs w:val="24"/>
                  </w:rPr>
                  <w:t>NERVŲ SISTEMOS LIGOS</w:t>
                </w:r>
              </w:p>
            </w:tc>
          </w:tr>
          <w:tr>
            <w:tc>
              <w:tcPr>
                <w:tcW w:w="816" w:type="dxa"/>
              </w:tcPr>
              <w:p>
                <w:pPr>
                  <w:spacing w:line="276" w:lineRule="auto"/>
                  <w:jc w:val="both"/>
                  <w:rPr>
                    <w:rFonts w:eastAsia="Calibri"/>
                    <w:szCs w:val="24"/>
                  </w:rPr>
                </w:pPr>
                <w:r>
                  <w:rPr>
                    <w:rFonts w:eastAsia="Calibri"/>
                    <w:szCs w:val="24"/>
                  </w:rPr>
                  <w:t>12.1.</w:t>
                </w:r>
              </w:p>
            </w:tc>
            <w:tc>
              <w:tcPr>
                <w:tcW w:w="2977" w:type="dxa"/>
              </w:tcPr>
              <w:p>
                <w:pPr>
                  <w:spacing w:line="276" w:lineRule="auto"/>
                  <w:rPr>
                    <w:rFonts w:eastAsia="Calibri"/>
                    <w:szCs w:val="24"/>
                  </w:rPr>
                </w:pPr>
                <w:r>
                  <w:rPr>
                    <w:rFonts w:eastAsia="Calibri"/>
                    <w:szCs w:val="24"/>
                  </w:rPr>
                  <w:t>Uždegiminės centrinės nervų sistemos ligos, G00–G09</w:t>
                </w:r>
              </w:p>
              <w:p>
                <w:pPr>
                  <w:spacing w:line="276" w:lineRule="auto"/>
                  <w:rPr>
                    <w:rFonts w:eastAsia="Calibri"/>
                    <w:szCs w:val="24"/>
                  </w:rPr>
                </w:pPr>
                <w:r>
                  <w:rPr>
                    <w:rFonts w:eastAsia="Calibri"/>
                    <w:szCs w:val="24"/>
                  </w:rPr>
                  <w:t>Sisteminės atrofijos, pirmiausia paveikiančios centrinę nervų sistemą, G10–G13</w:t>
                </w:r>
              </w:p>
              <w:p>
                <w:pPr>
                  <w:spacing w:line="276" w:lineRule="auto"/>
                  <w:rPr>
                    <w:rFonts w:eastAsia="Calibri"/>
                    <w:szCs w:val="24"/>
                  </w:rPr>
                </w:pPr>
                <w:r>
                  <w:rPr>
                    <w:rFonts w:eastAsia="Calibri"/>
                    <w:szCs w:val="24"/>
                  </w:rPr>
                  <w:t>Kitos degeneracinės nervų sistemos ligos, neklasifikuojamos kitur, G30–G32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12.2.</w:t>
                </w:r>
              </w:p>
            </w:tc>
            <w:tc>
              <w:tcPr>
                <w:tcW w:w="2977" w:type="dxa"/>
              </w:tcPr>
              <w:p>
                <w:pPr>
                  <w:spacing w:line="276" w:lineRule="auto"/>
                  <w:rPr>
                    <w:rFonts w:eastAsia="Calibri"/>
                    <w:szCs w:val="24"/>
                  </w:rPr>
                </w:pPr>
                <w:r>
                  <w:rPr>
                    <w:rFonts w:eastAsia="Calibri"/>
                    <w:szCs w:val="24"/>
                  </w:rPr>
                  <w:t>Parkinsono liga, G20</w:t>
                </w:r>
              </w:p>
              <w:p>
                <w:pPr>
                  <w:spacing w:line="276" w:lineRule="auto"/>
                  <w:rPr>
                    <w:rFonts w:eastAsia="Calibri"/>
                    <w:szCs w:val="24"/>
                  </w:rPr>
                </w:pPr>
                <w:r>
                  <w:rPr>
                    <w:rFonts w:eastAsia="Calibri"/>
                    <w:szCs w:val="24"/>
                  </w:rPr>
                  <w:t>Antrinis parkinsonizmas, G21</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 II ir III ligos stadijai, jeigu simptomai koreguojami vaistiniais preparatais, dėl tinkamumo dirbti jūrų ir (ar) vidaus vandenų laivuose sprendžiama individualiai po gydytojo neurologo konsultacijos.</w:t>
                </w:r>
              </w:p>
              <w:p>
                <w:pPr>
                  <w:spacing w:line="276" w:lineRule="auto"/>
                  <w:rPr>
                    <w:rFonts w:eastAsia="Calibri"/>
                    <w:szCs w:val="24"/>
                  </w:rPr>
                </w:pPr>
                <w:r>
                  <w:rPr>
                    <w:rFonts w:eastAsia="Calibri"/>
                    <w:szCs w:val="24"/>
                  </w:rPr>
                  <w:t>Esant IV, V ligos stadijai, nė vienos profesinės grupės asmenys negali dirbti jūrų ir vidaus vandenų laivuose.</w:t>
                </w:r>
              </w:p>
            </w:tc>
          </w:tr>
          <w:tr>
            <w:tc>
              <w:tcPr>
                <w:tcW w:w="816" w:type="dxa"/>
              </w:tcPr>
              <w:p>
                <w:pPr>
                  <w:spacing w:line="276" w:lineRule="auto"/>
                  <w:jc w:val="both"/>
                  <w:rPr>
                    <w:rFonts w:eastAsia="Calibri"/>
                    <w:szCs w:val="24"/>
                  </w:rPr>
                </w:pPr>
                <w:r>
                  <w:rPr>
                    <w:rFonts w:eastAsia="Calibri"/>
                    <w:szCs w:val="24"/>
                  </w:rPr>
                  <w:t>12.3.</w:t>
                </w:r>
              </w:p>
            </w:tc>
            <w:tc>
              <w:tcPr>
                <w:tcW w:w="2977" w:type="dxa"/>
              </w:tcPr>
              <w:p>
                <w:pPr>
                  <w:spacing w:line="276" w:lineRule="auto"/>
                  <w:rPr>
                    <w:rFonts w:eastAsia="Calibri"/>
                    <w:szCs w:val="24"/>
                  </w:rPr>
                </w:pPr>
                <w:r>
                  <w:rPr>
                    <w:rFonts w:eastAsia="Calibri"/>
                    <w:szCs w:val="24"/>
                  </w:rPr>
                  <w:t>Demielinizuojančios centrinės nervų sistemos ligos, G35–G37</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12.4.</w:t>
                </w:r>
              </w:p>
            </w:tc>
            <w:tc>
              <w:tcPr>
                <w:tcW w:w="2977" w:type="dxa"/>
              </w:tcPr>
              <w:p>
                <w:pPr>
                  <w:spacing w:line="276" w:lineRule="auto"/>
                  <w:rPr>
                    <w:rFonts w:eastAsia="Calibri"/>
                    <w:szCs w:val="24"/>
                  </w:rPr>
                </w:pPr>
                <w:r>
                  <w:rPr>
                    <w:rFonts w:eastAsia="Calibri"/>
                    <w:szCs w:val="24"/>
                  </w:rPr>
                  <w:t>Epilepsija, G40</w:t>
                </w:r>
              </w:p>
              <w:p>
                <w:pPr>
                  <w:spacing w:line="276" w:lineRule="auto"/>
                  <w:rPr>
                    <w:rFonts w:eastAsia="Calibri"/>
                    <w:szCs w:val="24"/>
                  </w:rPr>
                </w:pPr>
                <w:r>
                  <w:rPr>
                    <w:rFonts w:eastAsia="Calibri"/>
                    <w:szCs w:val="24"/>
                  </w:rPr>
                  <w:t>Epilepsinė būklė, G41</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Jeigu 3 metus nėra </w:t>
                </w:r>
                <w:r>
                  <w:rPr>
                    <w:rFonts w:eastAsia="Calibri"/>
                    <w:color w:val="000000"/>
                    <w:szCs w:val="24"/>
                  </w:rPr>
                  <w:t>epilepsijos priepuolių, dėl tinkamumo dirbti jūrų ir vidaus vandenų laivuose sprendžiama individualiai po gydytojo neurologo</w:t>
                </w:r>
                <w:r>
                  <w:rPr>
                    <w:rFonts w:eastAsia="Calibri"/>
                    <w:szCs w:val="24"/>
                  </w:rPr>
                  <w:t xml:space="preserve"> konsultacijos.</w:t>
                </w:r>
              </w:p>
            </w:tc>
          </w:tr>
          <w:tr>
            <w:trPr>
              <w:trHeight w:val="752"/>
            </w:trPr>
            <w:tc>
              <w:tcPr>
                <w:tcW w:w="816" w:type="dxa"/>
              </w:tcPr>
              <w:p>
                <w:pPr>
                  <w:spacing w:line="276" w:lineRule="auto"/>
                  <w:jc w:val="both"/>
                  <w:rPr>
                    <w:rFonts w:eastAsia="Calibri"/>
                    <w:szCs w:val="24"/>
                  </w:rPr>
                </w:pPr>
                <w:r>
                  <w:rPr>
                    <w:rFonts w:eastAsia="Calibri"/>
                    <w:szCs w:val="24"/>
                  </w:rPr>
                  <w:t>12.5.</w:t>
                </w:r>
              </w:p>
            </w:tc>
            <w:tc>
              <w:tcPr>
                <w:tcW w:w="2977" w:type="dxa"/>
              </w:tcPr>
              <w:p>
                <w:pPr>
                  <w:spacing w:line="276" w:lineRule="auto"/>
                  <w:rPr>
                    <w:rFonts w:eastAsia="Calibri"/>
                    <w:szCs w:val="24"/>
                  </w:rPr>
                </w:pPr>
                <w:r>
                  <w:rPr>
                    <w:rFonts w:eastAsia="Calibri"/>
                    <w:szCs w:val="24"/>
                  </w:rPr>
                  <w:t>Miego apnėja, G47.3</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strike/>
                    <w:color w:val="0000FF"/>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szCs w:val="24"/>
                  </w:rPr>
                </w:pPr>
                <w:r>
                  <w:rPr>
                    <w:rFonts w:eastAsia="Calibri"/>
                    <w:szCs w:val="24"/>
                  </w:rPr>
                  <w:t>12.6.</w:t>
                </w:r>
              </w:p>
            </w:tc>
            <w:tc>
              <w:tcPr>
                <w:tcW w:w="2977" w:type="dxa"/>
              </w:tcPr>
              <w:p>
                <w:pPr>
                  <w:spacing w:line="276" w:lineRule="auto"/>
                  <w:rPr>
                    <w:rFonts w:eastAsia="Calibri"/>
                    <w:szCs w:val="24"/>
                  </w:rPr>
                </w:pPr>
                <w:r>
                  <w:rPr>
                    <w:rFonts w:eastAsia="Calibri"/>
                    <w:szCs w:val="24"/>
                  </w:rPr>
                  <w:t>Nervų, nervų šaknelių ir rezginių sutrikimai, G50–G59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12.7.</w:t>
                </w:r>
              </w:p>
            </w:tc>
            <w:tc>
              <w:tcPr>
                <w:tcW w:w="2977" w:type="dxa"/>
              </w:tcPr>
              <w:p>
                <w:pPr>
                  <w:spacing w:line="276" w:lineRule="auto"/>
                  <w:rPr>
                    <w:rFonts w:eastAsia="Calibri"/>
                    <w:szCs w:val="24"/>
                  </w:rPr>
                </w:pPr>
                <w:r>
                  <w:rPr>
                    <w:rFonts w:eastAsia="Calibri"/>
                    <w:szCs w:val="24"/>
                  </w:rPr>
                  <w:t>Polineuropatijos ir kiti periferinės nervų sistemos sutrikimai, G60–G64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12.8.</w:t>
                </w:r>
              </w:p>
            </w:tc>
            <w:tc>
              <w:tcPr>
                <w:tcW w:w="2977" w:type="dxa"/>
              </w:tcPr>
              <w:p>
                <w:pPr>
                  <w:spacing w:line="276" w:lineRule="auto"/>
                  <w:rPr>
                    <w:rFonts w:eastAsia="Calibri"/>
                    <w:szCs w:val="24"/>
                  </w:rPr>
                </w:pPr>
                <w:r>
                  <w:rPr>
                    <w:rFonts w:eastAsia="Calibri"/>
                    <w:szCs w:val="24"/>
                  </w:rPr>
                  <w:t>Intracerebrinis kraujavimas, I61</w:t>
                </w:r>
              </w:p>
              <w:p>
                <w:pPr>
                  <w:spacing w:line="276" w:lineRule="auto"/>
                  <w:rPr>
                    <w:rFonts w:eastAsia="Calibri"/>
                    <w:szCs w:val="24"/>
                  </w:rPr>
                </w:pPr>
                <w:r>
                  <w:rPr>
                    <w:rFonts w:eastAsia="Calibri"/>
                    <w:szCs w:val="24"/>
                  </w:rPr>
                  <w:t>Smegenų infarktas, I63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12.9.</w:t>
                </w:r>
              </w:p>
            </w:tc>
            <w:tc>
              <w:tcPr>
                <w:tcW w:w="2977" w:type="dxa"/>
              </w:tcPr>
              <w:p>
                <w:pPr>
                  <w:spacing w:line="276" w:lineRule="auto"/>
                  <w:rPr>
                    <w:rFonts w:eastAsia="Calibri"/>
                    <w:szCs w:val="24"/>
                  </w:rPr>
                </w:pPr>
                <w:r>
                  <w:rPr>
                    <w:rFonts w:eastAsia="Calibri"/>
                    <w:szCs w:val="24"/>
                  </w:rPr>
                  <w:t>Dorsopatijos, M40–M54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12.10.</w:t>
                </w:r>
              </w:p>
            </w:tc>
            <w:tc>
              <w:tcPr>
                <w:tcW w:w="2977" w:type="dxa"/>
              </w:tcPr>
              <w:p>
                <w:pPr>
                  <w:spacing w:line="276" w:lineRule="auto"/>
                  <w:rPr>
                    <w:rFonts w:eastAsia="Calibri"/>
                    <w:szCs w:val="24"/>
                  </w:rPr>
                </w:pPr>
                <w:r>
                  <w:rPr>
                    <w:rFonts w:eastAsia="Calibri"/>
                    <w:szCs w:val="24"/>
                  </w:rPr>
                  <w:t>Sąmonės netekimas, R40.2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 xml:space="preserve">Iki bus išaiškintos ir pašalintos sąmonės praradimo priežastys, nė vienos profesinės grupės darbuotojai negali dirbti jūrų ir vidaus vandenų laivuose.  Sprendžiama individualiai po gydytojo neurologo konsultacijos.</w:t>
                </w:r>
              </w:p>
            </w:tc>
          </w:tr>
          <w:tr>
            <w:tc>
              <w:tcPr>
                <w:tcW w:w="816" w:type="dxa"/>
              </w:tcPr>
              <w:p>
                <w:pPr>
                  <w:spacing w:line="276" w:lineRule="auto"/>
                  <w:jc w:val="both"/>
                  <w:rPr>
                    <w:rFonts w:eastAsia="Calibri"/>
                    <w:b/>
                    <w:szCs w:val="24"/>
                  </w:rPr>
                </w:pPr>
                <w:r>
                  <w:rPr>
                    <w:rFonts w:eastAsia="Calibri"/>
                    <w:b/>
                    <w:szCs w:val="24"/>
                  </w:rPr>
                  <w:t>13.</w:t>
                </w:r>
              </w:p>
            </w:tc>
            <w:tc>
              <w:tcPr>
                <w:tcW w:w="14140" w:type="dxa"/>
                <w:gridSpan w:val="4"/>
              </w:tcPr>
              <w:p>
                <w:pPr>
                  <w:spacing w:line="276" w:lineRule="auto"/>
                  <w:jc w:val="center"/>
                  <w:rPr>
                    <w:rFonts w:eastAsia="Calibri"/>
                    <w:b/>
                    <w:szCs w:val="24"/>
                  </w:rPr>
                </w:pPr>
                <w:r>
                  <w:rPr>
                    <w:rFonts w:eastAsia="Calibri"/>
                    <w:b/>
                    <w:szCs w:val="24"/>
                  </w:rPr>
                  <w:t xml:space="preserve">CHIRURGINĖS LIGOS </w:t>
                </w:r>
              </w:p>
            </w:tc>
          </w:tr>
          <w:tr>
            <w:tc>
              <w:tcPr>
                <w:tcW w:w="816" w:type="dxa"/>
              </w:tcPr>
              <w:p>
                <w:pPr>
                  <w:spacing w:line="276" w:lineRule="auto"/>
                  <w:jc w:val="both"/>
                  <w:rPr>
                    <w:rFonts w:eastAsia="Calibri"/>
                    <w:szCs w:val="24"/>
                  </w:rPr>
                </w:pPr>
                <w:r>
                  <w:rPr>
                    <w:rFonts w:eastAsia="Calibri"/>
                    <w:szCs w:val="24"/>
                  </w:rPr>
                  <w:t>13.1.</w:t>
                </w:r>
              </w:p>
            </w:tc>
            <w:tc>
              <w:tcPr>
                <w:tcW w:w="2977" w:type="dxa"/>
              </w:tcPr>
              <w:p>
                <w:pPr>
                  <w:spacing w:line="276" w:lineRule="auto"/>
                  <w:rPr>
                    <w:rFonts w:eastAsia="Calibri"/>
                    <w:szCs w:val="24"/>
                  </w:rPr>
                </w:pPr>
                <w:r>
                  <w:rPr>
                    <w:rFonts w:eastAsia="Calibri"/>
                    <w:szCs w:val="24"/>
                  </w:rPr>
                  <w:t>Krūties gerybiniai navikai, D24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13.2.</w:t>
                </w:r>
              </w:p>
            </w:tc>
            <w:tc>
              <w:tcPr>
                <w:tcW w:w="2977" w:type="dxa"/>
              </w:tcPr>
              <w:p>
                <w:pPr>
                  <w:spacing w:line="276" w:lineRule="auto"/>
                  <w:rPr>
                    <w:rFonts w:eastAsia="Calibri"/>
                    <w:szCs w:val="24"/>
                  </w:rPr>
                </w:pPr>
                <w:r>
                  <w:rPr>
                    <w:rFonts w:eastAsia="Calibri"/>
                    <w:szCs w:val="24"/>
                  </w:rPr>
                  <w:t xml:space="preserve">Asplenija, po procedūros, </w:t>
                </w:r>
              </w:p>
              <w:p>
                <w:pPr>
                  <w:spacing w:line="276" w:lineRule="auto"/>
                  <w:rPr>
                    <w:rFonts w:eastAsia="Calibri"/>
                    <w:szCs w:val="24"/>
                  </w:rPr>
                </w:pPr>
                <w:r>
                  <w:rPr>
                    <w:rFonts w:eastAsia="Calibri"/>
                    <w:szCs w:val="24"/>
                  </w:rPr>
                  <w:t>D73.0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 </w:t>
                </w:r>
                <w:r>
                  <w:rPr>
                    <w:rFonts w:eastAsia="Calibri"/>
                    <w:color w:val="000000"/>
                    <w:szCs w:val="24"/>
                  </w:rPr>
                  <w:t>dirbti jūrų ir vidaus vandenų laivuose po operacijos iki visiško</w:t>
                </w:r>
                <w:r>
                  <w:rPr>
                    <w:rFonts w:eastAsia="Calibri"/>
                    <w:szCs w:val="24"/>
                  </w:rPr>
                  <w:t xml:space="preserve"> pasveikimo. Vėliau sprendžiama individualiai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13.3.</w:t>
                </w:r>
              </w:p>
            </w:tc>
            <w:tc>
              <w:tcPr>
                <w:tcW w:w="2977" w:type="dxa"/>
              </w:tcPr>
              <w:p>
                <w:pPr>
                  <w:spacing w:line="276" w:lineRule="auto"/>
                  <w:rPr>
                    <w:rFonts w:eastAsia="Calibri"/>
                    <w:szCs w:val="24"/>
                  </w:rPr>
                </w:pPr>
                <w:r>
                  <w:rPr>
                    <w:rFonts w:eastAsia="Calibri"/>
                    <w:szCs w:val="24"/>
                  </w:rPr>
                  <w:t>Galūnių arterijų aterosklerozė, I70.2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po operacinio gydymo </w:t>
                </w:r>
                <w:r>
                  <w:rPr>
                    <w:rFonts w:eastAsia="Calibri"/>
                    <w:color w:val="000000"/>
                    <w:szCs w:val="24"/>
                  </w:rPr>
                  <w:t>sprendžiama individualiai, po gydytojo kraujagyslių chirurgo konsultacijos.</w:t>
                </w:r>
              </w:p>
            </w:tc>
          </w:tr>
          <w:tr>
            <w:tc>
              <w:tcPr>
                <w:tcW w:w="816" w:type="dxa"/>
              </w:tcPr>
              <w:p>
                <w:pPr>
                  <w:spacing w:line="276" w:lineRule="auto"/>
                  <w:jc w:val="both"/>
                  <w:rPr>
                    <w:rFonts w:eastAsia="Calibri"/>
                    <w:szCs w:val="24"/>
                  </w:rPr>
                </w:pPr>
                <w:r>
                  <w:rPr>
                    <w:rFonts w:eastAsia="Calibri"/>
                    <w:szCs w:val="24"/>
                  </w:rPr>
                  <w:t>13.4.</w:t>
                </w:r>
              </w:p>
            </w:tc>
            <w:tc>
              <w:tcPr>
                <w:tcW w:w="2977" w:type="dxa"/>
              </w:tcPr>
              <w:p>
                <w:pPr>
                  <w:spacing w:line="276" w:lineRule="auto"/>
                  <w:rPr>
                    <w:rFonts w:eastAsia="Calibri"/>
                    <w:szCs w:val="24"/>
                  </w:rPr>
                </w:pPr>
                <w:r>
                  <w:rPr>
                    <w:rFonts w:eastAsia="Calibri"/>
                    <w:szCs w:val="24"/>
                  </w:rPr>
                  <w:t>Flebitas ir tromboflebitas, I80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Po konservatyvaus gydymo gali dirbti jūrų ir vidaus vandenų laivuose</w:t>
                </w:r>
                <w:r>
                  <w:rPr>
                    <w:rFonts w:eastAsia="Calibri"/>
                    <w:color w:val="000000"/>
                    <w:szCs w:val="24"/>
                  </w:rPr>
                  <w:t>. Sprendžiama individualiai po gydytojo chirurgo ar gydytojo kraujagyslių chirurgo konsultacijos.</w:t>
                </w:r>
              </w:p>
            </w:tc>
          </w:tr>
          <w:tr>
            <w:tc>
              <w:tcPr>
                <w:tcW w:w="816" w:type="dxa"/>
              </w:tcPr>
              <w:p>
                <w:pPr>
                  <w:spacing w:line="276" w:lineRule="auto"/>
                  <w:jc w:val="both"/>
                  <w:rPr>
                    <w:rFonts w:eastAsia="Calibri"/>
                    <w:szCs w:val="24"/>
                  </w:rPr>
                </w:pPr>
                <w:r>
                  <w:rPr>
                    <w:rFonts w:eastAsia="Calibri"/>
                    <w:szCs w:val="24"/>
                  </w:rPr>
                  <w:t>13.5.</w:t>
                </w:r>
              </w:p>
            </w:tc>
            <w:tc>
              <w:tcPr>
                <w:tcW w:w="2977" w:type="dxa"/>
              </w:tcPr>
              <w:p>
                <w:pPr>
                  <w:spacing w:line="276" w:lineRule="auto"/>
                  <w:rPr>
                    <w:rFonts w:eastAsia="Calibri"/>
                    <w:szCs w:val="24"/>
                  </w:rPr>
                </w:pPr>
                <w:r>
                  <w:rPr>
                    <w:rFonts w:eastAsia="Calibri"/>
                    <w:szCs w:val="24"/>
                  </w:rPr>
                  <w:t>Tulžies pūslės akmuo, su kitu cholecistitu (lėtiniu), K80.1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operacinio gydymo</w:t>
                </w:r>
                <w:r>
                  <w:rPr>
                    <w:rFonts w:eastAsia="Calibri"/>
                    <w:szCs w:val="24"/>
                  </w:rPr>
                  <w:t xml:space="preserve"> praėjus 3 mėn., po </w:t>
                </w:r>
                <w:r>
                  <w:rPr>
                    <w:rFonts w:eastAsia="Calibri"/>
                    <w:color w:val="000000"/>
                    <w:szCs w:val="24"/>
                  </w:rPr>
                  <w:t>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13.6.</w:t>
                </w:r>
              </w:p>
            </w:tc>
            <w:tc>
              <w:tcPr>
                <w:tcW w:w="2977" w:type="dxa"/>
              </w:tcPr>
              <w:p>
                <w:pPr>
                  <w:spacing w:line="276" w:lineRule="auto"/>
                  <w:rPr>
                    <w:rFonts w:eastAsia="Calibri"/>
                    <w:szCs w:val="24"/>
                  </w:rPr>
                </w:pPr>
                <w:r>
                  <w:rPr>
                    <w:rFonts w:eastAsia="Calibri"/>
                    <w:szCs w:val="24"/>
                  </w:rPr>
                  <w:t>Kojų giliųjų venų trombozė, I80.2</w:t>
                </w:r>
              </w:p>
            </w:tc>
            <w:tc>
              <w:tcPr>
                <w:tcW w:w="4110"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13.7.</w:t>
                </w:r>
              </w:p>
            </w:tc>
            <w:tc>
              <w:tcPr>
                <w:tcW w:w="2977" w:type="dxa"/>
              </w:tcPr>
              <w:p>
                <w:pPr>
                  <w:spacing w:line="276" w:lineRule="auto"/>
                  <w:rPr>
                    <w:rFonts w:eastAsia="Calibri"/>
                    <w:szCs w:val="24"/>
                  </w:rPr>
                </w:pPr>
                <w:r>
                  <w:rPr>
                    <w:rFonts w:eastAsia="Calibri"/>
                    <w:szCs w:val="24"/>
                  </w:rPr>
                  <w:t>Kojų venų varikozė, I83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galimybės dirbti jūrų ir (ar) vidaus vandenų laivuose sprendžiama atsižvelgiant į klinikinius požymius (C):</w:t>
                </w:r>
              </w:p>
              <w:p>
                <w:pPr>
                  <w:spacing w:line="276" w:lineRule="auto"/>
                  <w:rPr>
                    <w:rFonts w:eastAsia="Calibri"/>
                    <w:szCs w:val="24"/>
                  </w:rPr>
                </w:pPr>
                <w:r>
                  <w:rPr>
                    <w:rFonts w:eastAsia="Calibri"/>
                    <w:szCs w:val="24"/>
                  </w:rPr>
                  <w:t>C</w:t>
                </w:r>
                <w:r>
                  <w:rPr>
                    <w:rFonts w:eastAsia="Calibri"/>
                    <w:szCs w:val="24"/>
                    <w:vertAlign w:val="subscript"/>
                  </w:rPr>
                  <w:t>1</w:t>
                </w:r>
                <w:r>
                  <w:rPr>
                    <w:rFonts w:eastAsia="Calibri"/>
                    <w:szCs w:val="24"/>
                  </w:rPr>
                  <w:t xml:space="preserve"> – tinklinės venos išsiplėtusios – gali dirbti laive,</w:t>
                </w:r>
              </w:p>
              <w:p>
                <w:pPr>
                  <w:spacing w:line="276" w:lineRule="auto"/>
                  <w:rPr>
                    <w:rFonts w:eastAsia="Calibri"/>
                    <w:szCs w:val="24"/>
                  </w:rPr>
                </w:pPr>
                <w:r>
                  <w:rPr>
                    <w:rFonts w:eastAsia="Calibri"/>
                    <w:szCs w:val="24"/>
                  </w:rPr>
                  <w:t>C</w:t>
                </w:r>
                <w:r>
                  <w:rPr>
                    <w:rFonts w:eastAsia="Calibri"/>
                    <w:szCs w:val="24"/>
                    <w:vertAlign w:val="subscript"/>
                  </w:rPr>
                  <w:t xml:space="preserve">2-6 </w:t>
                </w:r>
                <w:r>
                  <w:rPr>
                    <w:rFonts w:eastAsia="Calibri"/>
                    <w:szCs w:val="24"/>
                  </w:rPr>
                  <w:t>– varikozinės venos, galūnės edema, odos pigmentacija, egzema, susijusi ar aktyvi opa – po operacinio gydymo</w:t>
                </w:r>
                <w:r>
                  <w:rPr>
                    <w:rFonts w:eastAsia="Calibri"/>
                    <w:color w:val="000000"/>
                    <w:szCs w:val="24"/>
                  </w:rPr>
                  <w:t xml:space="preserve"> praėjus 3 mėn. gali dirbti jūrų ir</w:t>
                </w:r>
                <w:r>
                  <w:rPr>
                    <w:rFonts w:eastAsia="Calibri"/>
                    <w:szCs w:val="24"/>
                  </w:rPr>
                  <w:t xml:space="preserve"> vidaus vandenų laivuose. </w:t>
                </w:r>
              </w:p>
            </w:tc>
          </w:tr>
          <w:tr>
            <w:tc>
              <w:tcPr>
                <w:tcW w:w="816" w:type="dxa"/>
              </w:tcPr>
              <w:p>
                <w:pPr>
                  <w:spacing w:line="276" w:lineRule="auto"/>
                  <w:jc w:val="both"/>
                  <w:rPr>
                    <w:rFonts w:eastAsia="Calibri"/>
                    <w:szCs w:val="24"/>
                  </w:rPr>
                </w:pPr>
                <w:r>
                  <w:rPr>
                    <w:rFonts w:eastAsia="Calibri"/>
                    <w:szCs w:val="24"/>
                  </w:rPr>
                  <w:t>13.8.</w:t>
                </w:r>
              </w:p>
            </w:tc>
            <w:tc>
              <w:tcPr>
                <w:tcW w:w="2977" w:type="dxa"/>
              </w:tcPr>
              <w:p>
                <w:pPr>
                  <w:spacing w:line="276" w:lineRule="auto"/>
                  <w:rPr>
                    <w:rFonts w:eastAsia="Calibri"/>
                    <w:szCs w:val="24"/>
                  </w:rPr>
                </w:pPr>
                <w:r>
                  <w:rPr>
                    <w:rFonts w:eastAsia="Calibri"/>
                    <w:szCs w:val="24"/>
                  </w:rPr>
                  <w:t>Hemorojus, I84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Esant kraujuojantiems, krentantiems hemorojiniams mazgams ar dažniems uždegimams, po operacinio gydymo </w:t>
                </w:r>
                <w:r>
                  <w:rPr>
                    <w:rFonts w:eastAsia="Calibri"/>
                    <w:color w:val="000000"/>
                    <w:szCs w:val="24"/>
                  </w:rPr>
                  <w:t>praėjus</w:t>
                </w:r>
                <w:r>
                  <w:rPr>
                    <w:rFonts w:eastAsia="Calibri"/>
                    <w:szCs w:val="24"/>
                  </w:rPr>
                  <w:t xml:space="preserve"> 3 mėn. gali dirbti jūrų ir vidaus vandenų laivuose.</w:t>
                </w:r>
              </w:p>
            </w:tc>
          </w:tr>
          <w:tr>
            <w:tc>
              <w:tcPr>
                <w:tcW w:w="816" w:type="dxa"/>
              </w:tcPr>
              <w:p>
                <w:pPr>
                  <w:spacing w:line="276" w:lineRule="auto"/>
                  <w:jc w:val="both"/>
                  <w:rPr>
                    <w:rFonts w:eastAsia="Calibri"/>
                    <w:szCs w:val="24"/>
                  </w:rPr>
                </w:pPr>
                <w:r>
                  <w:rPr>
                    <w:rFonts w:eastAsia="Calibri"/>
                    <w:szCs w:val="24"/>
                  </w:rPr>
                  <w:t>13.9.</w:t>
                </w:r>
              </w:p>
            </w:tc>
            <w:tc>
              <w:tcPr>
                <w:tcW w:w="2977" w:type="dxa"/>
              </w:tcPr>
              <w:p>
                <w:pPr>
                  <w:spacing w:line="276" w:lineRule="auto"/>
                  <w:rPr>
                    <w:rFonts w:eastAsia="Calibri"/>
                    <w:szCs w:val="24"/>
                  </w:rPr>
                </w:pPr>
                <w:r>
                  <w:rPr>
                    <w:rFonts w:eastAsia="Calibri"/>
                    <w:szCs w:val="24"/>
                  </w:rPr>
                  <w:t>Limfedema, I89.0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w:t>
                </w:r>
                <w:r>
                  <w:rPr>
                    <w:rFonts w:eastAsia="Calibri"/>
                    <w:szCs w:val="24"/>
                  </w:rPr>
                  <w:t xml:space="preserve"> ir vidaus vandenų laivuose sprendžiama individualiai </w:t>
                </w:r>
                <w:r>
                  <w:rPr>
                    <w:rFonts w:eastAsia="Calibri"/>
                    <w:color w:val="000000"/>
                    <w:szCs w:val="24"/>
                  </w:rPr>
                  <w:t>po gydytojo chirurgo konsultacijos.</w:t>
                </w:r>
                <w:r>
                  <w:rPr>
                    <w:rFonts w:eastAsia="Calibri"/>
                    <w:szCs w:val="24"/>
                  </w:rPr>
                  <w:t xml:space="preserve"> Esant kompensuotai ligos eigai, gali dirbti jūrų ir vidaus vandenų laivuose.</w:t>
                </w:r>
              </w:p>
            </w:tc>
          </w:tr>
          <w:tr>
            <w:tc>
              <w:tcPr>
                <w:tcW w:w="816" w:type="dxa"/>
              </w:tcPr>
              <w:p>
                <w:pPr>
                  <w:spacing w:line="276" w:lineRule="auto"/>
                  <w:jc w:val="both"/>
                  <w:rPr>
                    <w:rFonts w:eastAsia="Calibri"/>
                    <w:szCs w:val="24"/>
                  </w:rPr>
                </w:pPr>
                <w:r>
                  <w:rPr>
                    <w:rFonts w:eastAsia="Calibri"/>
                    <w:szCs w:val="24"/>
                  </w:rPr>
                  <w:t>13.10.</w:t>
                </w:r>
              </w:p>
            </w:tc>
            <w:tc>
              <w:tcPr>
                <w:tcW w:w="2977" w:type="dxa"/>
              </w:tcPr>
              <w:p>
                <w:pPr>
                  <w:spacing w:line="276" w:lineRule="auto"/>
                  <w:rPr>
                    <w:rFonts w:eastAsia="Calibri"/>
                    <w:szCs w:val="24"/>
                  </w:rPr>
                </w:pPr>
                <w:r>
                  <w:rPr>
                    <w:rFonts w:eastAsia="Calibri"/>
                    <w:szCs w:val="24"/>
                  </w:rPr>
                  <w:t>Kirkšninė išvarža, K40 Bambinė išvarža, K42</w:t>
                </w:r>
              </w:p>
            </w:tc>
            <w:tc>
              <w:tcPr>
                <w:tcW w:w="4110" w:type="dxa"/>
              </w:tcPr>
              <w:p>
                <w:pPr>
                  <w:spacing w:line="276" w:lineRule="auto"/>
                  <w:rPr>
                    <w:rFonts w:eastAsia="Calibri"/>
                    <w:szCs w:val="24"/>
                  </w:rPr>
                </w:pPr>
                <w:r>
                  <w:rPr>
                    <w:rFonts w:eastAsia="Calibri"/>
                    <w:szCs w:val="24"/>
                  </w:rPr>
                  <w:t>Nė vienos profesinės grupės darbuotojai negali dirbti jūrų laive.</w:t>
                </w:r>
                <w:r>
                  <w:rPr>
                    <w:rFonts w:eastAsia="Calibri"/>
                    <w:sz w:val="22"/>
                    <w:szCs w:val="22"/>
                  </w:rPr>
                  <w:t xml:space="preserve"> </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 xml:space="preserve">darbuotojai </w:t>
                </w:r>
                <w:r>
                  <w:rPr>
                    <w:rFonts w:eastAsia="Calibri"/>
                    <w:color w:val="000000"/>
                    <w:szCs w:val="24"/>
                  </w:rPr>
                  <w:t>negali dirbti vidaus vandenų laive.</w:t>
                </w: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 Diagnozavus bambos išvaržą sprendžiama individualiai po gydytojo chirurgo konsultacijos.</w:t>
                </w:r>
              </w:p>
            </w:tc>
          </w:tr>
          <w:tr>
            <w:tc>
              <w:tcPr>
                <w:tcW w:w="816" w:type="dxa"/>
              </w:tcPr>
              <w:p>
                <w:pPr>
                  <w:spacing w:line="276" w:lineRule="auto"/>
                  <w:jc w:val="both"/>
                  <w:rPr>
                    <w:rFonts w:eastAsia="Calibri"/>
                    <w:szCs w:val="24"/>
                  </w:rPr>
                </w:pPr>
                <w:r>
                  <w:rPr>
                    <w:rFonts w:eastAsia="Calibri"/>
                    <w:szCs w:val="24"/>
                  </w:rPr>
                  <w:t>13.11.</w:t>
                </w:r>
              </w:p>
            </w:tc>
            <w:tc>
              <w:tcPr>
                <w:tcW w:w="2977" w:type="dxa"/>
              </w:tcPr>
              <w:p>
                <w:pPr>
                  <w:spacing w:line="276" w:lineRule="auto"/>
                  <w:rPr>
                    <w:rFonts w:eastAsia="Calibri"/>
                    <w:szCs w:val="24"/>
                  </w:rPr>
                </w:pPr>
                <w:r>
                  <w:rPr>
                    <w:rFonts w:eastAsia="Calibri"/>
                    <w:szCs w:val="24"/>
                  </w:rPr>
                  <w:t>Išangės ir tiesiosios žarnos įplėšos bei fistulės, K60</w:t>
                </w:r>
              </w:p>
              <w:p>
                <w:pPr>
                  <w:spacing w:line="276" w:lineRule="auto"/>
                  <w:rPr>
                    <w:rFonts w:eastAsia="Calibri"/>
                    <w:szCs w:val="24"/>
                  </w:rPr>
                </w:pPr>
                <w:r>
                  <w:rPr>
                    <w:rFonts w:eastAsia="Calibri"/>
                    <w:szCs w:val="24"/>
                  </w:rPr>
                  <w:t>Tiesiosios žarnos iškritimas, K62.3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w:t>
                </w:r>
              </w:p>
            </w:tc>
          </w:tr>
          <w:tr>
            <w:tc>
              <w:tcPr>
                <w:tcW w:w="816" w:type="dxa"/>
              </w:tcPr>
              <w:p>
                <w:pPr>
                  <w:spacing w:line="276" w:lineRule="auto"/>
                  <w:jc w:val="both"/>
                  <w:rPr>
                    <w:rFonts w:eastAsia="Calibri"/>
                    <w:szCs w:val="24"/>
                  </w:rPr>
                </w:pPr>
                <w:r>
                  <w:rPr>
                    <w:rFonts w:eastAsia="Calibri"/>
                    <w:szCs w:val="24"/>
                  </w:rPr>
                  <w:t>13.12.</w:t>
                </w:r>
              </w:p>
            </w:tc>
            <w:tc>
              <w:tcPr>
                <w:tcW w:w="2977" w:type="dxa"/>
              </w:tcPr>
              <w:p>
                <w:pPr>
                  <w:spacing w:line="276" w:lineRule="auto"/>
                  <w:rPr>
                    <w:rFonts w:eastAsia="Calibri"/>
                    <w:szCs w:val="24"/>
                  </w:rPr>
                </w:pPr>
                <w:r>
                  <w:rPr>
                    <w:rFonts w:eastAsia="Calibri"/>
                    <w:szCs w:val="24"/>
                  </w:rPr>
                  <w:t>Potrauminė koksartrozė, M16.5</w:t>
                </w:r>
              </w:p>
              <w:p>
                <w:pPr>
                  <w:spacing w:line="276" w:lineRule="auto"/>
                  <w:rPr>
                    <w:rFonts w:eastAsia="Calibri"/>
                    <w:szCs w:val="24"/>
                  </w:rPr>
                </w:pPr>
                <w:r>
                  <w:rPr>
                    <w:rFonts w:eastAsia="Calibri"/>
                    <w:szCs w:val="24"/>
                  </w:rPr>
                  <w:t>Potrauminė gonartrozė, M17.2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ortopedo traumatologo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13.13.</w:t>
                </w:r>
              </w:p>
            </w:tc>
            <w:tc>
              <w:tcPr>
                <w:tcW w:w="2977" w:type="dxa"/>
              </w:tcPr>
              <w:p>
                <w:pPr>
                  <w:spacing w:line="276" w:lineRule="auto"/>
                  <w:rPr>
                    <w:rFonts w:eastAsia="Calibri"/>
                    <w:szCs w:val="24"/>
                  </w:rPr>
                </w:pPr>
                <w:r>
                  <w:rPr>
                    <w:rFonts w:eastAsia="Calibri"/>
                    <w:szCs w:val="24"/>
                  </w:rPr>
                  <w:t>Delno fascijos fibromatozė (Diupitreno), M72.0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 po operacinio gydymo praėjus 3 mėn., po gydytojo ortopedo traumatologo konsultacijos.</w:t>
                </w:r>
              </w:p>
            </w:tc>
          </w:tr>
          <w:tr>
            <w:tc>
              <w:tcPr>
                <w:tcW w:w="816" w:type="dxa"/>
              </w:tcPr>
              <w:p>
                <w:pPr>
                  <w:spacing w:line="276" w:lineRule="auto"/>
                  <w:jc w:val="both"/>
                  <w:rPr>
                    <w:rFonts w:eastAsia="Calibri"/>
                    <w:szCs w:val="24"/>
                  </w:rPr>
                </w:pPr>
                <w:r>
                  <w:rPr>
                    <w:rFonts w:eastAsia="Calibri"/>
                    <w:szCs w:val="24"/>
                  </w:rPr>
                  <w:t>13.14.</w:t>
                </w:r>
              </w:p>
            </w:tc>
            <w:tc>
              <w:tcPr>
                <w:tcW w:w="2977" w:type="dxa"/>
              </w:tcPr>
              <w:p>
                <w:pPr>
                  <w:spacing w:line="276" w:lineRule="auto"/>
                  <w:rPr>
                    <w:rFonts w:eastAsia="Calibri"/>
                    <w:szCs w:val="24"/>
                  </w:rPr>
                </w:pPr>
                <w:r>
                  <w:rPr>
                    <w:rFonts w:eastAsia="Calibri"/>
                    <w:szCs w:val="24"/>
                  </w:rPr>
                  <w:t>Osteomielitas, M86</w:t>
                </w:r>
              </w:p>
            </w:tc>
            <w:tc>
              <w:tcPr>
                <w:tcW w:w="4110"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jūrų laive.</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w:t>
                </w:r>
                <w:r>
                  <w:rPr>
                    <w:rFonts w:eastAsia="Calibri"/>
                    <w:szCs w:val="24"/>
                  </w:rPr>
                  <w:t xml:space="preserve"> </w:t>
                </w:r>
                <w:r>
                  <w:rPr>
                    <w:rFonts w:eastAsia="Calibri"/>
                    <w:color w:val="000000"/>
                    <w:szCs w:val="24"/>
                  </w:rPr>
                  <w:t>sprendžiama individualiai</w:t>
                </w:r>
                <w:r>
                  <w:rPr>
                    <w:rFonts w:eastAsia="Calibri"/>
                    <w:szCs w:val="24"/>
                  </w:rPr>
                  <w:t xml:space="preserve"> </w:t>
                </w:r>
                <w:r>
                  <w:rPr>
                    <w:rFonts w:eastAsia="Calibri"/>
                    <w:color w:val="000000"/>
                    <w:szCs w:val="24"/>
                  </w:rPr>
                  <w:t>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13.15.</w:t>
                </w:r>
              </w:p>
            </w:tc>
            <w:tc>
              <w:tcPr>
                <w:tcW w:w="2977" w:type="dxa"/>
              </w:tcPr>
              <w:p>
                <w:pPr>
                  <w:spacing w:line="276" w:lineRule="auto"/>
                  <w:rPr>
                    <w:rFonts w:eastAsia="Calibri"/>
                    <w:szCs w:val="24"/>
                  </w:rPr>
                </w:pPr>
                <w:r>
                  <w:rPr>
                    <w:rFonts w:eastAsia="Calibri"/>
                    <w:szCs w:val="24"/>
                  </w:rPr>
                  <w:t>Rankos sužalojimų padariniai, T92</w:t>
                </w:r>
              </w:p>
              <w:p>
                <w:pPr>
                  <w:spacing w:line="276" w:lineRule="auto"/>
                  <w:rPr>
                    <w:rFonts w:eastAsia="Calibri"/>
                    <w:szCs w:val="24"/>
                  </w:rPr>
                </w:pPr>
                <w:r>
                  <w:rPr>
                    <w:rFonts w:eastAsia="Calibri"/>
                    <w:szCs w:val="24"/>
                  </w:rPr>
                  <w:t xml:space="preserve">Kojos sužalojimų padariniai, T93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pagal galūnių </w:t>
                </w:r>
                <w:r>
                  <w:rPr>
                    <w:rFonts w:eastAsia="Calibri"/>
                    <w:color w:val="000000"/>
                    <w:szCs w:val="24"/>
                  </w:rPr>
                  <w:t>funkciją ir gydymo rezultatus po gydytojo ortopedo traumatologo konsultacijos.</w:t>
                </w:r>
              </w:p>
            </w:tc>
          </w:tr>
          <w:tr>
            <w:tc>
              <w:tcPr>
                <w:tcW w:w="816" w:type="dxa"/>
              </w:tcPr>
              <w:p>
                <w:pPr>
                  <w:spacing w:line="276" w:lineRule="auto"/>
                  <w:jc w:val="both"/>
                  <w:rPr>
                    <w:rFonts w:eastAsia="Calibri"/>
                    <w:szCs w:val="24"/>
                  </w:rPr>
                </w:pPr>
                <w:r>
                  <w:rPr>
                    <w:rFonts w:eastAsia="Calibri"/>
                    <w:szCs w:val="24"/>
                  </w:rPr>
                  <w:t>13.16.</w:t>
                </w:r>
              </w:p>
            </w:tc>
            <w:tc>
              <w:tcPr>
                <w:tcW w:w="2977" w:type="dxa"/>
              </w:tcPr>
              <w:p>
                <w:pPr>
                  <w:spacing w:line="276" w:lineRule="auto"/>
                  <w:rPr>
                    <w:rFonts w:eastAsia="Calibri"/>
                    <w:szCs w:val="24"/>
                  </w:rPr>
                </w:pPr>
                <w:r>
                  <w:rPr>
                    <w:rFonts w:eastAsia="Calibri"/>
                    <w:szCs w:val="24"/>
                  </w:rPr>
                  <w:t>Įgytas galūnės nebuvimas, Z89</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13.17.</w:t>
                </w:r>
              </w:p>
            </w:tc>
            <w:tc>
              <w:tcPr>
                <w:tcW w:w="2977" w:type="dxa"/>
              </w:tcPr>
              <w:p>
                <w:pPr>
                  <w:spacing w:line="276" w:lineRule="auto"/>
                  <w:rPr>
                    <w:rFonts w:eastAsia="Calibri"/>
                    <w:szCs w:val="24"/>
                  </w:rPr>
                </w:pPr>
                <w:r>
                  <w:rPr>
                    <w:rFonts w:eastAsia="Calibri"/>
                    <w:szCs w:val="24"/>
                  </w:rPr>
                  <w:t>Piršto (-ų) (įskaitant nykštį) įgytas nebuvimas (plaštakos pirmojo piršto arba vienos plaštakos dviejų pirštų nebuvimas), Z89.0</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13.18.</w:t>
                </w:r>
              </w:p>
            </w:tc>
            <w:tc>
              <w:tcPr>
                <w:tcW w:w="2977" w:type="dxa"/>
              </w:tcPr>
              <w:p>
                <w:pPr>
                  <w:spacing w:line="276" w:lineRule="auto"/>
                  <w:rPr>
                    <w:rFonts w:eastAsia="Calibri"/>
                    <w:szCs w:val="24"/>
                  </w:rPr>
                </w:pPr>
                <w:r>
                  <w:rPr>
                    <w:rFonts w:eastAsia="Calibri"/>
                    <w:szCs w:val="24"/>
                  </w:rPr>
                  <w:t>Įgytas organų nebuvimas, Z90</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negali dirbti jūrų laive</w:t>
                </w:r>
                <w:r>
                  <w:rPr>
                    <w:rFonts w:eastAsia="Calibri"/>
                    <w:szCs w:val="24"/>
                  </w:rPr>
                  <w:t>.</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 sprendžiama individualiai po 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13.19.</w:t>
                </w:r>
              </w:p>
            </w:tc>
            <w:tc>
              <w:tcPr>
                <w:tcW w:w="2977" w:type="dxa"/>
              </w:tcPr>
              <w:p>
                <w:pPr>
                  <w:spacing w:line="276" w:lineRule="auto"/>
                  <w:rPr>
                    <w:rFonts w:eastAsia="Calibri"/>
                    <w:szCs w:val="24"/>
                  </w:rPr>
                </w:pPr>
                <w:r>
                  <w:rPr>
                    <w:rFonts w:eastAsia="Calibri"/>
                    <w:szCs w:val="24"/>
                  </w:rPr>
                  <w:t>Klubo sąnario implantas, Z96.64</w:t>
                </w:r>
              </w:p>
              <w:p>
                <w:pPr>
                  <w:spacing w:line="276" w:lineRule="auto"/>
                  <w:rPr>
                    <w:rFonts w:eastAsia="Calibri"/>
                    <w:szCs w:val="24"/>
                  </w:rPr>
                </w:pPr>
                <w:r>
                  <w:rPr>
                    <w:rFonts w:eastAsia="Calibri"/>
                    <w:szCs w:val="24"/>
                  </w:rPr>
                  <w:t>Kelio sąnario implantas, Z96.65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w:t>
                </w:r>
                <w:r>
                  <w:rPr>
                    <w:rFonts w:eastAsia="Calibri"/>
                    <w:color w:val="000000"/>
                    <w:szCs w:val="24"/>
                  </w:rPr>
                  <w:t>operacinio gydymo praėjus 6 mėn., po gydytojo ortopedo traumatologo konsultacijos.</w:t>
                </w:r>
              </w:p>
            </w:tc>
          </w:tr>
          <w:tr>
            <w:tc>
              <w:tcPr>
                <w:tcW w:w="816" w:type="dxa"/>
              </w:tcPr>
              <w:p>
                <w:pPr>
                  <w:spacing w:line="276" w:lineRule="auto"/>
                  <w:jc w:val="both"/>
                  <w:rPr>
                    <w:rFonts w:eastAsia="Calibri"/>
                    <w:szCs w:val="24"/>
                  </w:rPr>
                </w:pPr>
                <w:r>
                  <w:rPr>
                    <w:rFonts w:eastAsia="Calibri"/>
                    <w:szCs w:val="24"/>
                  </w:rPr>
                  <w:t>13.20.</w:t>
                </w:r>
              </w:p>
            </w:tc>
            <w:tc>
              <w:tcPr>
                <w:tcW w:w="2977" w:type="dxa"/>
              </w:tcPr>
              <w:p>
                <w:pPr>
                  <w:spacing w:line="276" w:lineRule="auto"/>
                  <w:rPr>
                    <w:rFonts w:eastAsia="Calibri"/>
                    <w:szCs w:val="24"/>
                  </w:rPr>
                </w:pPr>
                <w:r>
                  <w:rPr>
                    <w:rFonts w:eastAsia="Calibri"/>
                    <w:szCs w:val="24"/>
                  </w:rPr>
                  <w:t>Dirbtinė galūnė, Z97.1</w:t>
                </w:r>
              </w:p>
            </w:tc>
            <w:tc>
              <w:tcPr>
                <w:tcW w:w="4110" w:type="dxa"/>
              </w:tcPr>
              <w:p>
                <w:pPr>
                  <w:spacing w:line="276" w:lineRule="auto"/>
                  <w:rPr>
                    <w:rFonts w:eastAsia="Calibri"/>
                    <w:szCs w:val="24"/>
                  </w:rPr>
                </w:pPr>
                <w:r>
                  <w:rPr>
                    <w:rFonts w:eastAsia="Calibri"/>
                    <w:szCs w:val="24"/>
                  </w:rPr>
                  <w:t>Nė vienos profesinės grupės asmenys negali dirbti jūrų laive.</w:t>
                </w:r>
              </w:p>
            </w:tc>
            <w:tc>
              <w:tcPr>
                <w:tcW w:w="4252" w:type="dxa"/>
              </w:tcPr>
              <w:p>
                <w:pPr>
                  <w:spacing w:line="276" w:lineRule="auto"/>
                  <w:rPr>
                    <w:rFonts w:eastAsia="Calibri"/>
                    <w:szCs w:val="24"/>
                  </w:rPr>
                </w:pPr>
                <w:r>
                  <w:rPr>
                    <w:rFonts w:eastAsia="Calibri"/>
                    <w:szCs w:val="24"/>
                  </w:rPr>
                  <w:t>Nė vienos profesinės grupės asmenys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14.</w:t>
                </w:r>
              </w:p>
            </w:tc>
            <w:tc>
              <w:tcPr>
                <w:tcW w:w="14140" w:type="dxa"/>
                <w:gridSpan w:val="4"/>
              </w:tcPr>
              <w:p>
                <w:pPr>
                  <w:spacing w:line="276" w:lineRule="auto"/>
                  <w:jc w:val="center"/>
                  <w:rPr>
                    <w:rFonts w:eastAsia="Calibri"/>
                    <w:b/>
                    <w:szCs w:val="24"/>
                    <w:u w:val="single"/>
                  </w:rPr>
                </w:pPr>
                <w:r>
                  <w:rPr>
                    <w:rFonts w:eastAsia="Calibri"/>
                    <w:b/>
                    <w:szCs w:val="24"/>
                  </w:rPr>
                  <w:t xml:space="preserve">PSICHIKOS IR ELGESIO SUTRIKIMAI </w:t>
                </w:r>
              </w:p>
            </w:tc>
          </w:tr>
          <w:tr>
            <w:tc>
              <w:tcPr>
                <w:tcW w:w="816" w:type="dxa"/>
              </w:tcPr>
              <w:p>
                <w:pPr>
                  <w:spacing w:line="276" w:lineRule="auto"/>
                  <w:jc w:val="both"/>
                  <w:rPr>
                    <w:rFonts w:eastAsia="Calibri"/>
                    <w:szCs w:val="24"/>
                  </w:rPr>
                </w:pPr>
                <w:r>
                  <w:rPr>
                    <w:rFonts w:eastAsia="Calibri"/>
                    <w:szCs w:val="24"/>
                  </w:rPr>
                  <w:t>14.1.</w:t>
                </w:r>
              </w:p>
            </w:tc>
            <w:tc>
              <w:tcPr>
                <w:tcW w:w="2977" w:type="dxa"/>
              </w:tcPr>
              <w:p>
                <w:pPr>
                  <w:spacing w:line="276" w:lineRule="auto"/>
                  <w:rPr>
                    <w:rFonts w:eastAsia="Calibri"/>
                    <w:szCs w:val="24"/>
                  </w:rPr>
                </w:pPr>
                <w:r>
                  <w:rPr>
                    <w:rFonts w:eastAsia="Calibri"/>
                    <w:szCs w:val="24"/>
                  </w:rPr>
                  <w:t xml:space="preserve">Psichikos ir elgesio sutrikimai, F00–F99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po gydytojo psichiatro konsultacijos.</w:t>
                </w:r>
              </w:p>
            </w:tc>
          </w:tr>
          <w:tr>
            <w:tc>
              <w:tcPr>
                <w:tcW w:w="816" w:type="dxa"/>
              </w:tcPr>
              <w:p>
                <w:pPr>
                  <w:spacing w:line="276" w:lineRule="auto"/>
                  <w:jc w:val="both"/>
                  <w:rPr>
                    <w:rFonts w:eastAsia="Calibri"/>
                    <w:b/>
                    <w:szCs w:val="24"/>
                  </w:rPr>
                </w:pPr>
                <w:r>
                  <w:rPr>
                    <w:rFonts w:eastAsia="Calibri"/>
                    <w:b/>
                    <w:szCs w:val="24"/>
                  </w:rPr>
                  <w:t>15.</w:t>
                </w:r>
              </w:p>
            </w:tc>
            <w:tc>
              <w:tcPr>
                <w:tcW w:w="14140" w:type="dxa"/>
                <w:gridSpan w:val="4"/>
              </w:tcPr>
              <w:p>
                <w:pPr>
                  <w:spacing w:line="276" w:lineRule="auto"/>
                  <w:jc w:val="center"/>
                  <w:rPr>
                    <w:rFonts w:eastAsia="Calibri"/>
                    <w:b/>
                    <w:szCs w:val="24"/>
                    <w:u w:val="single"/>
                  </w:rPr>
                </w:pPr>
                <w:r>
                  <w:rPr>
                    <w:rFonts w:eastAsia="Calibri"/>
                    <w:b/>
                    <w:szCs w:val="24"/>
                  </w:rPr>
                  <w:t>TAM TIKROS INFEKCINĖS IR PARAZITŲ SUKELIAMOS LIGOS</w:t>
                </w:r>
              </w:p>
            </w:tc>
          </w:tr>
          <w:tr>
            <w:tc>
              <w:tcPr>
                <w:tcW w:w="816" w:type="dxa"/>
              </w:tcPr>
              <w:p>
                <w:pPr>
                  <w:spacing w:line="276" w:lineRule="auto"/>
                  <w:jc w:val="both"/>
                  <w:rPr>
                    <w:rFonts w:eastAsia="Calibri"/>
                    <w:szCs w:val="24"/>
                  </w:rPr>
                </w:pPr>
                <w:r>
                  <w:rPr>
                    <w:rFonts w:eastAsia="Calibri"/>
                    <w:szCs w:val="24"/>
                  </w:rPr>
                  <w:t>15.1.</w:t>
                </w:r>
              </w:p>
            </w:tc>
            <w:tc>
              <w:tcPr>
                <w:tcW w:w="2977" w:type="dxa"/>
              </w:tcPr>
              <w:p>
                <w:pPr>
                  <w:spacing w:line="276" w:lineRule="auto"/>
                  <w:rPr>
                    <w:rFonts w:eastAsia="Calibri"/>
                    <w:szCs w:val="24"/>
                  </w:rPr>
                </w:pPr>
                <w:r>
                  <w:rPr>
                    <w:rFonts w:eastAsia="Calibri"/>
                    <w:szCs w:val="24"/>
                  </w:rPr>
                  <w:t>Žarnyno infekcinės ligos, A00–A09</w:t>
                </w:r>
              </w:p>
              <w:p>
                <w:pPr>
                  <w:spacing w:line="276" w:lineRule="auto"/>
                  <w:rPr>
                    <w:rFonts w:eastAsia="Calibri"/>
                    <w:szCs w:val="24"/>
                  </w:rPr>
                </w:pPr>
                <w:r>
                  <w:rPr>
                    <w:rFonts w:eastAsia="Calibri"/>
                    <w:szCs w:val="24"/>
                  </w:rPr>
                  <w:t>Tam tikros bakterinės zoonozinės ligos, A20–A28</w:t>
                </w:r>
              </w:p>
              <w:p>
                <w:pPr>
                  <w:spacing w:line="276" w:lineRule="auto"/>
                  <w:rPr>
                    <w:rFonts w:eastAsia="Calibri"/>
                    <w:szCs w:val="24"/>
                  </w:rPr>
                </w:pPr>
                <w:r>
                  <w:rPr>
                    <w:rFonts w:eastAsia="Calibri"/>
                    <w:szCs w:val="24"/>
                  </w:rPr>
                  <w:t>Kitos bakterijų sukeltos ligos, A30–A49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Visų profesinių grupių darbuotojai, visiškai pasveikę po gydymo, gali dirbti jūrų ir vidaus vandenų laivuose.</w:t>
                </w:r>
              </w:p>
            </w:tc>
          </w:tr>
          <w:tr>
            <w:tc>
              <w:tcPr>
                <w:tcW w:w="816" w:type="dxa"/>
              </w:tcPr>
              <w:p>
                <w:pPr>
                  <w:spacing w:line="276" w:lineRule="auto"/>
                  <w:jc w:val="both"/>
                  <w:rPr>
                    <w:rFonts w:eastAsia="Calibri"/>
                    <w:szCs w:val="24"/>
                  </w:rPr>
                </w:pPr>
                <w:r>
                  <w:rPr>
                    <w:rFonts w:eastAsia="Calibri"/>
                    <w:szCs w:val="24"/>
                  </w:rPr>
                  <w:t>15.2.</w:t>
                </w:r>
              </w:p>
            </w:tc>
            <w:tc>
              <w:tcPr>
                <w:tcW w:w="2977" w:type="dxa"/>
              </w:tcPr>
              <w:p>
                <w:pPr>
                  <w:spacing w:line="276" w:lineRule="auto"/>
                  <w:rPr>
                    <w:rFonts w:eastAsia="Calibri"/>
                    <w:szCs w:val="24"/>
                  </w:rPr>
                </w:pPr>
                <w:r>
                  <w:rPr>
                    <w:rFonts w:eastAsia="Calibri"/>
                    <w:szCs w:val="24"/>
                  </w:rPr>
                  <w:t>Dažniausiai lytiškai plintančios infekcijos, A50–A64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15.3.</w:t>
                </w:r>
              </w:p>
            </w:tc>
            <w:tc>
              <w:tcPr>
                <w:tcW w:w="2977" w:type="dxa"/>
              </w:tcPr>
              <w:p>
                <w:pPr>
                  <w:spacing w:line="276" w:lineRule="auto"/>
                  <w:rPr>
                    <w:rFonts w:eastAsia="Calibri"/>
                    <w:szCs w:val="24"/>
                  </w:rPr>
                </w:pPr>
                <w:r>
                  <w:rPr>
                    <w:rFonts w:eastAsia="Calibri"/>
                    <w:szCs w:val="24"/>
                  </w:rPr>
                  <w:t>Besimptomis užkrėstumas žmogaus imunodeficito (ŽIV) virusu, Z21</w:t>
                </w:r>
              </w:p>
              <w:p>
                <w:pPr>
                  <w:spacing w:line="276" w:lineRule="auto"/>
                  <w:rPr>
                    <w:rFonts w:eastAsia="Calibri"/>
                    <w:szCs w:val="24"/>
                  </w:rPr>
                </w:pPr>
                <w:r>
                  <w:rPr>
                    <w:rFonts w:eastAsia="Calibri"/>
                    <w:szCs w:val="24"/>
                  </w:rPr>
                  <w:t>Žmogaus imunodeficito viruso (ŽIV) sukelta liga, B20–B24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infekuotų ŽIV asmenų tinkamumo dirbti jūrų ir vidaus vandenų laivuose sprendžiama individualiai po gydytojo infektologo konsultacijos. Asmenys, sergantys AIDS, </w:t>
                </w:r>
                <w:r>
                  <w:rPr>
                    <w:rFonts w:eastAsia="Calibri"/>
                    <w:color w:val="000000"/>
                    <w:szCs w:val="24"/>
                  </w:rPr>
                  <w:t>negali dirbti jūrų ir vidaus vandenų</w:t>
                </w:r>
                <w:r>
                  <w:rPr>
                    <w:rFonts w:eastAsia="Calibri"/>
                    <w:szCs w:val="24"/>
                  </w:rPr>
                  <w:t xml:space="preserve"> laivuose.</w:t>
                </w:r>
              </w:p>
            </w:tc>
          </w:tr>
          <w:tr>
            <w:tc>
              <w:tcPr>
                <w:tcW w:w="816" w:type="dxa"/>
              </w:tcPr>
              <w:p>
                <w:pPr>
                  <w:spacing w:line="276" w:lineRule="auto"/>
                  <w:jc w:val="both"/>
                  <w:rPr>
                    <w:rFonts w:eastAsia="Calibri"/>
                    <w:b/>
                    <w:szCs w:val="24"/>
                  </w:rPr>
                </w:pPr>
                <w:r>
                  <w:rPr>
                    <w:rFonts w:eastAsia="Calibri"/>
                    <w:b/>
                    <w:szCs w:val="24"/>
                  </w:rPr>
                  <w:t>16.</w:t>
                </w:r>
              </w:p>
            </w:tc>
            <w:tc>
              <w:tcPr>
                <w:tcW w:w="14140" w:type="dxa"/>
                <w:gridSpan w:val="4"/>
              </w:tcPr>
              <w:p>
                <w:pPr>
                  <w:spacing w:line="276" w:lineRule="auto"/>
                  <w:jc w:val="center"/>
                  <w:rPr>
                    <w:rFonts w:eastAsia="Calibri"/>
                    <w:b/>
                    <w:szCs w:val="24"/>
                  </w:rPr>
                </w:pPr>
                <w:r>
                  <w:rPr>
                    <w:rFonts w:eastAsia="Calibri"/>
                    <w:b/>
                    <w:szCs w:val="24"/>
                  </w:rPr>
                  <w:t>ODOS IR POODŽIO LIGOS</w:t>
                </w:r>
              </w:p>
            </w:tc>
          </w:tr>
          <w:tr>
            <w:tc>
              <w:tcPr>
                <w:tcW w:w="816" w:type="dxa"/>
              </w:tcPr>
              <w:p>
                <w:pPr>
                  <w:spacing w:line="276" w:lineRule="auto"/>
                  <w:jc w:val="both"/>
                  <w:rPr>
                    <w:rFonts w:eastAsia="Calibri"/>
                    <w:szCs w:val="24"/>
                  </w:rPr>
                </w:pPr>
                <w:r>
                  <w:rPr>
                    <w:rFonts w:eastAsia="Calibri"/>
                    <w:szCs w:val="24"/>
                  </w:rPr>
                  <w:t>16.1.</w:t>
                </w:r>
              </w:p>
            </w:tc>
            <w:tc>
              <w:tcPr>
                <w:tcW w:w="2977" w:type="dxa"/>
              </w:tcPr>
              <w:p>
                <w:pPr>
                  <w:spacing w:line="276" w:lineRule="auto"/>
                  <w:rPr>
                    <w:rFonts w:eastAsia="Calibri"/>
                    <w:szCs w:val="24"/>
                  </w:rPr>
                </w:pPr>
                <w:r>
                  <w:rPr>
                    <w:rFonts w:eastAsia="Calibri"/>
                    <w:szCs w:val="24"/>
                  </w:rPr>
                  <w:t>Mikozės, B35–B49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16.2.</w:t>
                </w:r>
              </w:p>
            </w:tc>
            <w:tc>
              <w:tcPr>
                <w:tcW w:w="2977" w:type="dxa"/>
              </w:tcPr>
              <w:p>
                <w:pPr>
                  <w:spacing w:line="276" w:lineRule="auto"/>
                  <w:rPr>
                    <w:rFonts w:eastAsia="Calibri"/>
                    <w:szCs w:val="24"/>
                  </w:rPr>
                </w:pPr>
                <w:r>
                  <w:rPr>
                    <w:rFonts w:eastAsia="Calibri"/>
                    <w:szCs w:val="24"/>
                  </w:rPr>
                  <w:t>Kiti dermatitai, L30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16.3.</w:t>
                </w:r>
              </w:p>
            </w:tc>
            <w:tc>
              <w:tcPr>
                <w:tcW w:w="2977" w:type="dxa"/>
              </w:tcPr>
              <w:p>
                <w:pPr>
                  <w:spacing w:line="276" w:lineRule="auto"/>
                  <w:rPr>
                    <w:rFonts w:eastAsia="Calibri"/>
                    <w:szCs w:val="24"/>
                  </w:rPr>
                </w:pPr>
                <w:r>
                  <w:rPr>
                    <w:rFonts w:eastAsia="Calibri"/>
                    <w:szCs w:val="24"/>
                  </w:rPr>
                  <w:t>Infekcinis dermatitas, L30.3</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dermatovenerologo konsultacijos.</w:t>
                </w:r>
              </w:p>
            </w:tc>
          </w:tr>
          <w:tr>
            <w:tc>
              <w:tcPr>
                <w:tcW w:w="816" w:type="dxa"/>
              </w:tcPr>
              <w:p>
                <w:pPr>
                  <w:spacing w:line="276" w:lineRule="auto"/>
                  <w:jc w:val="both"/>
                  <w:rPr>
                    <w:rFonts w:eastAsia="Calibri"/>
                    <w:szCs w:val="24"/>
                  </w:rPr>
                </w:pPr>
                <w:r>
                  <w:rPr>
                    <w:rFonts w:eastAsia="Calibri"/>
                    <w:szCs w:val="24"/>
                  </w:rPr>
                  <w:t>16.4.</w:t>
                </w:r>
              </w:p>
            </w:tc>
            <w:tc>
              <w:tcPr>
                <w:tcW w:w="2977" w:type="dxa"/>
              </w:tcPr>
              <w:p>
                <w:pPr>
                  <w:spacing w:line="276" w:lineRule="auto"/>
                  <w:rPr>
                    <w:rFonts w:eastAsia="Calibri"/>
                    <w:szCs w:val="24"/>
                  </w:rPr>
                </w:pPr>
                <w:r>
                  <w:rPr>
                    <w:rFonts w:eastAsia="Calibri"/>
                    <w:szCs w:val="24"/>
                  </w:rPr>
                  <w:t>Psoriazė, L40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16.5.</w:t>
                </w:r>
              </w:p>
            </w:tc>
            <w:tc>
              <w:tcPr>
                <w:tcW w:w="2977" w:type="dxa"/>
              </w:tcPr>
              <w:p>
                <w:pPr>
                  <w:spacing w:line="276" w:lineRule="auto"/>
                  <w:rPr>
                    <w:rFonts w:eastAsia="Calibri"/>
                    <w:szCs w:val="24"/>
                  </w:rPr>
                </w:pPr>
                <w:r>
                  <w:rPr>
                    <w:rFonts w:eastAsia="Calibri"/>
                    <w:szCs w:val="24"/>
                  </w:rPr>
                  <w:t>Dažnai pasikartojanti dilgėlinė, L50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vidaus vandenų</w:t>
                </w:r>
                <w:r>
                  <w:rPr>
                    <w:rFonts w:eastAsia="Calibri"/>
                    <w:szCs w:val="24"/>
                  </w:rPr>
                  <w:t xml:space="preserve"> laive </w:t>
                </w:r>
                <w:r>
                  <w:rPr>
                    <w:rFonts w:eastAsia="Calibri"/>
                    <w:color w:val="000000"/>
                    <w:szCs w:val="24"/>
                  </w:rPr>
                  <w:t>sprendžiama individualiai po gydytojo dermatovenerologo ar gydytojo alergologo ir klinikinio imunologo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17.</w:t>
                </w:r>
              </w:p>
            </w:tc>
            <w:tc>
              <w:tcPr>
                <w:tcW w:w="14140" w:type="dxa"/>
                <w:gridSpan w:val="4"/>
              </w:tcPr>
              <w:p>
                <w:pPr>
                  <w:spacing w:line="276" w:lineRule="auto"/>
                  <w:jc w:val="center"/>
                  <w:rPr>
                    <w:rFonts w:eastAsia="Calibri"/>
                    <w:b/>
                    <w:szCs w:val="24"/>
                  </w:rPr>
                </w:pPr>
                <w:r>
                  <w:rPr>
                    <w:rFonts w:eastAsia="Calibri"/>
                    <w:b/>
                    <w:szCs w:val="24"/>
                  </w:rPr>
                  <w:t>PIKTYBINIAI NAVIKAI</w:t>
                </w:r>
              </w:p>
            </w:tc>
          </w:tr>
          <w:tr>
            <w:tc>
              <w:tcPr>
                <w:tcW w:w="816" w:type="dxa"/>
              </w:tcPr>
              <w:p>
                <w:pPr>
                  <w:spacing w:line="276" w:lineRule="auto"/>
                  <w:jc w:val="both"/>
                  <w:rPr>
                    <w:rFonts w:eastAsia="Calibri"/>
                    <w:color w:val="000000"/>
                    <w:szCs w:val="24"/>
                  </w:rPr>
                </w:pPr>
                <w:r>
                  <w:rPr>
                    <w:rFonts w:eastAsia="Calibri"/>
                    <w:color w:val="000000"/>
                    <w:szCs w:val="24"/>
                  </w:rPr>
                  <w:t>17.1.</w:t>
                </w:r>
              </w:p>
            </w:tc>
            <w:tc>
              <w:tcPr>
                <w:tcW w:w="2977" w:type="dxa"/>
              </w:tcPr>
              <w:p>
                <w:pPr>
                  <w:spacing w:line="276" w:lineRule="auto"/>
                  <w:rPr>
                    <w:rFonts w:eastAsia="Calibri"/>
                    <w:color w:val="000000"/>
                    <w:szCs w:val="24"/>
                  </w:rPr>
                </w:pPr>
                <w:r>
                  <w:rPr>
                    <w:rFonts w:eastAsia="Calibri"/>
                    <w:color w:val="000000"/>
                    <w:szCs w:val="24"/>
                  </w:rPr>
                  <w:t>Išplitę piktybiniai navikai, C00–C96</w:t>
                </w: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vidaus vandenų laive.</w:t>
                </w:r>
              </w:p>
            </w:tc>
            <w:tc>
              <w:tcPr>
                <w:tcW w:w="2801" w:type="dxa"/>
              </w:tcPr>
              <w:p>
                <w:pPr>
                  <w:spacing w:line="276" w:lineRule="auto"/>
                  <w:rPr>
                    <w:rFonts w:eastAsia="Calibri"/>
                    <w:strike/>
                    <w:color w:val="000000"/>
                    <w:szCs w:val="24"/>
                  </w:rPr>
                </w:pPr>
              </w:p>
            </w:tc>
          </w:tr>
          <w:tr>
            <w:tc>
              <w:tcPr>
                <w:tcW w:w="816" w:type="dxa"/>
              </w:tcPr>
              <w:p>
                <w:pPr>
                  <w:spacing w:line="276" w:lineRule="auto"/>
                  <w:jc w:val="both"/>
                  <w:rPr>
                    <w:rFonts w:eastAsia="Calibri"/>
                    <w:szCs w:val="24"/>
                  </w:rPr>
                </w:pPr>
                <w:r>
                  <w:rPr>
                    <w:rFonts w:eastAsia="Calibri"/>
                    <w:szCs w:val="24"/>
                  </w:rPr>
                  <w:t>17.2.</w:t>
                </w:r>
              </w:p>
            </w:tc>
            <w:tc>
              <w:tcPr>
                <w:tcW w:w="2977" w:type="dxa"/>
              </w:tcPr>
              <w:p>
                <w:pPr>
                  <w:spacing w:line="276" w:lineRule="auto"/>
                  <w:rPr>
                    <w:rFonts w:eastAsia="Calibri"/>
                    <w:szCs w:val="24"/>
                  </w:rPr>
                </w:pPr>
                <w:r>
                  <w:rPr>
                    <w:rFonts w:eastAsia="Calibri"/>
                    <w:szCs w:val="24"/>
                  </w:rPr>
                  <w:t>Būklė po piktybinių navikų operacinio ar kito kompleksinio gydymo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onkologo radioterapeuto ar gydytojo onkologo chemoterapeuto konsultacijos.</w:t>
                </w:r>
              </w:p>
            </w:tc>
          </w:tr>
          <w:tr>
            <w:tc>
              <w:tcPr>
                <w:tcW w:w="816" w:type="dxa"/>
              </w:tcPr>
              <w:p>
                <w:pPr>
                  <w:spacing w:line="276" w:lineRule="auto"/>
                  <w:jc w:val="both"/>
                  <w:rPr>
                    <w:rFonts w:eastAsia="Calibri"/>
                    <w:b/>
                    <w:szCs w:val="24"/>
                  </w:rPr>
                </w:pPr>
                <w:r>
                  <w:rPr>
                    <w:rFonts w:eastAsia="Calibri"/>
                    <w:b/>
                    <w:szCs w:val="24"/>
                  </w:rPr>
                  <w:t>18.</w:t>
                </w:r>
              </w:p>
            </w:tc>
            <w:tc>
              <w:tcPr>
                <w:tcW w:w="2977" w:type="dxa"/>
              </w:tcPr>
              <w:p>
                <w:pPr>
                  <w:spacing w:line="276" w:lineRule="auto"/>
                  <w:rPr>
                    <w:rFonts w:eastAsia="Calibri"/>
                    <w:b/>
                    <w:szCs w:val="24"/>
                  </w:rPr>
                </w:pPr>
                <w:r>
                  <w:rPr>
                    <w:rFonts w:eastAsia="Calibri"/>
                    <w:b/>
                    <w:szCs w:val="24"/>
                  </w:rPr>
                  <w:t>KITOS NEPAMINĖTOS LIGOS</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Sprendžiama individualiai.</w:t>
                </w:r>
              </w:p>
            </w:tc>
          </w:tr>
        </w:tbl>
        <w:p>
          <w:pPr>
            <w:ind w:right="27"/>
            <w:jc w:val="both"/>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2 pr."/>
        <w:tag w:val="part_e8f617883a454cdca0471d97e1507204"/>
        <w:lock w:val="sdtLocked"/>
        <w:richText/>
      </w:sdtPr>
      <w:sdtContent>
        <w:p>
          <w:pPr>
            <w:ind w:left="5184"/>
            <w:jc w:val="both"/>
            <w:sectPr>
              <w:headerReference w:type="even" r:id="rId86"/>
              <w:headerReference w:type="default" r:id="rId87"/>
              <w:pgSz w:w="16838" w:h="11906" w:orient="landscape" w:code="9"/>
              <w:pgMar w:top="709" w:right="680" w:bottom="567" w:left="1418" w:header="567" w:footer="567" w:gutter="0"/>
              <w:pgNumType w:start="1"/>
              <w:cols w:space="1296"/>
              <w:titlePg/>
              <w:docGrid w:linePitch="360"/>
            </w:sectPr>
          </w:pPr>
        </w:p>
        <w:p>
          <w:pPr>
            <w:ind w:left="5184"/>
            <w:jc w:val="both"/>
            <w:rPr>
              <w:szCs w:val="24"/>
            </w:rPr>
          </w:pPr>
          <w:r>
            <w:rPr>
              <w:szCs w:val="24"/>
            </w:rPr>
            <w:t xml:space="preserve">Jūrininkų ir vidaus vandenų transporto specialistų bei motorinių pramoginių laivų ir kitų motorinių plaukiojimo priemonių laivavedžių sveikatos tikrinimo tvarkos aprašo </w:t>
          </w:r>
        </w:p>
        <w:p>
          <w:pPr>
            <w:ind w:left="5184"/>
            <w:jc w:val="both"/>
            <w:rPr>
              <w:szCs w:val="24"/>
            </w:rPr>
          </w:pPr>
          <w:sdt>
            <w:sdtPr>
              <w:alias w:val="Numeris"/>
              <w:tag w:val="nr_e8f617883a454cdca0471d97e1507204"/>
              <w:lock w:val="sdtLocked"/>
              <w:richText/>
            </w:sdtPr>
            <w:sdtContent>
              <w:r>
                <w:rPr>
                  <w:szCs w:val="24"/>
                </w:rPr>
                <w:t>2</w:t>
              </w:r>
            </w:sdtContent>
          </w:sdt>
          <w:r>
            <w:rPr>
              <w:szCs w:val="24"/>
            </w:rPr>
            <w:t xml:space="preserve"> priedas</w:t>
          </w:r>
        </w:p>
        <w:p>
          <w:pPr>
            <w:jc w:val="center"/>
            <w:rPr>
              <w:b/>
              <w:szCs w:val="24"/>
            </w:rPr>
          </w:pPr>
        </w:p>
        <w:sdt>
          <w:sdtPr>
            <w:alias w:val="Pavadinimas"/>
            <w:tag w:val="title_e8f617883a454cdca0471d97e1507204"/>
            <w:lock w:val="sdtLocked"/>
            <w:richText/>
          </w:sdtPr>
          <w:sdtContent>
            <w:p>
              <w:pPr>
                <w:jc w:val="center"/>
                <w:rPr>
                  <w:b/>
                  <w:color w:val="000000"/>
                  <w:szCs w:val="24"/>
                </w:rPr>
              </w:pPr>
              <w:r>
                <w:rPr>
                  <w:b/>
                  <w:color w:val="000000"/>
                  <w:szCs w:val="24"/>
                </w:rPr>
                <w:t>JŪRININKO AR VIDAUS VANDENŲ TRANSPORTO SPECIALISTO BEI MOTORINIŲ PRAMOGINIŲ LAIVŲ IR KITŲ MOTORINIŲ PLAUKIOJIMO PRIEMONIŲ LAIVAVEDŽIO GARBĖS DEKLARACIJA (SVEIKATOS TIKRINIMO KLAUSIMYNAS)</w:t>
              </w:r>
            </w:p>
            <w:p>
              <w:pPr>
                <w:jc w:val="center"/>
                <w:rPr>
                  <w:b/>
                  <w:i/>
                  <w:szCs w:val="24"/>
                </w:rPr>
              </w:pPr>
              <w:r>
                <w:rPr>
                  <w:b/>
                  <w:color w:val="000000"/>
                  <w:szCs w:val="24"/>
                </w:rPr>
                <w:t xml:space="preserve">/ </w:t>
              </w:r>
              <w:r>
                <w:rPr>
                  <w:b/>
                  <w:i/>
                  <w:color w:val="000000"/>
                  <w:szCs w:val="24"/>
                </w:rPr>
                <w:t>SEAFARERS OR NAVIGATOR‘S OF MOTOR PLEASURE AND OTHER CRAFT</w:t>
              </w:r>
              <w:r>
                <w:rPr>
                  <w:b/>
                  <w:i/>
                  <w:szCs w:val="24"/>
                </w:rPr>
                <w:t xml:space="preserve"> DECLARATION OF HONOUR</w:t>
              </w:r>
            </w:p>
          </w:sdtContent>
        </w:sdt>
        <w:p>
          <w:pPr>
            <w:jc w:val="center"/>
            <w:rPr>
              <w:b/>
              <w:szCs w:val="24"/>
            </w:rPr>
          </w:pPr>
          <w:r>
            <w:rPr>
              <w:b/>
              <w:szCs w:val="24"/>
            </w:rPr>
            <w:t>__________________</w:t>
          </w:r>
        </w:p>
        <w:p>
          <w:pPr>
            <w:jc w:val="center"/>
            <w:rPr>
              <w:sz w:val="20"/>
            </w:rPr>
          </w:pPr>
          <w:r>
            <w:rPr>
              <w:sz w:val="20"/>
            </w:rPr>
            <w:t xml:space="preserve">(data / </w:t>
          </w:r>
          <w:r>
            <w:rPr>
              <w:i/>
              <w:sz w:val="20"/>
            </w:rPr>
            <w:t>date</w:t>
          </w:r>
          <w:r>
            <w:rPr>
              <w:sz w:val="20"/>
            </w:rPr>
            <w:t>)</w:t>
          </w:r>
        </w:p>
        <w:p>
          <w:pPr>
            <w:jc w:val="center"/>
            <w:rPr>
              <w:b/>
              <w:szCs w:val="24"/>
            </w:rPr>
          </w:pPr>
          <w:r>
            <w:rPr>
              <w:b/>
              <w:szCs w:val="24"/>
            </w:rPr>
            <w:t>________________________</w:t>
          </w:r>
        </w:p>
        <w:p>
          <w:pPr>
            <w:jc w:val="center"/>
            <w:rPr>
              <w:sz w:val="20"/>
            </w:rPr>
          </w:pPr>
          <w:r>
            <w:rPr>
              <w:sz w:val="20"/>
            </w:rPr>
            <w:t xml:space="preserve">(užpildymo vieta  / </w:t>
          </w:r>
          <w:r>
            <w:rPr>
              <w:i/>
              <w:sz w:val="20"/>
            </w:rPr>
            <w:t>place</w:t>
          </w:r>
          <w:r>
            <w:rPr>
              <w:sz w:val="20"/>
            </w:rPr>
            <w:t>)</w:t>
          </w:r>
        </w:p>
        <w:p>
          <w:pPr>
            <w:rPr>
              <w:rFonts w:ascii="Calibri" w:hAnsi="Calibr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7"/>
          </w:tblGrid>
          <w:tr>
            <w:trPr>
              <w:trHeight w:val="350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 xml:space="preserve">______________________          ________________________________</w:t>
                </w:r>
              </w:p>
              <w:p>
                <w:pPr>
                  <w:ind w:firstLine="600"/>
                  <w:rPr>
                    <w:szCs w:val="24"/>
                  </w:rPr>
                </w:pPr>
                <w:r>
                  <w:rPr>
                    <w:szCs w:val="24"/>
                  </w:rPr>
                  <w:t xml:space="preserve">(vardas / </w:t>
                </w:r>
                <w:r>
                  <w:rPr>
                    <w:i/>
                    <w:szCs w:val="24"/>
                  </w:rPr>
                  <w:t>name</w:t>
                </w:r>
                <w:r>
                  <w:rPr>
                    <w:szCs w:val="24"/>
                  </w:rPr>
                  <w:t xml:space="preserve">)                                         (pavardė / </w:t>
                </w:r>
                <w:r>
                  <w:rPr>
                    <w:i/>
                    <w:szCs w:val="24"/>
                  </w:rPr>
                  <w:t>surname</w:t>
                </w:r>
                <w:r>
                  <w:rPr>
                    <w:szCs w:val="24"/>
                  </w:rPr>
                  <w:t>)</w:t>
                </w:r>
              </w:p>
              <w:p>
                <w:pPr>
                  <w:rPr>
                    <w:szCs w:val="24"/>
                  </w:rPr>
                </w:pPr>
                <w:r>
                  <w:rPr>
                    <w:szCs w:val="24"/>
                  </w:rPr>
                  <w:t xml:space="preserve">_______________________         _______________________________        ____________</w:t>
                </w:r>
              </w:p>
              <w:p>
                <w:pPr>
                  <w:rPr>
                    <w:szCs w:val="24"/>
                  </w:rPr>
                </w:pPr>
                <w:r>
                  <w:rPr>
                    <w:szCs w:val="24"/>
                  </w:rPr>
                  <w:t xml:space="preserve">(gimimo data / </w:t>
                </w:r>
                <w:r>
                  <w:rPr>
                    <w:i/>
                    <w:szCs w:val="24"/>
                  </w:rPr>
                  <w:t>date of birth</w:t>
                </w:r>
                <w:r>
                  <w:rPr>
                    <w:szCs w:val="24"/>
                  </w:rPr>
                  <w:t xml:space="preserve">)          (asmens kodas / </w:t>
                </w:r>
                <w:r>
                  <w:rPr>
                    <w:i/>
                    <w:szCs w:val="24"/>
                  </w:rPr>
                  <w:t>identity code</w:t>
                </w:r>
                <w:r>
                  <w:rPr>
                    <w:szCs w:val="24"/>
                  </w:rPr>
                  <w:t xml:space="preserve">)                   (lytis / </w:t>
                </w:r>
                <w:r>
                  <w:rPr>
                    <w:i/>
                    <w:szCs w:val="24"/>
                  </w:rPr>
                  <w:t>gender</w:t>
                </w:r>
                <w:r>
                  <w:rPr>
                    <w:szCs w:val="24"/>
                  </w:rPr>
                  <w:t>)</w:t>
                </w:r>
              </w:p>
              <w:p>
                <w:pPr>
                  <w:rPr>
                    <w:szCs w:val="24"/>
                  </w:rPr>
                </w:pPr>
                <w:r>
                  <w:rPr>
                    <w:szCs w:val="24"/>
                  </w:rPr>
                  <w:t>_________________________________________________________________________</w:t>
                </w:r>
              </w:p>
              <w:p>
                <w:pPr>
                  <w:ind w:firstLine="2580"/>
                  <w:rPr>
                    <w:szCs w:val="24"/>
                  </w:rPr>
                </w:pPr>
                <w:r>
                  <w:rPr>
                    <w:szCs w:val="24"/>
                  </w:rPr>
                  <w:t xml:space="preserve">(nuolatinė gyvenamoji vieta / </w:t>
                </w:r>
                <w:r>
                  <w:rPr>
                    <w:i/>
                    <w:szCs w:val="24"/>
                  </w:rPr>
                  <w:t>domicile</w:t>
                </w:r>
                <w:r>
                  <w:rPr>
                    <w:szCs w:val="24"/>
                  </w:rPr>
                  <w:t>)</w:t>
                </w:r>
              </w:p>
              <w:p>
                <w:pPr>
                  <w:rPr>
                    <w:szCs w:val="24"/>
                  </w:rPr>
                </w:pPr>
                <w:r>
                  <w:rPr>
                    <w:szCs w:val="24"/>
                  </w:rPr>
                  <w:t>___________________________________________</w:t>
                </w:r>
              </w:p>
              <w:p>
                <w:pPr>
                  <w:ind w:firstLine="1380"/>
                  <w:rPr>
                    <w:szCs w:val="24"/>
                  </w:rPr>
                </w:pPr>
                <w:r>
                  <w:rPr>
                    <w:szCs w:val="24"/>
                  </w:rPr>
                  <w:t xml:space="preserve">(pareigos / </w:t>
                </w:r>
                <w:r>
                  <w:rPr>
                    <w:i/>
                    <w:szCs w:val="24"/>
                  </w:rPr>
                  <w:t>position</w:t>
                </w:r>
                <w:r>
                  <w:rPr>
                    <w:szCs w:val="24"/>
                  </w:rPr>
                  <w:t>)</w:t>
                </w:r>
              </w:p>
              <w:p>
                <w:pPr>
                  <w:widowControl w:val="0"/>
                  <w:tabs>
                    <w:tab w:val="left" w:pos="1080"/>
                  </w:tabs>
                  <w:jc w:val="both"/>
                  <w:rPr>
                    <w:szCs w:val="24"/>
                  </w:rPr>
                </w:pPr>
                <w:r>
                  <w:rPr>
                    <w:szCs w:val="24"/>
                  </w:rPr>
                  <w:t>Profesinės grupės pagal darbo pobūdį:</w:t>
                </w:r>
              </w:p>
              <w:p>
                <w:pPr>
                  <w:jc w:val="both"/>
                  <w:rPr>
                    <w:szCs w:val="24"/>
                  </w:rPr>
                </w:pPr>
                <w:r>
                  <w:rPr>
                    <w:szCs w:val="24"/>
                  </w:rPr>
                  <w:t>I profesinė grupė – Denio tarnyba. Vykdantys navigacinį budėjimą kapitonai, kapitonų padėjėjai, laivų škiperiai ir jų padėjėjai, kvalifikuoti jūreiviai, jūreiviai, upeiviai, locmanai ir pan.</w:t>
                </w:r>
              </w:p>
              <w:p>
                <w:pPr>
                  <w:jc w:val="both"/>
                  <w:rPr>
                    <w:szCs w:val="24"/>
                  </w:rPr>
                </w:pPr>
                <w:r>
                  <w:rPr>
                    <w:szCs w:val="24"/>
                  </w:rPr>
                  <w:t>II profesinė grupė – Mašinų (Jėgainės) tarnyba. Vykdantys mašinų (jėgainės) eigos budėjimą visų grupių mechanikai, kvalifikuoti motoristai, motoristai, elektrikai ir pan.</w:t>
                </w:r>
              </w:p>
              <w:p>
                <w:pPr>
                  <w:jc w:val="both"/>
                  <w:rPr>
                    <w:szCs w:val="24"/>
                  </w:rPr>
                </w:pPr>
                <w:r>
                  <w:rPr>
                    <w:szCs w:val="24"/>
                  </w:rPr>
                  <w:t>III profesinė grupė – Aptarnavimo tarnyba. Laivus ir jų personalą bei keleivius aptarnaujantys sveikatos priežiūros specialistai ir kiti darbuotojai, saugos pareigūnai, virėjai, narai ir pan.</w:t>
                </w:r>
              </w:p>
              <w:p>
                <w:pPr>
                  <w:jc w:val="both"/>
                  <w:rPr>
                    <w:color w:val="C0504D"/>
                    <w:szCs w:val="24"/>
                  </w:rPr>
                </w:pPr>
                <w:r>
                  <w:rPr>
                    <w:szCs w:val="24"/>
                  </w:rPr>
                  <w:t xml:space="preserve">IV profesinė grupė – </w:t>
                </w:r>
                <w:r>
                  <w:rPr>
                    <w:color w:val="000000"/>
                    <w:szCs w:val="24"/>
                  </w:rPr>
                  <w:t>Motorinių pramoginių laivų ir kitų motorinių plaukiojimo priemonių laivavedžiai.</w:t>
                </w:r>
              </w:p>
            </w:tc>
          </w:tr>
        </w:tbl>
        <w:p>
          <w:pPr>
            <w:jc w:val="both"/>
            <w:rPr>
              <w:b/>
              <w:szCs w:val="24"/>
            </w:rPr>
          </w:pPr>
        </w:p>
        <w:p>
          <w:pPr>
            <w:ind w:firstLine="360"/>
            <w:jc w:val="both"/>
            <w:rPr>
              <w:b/>
              <w:szCs w:val="24"/>
            </w:rPr>
          </w:pPr>
          <w:r>
            <w:rPr>
              <w:szCs w:val="24"/>
            </w:rPr>
            <w:t xml:space="preserve">Į pateiktus klausimus atsakykite pažymėdami Jums tinkantį variantą / </w:t>
          </w:r>
          <w:r>
            <w:rPr>
              <w:i/>
              <w:szCs w:val="24"/>
            </w:rPr>
            <w:t>Please answer the questions below and select the options</w:t>
          </w:r>
          <w:r>
            <w:rPr>
              <w:szCs w:val="24"/>
            </w:rPr>
            <w:t xml:space="preserve"> (Taip / </w:t>
          </w:r>
          <w:r>
            <w:rPr>
              <w:i/>
              <w:szCs w:val="24"/>
            </w:rPr>
            <w:t>Yes</w:t>
          </w:r>
          <w:r>
            <w:rPr>
              <w:szCs w:val="24"/>
            </w:rPr>
            <w:t xml:space="preserve">; Ne / </w:t>
          </w:r>
          <w:r>
            <w:rPr>
              <w:i/>
              <w:szCs w:val="24"/>
            </w:rPr>
            <w:t>No</w:t>
          </w:r>
          <w:r>
            <w:rPr>
              <w:szCs w:val="24"/>
            </w:rPr>
            <w:t xml:space="preserve">) </w:t>
          </w:r>
        </w:p>
        <w:p>
          <w:pPr>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096"/>
            <w:gridCol w:w="1559"/>
            <w:gridCol w:w="1559"/>
          </w:tblGrid>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anksčiau buvo atliktas medicininis patikrinimas dėl darbo jūroje? / </w:t>
                </w:r>
                <w:r>
                  <w:rPr>
                    <w:i/>
                    <w:color w:val="333333"/>
                    <w:szCs w:val="24"/>
                    <w:lang w:val="en"/>
                  </w:rPr>
                  <w:t>Have you previously performed a medical examination for a job at sea?</w:t>
                </w:r>
                <w:r>
                  <w:rPr>
                    <w:szCs w:val="24"/>
                    <w:lang w:val="en"/>
                  </w:rPr>
                  <w:t xml:space="preserve"> </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Taip / </w:t>
                </w:r>
                <w:r>
                  <w:rPr>
                    <w:i/>
                    <w:szCs w:val="24"/>
                  </w:rPr>
                  <w:t>Yes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Ne / </w:t>
                </w:r>
                <w:r>
                  <w:rPr>
                    <w:i/>
                    <w:szCs w:val="24"/>
                  </w:rPr>
                  <w:t>No</w:t>
                </w: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buvote pripažintas netinkamu dirbti jūroje ir (ar) buvo taikyti apribojimai dėl darbo jūroje? / </w:t>
                </w:r>
                <w:r>
                  <w:rPr>
                    <w:i/>
                    <w:color w:val="333333"/>
                    <w:szCs w:val="24"/>
                    <w:lang w:val="en"/>
                  </w:rPr>
                  <w:t>Have you ever been declared unfit for work at sea and (or) the restrictions applicable to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gydėtės ligoninėje? </w:t>
                </w:r>
                <w:r>
                  <w:rPr>
                    <w:i/>
                    <w:szCs w:val="24"/>
                  </w:rPr>
                  <w:t>/ Have you been admitted to the hospital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buvote nepertraukiamai nedarbingas ilgiau nei 30 dienų? / </w:t>
                </w:r>
                <w:r>
                  <w:rPr>
                    <w:i/>
                    <w:szCs w:val="24"/>
                  </w:rPr>
                  <w:t>Have you had unfitted period of sickness leave for more than 30 days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plaučių ligomis (tuberkulioze, bronchine astma)? / </w:t>
                </w:r>
                <w:r>
                  <w:rPr>
                    <w:i/>
                    <w:szCs w:val="24"/>
                  </w:rPr>
                  <w:t>Have you been sick with lung diseases including tuberculosis, asthma?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širdies ir kraujagyslių ligomis? / </w:t>
                </w:r>
                <w:r>
                  <w:rPr>
                    <w:i/>
                    <w:szCs w:val="24"/>
                  </w:rPr>
                  <w:t>Have you ever been sick with any heart and circulatory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klausos organų ligomis? / </w:t>
                </w:r>
                <w:r>
                  <w:rPr>
                    <w:i/>
                    <w:szCs w:val="24"/>
                  </w:rPr>
                  <w:t>Have you ever been sick with any ear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regos organų ligomis? / </w:t>
                </w:r>
                <w:r>
                  <w:rPr>
                    <w:i/>
                    <w:szCs w:val="24"/>
                  </w:rPr>
                  <w:t>Have you ever been sick with any eye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epilepsija? / </w:t>
                </w:r>
                <w:r>
                  <w:rPr>
                    <w:i/>
                    <w:szCs w:val="24"/>
                  </w:rPr>
                  <w:t>Have you been sick with epilepsy?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sergate cukriniu diabetu? / </w:t>
                </w:r>
                <w:r>
                  <w:rPr>
                    <w:i/>
                    <w:szCs w:val="24"/>
                  </w:rPr>
                  <w:t>Have you sick with diabetes?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buvę sunkių alerginių reakcijų / egzemos / odos ligų? / </w:t>
                </w:r>
                <w:r>
                  <w:rPr>
                    <w:i/>
                    <w:szCs w:val="24"/>
                  </w:rPr>
                  <w:t>Have you had any serious allergic reaction / eczema / skin disease?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psichikos sutrikimų? / </w:t>
                </w:r>
                <w:r>
                  <w:rPr>
                    <w:i/>
                    <w:szCs w:val="24"/>
                  </w:rPr>
                  <w:t>Have you had any mental disturbances?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problemų dėl priklausomybės nuo alkoholio ir narkotikų vartojimo? / </w:t>
                </w:r>
                <w:r>
                  <w:rPr>
                    <w:i/>
                    <w:szCs w:val="24"/>
                  </w:rPr>
                  <w:t>Have you had problems with addiction to alcohol and drugs use?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kokių nors nugaros skausmo problemų (traumą, reumatą)? / </w:t>
                </w:r>
                <w:r>
                  <w:rPr>
                    <w:i/>
                    <w:szCs w:val="24"/>
                  </w:rPr>
                  <w:t>Have you had any painful back trouble, including lumbago and sciatica?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dirbdamas jūroje esate patyręs sunkių traumų? / </w:t>
                </w:r>
                <w:r>
                  <w:rPr>
                    <w:i/>
                    <w:szCs w:val="24"/>
                  </w:rPr>
                  <w:t>Have you been suffered by serious injury leaving permanent effects as consequences of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virškinimo sutrikimų, dėl kurių buvo paskirtas gydymas? / </w:t>
                </w:r>
                <w:r>
                  <w:rPr>
                    <w:i/>
                    <w:szCs w:val="24"/>
                  </w:rPr>
                  <w:t>Have you had any digestive problems, which were being treated?</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reguliariai vartojate kokius nors vaistinius preparatus? / </w:t>
                </w:r>
                <w:r>
                  <w:rPr>
                    <w:i/>
                    <w:szCs w:val="24"/>
                  </w:rPr>
                  <w:t>Do you use medicament on prescription regularly?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nešiojate akinius ar kontaktinius lešius? / </w:t>
                </w:r>
                <w:r>
                  <w:rPr>
                    <w:i/>
                    <w:szCs w:val="24"/>
                  </w:rPr>
                  <w:t>Do you wear glasses or contact lenses to improve your eyesight?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sunku orientuotis prietemoje? / </w:t>
                </w:r>
                <w:r>
                  <w:rPr>
                    <w:i/>
                    <w:szCs w:val="24"/>
                  </w:rPr>
                  <w:t>Do you find difficulties in orienteering yourself in dusk / twilit?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skiriate spalvas? / </w:t>
                </w:r>
                <w:r>
                  <w:rPr>
                    <w:i/>
                    <w:szCs w:val="24"/>
                    <w:lang w:val="en-US"/>
                  </w:rPr>
                  <w:t>Do you have difficulties in colors differentiation?</w:t>
                </w:r>
                <w:r>
                  <w:rPr>
                    <w:szCs w:val="24"/>
                    <w:lang w:val="en-US"/>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21.</w:t>
                </w:r>
              </w:p>
            </w:tc>
            <w:tc>
              <w:tcPr>
                <w:tcW w:w="6096" w:type="dxa"/>
                <w:tcBorders>
                  <w:top w:val="single" w:sz="4" w:space="0" w:color="auto"/>
                  <w:left w:val="single" w:sz="4" w:space="0" w:color="auto"/>
                  <w:bottom w:val="single" w:sz="4" w:space="0" w:color="auto"/>
                  <w:right w:val="single" w:sz="4" w:space="0" w:color="auto"/>
                </w:tcBorders>
                <w:hideMark/>
              </w:tcPr>
              <w:p>
                <w:pPr>
                  <w:jc w:val="both"/>
                  <w:rPr>
                    <w:i/>
                    <w:sz w:val="20"/>
                  </w:rPr>
                </w:pPr>
                <w:r>
                  <w:rPr>
                    <w:i/>
                    <w:sz w:val="20"/>
                  </w:rPr>
                  <w:t>Neteko galios nuo 2018-09-05</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22.</w:t>
                </w:r>
              </w:p>
            </w:tc>
            <w:tc>
              <w:tcPr>
                <w:tcW w:w="609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Papildomas klausimas /</w:t>
                </w:r>
                <w:r>
                  <w:rPr>
                    <w:i/>
                    <w:szCs w:val="24"/>
                  </w:rPr>
                  <w:t>Any other addressed question</w:t>
                </w:r>
              </w:p>
              <w:p>
                <w:pPr>
                  <w:jc w:val="both"/>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bl>
        <w:p>
          <w:pPr>
            <w:jc w:val="both"/>
            <w:rPr>
              <w:rFonts w:ascii="Calibri" w:hAnsi="Calibri"/>
              <w:szCs w:val="24"/>
            </w:rPr>
          </w:pPr>
        </w:p>
        <w:p>
          <w:pPr>
            <w:jc w:val="both"/>
            <w:rPr>
              <w:szCs w:val="24"/>
            </w:rPr>
          </w:pPr>
          <w:r>
            <w:rPr>
              <w:szCs w:val="24"/>
            </w:rPr>
            <w:t>Patvirtinu, kad pateiktus klausimus supratau, atsakiau į juos sąžiningai.</w:t>
          </w:r>
        </w:p>
        <w:p>
          <w:pPr>
            <w:jc w:val="both"/>
            <w:rPr>
              <w:i/>
              <w:szCs w:val="24"/>
            </w:rPr>
          </w:pPr>
          <w:r>
            <w:rPr>
              <w:i/>
              <w:szCs w:val="24"/>
            </w:rPr>
            <w:t>I hereby confirm that the questions were fully understood and replied in good faith.</w:t>
          </w:r>
        </w:p>
        <w:p>
          <w:pPr>
            <w:jc w:val="both"/>
            <w:rPr>
              <w:i/>
              <w:szCs w:val="24"/>
            </w:rPr>
          </w:pPr>
        </w:p>
        <w:p>
          <w:pPr>
            <w:jc w:val="both"/>
            <w:rPr>
              <w:szCs w:val="24"/>
            </w:rPr>
          </w:pPr>
          <w:r>
            <w:rPr>
              <w:szCs w:val="24"/>
            </w:rPr>
            <w:t>Suprantu, kad pablogėjus sveikatos būklei, turiu nedelsdamas (-a) kreiptis į gydytoją.</w:t>
          </w:r>
        </w:p>
        <w:p>
          <w:pPr>
            <w:jc w:val="both"/>
            <w:rPr>
              <w:i/>
              <w:szCs w:val="24"/>
            </w:rPr>
          </w:pPr>
          <w:r>
            <w:rPr>
              <w:i/>
              <w:szCs w:val="24"/>
            </w:rPr>
            <w:t>Due to my deteriorating state of health, I must seek medical care immediately.</w:t>
          </w:r>
        </w:p>
        <w:p>
          <w:pPr>
            <w:jc w:val="both"/>
            <w:rPr>
              <w:szCs w:val="24"/>
            </w:rPr>
          </w:pPr>
        </w:p>
        <w:p>
          <w:pPr>
            <w:jc w:val="both"/>
            <w:rPr>
              <w:szCs w:val="24"/>
            </w:rPr>
          </w:pPr>
          <w:r>
            <w:rPr>
              <w:color w:val="000000"/>
              <w:szCs w:val="24"/>
            </w:rPr>
            <w:t xml:space="preserve">Asmens, kuriam tikrinama sveikata, parašas / </w:t>
          </w:r>
          <w:r>
            <w:rPr>
              <w:i/>
              <w:color w:val="000000"/>
              <w:szCs w:val="24"/>
            </w:rPr>
            <w:t>Examined person‘s signature</w:t>
          </w:r>
          <w:r>
            <w:rPr>
              <w:szCs w:val="24"/>
            </w:rPr>
            <w:t xml:space="preserve"> ______________ </w:t>
          </w:r>
        </w:p>
        <w:p>
          <w:pPr>
            <w:ind w:right="2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834b0b03d11e88f64a5ecc703f89b">
            <w:r w:rsidRPr="00532B9F">
              <w:rPr>
                <w:rFonts w:ascii="Times New Roman" w:eastAsia="MS Mincho" w:hAnsi="Times New Roman"/>
                <w:sz w:val="20"/>
                <w:i/>
                <w:iCs/>
                <w:color w:val="0000FF" w:themeColor="hyperlink"/>
                <w:u w:val="single"/>
              </w:rPr>
              <w:t>V-976</w:t>
            </w:r>
          </w:fldSimple>
          <w:r>
            <w:rPr>
              <w:rFonts w:ascii="Times New Roman" w:eastAsia="MS Mincho" w:hAnsi="Times New Roman"/>
              <w:sz w:val="20"/>
              <w:i/>
              <w:iCs/>
            </w:rPr>
            <w:t>,
2018-09-04,
paskelbta TAR 2018-09-04, i. k. 2018-13962            </w:t>
          </w:r>
        </w:p>
        <w:p/>
      </w:sdtContent>
    </w:sdt>
    <w:sdt>
      <w:sdtPr>
        <w:alias w:val="12 pr."/>
        <w:tag w:val="part_41dd3c662add4d05b32fb58f18b212a5"/>
        <w:lock w:val="sdtLocked"/>
        <w:richText/>
      </w:sdtPr>
      <w:sdtContent>
        <w:p>
          <w:pPr>
            <w:widowControl w:val="0"/>
            <w:suppressAutoHyphens/>
            <w:ind w:left="5102"/>
            <w:sectPr>
              <w:pgSz w:w="11906" w:h="16838"/>
              <w:pgMar w:top="1134" w:right="1134" w:bottom="1134" w:left="1701" w:header="567" w:footer="567" w:gutter="0"/>
              <w:pgNumType w:start="1"/>
              <w:cols w:space="1296"/>
              <w:noEndnote/>
              <w:titlePg/>
              <w:docGrid w:linePitch="326"/>
            </w:sectPr>
          </w:pPr>
        </w:p>
        <w:p>
          <w:pPr>
            <w:widowControl w:val="0"/>
            <w:suppressAutoHyphens/>
            <w:ind w:left="5102"/>
            <w:rPr>
              <w:color w:val="000000"/>
            </w:rPr>
          </w:pPr>
          <w:r>
            <w:rPr>
              <w:color w:val="000000"/>
            </w:rPr>
            <w:t>PATVIRTINTA</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2000 m. gegužės 31 d. </w:t>
          </w:r>
        </w:p>
        <w:p>
          <w:pPr>
            <w:widowControl w:val="0"/>
            <w:suppressAutoHyphens/>
            <w:ind w:firstLine="5102"/>
            <w:rPr>
              <w:color w:val="000000"/>
            </w:rPr>
          </w:pPr>
          <w:r>
            <w:rPr>
              <w:color w:val="000000"/>
            </w:rPr>
            <w:t>įsakymu Nr. 301</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w:t>
          </w:r>
        </w:p>
        <w:p>
          <w:pPr>
            <w:widowControl w:val="0"/>
            <w:suppressAutoHyphens/>
            <w:ind w:firstLine="5102"/>
            <w:rPr>
              <w:color w:val="000000"/>
            </w:rPr>
          </w:pPr>
          <w:r>
            <w:rPr>
              <w:color w:val="000000"/>
            </w:rPr>
            <w:t xml:space="preserve">2009 m. gruodžio 23 d. </w:t>
          </w:r>
        </w:p>
        <w:p>
          <w:pPr>
            <w:widowControl w:val="0"/>
            <w:suppressAutoHyphens/>
            <w:ind w:firstLine="5102"/>
            <w:rPr>
              <w:color w:val="000000"/>
            </w:rPr>
          </w:pPr>
          <w:r>
            <w:rPr>
              <w:color w:val="000000"/>
            </w:rPr>
            <w:t>įsakymo Nr. V-1062 redakcija)</w:t>
          </w:r>
        </w:p>
        <w:p>
          <w:pPr>
            <w:widowControl w:val="0"/>
            <w:suppressAutoHyphens/>
            <w:ind w:firstLine="5102"/>
            <w:rPr>
              <w:color w:val="000000"/>
            </w:rPr>
          </w:pPr>
          <w:sdt>
            <w:sdtPr>
              <w:alias w:val="Numeris"/>
              <w:tag w:val="nr_41dd3c662add4d05b32fb58f18b212a5"/>
              <w:lock w:val="sdtLocked"/>
              <w:richText/>
            </w:sdtPr>
            <w:sdtContent>
              <w:r>
                <w:rPr>
                  <w:color w:val="000000"/>
                </w:rPr>
                <w:t>12</w:t>
              </w:r>
            </w:sdtContent>
          </w:sdt>
          <w:r>
            <w:rPr>
              <w:color w:val="000000"/>
            </w:rPr>
            <w:t xml:space="preserve"> priedas</w:t>
          </w:r>
        </w:p>
        <w:p>
          <w:pPr>
            <w:widowControl w:val="0"/>
            <w:suppressAutoHyphens/>
            <w:rPr>
              <w:color w:val="000000"/>
            </w:rPr>
          </w:pPr>
        </w:p>
        <w:p>
          <w:pPr>
            <w:widowControl w:val="0"/>
            <w:suppressAutoHyphens/>
            <w:jc w:val="center"/>
            <w:rPr>
              <w:b/>
              <w:bCs/>
              <w:caps/>
              <w:color w:val="000000"/>
            </w:rPr>
          </w:pPr>
          <w:sdt>
            <w:sdtPr>
              <w:alias w:val="Pavadinimas"/>
              <w:tag w:val="title_41dd3c662add4d05b32fb58f18b212a5"/>
              <w:lock w:val="sdtLocked"/>
              <w:richText/>
            </w:sdtPr>
            <w:sdtContent>
              <w:r>
                <w:rPr>
                  <w:b/>
                  <w:bCs/>
                  <w:caps/>
                  <w:color w:val="000000"/>
                </w:rPr>
                <w:t>TRAUKINIO MAŠINISTŲ IR DARBUOTOJŲ, KURIŲ DARBAS SUSIJĘS SU GELEŽINKELIŲ TRANSPORTO EISMU, SVEIKATOS TIKRINIMO REIKALAVIMŲ IR TVARKOS APRAŠAS</w:t>
              </w:r>
            </w:sdtContent>
          </w:sdt>
        </w:p>
        <w:p>
          <w:pPr>
            <w:widowControl w:val="0"/>
            <w:suppressAutoHyphens/>
            <w:jc w:val="both"/>
            <w:rPr>
              <w:color w:val="000000"/>
            </w:rPr>
          </w:pPr>
        </w:p>
        <w:sdt>
          <w:sdtPr>
            <w:alias w:val="skyrius"/>
            <w:tag w:val="part_80162f3d6f894acfb7ed1b281ecb3262"/>
            <w:lock w:val="sdtLocked"/>
            <w:richText/>
          </w:sdtPr>
          <w:sdtContent>
            <w:p>
              <w:pPr>
                <w:widowControl w:val="0"/>
                <w:suppressAutoHyphens/>
                <w:jc w:val="center"/>
                <w:rPr>
                  <w:b/>
                  <w:bCs/>
                  <w:caps/>
                  <w:color w:val="000000"/>
                </w:rPr>
              </w:pPr>
              <w:sdt>
                <w:sdtPr>
                  <w:alias w:val="Numeris"/>
                  <w:tag w:val="nr_80162f3d6f894acfb7ed1b281ecb3262"/>
                  <w:lock w:val="sdtLocked"/>
                  <w:richText/>
                </w:sdtPr>
                <w:sdtContent>
                  <w:r>
                    <w:rPr>
                      <w:b/>
                      <w:bCs/>
                      <w:caps/>
                      <w:color w:val="000000"/>
                    </w:rPr>
                    <w:t>I</w:t>
                  </w:r>
                </w:sdtContent>
              </w:sdt>
              <w:r>
                <w:rPr>
                  <w:b/>
                  <w:bCs/>
                  <w:caps/>
                  <w:color w:val="000000"/>
                </w:rPr>
                <w:t xml:space="preserve">. </w:t>
              </w:r>
              <w:sdt>
                <w:sdtPr>
                  <w:alias w:val="Pavadinimas"/>
                  <w:tag w:val="title_80162f3d6f894acfb7ed1b281ecb3262"/>
                  <w:lock w:val="sdtLocked"/>
                  <w:richText/>
                </w:sdtPr>
                <w:sdtContent>
                  <w:r>
                    <w:rPr>
                      <w:b/>
                      <w:bCs/>
                      <w:caps/>
                      <w:color w:val="000000"/>
                    </w:rPr>
                    <w:t>BENDROSIOS NUOSTATOS</w:t>
                  </w:r>
                </w:sdtContent>
              </w:sdt>
            </w:p>
            <w:p>
              <w:pPr>
                <w:widowControl w:val="0"/>
                <w:suppressAutoHyphens/>
                <w:jc w:val="both"/>
                <w:rPr>
                  <w:color w:val="000000"/>
                </w:rPr>
              </w:pPr>
            </w:p>
            <w:sdt>
              <w:sdtPr>
                <w:alias w:val="12 pr. 1 p."/>
                <w:tag w:val="part_9d09c04e0c0546f4aa4083695f84ba07"/>
                <w:lock w:val="sdtLocked"/>
                <w:richText/>
              </w:sdtPr>
              <w:sdtContent>
                <w:p>
                  <w:pPr>
                    <w:widowControl w:val="0"/>
                    <w:suppressAutoHyphens/>
                    <w:ind w:firstLine="567"/>
                    <w:jc w:val="both"/>
                    <w:rPr>
                      <w:color w:val="000000"/>
                    </w:rPr>
                  </w:pPr>
                  <w:sdt>
                    <w:sdtPr>
                      <w:alias w:val="Numeris"/>
                      <w:tag w:val="nr_9d09c04e0c0546f4aa4083695f84ba07"/>
                      <w:lock w:val="sdtLocked"/>
                      <w:richText/>
                    </w:sdtPr>
                    <w:sdtContent>
                      <w:r>
                        <w:rPr>
                          <w:color w:val="000000"/>
                        </w:rPr>
                        <w:t>1</w:t>
                      </w:r>
                    </w:sdtContent>
                  </w:sdt>
                  <w:r>
                    <w:rPr>
                      <w:color w:val="000000"/>
                    </w:rPr>
                    <w:t>. Traukinio mašinistų, asmenų, pageidaujančių gauti traukinio mašinisto pažymėjimą, ir darbuotojų, kurių darbas susijęs su geležinkelių transporto eismu, sveikatos tikrinimo tvarkos aprašas (toliau – Aprašas) nustato jų privalomo sveikatos tikrinimo reikalavimus ir tvarką.</w:t>
                  </w:r>
                </w:p>
              </w:sdtContent>
            </w:sdt>
            <w:sdt>
              <w:sdtPr>
                <w:alias w:val="12 pr. 2 p."/>
                <w:tag w:val="part_882d77f3947148ab9c1c8d12c6d9ccd5"/>
                <w:lock w:val="sdtLocked"/>
                <w:richText/>
              </w:sdtPr>
              <w:sdtContent>
                <w:p>
                  <w:pPr>
                    <w:widowControl w:val="0"/>
                    <w:suppressAutoHyphens/>
                    <w:ind w:firstLine="567"/>
                    <w:jc w:val="both"/>
                    <w:rPr>
                      <w:color w:val="000000"/>
                    </w:rPr>
                  </w:pPr>
                  <w:sdt>
                    <w:sdtPr>
                      <w:alias w:val="Numeris"/>
                      <w:tag w:val="nr_882d77f3947148ab9c1c8d12c6d9ccd5"/>
                      <w:lock w:val="sdtLocked"/>
                      <w:richText/>
                    </w:sdtPr>
                    <w:sdtContent>
                      <w:r>
                        <w:rPr>
                          <w:color w:val="000000"/>
                        </w:rPr>
                        <w:t>2</w:t>
                      </w:r>
                    </w:sdtContent>
                  </w:sdt>
                  <w:r>
                    <w:rPr>
                      <w:color w:val="000000"/>
                    </w:rPr>
                    <w:t>. Apraše nustatyto sveikatos tikrinimo tikslas – nustatyti, ar tikrinamo asmens fizinė ir psichikos sveikatos būklė atitinka reikalavimus traukinio mašinistams ir darbuotojams, kurių darbas susijęs su geležinkelių transporto eismu.</w:t>
                  </w:r>
                </w:p>
              </w:sdtContent>
            </w:sdt>
            <w:sdt>
              <w:sdtPr>
                <w:alias w:val="12 pr. 3 p."/>
                <w:tag w:val="part_4e0ee0caf1624661a57bbfb298d317f0"/>
                <w:lock w:val="sdtLocked"/>
                <w:richText/>
              </w:sdtPr>
              <w:sdtContent>
                <w:p>
                  <w:pPr>
                    <w:widowControl w:val="0"/>
                    <w:suppressAutoHyphens/>
                    <w:ind w:firstLine="567"/>
                    <w:jc w:val="both"/>
                    <w:rPr>
                      <w:color w:val="000000"/>
                    </w:rPr>
                  </w:pPr>
                  <w:sdt>
                    <w:sdtPr>
                      <w:alias w:val="Numeris"/>
                      <w:tag w:val="nr_4e0ee0caf1624661a57bbfb298d317f0"/>
                      <w:lock w:val="sdtLocked"/>
                      <w:richText/>
                    </w:sdtPr>
                    <w:sdtContent>
                      <w:r>
                        <w:rPr>
                          <w:color w:val="000000"/>
                        </w:rPr>
                        <w:t>3</w:t>
                      </w:r>
                    </w:sdtContent>
                  </w:sdt>
                  <w:r>
                    <w:rPr>
                      <w:color w:val="000000"/>
                    </w:rPr>
                    <w:t>. Apraše vartojamos sąvokos:</w:t>
                  </w:r>
                </w:p>
                <w:p>
                  <w:pPr>
                    <w:widowControl w:val="0"/>
                    <w:suppressAutoHyphens/>
                    <w:ind w:firstLine="567"/>
                    <w:jc w:val="both"/>
                    <w:rPr>
                      <w:color w:val="000000"/>
                    </w:rPr>
                  </w:pPr>
                  <w:r>
                    <w:rPr>
                      <w:b/>
                      <w:bCs/>
                      <w:color w:val="000000"/>
                    </w:rPr>
                    <w:t>traukinio mašinistas</w:t>
                  </w:r>
                  <w:r>
                    <w:rPr>
                      <w:color w:val="000000"/>
                    </w:rPr>
                    <w:t xml:space="preserve"> – asmuo, turintis traukinio mašinisto pažymėjimą, traukinio mašinisto sertifikatą ir valdantis geležinkelių riedmenis;</w:t>
                  </w:r>
                </w:p>
                <w:p>
                  <w:pPr>
                    <w:widowControl w:val="0"/>
                    <w:suppressAutoHyphens/>
                    <w:ind w:firstLine="567"/>
                    <w:jc w:val="both"/>
                    <w:rPr>
                      <w:color w:val="000000"/>
                    </w:rPr>
                  </w:pPr>
                  <w:r>
                    <w:rPr>
                      <w:b/>
                      <w:bCs/>
                      <w:color w:val="000000"/>
                    </w:rPr>
                    <w:t>darbuotojai, kurių darbas susijęs su geležinkelių transporto eismu</w:t>
                  </w:r>
                  <w:r>
                    <w:rPr>
                      <w:color w:val="000000"/>
                    </w:rPr>
                    <w:t xml:space="preserve"> – asmenys, kurie vykdydami savo funkcijas užtikrina geležinkelių transporto eismo saugą.</w:t>
                  </w:r>
                </w:p>
              </w:sdtContent>
            </w:sdt>
            <w:sdt>
              <w:sdtPr>
                <w:alias w:val="12 pr. 4 p."/>
                <w:tag w:val="part_6ebf5a4381974b40a8967c423cba6546"/>
                <w:lock w:val="sdtLocked"/>
                <w:richText/>
              </w:sdtPr>
              <w:sdtContent>
                <w:p>
                  <w:pPr>
                    <w:widowControl w:val="0"/>
                    <w:suppressAutoHyphens/>
                    <w:ind w:firstLine="567"/>
                    <w:jc w:val="both"/>
                    <w:rPr>
                      <w:color w:val="000000"/>
                    </w:rPr>
                  </w:pPr>
                  <w:sdt>
                    <w:sdtPr>
                      <w:alias w:val="Numeris"/>
                      <w:tag w:val="nr_6ebf5a4381974b40a8967c423cba6546"/>
                      <w:lock w:val="sdtLocked"/>
                      <w:richText/>
                    </w:sdtPr>
                    <w:sdtContent>
                      <w:r>
                        <w:rPr>
                          <w:color w:val="000000"/>
                        </w:rPr>
                        <w:t>4</w:t>
                      </w:r>
                    </w:sdtContent>
                  </w:sdt>
                  <w:r>
                    <w:rPr>
                      <w:color w:val="000000"/>
                    </w:rPr>
                    <w:t xml:space="preserve">. Kitos Apraše vartojamos sąvokos atitinka Lietuvos Respublikos geležinkelių transporto eismo saugos įstatyme (Žin., 2004, Nr. </w:t>
                  </w:r>
                  <w:hyperlink r:id="rId51" w:tgtFrame="_blank" w:history="1">
                    <w:r>
                      <w:rPr>
                        <w:color w:val="0000FF" w:themeColor="hyperlink"/>
                        <w:u w:val="single"/>
                      </w:rPr>
                      <w:t>4-27</w:t>
                    </w:r>
                  </w:hyperlink>
                  <w:r>
                    <w:rPr>
                      <w:color w:val="000000"/>
                    </w:rPr>
                    <w:t xml:space="preserve">; 2006, Nr. </w:t>
                  </w:r>
                  <w:hyperlink r:id="rId52" w:tgtFrame="_blank" w:history="1">
                    <w:r>
                      <w:rPr>
                        <w:color w:val="0000FF" w:themeColor="hyperlink"/>
                        <w:u w:val="single"/>
                      </w:rPr>
                      <w:t>42-1505</w:t>
                    </w:r>
                  </w:hyperlink>
                  <w:r>
                    <w:rPr>
                      <w:color w:val="000000"/>
                    </w:rPr>
                    <w:t>), Lietuvos Respublikos geležinkelių transporto kodekse (Žin., 2004. Nr. 72-2489) ir kituose Lietuvos Respublikos bei Europos Sąjungos teisės aktuose, reglamentuojančiuose sveikatos priežiūrą, apibrėžtas sąvokas.</w:t>
                  </w:r>
                </w:p>
              </w:sdtContent>
            </w:sdt>
            <w:sdt>
              <w:sdtPr>
                <w:alias w:val="12 pr. 5 p."/>
                <w:tag w:val="part_d8d30a2c54eb4f97baa27ec4a6b82a29"/>
                <w:lock w:val="sdtLocked"/>
                <w:richText/>
              </w:sdtPr>
              <w:sdtContent>
                <w:p>
                  <w:pPr>
                    <w:widowControl w:val="0"/>
                    <w:suppressAutoHyphens/>
                    <w:ind w:firstLine="567"/>
                    <w:jc w:val="both"/>
                    <w:rPr>
                      <w:color w:val="000000"/>
                    </w:rPr>
                  </w:pPr>
                  <w:sdt>
                    <w:sdtPr>
                      <w:alias w:val="Numeris"/>
                      <w:tag w:val="nr_d8d30a2c54eb4f97baa27ec4a6b82a29"/>
                      <w:lock w:val="sdtLocked"/>
                      <w:richText/>
                    </w:sdtPr>
                    <w:sdtContent>
                      <w:r>
                        <w:rPr>
                          <w:color w:val="000000"/>
                        </w:rPr>
                        <w:t>5</w:t>
                      </w:r>
                    </w:sdtContent>
                  </w:sdt>
                  <w:r>
                    <w:rPr>
                      <w:color w:val="000000"/>
                    </w:rPr>
                    <w:t>. Traukinio mašinistų padėjėjų fizinei ir psichikos sveikatos būklei ir jos tikrinimui taikomi tokie pat reikalavimai, kaip ir traukinio mašinistams.</w:t>
                  </w:r>
                </w:p>
                <w:p>
                  <w:pPr>
                    <w:widowControl w:val="0"/>
                    <w:suppressAutoHyphens/>
                    <w:ind w:firstLine="567"/>
                    <w:jc w:val="both"/>
                    <w:rPr>
                      <w:color w:val="000000"/>
                    </w:rPr>
                  </w:pPr>
                </w:p>
              </w:sdtContent>
            </w:sdt>
          </w:sdtContent>
        </w:sdt>
        <w:sdt>
          <w:sdtPr>
            <w:alias w:val="skyrius"/>
            <w:tag w:val="part_9311b40aa30a4be8870d964833af11cc"/>
            <w:lock w:val="sdtLocked"/>
            <w:richText/>
          </w:sdtPr>
          <w:sdtContent>
            <w:p>
              <w:pPr>
                <w:widowControl w:val="0"/>
                <w:suppressAutoHyphens/>
                <w:jc w:val="center"/>
                <w:rPr>
                  <w:b/>
                  <w:bCs/>
                  <w:caps/>
                  <w:color w:val="000000"/>
                </w:rPr>
              </w:pPr>
              <w:sdt>
                <w:sdtPr>
                  <w:alias w:val="Numeris"/>
                  <w:tag w:val="nr_9311b40aa30a4be8870d964833af11cc"/>
                  <w:lock w:val="sdtLocked"/>
                  <w:richText/>
                </w:sdtPr>
                <w:sdtContent>
                  <w:r>
                    <w:rPr>
                      <w:b/>
                      <w:bCs/>
                      <w:caps/>
                      <w:color w:val="000000"/>
                    </w:rPr>
                    <w:t>II</w:t>
                  </w:r>
                </w:sdtContent>
              </w:sdt>
              <w:r>
                <w:rPr>
                  <w:b/>
                  <w:bCs/>
                  <w:caps/>
                  <w:color w:val="000000"/>
                </w:rPr>
                <w:t xml:space="preserve">. </w:t>
              </w:r>
              <w:sdt>
                <w:sdtPr>
                  <w:alias w:val="Pavadinimas"/>
                  <w:tag w:val="title_9311b40aa30a4be8870d964833af11cc"/>
                  <w:lock w:val="sdtLocked"/>
                  <w:richText/>
                </w:sdtPr>
                <w:sdtContent>
                  <w:r>
                    <w:rPr>
                      <w:b/>
                      <w:bCs/>
                      <w:caps/>
                      <w:color w:val="000000"/>
                    </w:rPr>
                    <w:t>SVEIKATOS TIKRINIMO REIKALAVIMAI IR TVARKA</w:t>
                  </w:r>
                </w:sdtContent>
              </w:sdt>
            </w:p>
            <w:p>
              <w:pPr>
                <w:widowControl w:val="0"/>
                <w:suppressAutoHyphens/>
                <w:ind w:firstLine="567"/>
                <w:jc w:val="both"/>
                <w:rPr>
                  <w:color w:val="000000"/>
                </w:rPr>
              </w:pPr>
            </w:p>
            <w:sdt>
              <w:sdtPr>
                <w:alias w:val="12 pr. 6 p."/>
                <w:tag w:val="part_b862c736406240df87097b4541833827"/>
                <w:lock w:val="sdtLocked"/>
                <w:richText/>
              </w:sdtPr>
              <w:sdtContent>
                <w:p>
                  <w:pPr>
                    <w:widowControl w:val="0"/>
                    <w:suppressAutoHyphens/>
                    <w:ind w:firstLine="567"/>
                    <w:jc w:val="both"/>
                    <w:rPr>
                      <w:color w:val="000000"/>
                    </w:rPr>
                  </w:pPr>
                  <w:sdt>
                    <w:sdtPr>
                      <w:alias w:val="Numeris"/>
                      <w:tag w:val="nr_b862c736406240df87097b4541833827"/>
                      <w:lock w:val="sdtLocked"/>
                      <w:richText/>
                    </w:sdtPr>
                    <w:sdtContent>
                      <w:r>
                        <w:rPr>
                          <w:color w:val="000000"/>
                        </w:rPr>
                        <w:t>6</w:t>
                      </w:r>
                    </w:sdtContent>
                  </w:sdt>
                  <w:r>
                    <w:rPr>
                      <w:color w:val="000000"/>
                    </w:rPr>
                    <w:t>. Visi asmenys, pageidaujantys gauti traukinio mašinisto pažymėjimą bei įsidarbinti (toliau – įsidarbinantieji) arba dirbantys traukinio mašinistu (toliau – traukinio mašinistai), darbuotojai, kurių darbas susijęs su geležinkelių transporto eismu ir darbuotojai, teikiantys paslaugas traukiniu vykstantiems keleiviams (toliau – darbuotojai), privalo tikrintis sveikatą prieš įgydami šią teisę bei vėliau, dirbdami – periodiškai šiame Apraše nustatyta tvarka.</w:t>
                  </w:r>
                </w:p>
              </w:sdtContent>
            </w:sdt>
            <w:sdt>
              <w:sdtPr>
                <w:alias w:val="12 pr. 7 p."/>
                <w:tag w:val="part_6fe80541378947959b5a40909075cfc9"/>
                <w:lock w:val="sdtLocked"/>
                <w:richText/>
              </w:sdtPr>
              <w:sdtContent>
                <w:p>
                  <w:pPr>
                    <w:widowControl w:val="0"/>
                    <w:suppressAutoHyphens/>
                    <w:ind w:firstLine="567"/>
                    <w:jc w:val="both"/>
                    <w:rPr>
                      <w:b/>
                      <w:bCs/>
                      <w:color w:val="000000"/>
                    </w:rPr>
                  </w:pPr>
                  <w:sdt>
                    <w:sdtPr>
                      <w:alias w:val="Numeris"/>
                      <w:tag w:val="nr_6fe80541378947959b5a40909075cfc9"/>
                      <w:lock w:val="sdtLocked"/>
                      <w:richText/>
                    </w:sdtPr>
                    <w:sdtContent>
                      <w:r>
                        <w:rPr>
                          <w:color w:val="000000"/>
                        </w:rPr>
                        <w:t>7</w:t>
                      </w:r>
                    </w:sdtContent>
                  </w:sdt>
                  <w:r>
                    <w:rPr>
                      <w:color w:val="000000"/>
                    </w:rPr>
                    <w:t>. Įsidarbinančiųjų, traukinio mašinistų ir darbuotojų sveikatos būklė turi atitikti bendruosius reikalavimus, nurodytus šio Aprašo III skyriuje, įvertinus</w:t>
                  </w:r>
                  <w:r>
                    <w:rPr>
                      <w:b/>
                      <w:bCs/>
                      <w:color w:val="000000"/>
                    </w:rPr>
                    <w:t xml:space="preserve"> </w:t>
                  </w:r>
                  <w:r>
                    <w:rPr>
                      <w:color w:val="000000"/>
                    </w:rPr>
                    <w:t>kontraindikacijas, taikomas asmenims prieš priimant į mokymo įstaigą arba į darbą arba dirbantiems traukinio mašinistais, nurodytas 1 lentelėje.</w:t>
                  </w:r>
                </w:p>
              </w:sdtContent>
            </w:sdt>
            <w:sdt>
              <w:sdtPr>
                <w:alias w:val="12 pr. 8 p."/>
                <w:tag w:val="part_ed4eaf76a5ed4c1fac1599cd9067b98b"/>
                <w:lock w:val="sdtLocked"/>
                <w:richText/>
              </w:sdtPr>
              <w:sdtContent>
                <w:p>
                  <w:pPr>
                    <w:widowControl w:val="0"/>
                    <w:suppressAutoHyphens/>
                    <w:ind w:firstLine="567"/>
                    <w:jc w:val="both"/>
                    <w:rPr>
                      <w:color w:val="000000"/>
                    </w:rPr>
                  </w:pPr>
                  <w:sdt>
                    <w:sdtPr>
                      <w:alias w:val="Numeris"/>
                      <w:tag w:val="nr_ed4eaf76a5ed4c1fac1599cd9067b98b"/>
                      <w:lock w:val="sdtLocked"/>
                      <w:richText/>
                    </w:sdtPr>
                    <w:sdtContent>
                      <w:r>
                        <w:rPr>
                          <w:color w:val="000000"/>
                        </w:rPr>
                        <w:t>8</w:t>
                      </w:r>
                    </w:sdtContent>
                  </w:sdt>
                  <w:r>
                    <w:rPr>
                      <w:color w:val="000000"/>
                    </w:rPr>
                    <w:t>.</w:t>
                  </w:r>
                  <w:r>
                    <w:rPr>
                      <w:b/>
                      <w:bCs/>
                      <w:color w:val="000000"/>
                    </w:rPr>
                    <w:t xml:space="preserve"> </w:t>
                  </w:r>
                  <w:r>
                    <w:rPr>
                      <w:color w:val="000000"/>
                    </w:rPr>
                    <w:t>Įsidarbinantiesiems traukinio mašinistams atliktini būtiniausi sveikatos patikrinimai, nurodyti šio Aprašo IV skyriuje.</w:t>
                  </w:r>
                </w:p>
              </w:sdtContent>
            </w:sdt>
            <w:sdt>
              <w:sdtPr>
                <w:alias w:val="12 pr. 9 p."/>
                <w:tag w:val="part_479405bdcd64405b8c79fddb343a9afe"/>
                <w:lock w:val="sdtLocked"/>
                <w:richText/>
              </w:sdtPr>
              <w:sdtContent>
                <w:p>
                  <w:pPr>
                    <w:widowControl w:val="0"/>
                    <w:suppressAutoHyphens/>
                    <w:ind w:firstLine="567"/>
                    <w:jc w:val="both"/>
                    <w:rPr>
                      <w:color w:val="000000"/>
                    </w:rPr>
                  </w:pPr>
                  <w:sdt>
                    <w:sdtPr>
                      <w:alias w:val="Numeris"/>
                      <w:tag w:val="nr_479405bdcd64405b8c79fddb343a9afe"/>
                      <w:lock w:val="sdtLocked"/>
                      <w:richText/>
                    </w:sdtPr>
                    <w:sdtContent>
                      <w:r>
                        <w:rPr>
                          <w:color w:val="000000"/>
                        </w:rPr>
                        <w:t>9</w:t>
                      </w:r>
                    </w:sdtContent>
                  </w:sdt>
                  <w:r>
                    <w:rPr>
                      <w:color w:val="000000"/>
                    </w:rPr>
                    <w:t>. Periodinių traukinio mašinistų ir darbuotojų sveikatos tikrinimų dažnumas ir būtiniausi periodinio sveikatos tikrinimo reikalavimai nurodyti šio Aprašo V skyriuje.</w:t>
                  </w:r>
                </w:p>
              </w:sdtContent>
            </w:sdt>
            <w:sdt>
              <w:sdtPr>
                <w:alias w:val="12 pr. 10 p."/>
                <w:tag w:val="part_cd61e0f4020f4143a2fe290f2c25b628"/>
                <w:lock w:val="sdtLocked"/>
                <w:richText/>
              </w:sdtPr>
              <w:sdtContent>
                <w:p>
                  <w:pPr>
                    <w:widowControl w:val="0"/>
                    <w:suppressAutoHyphens/>
                    <w:ind w:firstLine="567"/>
                    <w:jc w:val="both"/>
                    <w:rPr>
                      <w:color w:val="000000"/>
                    </w:rPr>
                  </w:pPr>
                  <w:sdt>
                    <w:sdtPr>
                      <w:alias w:val="Numeris"/>
                      <w:tag w:val="nr_cd61e0f4020f4143a2fe290f2c25b628"/>
                      <w:lock w:val="sdtLocked"/>
                      <w:richText/>
                    </w:sdtPr>
                    <w:sdtContent>
                      <w:r>
                        <w:rPr>
                          <w:color w:val="000000"/>
                        </w:rPr>
                        <w:t>10</w:t>
                      </w:r>
                    </w:sdtContent>
                  </w:sdt>
                  <w:r>
                    <w:rPr>
                      <w:color w:val="000000"/>
                    </w:rPr>
                    <w:t>. Įsidarbinančiųjų, traukinio mašinistų ir darbuotojų privalomas sveikatos tikrinimas atliekamas asmens sveikatos priežiūros įstaigoje (toliau – ASPĮ), turinčioje licenciją teikti sveikatos priežiūros paslaugas. Prieš privalomą sveikatos tikrinimą traukinio mašinistas užpildo ir pasirašo Traukinio mašinisto garbės deklaraciją (sveikatos patikrinimo klausimyną), nurodytą šio Aprašo 2 lentelėje.</w:t>
                  </w:r>
                </w:p>
              </w:sdtContent>
            </w:sdt>
            <w:sdt>
              <w:sdtPr>
                <w:alias w:val="12 pr. 11 p."/>
                <w:tag w:val="part_24dd494d3a9f45b39bd61ffd10f64b26"/>
                <w:lock w:val="sdtLocked"/>
                <w:richText/>
              </w:sdtPr>
              <w:sdtContent>
                <w:p>
                  <w:pPr>
                    <w:widowControl w:val="0"/>
                    <w:suppressAutoHyphens/>
                    <w:ind w:firstLine="567"/>
                    <w:jc w:val="both"/>
                    <w:rPr>
                      <w:color w:val="000000"/>
                    </w:rPr>
                  </w:pPr>
                  <w:sdt>
                    <w:sdtPr>
                      <w:alias w:val="Numeris"/>
                      <w:tag w:val="nr_24dd494d3a9f45b39bd61ffd10f64b26"/>
                      <w:lock w:val="sdtLocked"/>
                      <w:richText/>
                    </w:sdtPr>
                    <w:sdtContent>
                      <w:r>
                        <w:rPr>
                          <w:color w:val="000000"/>
                        </w:rPr>
                        <w:t>11</w:t>
                      </w:r>
                    </w:sdtContent>
                  </w:sdt>
                  <w:r>
                    <w:rPr>
                      <w:color w:val="000000"/>
                    </w:rPr>
                    <w:t xml:space="preserve">. Privalomus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ir gydytojas psichiatras, privalomai arba prireikus konsultuodamiesi su šiame priede nurodytų profesinių kvalifikacijų gydytojais, psichologais ir, esant indikacijų, skirdami privalomus arba kitus tyrimus.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2 pr. 12 p."/>
                <w:tag w:val="part_216f66932dc14405b1caa43e800a0ece"/>
                <w:lock w:val="sdtLocked"/>
                <w:richText/>
              </w:sdtPr>
              <w:sdtContent>
                <w:p>
                  <w:pPr>
                    <w:widowControl w:val="0"/>
                    <w:suppressAutoHyphens/>
                    <w:ind w:firstLine="567"/>
                    <w:jc w:val="both"/>
                    <w:rPr>
                      <w:color w:val="000000"/>
                    </w:rPr>
                  </w:pPr>
                  <w:sdt>
                    <w:sdtPr>
                      <w:alias w:val="Numeris"/>
                      <w:tag w:val="nr_216f66932dc14405b1caa43e800a0ece"/>
                      <w:lock w:val="sdtLocked"/>
                      <w:richText/>
                    </w:sdtPr>
                    <w:sdtContent>
                      <w:r>
                        <w:rPr>
                          <w:color w:val="000000"/>
                        </w:rPr>
                        <w:t>12</w:t>
                      </w:r>
                    </w:sdtContent>
                  </w:sdt>
                  <w:r>
                    <w:rPr>
                      <w:color w:val="000000"/>
                    </w:rPr>
                    <w:t>. Psichikos sveikatą tikrina ASPĮ, kurią asmuo yra pasirinkęs teisės aktų nustatyta tvarka ir kurioje yra prisirašęs, aptarnaujančio psichikos sveikatos centro gydytojas psichiatras, įvertinęs psichologo atlikto tyrimo rezultatus.</w:t>
                  </w:r>
                </w:p>
              </w:sdtContent>
            </w:sdt>
            <w:sdt>
              <w:sdtPr>
                <w:alias w:val="12 pr. 13 p."/>
                <w:tag w:val="part_d701f018e2334b418069ef7970457eee"/>
                <w:lock w:val="sdtLocked"/>
                <w:richText/>
              </w:sdtPr>
              <w:sdtContent>
                <w:p>
                  <w:pPr>
                    <w:widowControl w:val="0"/>
                    <w:suppressAutoHyphens/>
                    <w:ind w:firstLine="567"/>
                    <w:jc w:val="both"/>
                    <w:rPr>
                      <w:color w:val="000000"/>
                    </w:rPr>
                  </w:pPr>
                  <w:sdt>
                    <w:sdtPr>
                      <w:alias w:val="Numeris"/>
                      <w:tag w:val="nr_d701f018e2334b418069ef7970457eee"/>
                      <w:lock w:val="sdtLocked"/>
                      <w:richText/>
                    </w:sdtPr>
                    <w:sdtContent>
                      <w:r>
                        <w:rPr>
                          <w:color w:val="000000"/>
                        </w:rPr>
                        <w:t>13</w:t>
                      </w:r>
                    </w:sdtContent>
                  </w:sdt>
                  <w:r>
                    <w:rPr>
                      <w:color w:val="000000"/>
                    </w:rPr>
                    <w:t>. Siekdamas įvertinti, ar traukinio mašinistas ir darbuotojas, kurio darbas susijęs su geležinkelių transporto eismu, dėl savo psichikos sveikatos būklės galės saugiai atlikti pareigas, psichologas, įgijęs universiteto išsilavinimą ir vadovaudamasis šiuo Aprašu, gydytojui psichiatrui skyrus, atlieka asmens psichologinį tyrimą, kurio kriterijai nurodyti 1 lentelėje, ir tyrimo rezultatus pateikia gydytojui psichiatrui.</w:t>
                  </w:r>
                </w:p>
              </w:sdtContent>
            </w:sdt>
            <w:sdt>
              <w:sdtPr>
                <w:alias w:val="12 pr. 14 p."/>
                <w:tag w:val="part_18452eefe28d459e8da0727240ff57ac"/>
                <w:lock w:val="sdtLocked"/>
                <w:richText/>
              </w:sdtPr>
              <w:sdtContent>
                <w:p>
                  <w:pPr>
                    <w:widowControl w:val="0"/>
                    <w:suppressAutoHyphens/>
                    <w:ind w:firstLine="567"/>
                    <w:jc w:val="both"/>
                    <w:rPr>
                      <w:color w:val="000000"/>
                    </w:rPr>
                  </w:pPr>
                  <w:sdt>
                    <w:sdtPr>
                      <w:alias w:val="Numeris"/>
                      <w:tag w:val="nr_18452eefe28d459e8da0727240ff57ac"/>
                      <w:lock w:val="sdtLocked"/>
                      <w:richText/>
                    </w:sdtPr>
                    <w:sdtContent>
                      <w:r>
                        <w:rPr>
                          <w:color w:val="000000"/>
                        </w:rPr>
                        <w:t>14</w:t>
                      </w:r>
                    </w:sdtContent>
                  </w:sdt>
                  <w:r>
                    <w:rPr>
                      <w:color w:val="000000"/>
                    </w:rPr>
                    <w:t>. Gydytojai, nurodyti šio Aprašo 11 punkte, paskiria tyrimus, nustato jų dažnumą, vadovaudamiesi šiuo Aprašu ir kitais teisės aktais, bei atsako už sveikatos tikrinimo kokybę.</w:t>
                  </w:r>
                </w:p>
              </w:sdtContent>
            </w:sdt>
            <w:sdt>
              <w:sdtPr>
                <w:alias w:val="12 pr. 15 p."/>
                <w:tag w:val="part_2da6221dca0b463c9478f9ef6c674846"/>
                <w:lock w:val="sdtLocked"/>
                <w:richText/>
              </w:sdtPr>
              <w:sdtContent>
                <w:p>
                  <w:pPr>
                    <w:widowControl w:val="0"/>
                    <w:suppressAutoHyphens/>
                    <w:ind w:firstLine="567"/>
                    <w:jc w:val="both"/>
                    <w:rPr>
                      <w:color w:val="000000"/>
                    </w:rPr>
                  </w:pPr>
                  <w:sdt>
                    <w:sdtPr>
                      <w:alias w:val="Numeris"/>
                      <w:tag w:val="nr_2da6221dca0b463c9478f9ef6c674846"/>
                      <w:lock w:val="sdtLocked"/>
                      <w:richText/>
                    </w:sdtPr>
                    <w:sdtContent>
                      <w:r>
                        <w:rPr>
                          <w:color w:val="000000"/>
                        </w:rPr>
                        <w:t>15</w:t>
                      </w:r>
                    </w:sdtContent>
                  </w:sdt>
                  <w:r>
                    <w:rPr>
                      <w:color w:val="000000"/>
                    </w:rPr>
                    <w:t>. Medicinos dokumentų išrašas pagal F Nr. 025/a, F Nr. 003/a (toliau – forma F Nr. 027/a) išduodamas tuo atveju, jei pacientas vyksta tikrintis sveikatos būklę į kitą ASPĮ (kurioje jis neprisirašęs) arba kai jis siunčiamas tikrintis pas kitų reikiamų profesinių kvalifikacijų gydytojus.</w:t>
                  </w:r>
                </w:p>
              </w:sdtContent>
            </w:sdt>
            <w:sdt>
              <w:sdtPr>
                <w:alias w:val="12 pr. 16 p."/>
                <w:tag w:val="part_58486c9b643c422d9ea30ea62dcf3c91"/>
                <w:lock w:val="sdtLocked"/>
                <w:richText/>
              </w:sdtPr>
              <w:sdtContent>
                <w:p>
                  <w:pPr>
                    <w:widowControl w:val="0"/>
                    <w:suppressAutoHyphens/>
                    <w:ind w:firstLine="567"/>
                    <w:jc w:val="both"/>
                    <w:rPr>
                      <w:color w:val="000000"/>
                    </w:rPr>
                  </w:pPr>
                  <w:sdt>
                    <w:sdtPr>
                      <w:alias w:val="Numeris"/>
                      <w:tag w:val="nr_58486c9b643c422d9ea30ea62dcf3c91"/>
                      <w:lock w:val="sdtLocked"/>
                      <w:richText/>
                    </w:sdtPr>
                    <w:sdtContent>
                      <w:r>
                        <w:rPr>
                          <w:color w:val="000000"/>
                        </w:rPr>
                        <w:t>16</w:t>
                      </w:r>
                    </w:sdtContent>
                  </w:sdt>
                  <w:r>
                    <w:rPr>
                      <w:color w:val="000000"/>
                    </w:rPr>
                    <w:t>. Tikrinantis sveikatą gydytojas turi teisę gauti informaciją iš kitų ASPĮ, o pastarosios privalo tokią informaciją teikti teisės aktų nustatyta tvarka.</w:t>
                  </w:r>
                </w:p>
              </w:sdtContent>
            </w:sdt>
            <w:sdt>
              <w:sdtPr>
                <w:alias w:val="12 pr. 17 p."/>
                <w:tag w:val="part_e8c0d806decd4ae0aae186c864f39857"/>
                <w:lock w:val="sdtLocked"/>
                <w:richText/>
              </w:sdtPr>
              <w:sdtContent>
                <w:p>
                  <w:pPr>
                    <w:widowControl w:val="0"/>
                    <w:suppressAutoHyphens/>
                    <w:ind w:firstLine="567"/>
                    <w:jc w:val="both"/>
                    <w:rPr>
                      <w:color w:val="000000"/>
                    </w:rPr>
                  </w:pPr>
                  <w:sdt>
                    <w:sdtPr>
                      <w:alias w:val="Numeris"/>
                      <w:tag w:val="nr_e8c0d806decd4ae0aae186c864f39857"/>
                      <w:lock w:val="sdtLocked"/>
                      <w:richText/>
                    </w:sdtPr>
                    <w:sdtContent>
                      <w:r>
                        <w:rPr>
                          <w:color w:val="000000"/>
                        </w:rPr>
                        <w:t>17</w:t>
                      </w:r>
                    </w:sdtContent>
                  </w:sdt>
                  <w:r>
                    <w:rPr>
                      <w:color w:val="000000"/>
                    </w:rPr>
                    <w:t xml:space="preserve">. Tikrinant darbuotojų, kurių darbas susijęs su geležinkelių transporto eismu ir kurių darbo aplinkoje galima profesinė rizika, sveikatą, vadovaujamasi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 (Žin., 2000, Nr. </w:t>
                  </w:r>
                  <w:hyperlink r:id="rId53" w:tgtFrame="_blank" w:history="1">
                    <w:r>
                      <w:rPr>
                        <w:color w:val="0000FF" w:themeColor="hyperlink"/>
                        <w:u w:val="single"/>
                      </w:rPr>
                      <w:t>47-1365</w:t>
                    </w:r>
                  </w:hyperlink>
                  <w:r>
                    <w:rPr>
                      <w:color w:val="000000"/>
                    </w:rPr>
                    <w:t xml:space="preserve">; 2009, Nr. </w:t>
                  </w:r>
                  <w:hyperlink r:id="rId54" w:tgtFrame="_blank" w:history="1">
                    <w:r>
                      <w:rPr>
                        <w:color w:val="0000FF" w:themeColor="hyperlink"/>
                        <w:u w:val="single"/>
                      </w:rPr>
                      <w:t>39-1480</w:t>
                    </w:r>
                  </w:hyperlink>
                  <w:r>
                    <w:rPr>
                      <w:color w:val="000000"/>
                    </w:rPr>
                    <w:t>), bei kitais teisės aktais.</w:t>
                  </w:r>
                </w:p>
              </w:sdtContent>
            </w:sdt>
            <w:sdt>
              <w:sdtPr>
                <w:alias w:val="12 pr. 18 p."/>
                <w:tag w:val="part_4335f903088649be9c5b6f84789656b6"/>
                <w:lock w:val="sdtLocked"/>
                <w:richText/>
              </w:sdtPr>
              <w:sdtContent>
                <w:p>
                  <w:pPr>
                    <w:widowControl w:val="0"/>
                    <w:suppressAutoHyphens/>
                    <w:ind w:firstLine="567"/>
                    <w:jc w:val="both"/>
                    <w:rPr>
                      <w:color w:val="000000"/>
                    </w:rPr>
                  </w:pPr>
                  <w:sdt>
                    <w:sdtPr>
                      <w:alias w:val="Numeris"/>
                      <w:tag w:val="nr_4335f903088649be9c5b6f84789656b6"/>
                      <w:lock w:val="sdtLocked"/>
                      <w:richText/>
                    </w:sdtPr>
                    <w:sdtContent>
                      <w:r>
                        <w:rPr>
                          <w:color w:val="000000"/>
                        </w:rPr>
                        <w:t>18</w:t>
                      </w:r>
                    </w:sdtContent>
                  </w:sdt>
                  <w:r>
                    <w:rPr>
                      <w:color w:val="000000"/>
                    </w:rPr>
                    <w:t xml:space="preserve">. Tikrinant darbuotojų, teikiančių paslaugas traukiniu vykstantiems keleiviams, tarp jų ir Lietuvos Respublikos kompetentingų atstovų, įteikiančių supaprastinto tranzito geležinkeliu dokumentus Lietuvos Respublikos Vyriausybės ir Rusijos Federacijos Vyriausybės susitarimo dėl supaprastinto tranzito geležinkeliu dokumentų išdavimo tvarkos nustatyta tvarka, sveikatą, vadovaujamasi ir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55" w:tgtFrame="_blank" w:history="1">
                    <w:r>
                      <w:rPr>
                        <w:color w:val="0000FF" w:themeColor="hyperlink"/>
                        <w:u w:val="single"/>
                      </w:rPr>
                      <w:t>41-1294</w:t>
                    </w:r>
                  </w:hyperlink>
                  <w:r>
                    <w:rPr>
                      <w:color w:val="000000"/>
                    </w:rPr>
                    <w:t>; 2002, Nr. 73-3127) nuostatomis.</w:t>
                  </w:r>
                </w:p>
              </w:sdtContent>
            </w:sdt>
            <w:sdt>
              <w:sdtPr>
                <w:alias w:val="12 pr. 19 p."/>
                <w:tag w:val="part_ea382981d5a1452cbec8861177ce8e33"/>
                <w:lock w:val="sdtLocked"/>
                <w:richText/>
              </w:sdtPr>
              <w:sdtContent>
                <w:p>
                  <w:pPr>
                    <w:widowControl w:val="0"/>
                    <w:suppressAutoHyphens/>
                    <w:ind w:firstLine="567"/>
                    <w:jc w:val="both"/>
                    <w:rPr>
                      <w:color w:val="000000"/>
                    </w:rPr>
                  </w:pPr>
                  <w:sdt>
                    <w:sdtPr>
                      <w:alias w:val="Numeris"/>
                      <w:tag w:val="nr_ea382981d5a1452cbec8861177ce8e33"/>
                      <w:lock w:val="sdtLocked"/>
                      <w:richText/>
                    </w:sdtPr>
                    <w:sdtContent>
                      <w:r>
                        <w:rPr>
                          <w:color w:val="000000"/>
                        </w:rPr>
                        <w:t>19</w:t>
                      </w:r>
                    </w:sdtContent>
                  </w:sdt>
                  <w:r>
                    <w:rPr>
                      <w:color w:val="000000"/>
                    </w:rPr>
                    <w:t xml:space="preserve">. Sveikatos tikrinimo ir tyrimų duomenys įrašomi Asmens sveikatos istorijoje (toliau –F Nr. 025/a), išvada apie darbuotojo profesinį tinkamumą: „dirbti gali“ „dirbti gali, bet ribotai“ (nurodant kaip), „dirbti negali“ – į Privalomo sveikatos patikrinimo medicininės pažymos formą (toliau – F Nr. 047/a) (įsidarbinančiam) arba į darbovietės antspaudu ir darbdavio parašu patvirtintą Asmens medicininę knygelę (sveikatos pasą) (toliau – F Nr. 048/a) (dirbančiajam), patvirtintas Lietuvos Respublikos sveikatos apsaugos ministro 1999 m. lapkričio 29 d. įsakymu Nr. 515 „Dėl sveikatos priežiūros įstaigų veiklos apskaitos ir atskaitomybės tvarkos“ (Žin., 1999, Nr. </w:t>
                  </w:r>
                  <w:hyperlink r:id="rId56" w:tgtFrame="_blank" w:history="1">
                    <w:r>
                      <w:rPr>
                        <w:color w:val="0000FF" w:themeColor="hyperlink"/>
                        <w:u w:val="single"/>
                      </w:rPr>
                      <w:t>103-2972</w:t>
                    </w:r>
                  </w:hyperlink>
                  <w:r>
                    <w:rPr>
                      <w:color w:val="000000"/>
                    </w:rPr>
                    <w:t>).</w:t>
                  </w:r>
                </w:p>
              </w:sdtContent>
            </w:sdt>
            <w:sdt>
              <w:sdtPr>
                <w:alias w:val="12 pr. 20 p."/>
                <w:tag w:val="part_0ca76f258cc2414d98043f217b983ebe"/>
                <w:lock w:val="sdtLocked"/>
                <w:richText/>
              </w:sdtPr>
              <w:sdtContent>
                <w:p>
                  <w:pPr>
                    <w:widowControl w:val="0"/>
                    <w:suppressAutoHyphens/>
                    <w:ind w:firstLine="567"/>
                    <w:jc w:val="both"/>
                    <w:rPr>
                      <w:color w:val="000000"/>
                    </w:rPr>
                  </w:pPr>
                  <w:sdt>
                    <w:sdtPr>
                      <w:alias w:val="Numeris"/>
                      <w:tag w:val="nr_0ca76f258cc2414d98043f217b983ebe"/>
                      <w:lock w:val="sdtLocked"/>
                      <w:richText/>
                    </w:sdtPr>
                    <w:sdtContent>
                      <w:r>
                        <w:rPr>
                          <w:color w:val="000000"/>
                        </w:rPr>
                        <w:t>20</w:t>
                      </w:r>
                    </w:sdtContent>
                  </w:sdt>
                  <w:r>
                    <w:rPr>
                      <w:color w:val="000000"/>
                    </w:rPr>
                    <w:t>. Apie tinkamumą mokytis išvada: „gali“ ar „negali“ – į F Nr. 025/a ir į Stojančio į mokymo įstaigą ar įdarbinamo nepilnamečio medicininę pažymą (F Nr. 086/a), o vėliau, baigus mokyklą arba sulaukus atitinkamo amžiaus, po pakartotinio sveikatos tikrinimo, pasirinktinai – į F Nr.047/a arba į – F Nr.048/a.</w:t>
                  </w:r>
                </w:p>
              </w:sdtContent>
            </w:sdt>
            <w:sdt>
              <w:sdtPr>
                <w:alias w:val="12 pr. 21 p."/>
                <w:tag w:val="part_3698598839524cba8d0cd6ec96f7a3b9"/>
                <w:lock w:val="sdtLocked"/>
                <w:richText/>
              </w:sdtPr>
              <w:sdtContent>
                <w:p>
                  <w:pPr>
                    <w:widowControl w:val="0"/>
                    <w:suppressAutoHyphens/>
                    <w:ind w:firstLine="567"/>
                    <w:jc w:val="both"/>
                    <w:rPr>
                      <w:color w:val="000000"/>
                    </w:rPr>
                  </w:pPr>
                  <w:sdt>
                    <w:sdtPr>
                      <w:alias w:val="Numeris"/>
                      <w:tag w:val="nr_3698598839524cba8d0cd6ec96f7a3b9"/>
                      <w:lock w:val="sdtLocked"/>
                      <w:richText/>
                    </w:sdtPr>
                    <w:sdtContent>
                      <w:r>
                        <w:rPr>
                          <w:color w:val="000000"/>
                        </w:rPr>
                        <w:t>21</w:t>
                      </w:r>
                    </w:sdtContent>
                  </w:sdt>
                  <w:r>
                    <w:rPr>
                      <w:color w:val="000000"/>
                    </w:rPr>
                    <w:t>. Gydytojas, sveikatos tikrinimo metu nustatęs, kad tikrinamas asmuo neatitinka bendrųjų reikalavimų sveikatos būklei, taikomų įsidarbinantiesiems, traukinio mašinistams arba darbuotojams, arba dėl esančių kontraindikacijų, nurodytų 1 lentelėje, ir negali mokytis arba dirbti traukinio mašinistu, arba dirbti kitų darbų, susijusių su geležinkelių transporto eismu ar teikti paslaugų traukiniu vykstantiems keleiviams, tikrinimo netęsia ir tikrinimo duomenis bei išvadas įrašo į F Nr. 025/a, o išvadą mokymosi įstaigai – į F Nr.086/ a; darbdaviui –į F Nr. 047/a arba į F Nr. 048/a, pasirašo ir patvirtina savo asmeniniu spaudu bei SPĮ antspaudu.</w:t>
                  </w:r>
                </w:p>
              </w:sdtContent>
            </w:sdt>
            <w:sdt>
              <w:sdtPr>
                <w:alias w:val="12 pr. 22 p."/>
                <w:tag w:val="part_edc118c07140433286063532e2dc88ad"/>
                <w:lock w:val="sdtLocked"/>
                <w:richText/>
              </w:sdtPr>
              <w:sdtContent>
                <w:p>
                  <w:pPr>
                    <w:widowControl w:val="0"/>
                    <w:suppressAutoHyphens/>
                    <w:ind w:firstLine="567"/>
                    <w:jc w:val="both"/>
                    <w:rPr>
                      <w:color w:val="000000"/>
                    </w:rPr>
                  </w:pPr>
                  <w:sdt>
                    <w:sdtPr>
                      <w:alias w:val="Numeris"/>
                      <w:tag w:val="nr_edc118c07140433286063532e2dc88ad"/>
                      <w:lock w:val="sdtLocked"/>
                      <w:richText/>
                    </w:sdtPr>
                    <w:sdtContent>
                      <w:r>
                        <w:rPr>
                          <w:color w:val="000000"/>
                        </w:rPr>
                        <w:t>22</w:t>
                      </w:r>
                    </w:sdtContent>
                  </w:sdt>
                  <w:r>
                    <w:rPr>
                      <w:color w:val="000000"/>
                    </w:rPr>
                    <w:t>. Pacientai, norintys tikrintis sveikatą ASPĮ, kurioje yra prisirašę, pateikia:</w:t>
                  </w:r>
                </w:p>
                <w:sdt>
                  <w:sdtPr>
                    <w:alias w:val="12 pr. 22.1 p."/>
                    <w:tag w:val="part_ed604db2893c42f2b7ccfdddaff9bba6"/>
                    <w:lock w:val="sdtLocked"/>
                    <w:richText/>
                  </w:sdtPr>
                  <w:sdtContent>
                    <w:p>
                      <w:pPr>
                        <w:widowControl w:val="0"/>
                        <w:suppressAutoHyphens/>
                        <w:ind w:firstLine="567"/>
                        <w:jc w:val="both"/>
                        <w:rPr>
                          <w:color w:val="000000"/>
                        </w:rPr>
                      </w:pPr>
                      <w:sdt>
                        <w:sdtPr>
                          <w:alias w:val="Numeris"/>
                          <w:tag w:val="nr_ed604db2893c42f2b7ccfdddaff9bba6"/>
                          <w:lock w:val="sdtLocked"/>
                          <w:richText/>
                        </w:sdtPr>
                        <w:sdtContent>
                          <w:r>
                            <w:rPr>
                              <w:color w:val="000000"/>
                            </w:rPr>
                            <w:t>22.1</w:t>
                          </w:r>
                        </w:sdtContent>
                      </w:sdt>
                      <w:r>
                        <w:rPr>
                          <w:color w:val="000000"/>
                        </w:rPr>
                        <w:t>. asmens tapatybę patvirtinantį dokumentą:</w:t>
                      </w:r>
                    </w:p>
                  </w:sdtContent>
                </w:sdt>
                <w:sdt>
                  <w:sdtPr>
                    <w:alias w:val="12 pr. 22.2 p."/>
                    <w:tag w:val="part_9b09c1c714da4a93b87015e9871cfcf6"/>
                    <w:lock w:val="sdtLocked"/>
                    <w:richText/>
                  </w:sdtPr>
                  <w:sdtContent>
                    <w:p>
                      <w:pPr>
                        <w:widowControl w:val="0"/>
                        <w:suppressAutoHyphens/>
                        <w:ind w:firstLine="567"/>
                        <w:jc w:val="both"/>
                        <w:rPr>
                          <w:color w:val="000000"/>
                        </w:rPr>
                      </w:pPr>
                      <w:sdt>
                        <w:sdtPr>
                          <w:alias w:val="Numeris"/>
                          <w:tag w:val="nr_9b09c1c714da4a93b87015e9871cfcf6"/>
                          <w:lock w:val="sdtLocked"/>
                          <w:richText/>
                        </w:sdtPr>
                        <w:sdtContent>
                          <w:r>
                            <w:rPr>
                              <w:color w:val="000000"/>
                            </w:rPr>
                            <w:t>22.2</w:t>
                          </w:r>
                        </w:sdtContent>
                      </w:sdt>
                      <w:r>
                        <w:rPr>
                          <w:color w:val="000000"/>
                        </w:rPr>
                        <w:t>. F Nr. 027/a iš jo ASPĮ aptarnaujančio psichikos sveikatos centro gydytojo psichiatro, įvertinusio psichologo vadovaujantis šio Aprašo 13 punkte nustatyta tvarka atlikto tyrimo rezultatus;</w:t>
                      </w:r>
                    </w:p>
                  </w:sdtContent>
                </w:sdt>
                <w:sdt>
                  <w:sdtPr>
                    <w:alias w:val="12 pr. 22.3 p."/>
                    <w:tag w:val="part_965b4fb6cb0f45ca90af8ea27cb272e1"/>
                    <w:lock w:val="sdtLocked"/>
                    <w:richText/>
                  </w:sdtPr>
                  <w:sdtContent>
                    <w:p>
                      <w:pPr>
                        <w:widowControl w:val="0"/>
                        <w:suppressAutoHyphens/>
                        <w:ind w:firstLine="567"/>
                        <w:jc w:val="both"/>
                        <w:rPr>
                          <w:color w:val="000000"/>
                        </w:rPr>
                      </w:pPr>
                      <w:sdt>
                        <w:sdtPr>
                          <w:alias w:val="Numeris"/>
                          <w:tag w:val="nr_965b4fb6cb0f45ca90af8ea27cb272e1"/>
                          <w:lock w:val="sdtLocked"/>
                          <w:richText/>
                        </w:sdtPr>
                        <w:sdtContent>
                          <w:r>
                            <w:rPr>
                              <w:color w:val="000000"/>
                            </w:rPr>
                            <w:t>22.3</w:t>
                          </w:r>
                        </w:sdtContent>
                      </w:sdt>
                      <w:r>
                        <w:rPr>
                          <w:color w:val="000000"/>
                        </w:rPr>
                        <w:t>. darbdaviui atstovaujančio ar jo įgalioto asmens tinkamai užpildytą F Nr. 047/a – jei privalomai sveikata tikrinama įsidarbinančiajam;</w:t>
                      </w:r>
                    </w:p>
                  </w:sdtContent>
                </w:sdt>
                <w:sdt>
                  <w:sdtPr>
                    <w:alias w:val="12 pr. 22.4 p."/>
                    <w:tag w:val="part_7c751f81ce814c4ab95819b809277c5a"/>
                    <w:lock w:val="sdtLocked"/>
                    <w:richText/>
                  </w:sdtPr>
                  <w:sdtContent>
                    <w:p>
                      <w:pPr>
                        <w:widowControl w:val="0"/>
                        <w:suppressAutoHyphens/>
                        <w:ind w:firstLine="567"/>
                        <w:jc w:val="both"/>
                        <w:rPr>
                          <w:color w:val="000000"/>
                        </w:rPr>
                      </w:pPr>
                      <w:sdt>
                        <w:sdtPr>
                          <w:alias w:val="Numeris"/>
                          <w:tag w:val="nr_7c751f81ce814c4ab95819b809277c5a"/>
                          <w:lock w:val="sdtLocked"/>
                          <w:richText/>
                        </w:sdtPr>
                        <w:sdtContent>
                          <w:r>
                            <w:rPr>
                              <w:color w:val="000000"/>
                            </w:rPr>
                            <w:t>22.4</w:t>
                          </w:r>
                        </w:sdtContent>
                      </w:sdt>
                      <w:r>
                        <w:rPr>
                          <w:color w:val="000000"/>
                        </w:rPr>
                        <w:t>. darbdaviui atstovaujančio ar jo įgalioto asmens tinkamai užpildytą F Nr. 048/a – jei privalomai periodiškai sveikata tikrinama dirbant traukinio mašinistu arba darbuotoju, kurio darbas susijęs su geležinkelių transporto eismu ar teikiančiu paslaugas traukiniu vykstantiems keleiviams.</w:t>
                      </w:r>
                    </w:p>
                  </w:sdtContent>
                </w:sdt>
              </w:sdtContent>
            </w:sdt>
            <w:sdt>
              <w:sdtPr>
                <w:alias w:val="12 pr. 23 p."/>
                <w:tag w:val="part_08b03d77e557413da25f527f188e6b55"/>
                <w:lock w:val="sdtLocked"/>
                <w:richText/>
              </w:sdtPr>
              <w:sdtContent>
                <w:p>
                  <w:pPr>
                    <w:widowControl w:val="0"/>
                    <w:suppressAutoHyphens/>
                    <w:ind w:firstLine="567"/>
                    <w:jc w:val="both"/>
                    <w:rPr>
                      <w:color w:val="000000"/>
                    </w:rPr>
                  </w:pPr>
                  <w:sdt>
                    <w:sdtPr>
                      <w:alias w:val="Numeris"/>
                      <w:tag w:val="nr_08b03d77e557413da25f527f188e6b55"/>
                      <w:lock w:val="sdtLocked"/>
                      <w:richText/>
                    </w:sdtPr>
                    <w:sdtContent>
                      <w:r>
                        <w:rPr>
                          <w:color w:val="000000"/>
                        </w:rPr>
                        <w:t>23</w:t>
                      </w:r>
                    </w:sdtContent>
                  </w:sdt>
                  <w:r>
                    <w:rPr>
                      <w:color w:val="000000"/>
                    </w:rPr>
                    <w:t>. Pacientai, norintys tikrintis sveikatą ASPĮ, kurioje jie neprisirašę, pateikia šio Aprašo 22 punkte nurodytus dokumentus bei F Nr. 027/a iš šeimos medicinos paslaugas teikiančio gydytojo, prie kurio yra prisirašę teisės aktų nustatyta tvarka.</w:t>
                  </w:r>
                </w:p>
              </w:sdtContent>
            </w:sdt>
            <w:sdt>
              <w:sdtPr>
                <w:alias w:val="12 pr. 24 p."/>
                <w:tag w:val="part_1cc6bf0f0eb148558840587a08c18168"/>
                <w:lock w:val="sdtLocked"/>
                <w:richText/>
              </w:sdtPr>
              <w:sdtContent>
                <w:p>
                  <w:pPr>
                    <w:widowControl w:val="0"/>
                    <w:suppressAutoHyphens/>
                    <w:ind w:firstLine="567"/>
                    <w:jc w:val="both"/>
                    <w:rPr>
                      <w:color w:val="000000"/>
                    </w:rPr>
                  </w:pPr>
                  <w:sdt>
                    <w:sdtPr>
                      <w:alias w:val="Numeris"/>
                      <w:tag w:val="nr_1cc6bf0f0eb148558840587a08c18168"/>
                      <w:lock w:val="sdtLocked"/>
                      <w:richText/>
                    </w:sdtPr>
                    <w:sdtContent>
                      <w:r>
                        <w:rPr>
                          <w:color w:val="000000"/>
                        </w:rPr>
                        <w:t>24</w:t>
                      </w:r>
                    </w:sdtContent>
                  </w:sdt>
                  <w:r>
                    <w:rPr>
                      <w:color w:val="000000"/>
                    </w:rPr>
                    <w:t>. Galutinę išvadą apie darbuotojo profesinį tinkamumą į F Nr. 025/a įrašo, pasirašo ir patvirtina savo asmeniniu spaudu sveikatos tikrinimą pradėjęs gydytojas, įvertinęs visų konsultavusių profesinių kvalifikacijų gydytojų išvadas ir tyrimų rezultatus, nustatęs, kad tikrinamas asmuo atitinka bendruosius reikalavimus traukinio mašinistų sveikatos būklei, taikomus įsidarbinantiesiems, traukinio mašinistams ir darbuotojams.</w:t>
                  </w:r>
                </w:p>
              </w:sdtContent>
            </w:sdt>
            <w:sdt>
              <w:sdtPr>
                <w:alias w:val="12 pr. 25 p."/>
                <w:tag w:val="part_374ba918a46940259d585f6699efa03e"/>
                <w:lock w:val="sdtLocked"/>
                <w:richText/>
              </w:sdtPr>
              <w:sdtContent>
                <w:p>
                  <w:pPr>
                    <w:widowControl w:val="0"/>
                    <w:suppressAutoHyphens/>
                    <w:ind w:firstLine="567"/>
                    <w:jc w:val="both"/>
                    <w:rPr>
                      <w:color w:val="000000"/>
                    </w:rPr>
                  </w:pPr>
                  <w:sdt>
                    <w:sdtPr>
                      <w:alias w:val="Numeris"/>
                      <w:tag w:val="nr_374ba918a46940259d585f6699efa03e"/>
                      <w:lock w:val="sdtLocked"/>
                      <w:richText/>
                    </w:sdtPr>
                    <w:sdtContent>
                      <w:r>
                        <w:rPr>
                          <w:color w:val="000000"/>
                        </w:rPr>
                        <w:t>25</w:t>
                      </w:r>
                    </w:sdtContent>
                  </w:sdt>
                  <w:r>
                    <w:rPr>
                      <w:color w:val="000000"/>
                    </w:rPr>
                    <w:t>. Išvada dėl tinkamumo mokytis geležinkelių transporto darbuotojų mokymo įstaigose įrašoma į F Nr. 086/a ir patvirtinama gydytojo parašu bei asmeniniu spaudu ir ASPĮ įstaigos antspaudu. F Nr. 086/a atiduodama pacientui asmeniškai. Traukinio mašinisto minimalus amžius yra ne mažesnis kaip 20 metų, tačiau vien tik Lietuvos Respublikos teritorijoje dirbti juo gali asmenys nuo 18 metų. Pažyma F Nr. 047/a arba F Nr.048/a gali būti išduodama asmenims, ne daugiau kaip vienais metais jaunesniems nei nustatytas amžius, nuo kurio leidžiama dirbti traukinio mašinistu.</w:t>
                  </w:r>
                </w:p>
              </w:sdtContent>
            </w:sdt>
            <w:sdt>
              <w:sdtPr>
                <w:alias w:val="12 pr. 26 p."/>
                <w:tag w:val="part_99fbde238244454d929496f7472cf9c8"/>
                <w:lock w:val="sdtLocked"/>
                <w:richText/>
              </w:sdtPr>
              <w:sdtContent>
                <w:p>
                  <w:pPr>
                    <w:widowControl w:val="0"/>
                    <w:suppressAutoHyphens/>
                    <w:ind w:firstLine="567"/>
                    <w:jc w:val="both"/>
                    <w:rPr>
                      <w:color w:val="000000"/>
                    </w:rPr>
                  </w:pPr>
                  <w:sdt>
                    <w:sdtPr>
                      <w:alias w:val="Numeris"/>
                      <w:tag w:val="nr_99fbde238244454d929496f7472cf9c8"/>
                      <w:lock w:val="sdtLocked"/>
                      <w:richText/>
                    </w:sdtPr>
                    <w:sdtContent>
                      <w:r>
                        <w:rPr>
                          <w:color w:val="000000"/>
                        </w:rPr>
                        <w:t>26</w:t>
                      </w:r>
                    </w:sdtContent>
                  </w:sdt>
                  <w:r>
                    <w:rPr>
                      <w:color w:val="000000"/>
                    </w:rPr>
                    <w:t>. Išvada darbdaviui atstovaujančiam ar jo įgaliotam asmeniui dėl tinkamumo dirbti traukinio mašinistu ar kitu darbuotoju įrašoma į F Nr. 047/a ar F Nr. 048/a ir patvirtinama gydytojo parašu bei asmeniniu spaudu ir ASPĮ įstaigos antspaudu.</w:t>
                  </w:r>
                </w:p>
              </w:sdtContent>
            </w:sdt>
            <w:sdt>
              <w:sdtPr>
                <w:alias w:val="12 pr. 27 p."/>
                <w:tag w:val="part_08a0246fb64c42f99ad3a3d1ccaccd49"/>
                <w:lock w:val="sdtLocked"/>
                <w:richText/>
              </w:sdtPr>
              <w:sdtContent>
                <w:p>
                  <w:pPr>
                    <w:widowControl w:val="0"/>
                    <w:suppressAutoHyphens/>
                    <w:ind w:firstLine="567"/>
                    <w:jc w:val="both"/>
                    <w:rPr>
                      <w:color w:val="000000"/>
                    </w:rPr>
                  </w:pPr>
                  <w:sdt>
                    <w:sdtPr>
                      <w:alias w:val="Numeris"/>
                      <w:tag w:val="nr_08a0246fb64c42f99ad3a3d1ccaccd49"/>
                      <w:lock w:val="sdtLocked"/>
                      <w:richText/>
                    </w:sdtPr>
                    <w:sdtContent>
                      <w:r>
                        <w:rPr>
                          <w:color w:val="000000"/>
                        </w:rPr>
                        <w:t>27</w:t>
                      </w:r>
                    </w:sdtContent>
                  </w:sdt>
                  <w:r>
                    <w:rPr>
                      <w:color w:val="000000"/>
                    </w:rPr>
                    <w:t>. Išduotos pažymos registruojamos sveikatos tikrinimo žurnale (Ambulatorinių ligonių registracijos knygoje) (toliau – F Nr. 074/a).</w:t>
                  </w:r>
                </w:p>
              </w:sdtContent>
            </w:sdt>
            <w:sdt>
              <w:sdtPr>
                <w:alias w:val="12 pr. 28 p."/>
                <w:tag w:val="part_881a31b2a8694ea4a0f66015022ff74f"/>
                <w:lock w:val="sdtLocked"/>
                <w:richText/>
              </w:sdtPr>
              <w:sdtContent>
                <w:p>
                  <w:pPr>
                    <w:widowControl w:val="0"/>
                    <w:suppressAutoHyphens/>
                    <w:ind w:firstLine="567"/>
                    <w:jc w:val="both"/>
                    <w:rPr>
                      <w:color w:val="000000"/>
                    </w:rPr>
                  </w:pPr>
                  <w:sdt>
                    <w:sdtPr>
                      <w:alias w:val="Numeris"/>
                      <w:tag w:val="nr_881a31b2a8694ea4a0f66015022ff74f"/>
                      <w:lock w:val="sdtLocked"/>
                      <w:richText/>
                    </w:sdtPr>
                    <w:sdtContent>
                      <w:r>
                        <w:rPr>
                          <w:color w:val="000000"/>
                        </w:rPr>
                        <w:t>28</w:t>
                      </w:r>
                    </w:sdtContent>
                  </w:sdt>
                  <w:r>
                    <w:rPr>
                      <w:color w:val="000000"/>
                    </w:rPr>
                    <w:t>. F Nr. 047/a ar F Nr. 048/a įrašus turi teisę tikrinti darbdaviui atstovaujantis arba jo įgaliotas asmuo, Valstybinės darbo inspekcijos darbo inspektoriai, ASPĮ vadovai ar jų įgalioti asmenys.</w:t>
                  </w:r>
                </w:p>
              </w:sdtContent>
            </w:sdt>
            <w:sdt>
              <w:sdtPr>
                <w:alias w:val="12 pr. 29 p."/>
                <w:tag w:val="part_889dc8ce45164abe9d06e0fe09be0bec"/>
                <w:lock w:val="sdtLocked"/>
                <w:richText/>
              </w:sdtPr>
              <w:sdtContent>
                <w:p>
                  <w:pPr>
                    <w:widowControl w:val="0"/>
                    <w:suppressAutoHyphens/>
                    <w:ind w:firstLine="567"/>
                    <w:jc w:val="both"/>
                    <w:rPr>
                      <w:color w:val="000000"/>
                    </w:rPr>
                  </w:pPr>
                  <w:sdt>
                    <w:sdtPr>
                      <w:alias w:val="Numeris"/>
                      <w:tag w:val="nr_889dc8ce45164abe9d06e0fe09be0bec"/>
                      <w:lock w:val="sdtLocked"/>
                      <w:richText/>
                    </w:sdtPr>
                    <w:sdtContent>
                      <w:r>
                        <w:rPr>
                          <w:color w:val="000000"/>
                        </w:rPr>
                        <w:t>29</w:t>
                      </w:r>
                    </w:sdtContent>
                  </w:sdt>
                  <w:r>
                    <w:rPr>
                      <w:color w:val="000000"/>
                    </w:rPr>
                    <w:t xml:space="preserve">. Medicininė apžiūra neblaivumui (girtumui) ar apsvaigimui nuo psichiką veikiančių medžiagų nustatyti atliekama vadovaujantis Lietuvos Respublikos sveikatos apsaugos ministro 2006 m. birželio 20 d. įsakymu Nr. V-505 „Dėl Medicininės apžiūros neblaivumui (girtumui) ar apsvaigimui nuo psichiką veikiančių medžiagų nustatyti atlikimo ir Bendros asmens būklės įvertinimo metodikų patvirtinimo“ (Žin., 2006, Nr. </w:t>
                  </w:r>
                  <w:hyperlink r:id="rId57" w:tgtFrame="_blank" w:history="1">
                    <w:r>
                      <w:rPr>
                        <w:color w:val="0000FF" w:themeColor="hyperlink"/>
                        <w:u w:val="single"/>
                      </w:rPr>
                      <w:t>71-2641</w:t>
                    </w:r>
                  </w:hyperlink>
                  <w:r>
                    <w:rPr>
                      <w:color w:val="000000"/>
                    </w:rPr>
                    <w:t>) ir Lietuvos Respublikos Vyriausybės 2006 m. gegužės 12 d. nutarimu Nr. 452 „Dėl Transporto priemones vairuojančių ir kitų asmenų neblaivumo (girtumo) ar apsvaigimo nustatymo taisyklių patvirtinimo“ (Žin., 2006 Nr. 56-2000).</w:t>
                  </w:r>
                </w:p>
                <w:p>
                  <w:pPr>
                    <w:widowControl w:val="0"/>
                    <w:suppressAutoHyphens/>
                    <w:ind w:firstLine="567"/>
                    <w:jc w:val="both"/>
                    <w:rPr>
                      <w:bCs/>
                      <w:caps/>
                      <w:color w:val="000000"/>
                    </w:rPr>
                  </w:pPr>
                </w:p>
              </w:sdtContent>
            </w:sdt>
          </w:sdtContent>
        </w:sdt>
        <w:sdt>
          <w:sdtPr>
            <w:alias w:val="skyrius"/>
            <w:tag w:val="part_d8e4dc2f2ea94f50948a2e36d6f7d472"/>
            <w:lock w:val="sdtLocked"/>
            <w:richText/>
          </w:sdtPr>
          <w:sdtContent>
            <w:p>
              <w:pPr>
                <w:widowControl w:val="0"/>
                <w:suppressAutoHyphens/>
                <w:jc w:val="center"/>
                <w:rPr>
                  <w:b/>
                  <w:bCs/>
                  <w:caps/>
                  <w:color w:val="000000"/>
                </w:rPr>
              </w:pPr>
              <w:sdt>
                <w:sdtPr>
                  <w:alias w:val="Numeris"/>
                  <w:tag w:val="nr_d8e4dc2f2ea94f50948a2e36d6f7d472"/>
                  <w:lock w:val="sdtLocked"/>
                  <w:richText/>
                </w:sdtPr>
                <w:sdtContent>
                  <w:r>
                    <w:rPr>
                      <w:b/>
                      <w:bCs/>
                      <w:caps/>
                      <w:color w:val="000000"/>
                    </w:rPr>
                    <w:t>III</w:t>
                  </w:r>
                </w:sdtContent>
              </w:sdt>
              <w:r>
                <w:rPr>
                  <w:b/>
                  <w:bCs/>
                  <w:caps/>
                  <w:color w:val="000000"/>
                </w:rPr>
                <w:t xml:space="preserve">. </w:t>
              </w:r>
              <w:sdt>
                <w:sdtPr>
                  <w:alias w:val="Pavadinimas"/>
                  <w:tag w:val="title_d8e4dc2f2ea94f50948a2e36d6f7d472"/>
                  <w:lock w:val="sdtLocked"/>
                  <w:richText/>
                </w:sdtPr>
                <w:sdtContent>
                  <w:r>
                    <w:rPr>
                      <w:b/>
                      <w:bCs/>
                      <w:caps/>
                      <w:color w:val="000000"/>
                    </w:rPr>
                    <w:t>BENDRIEJI REIKALAVIMAI TRAUKINIO MAŠINISTO IR DARBUOTOJO, KURIO DARBAS SUSIJĘS SU GELEŽINKELIŲ TRANSPORTO EISMU, SVEIKATOS BŪKLEI</w:t>
                  </w:r>
                </w:sdtContent>
              </w:sdt>
            </w:p>
            <w:p>
              <w:pPr>
                <w:widowControl w:val="0"/>
                <w:suppressAutoHyphens/>
                <w:ind w:firstLine="567"/>
                <w:jc w:val="both"/>
                <w:rPr>
                  <w:color w:val="000000"/>
                </w:rPr>
              </w:pPr>
            </w:p>
            <w:sdt>
              <w:sdtPr>
                <w:alias w:val="12 pr. 30 p."/>
                <w:tag w:val="part_deb3568d05694f689b4ba35b29af6d86"/>
                <w:lock w:val="sdtLocked"/>
                <w:richText/>
              </w:sdtPr>
              <w:sdtContent>
                <w:p>
                  <w:pPr>
                    <w:widowControl w:val="0"/>
                    <w:suppressAutoHyphens/>
                    <w:ind w:firstLine="567"/>
                    <w:jc w:val="both"/>
                    <w:rPr>
                      <w:color w:val="000000"/>
                    </w:rPr>
                  </w:pPr>
                  <w:sdt>
                    <w:sdtPr>
                      <w:alias w:val="Numeris"/>
                      <w:tag w:val="nr_deb3568d05694f689b4ba35b29af6d86"/>
                      <w:lock w:val="sdtLocked"/>
                      <w:richText/>
                    </w:sdtPr>
                    <w:sdtContent>
                      <w:r>
                        <w:rPr>
                          <w:color w:val="000000"/>
                        </w:rPr>
                        <w:t>30</w:t>
                      </w:r>
                    </w:sdtContent>
                  </w:sdt>
                  <w:r>
                    <w:rPr>
                      <w:color w:val="000000"/>
                    </w:rPr>
                    <w:t>. Traukinio mašinistai ir darbuotojai, kurių darbas susijęs su geležinkelių transporto eismu (toliau – darbuotojai) negali turėti sveikatos sutrikimų arba vartoti vaistus ar medžiagas, kurios galėtų sukelti:</w:t>
                  </w:r>
                </w:p>
                <w:sdt>
                  <w:sdtPr>
                    <w:alias w:val="12 pr. 30.1 p."/>
                    <w:tag w:val="part_ac1e679baa4346feb570a62367fde790"/>
                    <w:lock w:val="sdtLocked"/>
                    <w:richText/>
                  </w:sdtPr>
                  <w:sdtContent>
                    <w:p>
                      <w:pPr>
                        <w:widowControl w:val="0"/>
                        <w:suppressAutoHyphens/>
                        <w:ind w:firstLine="567"/>
                        <w:jc w:val="both"/>
                        <w:rPr>
                          <w:color w:val="000000"/>
                        </w:rPr>
                      </w:pPr>
                      <w:sdt>
                        <w:sdtPr>
                          <w:alias w:val="Numeris"/>
                          <w:tag w:val="nr_ac1e679baa4346feb570a62367fde790"/>
                          <w:lock w:val="sdtLocked"/>
                          <w:richText/>
                        </w:sdtPr>
                        <w:sdtContent>
                          <w:r>
                            <w:rPr>
                              <w:color w:val="000000"/>
                            </w:rPr>
                            <w:t>30.1</w:t>
                          </w:r>
                        </w:sdtContent>
                      </w:sdt>
                      <w:r>
                        <w:rPr>
                          <w:color w:val="000000"/>
                        </w:rPr>
                        <w:t>. staigų sąmonės praradimą;</w:t>
                      </w:r>
                    </w:p>
                  </w:sdtContent>
                </w:sdt>
                <w:sdt>
                  <w:sdtPr>
                    <w:alias w:val="12 pr. 30.2 p."/>
                    <w:tag w:val="part_a60a1532a27442a2bd9e95930f78743b"/>
                    <w:lock w:val="sdtLocked"/>
                    <w:richText/>
                  </w:sdtPr>
                  <w:sdtContent>
                    <w:p>
                      <w:pPr>
                        <w:widowControl w:val="0"/>
                        <w:suppressAutoHyphens/>
                        <w:ind w:firstLine="567"/>
                        <w:jc w:val="both"/>
                        <w:rPr>
                          <w:color w:val="000000"/>
                        </w:rPr>
                      </w:pPr>
                      <w:sdt>
                        <w:sdtPr>
                          <w:alias w:val="Numeris"/>
                          <w:tag w:val="nr_a60a1532a27442a2bd9e95930f78743b"/>
                          <w:lock w:val="sdtLocked"/>
                          <w:richText/>
                        </w:sdtPr>
                        <w:sdtContent>
                          <w:r>
                            <w:rPr>
                              <w:color w:val="000000"/>
                            </w:rPr>
                            <w:t>30.2</w:t>
                          </w:r>
                        </w:sdtContent>
                      </w:sdt>
                      <w:r>
                        <w:rPr>
                          <w:color w:val="000000"/>
                        </w:rPr>
                        <w:t>. atidumo ir susikaupimo sumažėjimą;</w:t>
                      </w:r>
                    </w:p>
                  </w:sdtContent>
                </w:sdt>
                <w:sdt>
                  <w:sdtPr>
                    <w:alias w:val="12 pr. 30.3 p."/>
                    <w:tag w:val="part_7e2a352ebf9542ed8394a223f98459ef"/>
                    <w:lock w:val="sdtLocked"/>
                    <w:richText/>
                  </w:sdtPr>
                  <w:sdtContent>
                    <w:p>
                      <w:pPr>
                        <w:widowControl w:val="0"/>
                        <w:suppressAutoHyphens/>
                        <w:ind w:firstLine="567"/>
                        <w:jc w:val="both"/>
                        <w:rPr>
                          <w:color w:val="000000"/>
                        </w:rPr>
                      </w:pPr>
                      <w:sdt>
                        <w:sdtPr>
                          <w:alias w:val="Numeris"/>
                          <w:tag w:val="nr_7e2a352ebf9542ed8394a223f98459ef"/>
                          <w:lock w:val="sdtLocked"/>
                          <w:richText/>
                        </w:sdtPr>
                        <w:sdtContent>
                          <w:r>
                            <w:rPr>
                              <w:color w:val="000000"/>
                            </w:rPr>
                            <w:t>30.3</w:t>
                          </w:r>
                        </w:sdtContent>
                      </w:sdt>
                      <w:r>
                        <w:rPr>
                          <w:color w:val="000000"/>
                        </w:rPr>
                        <w:t>. staigų nepajėgumą dirbti;</w:t>
                      </w:r>
                    </w:p>
                  </w:sdtContent>
                </w:sdt>
                <w:sdt>
                  <w:sdtPr>
                    <w:alias w:val="12 pr. 30.4 p."/>
                    <w:tag w:val="part_f11faeda6d56452d9cdab6b0092c3735"/>
                    <w:lock w:val="sdtLocked"/>
                    <w:richText/>
                  </w:sdtPr>
                  <w:sdtContent>
                    <w:p>
                      <w:pPr>
                        <w:widowControl w:val="0"/>
                        <w:suppressAutoHyphens/>
                        <w:ind w:firstLine="567"/>
                        <w:jc w:val="both"/>
                        <w:rPr>
                          <w:color w:val="000000"/>
                        </w:rPr>
                      </w:pPr>
                      <w:sdt>
                        <w:sdtPr>
                          <w:alias w:val="Numeris"/>
                          <w:tag w:val="nr_f11faeda6d56452d9cdab6b0092c3735"/>
                          <w:lock w:val="sdtLocked"/>
                          <w:richText/>
                        </w:sdtPr>
                        <w:sdtContent>
                          <w:r>
                            <w:rPr>
                              <w:color w:val="000000"/>
                            </w:rPr>
                            <w:t>30.4</w:t>
                          </w:r>
                        </w:sdtContent>
                      </w:sdt>
                      <w:r>
                        <w:rPr>
                          <w:color w:val="000000"/>
                        </w:rPr>
                        <w:t>. pusiausvyros ar koordinacijos – praradimą (traukinio mašinisto), pablogėjimą (darbuotojo);</w:t>
                      </w:r>
                    </w:p>
                  </w:sdtContent>
                </w:sdt>
                <w:sdt>
                  <w:sdtPr>
                    <w:alias w:val="12 pr. 30.5 p."/>
                    <w:tag w:val="part_0803d6523d234fc09a622b188dfd1edc"/>
                    <w:lock w:val="sdtLocked"/>
                    <w:richText/>
                  </w:sdtPr>
                  <w:sdtContent>
                    <w:p>
                      <w:pPr>
                        <w:widowControl w:val="0"/>
                        <w:suppressAutoHyphens/>
                        <w:ind w:firstLine="567"/>
                        <w:jc w:val="both"/>
                        <w:rPr>
                          <w:color w:val="000000"/>
                        </w:rPr>
                      </w:pPr>
                      <w:sdt>
                        <w:sdtPr>
                          <w:alias w:val="Numeris"/>
                          <w:tag w:val="nr_0803d6523d234fc09a622b188dfd1edc"/>
                          <w:lock w:val="sdtLocked"/>
                          <w:richText/>
                        </w:sdtPr>
                        <w:sdtContent>
                          <w:r>
                            <w:rPr>
                              <w:color w:val="000000"/>
                            </w:rPr>
                            <w:t>30.5</w:t>
                          </w:r>
                        </w:sdtContent>
                      </w:sdt>
                      <w:r>
                        <w:rPr>
                          <w:color w:val="000000"/>
                        </w:rPr>
                        <w:t>. žymų judrumo sumažėjimą (traukinio mašinisto), didelį judrumo apribojimą (darbuotojo).</w:t>
                      </w:r>
                    </w:p>
                  </w:sdtContent>
                </w:sdt>
              </w:sdtContent>
            </w:sdt>
            <w:sdt>
              <w:sdtPr>
                <w:alias w:val="12 pr. 31 p."/>
                <w:tag w:val="part_d40690d33cb841ff884bcee6dade77b7"/>
                <w:lock w:val="sdtLocked"/>
                <w:richText/>
              </w:sdtPr>
              <w:sdtContent>
                <w:p>
                  <w:pPr>
                    <w:widowControl w:val="0"/>
                    <w:suppressAutoHyphens/>
                    <w:ind w:firstLine="567"/>
                    <w:jc w:val="both"/>
                    <w:rPr>
                      <w:color w:val="000000"/>
                    </w:rPr>
                  </w:pPr>
                  <w:sdt>
                    <w:sdtPr>
                      <w:alias w:val="Numeris"/>
                      <w:tag w:val="nr_d40690d33cb841ff884bcee6dade77b7"/>
                      <w:lock w:val="sdtLocked"/>
                      <w:richText/>
                    </w:sdtPr>
                    <w:sdtContent>
                      <w:r>
                        <w:rPr>
                          <w:color w:val="000000"/>
                        </w:rPr>
                        <w:t>31</w:t>
                      </w:r>
                    </w:sdtContent>
                  </w:sdt>
                  <w:r>
                    <w:rPr>
                      <w:color w:val="000000"/>
                    </w:rPr>
                    <w:t>. Turi būti laikomasi šių regėjimui taikomų reikalavimų:</w:t>
                  </w:r>
                </w:p>
                <w:sdt>
                  <w:sdtPr>
                    <w:alias w:val="12 pr. 31.1 p."/>
                    <w:tag w:val="part_357b7930674f4f7893623c138e6ec54d"/>
                    <w:lock w:val="sdtLocked"/>
                    <w:richText/>
                  </w:sdtPr>
                  <w:sdtContent>
                    <w:p>
                      <w:pPr>
                        <w:widowControl w:val="0"/>
                        <w:suppressAutoHyphens/>
                        <w:ind w:firstLine="567"/>
                        <w:jc w:val="both"/>
                        <w:rPr>
                          <w:color w:val="000000"/>
                        </w:rPr>
                      </w:pPr>
                      <w:sdt>
                        <w:sdtPr>
                          <w:alias w:val="Numeris"/>
                          <w:tag w:val="nr_357b7930674f4f7893623c138e6ec54d"/>
                          <w:lock w:val="sdtLocked"/>
                          <w:richText/>
                        </w:sdtPr>
                        <w:sdtContent>
                          <w:r>
                            <w:rPr>
                              <w:color w:val="000000"/>
                            </w:rPr>
                            <w:t>31.1</w:t>
                          </w:r>
                        </w:sdtContent>
                      </w:sdt>
                      <w:r>
                        <w:rPr>
                          <w:color w:val="000000"/>
                        </w:rPr>
                        <w:t>. Regėjimo į tolį aštrumas su pagalba ar be jos:</w:t>
                      </w:r>
                    </w:p>
                    <w:sdt>
                      <w:sdtPr>
                        <w:alias w:val="12 pr. 31.1.1 p."/>
                        <w:tag w:val="part_0e618dc997b44afd8e82439637cd40ad"/>
                        <w:lock w:val="sdtLocked"/>
                        <w:richText/>
                      </w:sdtPr>
                      <w:sdtContent>
                        <w:p>
                          <w:pPr>
                            <w:widowControl w:val="0"/>
                            <w:suppressAutoHyphens/>
                            <w:ind w:firstLine="567"/>
                            <w:jc w:val="both"/>
                            <w:rPr>
                              <w:color w:val="000000"/>
                            </w:rPr>
                          </w:pPr>
                          <w:sdt>
                            <w:sdtPr>
                              <w:alias w:val="Numeris"/>
                              <w:tag w:val="nr_0e618dc997b44afd8e82439637cd40ad"/>
                              <w:lock w:val="sdtLocked"/>
                              <w:richText/>
                            </w:sdtPr>
                            <w:sdtContent>
                              <w:r>
                                <w:rPr>
                                  <w:color w:val="000000"/>
                                </w:rPr>
                                <w:t>31.1.1</w:t>
                              </w:r>
                            </w:sdtContent>
                          </w:sdt>
                          <w:r>
                            <w:rPr>
                              <w:color w:val="000000"/>
                            </w:rPr>
                            <w:t>. traukinio mašinisto – 1,0; blogiau matančios akies – mažiausiai 0,5;</w:t>
                          </w:r>
                        </w:p>
                      </w:sdtContent>
                    </w:sdt>
                    <w:sdt>
                      <w:sdtPr>
                        <w:alias w:val="12 pr. 31.1.2 p."/>
                        <w:tag w:val="part_eb236b0f996e4b45b97a31027fe6aaa7"/>
                        <w:lock w:val="sdtLocked"/>
                        <w:richText/>
                      </w:sdtPr>
                      <w:sdtContent>
                        <w:p>
                          <w:pPr>
                            <w:widowControl w:val="0"/>
                            <w:suppressAutoHyphens/>
                            <w:ind w:firstLine="567"/>
                            <w:jc w:val="both"/>
                            <w:rPr>
                              <w:color w:val="000000"/>
                            </w:rPr>
                          </w:pPr>
                          <w:sdt>
                            <w:sdtPr>
                              <w:alias w:val="Numeris"/>
                              <w:tag w:val="nr_eb236b0f996e4b45b97a31027fe6aaa7"/>
                              <w:lock w:val="sdtLocked"/>
                              <w:richText/>
                            </w:sdtPr>
                            <w:sdtContent>
                              <w:r>
                                <w:rPr>
                                  <w:color w:val="000000"/>
                                </w:rPr>
                                <w:t>31.1.2</w:t>
                              </w:r>
                            </w:sdtContent>
                          </w:sdt>
                          <w:r>
                            <w:rPr>
                              <w:color w:val="000000"/>
                            </w:rPr>
                            <w:t>. darbuotojo – 0,8 (dešinė akis + kairė akis – tiriama atskirai): mažiausias blogiau matančios akies regėjimo aštrumas 0,3;</w:t>
                          </w:r>
                        </w:p>
                      </w:sdtContent>
                    </w:sdt>
                  </w:sdtContent>
                </w:sdt>
                <w:sdt>
                  <w:sdtPr>
                    <w:alias w:val="12 pr. 31.2 p."/>
                    <w:tag w:val="part_f86f380e05d54648aa1c470ba61c48f6"/>
                    <w:lock w:val="sdtLocked"/>
                    <w:richText/>
                  </w:sdtPr>
                  <w:sdtContent>
                    <w:p>
                      <w:pPr>
                        <w:widowControl w:val="0"/>
                        <w:suppressAutoHyphens/>
                        <w:ind w:firstLine="567"/>
                        <w:jc w:val="both"/>
                        <w:rPr>
                          <w:color w:val="000000"/>
                        </w:rPr>
                      </w:pPr>
                      <w:sdt>
                        <w:sdtPr>
                          <w:alias w:val="Numeris"/>
                          <w:tag w:val="nr_f86f380e05d54648aa1c470ba61c48f6"/>
                          <w:lock w:val="sdtLocked"/>
                          <w:richText/>
                        </w:sdtPr>
                        <w:sdtContent>
                          <w:r>
                            <w:rPr>
                              <w:color w:val="000000"/>
                            </w:rPr>
                            <w:t>31.2</w:t>
                          </w:r>
                        </w:sdtContent>
                      </w:sdt>
                      <w:r>
                        <w:rPr>
                          <w:color w:val="000000"/>
                        </w:rPr>
                        <w:t>. korekciniams lęšiams taikomi maksimumai: +5 (toliaregystė) / -8 (trumparegystė); išimtis galima daryti ypatingais atvejais, gavus gydytojo oftalmologo išvadą, šiuo atveju sprendimą priima gydytojas oftalmologas;</w:t>
                      </w:r>
                    </w:p>
                  </w:sdtContent>
                </w:sdt>
                <w:sdt>
                  <w:sdtPr>
                    <w:alias w:val="12 pr. 31.3 p."/>
                    <w:tag w:val="part_eaea04af30334b0ebeb5ef35014d265a"/>
                    <w:lock w:val="sdtLocked"/>
                    <w:richText/>
                  </w:sdtPr>
                  <w:sdtContent>
                    <w:p>
                      <w:pPr>
                        <w:widowControl w:val="0"/>
                        <w:suppressAutoHyphens/>
                        <w:ind w:firstLine="567"/>
                        <w:jc w:val="both"/>
                        <w:rPr>
                          <w:color w:val="000000"/>
                        </w:rPr>
                      </w:pPr>
                      <w:sdt>
                        <w:sdtPr>
                          <w:alias w:val="Numeris"/>
                          <w:tag w:val="nr_eaea04af30334b0ebeb5ef35014d265a"/>
                          <w:lock w:val="sdtLocked"/>
                          <w:richText/>
                        </w:sdtPr>
                        <w:sdtContent>
                          <w:r>
                            <w:rPr>
                              <w:color w:val="000000"/>
                            </w:rPr>
                            <w:t>31.3</w:t>
                          </w:r>
                        </w:sdtContent>
                      </w:sdt>
                      <w:r>
                        <w:rPr>
                          <w:color w:val="000000"/>
                        </w:rPr>
                        <w:t>. regėjimas trumpu ir vidutiniu atstumu: pakankamas, su korekcija (pagalba) ar be jos;</w:t>
                      </w:r>
                    </w:p>
                  </w:sdtContent>
                </w:sdt>
                <w:sdt>
                  <w:sdtPr>
                    <w:alias w:val="12 pr. 31.4 p."/>
                    <w:tag w:val="part_8cd9c1e9a37c43ddb4501f045a6c41aa"/>
                    <w:lock w:val="sdtLocked"/>
                    <w:richText/>
                  </w:sdtPr>
                  <w:sdtContent>
                    <w:p>
                      <w:pPr>
                        <w:widowControl w:val="0"/>
                        <w:suppressAutoHyphens/>
                        <w:ind w:firstLine="567"/>
                        <w:jc w:val="both"/>
                        <w:rPr>
                          <w:color w:val="000000"/>
                        </w:rPr>
                      </w:pPr>
                      <w:sdt>
                        <w:sdtPr>
                          <w:alias w:val="Numeris"/>
                          <w:tag w:val="nr_8cd9c1e9a37c43ddb4501f045a6c41aa"/>
                          <w:lock w:val="sdtLocked"/>
                          <w:richText/>
                        </w:sdtPr>
                        <w:sdtContent>
                          <w:r>
                            <w:rPr>
                              <w:color w:val="000000"/>
                            </w:rPr>
                            <w:t>31.4</w:t>
                          </w:r>
                        </w:sdtContent>
                      </w:sdt>
                      <w:r>
                        <w:rPr>
                          <w:color w:val="000000"/>
                        </w:rPr>
                        <w:t>. leidžiama naudoti:</w:t>
                      </w:r>
                    </w:p>
                    <w:sdt>
                      <w:sdtPr>
                        <w:alias w:val="12 pr. 31.4.1 p."/>
                        <w:tag w:val="part_c6d299dd074c439fb1aa72b5b503beb8"/>
                        <w:lock w:val="sdtLocked"/>
                        <w:richText/>
                      </w:sdtPr>
                      <w:sdtContent>
                        <w:p>
                          <w:pPr>
                            <w:widowControl w:val="0"/>
                            <w:suppressAutoHyphens/>
                            <w:ind w:firstLine="567"/>
                            <w:jc w:val="both"/>
                            <w:rPr>
                              <w:color w:val="000000"/>
                            </w:rPr>
                          </w:pPr>
                          <w:sdt>
                            <w:sdtPr>
                              <w:alias w:val="Numeris"/>
                              <w:tag w:val="nr_c6d299dd074c439fb1aa72b5b503beb8"/>
                              <w:lock w:val="sdtLocked"/>
                              <w:richText/>
                            </w:sdtPr>
                            <w:sdtContent>
                              <w:r>
                                <w:rPr>
                                  <w:color w:val="000000"/>
                                </w:rPr>
                                <w:t>31.4.1</w:t>
                              </w:r>
                            </w:sdtContent>
                          </w:sdt>
                          <w:r>
                            <w:rPr>
                              <w:color w:val="000000"/>
                            </w:rPr>
                            <w:t>. traukinio mašinistui – kontaktinius lęšius ar akinius, jei regėjimą periodiškai tikrina gydytojas oftalmologas;</w:t>
                          </w:r>
                        </w:p>
                      </w:sdtContent>
                    </w:sdt>
                    <w:sdt>
                      <w:sdtPr>
                        <w:alias w:val="12 pr. 31.4.2 p."/>
                        <w:tag w:val="part_f6270ea384ca444089c09c4ea83fb529"/>
                        <w:lock w:val="sdtLocked"/>
                        <w:richText/>
                      </w:sdtPr>
                      <w:sdtContent>
                        <w:p>
                          <w:pPr>
                            <w:widowControl w:val="0"/>
                            <w:suppressAutoHyphens/>
                            <w:ind w:firstLine="567"/>
                            <w:jc w:val="both"/>
                            <w:rPr>
                              <w:color w:val="000000"/>
                            </w:rPr>
                          </w:pPr>
                          <w:sdt>
                            <w:sdtPr>
                              <w:alias w:val="Numeris"/>
                              <w:tag w:val="nr_f6270ea384ca444089c09c4ea83fb529"/>
                              <w:lock w:val="sdtLocked"/>
                              <w:richText/>
                            </w:sdtPr>
                            <w:sdtContent>
                              <w:r>
                                <w:rPr>
                                  <w:color w:val="000000"/>
                                </w:rPr>
                                <w:t>31.4.2</w:t>
                              </w:r>
                            </w:sdtContent>
                          </w:sdt>
                          <w:r>
                            <w:rPr>
                              <w:color w:val="000000"/>
                            </w:rPr>
                            <w:t>. darbuotojui – kontaktinius lęšius ar akinius;</w:t>
                          </w:r>
                        </w:p>
                      </w:sdtContent>
                    </w:sdt>
                  </w:sdtContent>
                </w:sdt>
                <w:sdt>
                  <w:sdtPr>
                    <w:alias w:val="12 pr. 31.5 p."/>
                    <w:tag w:val="part_5c4d67f9fdfc41c2b6a1b243e16f7594"/>
                    <w:lock w:val="sdtLocked"/>
                    <w:richText/>
                  </w:sdtPr>
                  <w:sdtContent>
                    <w:p>
                      <w:pPr>
                        <w:widowControl w:val="0"/>
                        <w:suppressAutoHyphens/>
                        <w:ind w:firstLine="567"/>
                        <w:jc w:val="both"/>
                        <w:rPr>
                          <w:color w:val="000000"/>
                        </w:rPr>
                      </w:pPr>
                      <w:sdt>
                        <w:sdtPr>
                          <w:alias w:val="Numeris"/>
                          <w:tag w:val="nr_5c4d67f9fdfc41c2b6a1b243e16f7594"/>
                          <w:lock w:val="sdtLocked"/>
                          <w:richText/>
                        </w:sdtPr>
                        <w:sdtContent>
                          <w:r>
                            <w:rPr>
                              <w:color w:val="000000"/>
                            </w:rPr>
                            <w:t>31.5</w:t>
                          </w:r>
                        </w:sdtContent>
                      </w:sdt>
                      <w:r>
                        <w:rPr>
                          <w:color w:val="000000"/>
                        </w:rPr>
                        <w:t>. normalus spalvų jutimas: naudojamas pripažintas testas, pvz., Išiharos testas, ir prireikus kitas pripažintas testas;</w:t>
                      </w:r>
                    </w:p>
                  </w:sdtContent>
                </w:sdt>
                <w:sdt>
                  <w:sdtPr>
                    <w:alias w:val="12 pr. 31.6 p."/>
                    <w:tag w:val="part_a314cb66be90478c84f6f78e0ebb508f"/>
                    <w:lock w:val="sdtLocked"/>
                    <w:richText/>
                  </w:sdtPr>
                  <w:sdtContent>
                    <w:p>
                      <w:pPr>
                        <w:widowControl w:val="0"/>
                        <w:suppressAutoHyphens/>
                        <w:ind w:firstLine="567"/>
                        <w:jc w:val="both"/>
                        <w:rPr>
                          <w:color w:val="000000"/>
                        </w:rPr>
                      </w:pPr>
                      <w:sdt>
                        <w:sdtPr>
                          <w:alias w:val="Numeris"/>
                          <w:tag w:val="nr_a314cb66be90478c84f6f78e0ebb508f"/>
                          <w:lock w:val="sdtLocked"/>
                          <w:richText/>
                        </w:sdtPr>
                        <w:sdtContent>
                          <w:r>
                            <w:rPr>
                              <w:color w:val="000000"/>
                            </w:rPr>
                            <w:t>31.6</w:t>
                          </w:r>
                        </w:sdtContent>
                      </w:sdt>
                      <w:r>
                        <w:rPr>
                          <w:color w:val="000000"/>
                        </w:rPr>
                        <w:t>. regos laukas: visas (nėra jokių anomalijų; galinčių turėti įtakos darbui);</w:t>
                      </w:r>
                    </w:p>
                  </w:sdtContent>
                </w:sdt>
                <w:sdt>
                  <w:sdtPr>
                    <w:alias w:val="12 pr. 31.7 p."/>
                    <w:tag w:val="part_f53d35ed0ce54853aa7cb44aa24eb6f1"/>
                    <w:lock w:val="sdtLocked"/>
                    <w:richText/>
                  </w:sdtPr>
                  <w:sdtContent>
                    <w:p>
                      <w:pPr>
                        <w:widowControl w:val="0"/>
                        <w:suppressAutoHyphens/>
                        <w:ind w:firstLine="567"/>
                        <w:jc w:val="both"/>
                        <w:rPr>
                          <w:color w:val="000000"/>
                        </w:rPr>
                      </w:pPr>
                      <w:sdt>
                        <w:sdtPr>
                          <w:alias w:val="Numeris"/>
                          <w:tag w:val="nr_f53d35ed0ce54853aa7cb44aa24eb6f1"/>
                          <w:lock w:val="sdtLocked"/>
                          <w:richText/>
                        </w:sdtPr>
                        <w:sdtContent>
                          <w:r>
                            <w:rPr>
                              <w:color w:val="000000"/>
                            </w:rPr>
                            <w:t>31.7</w:t>
                          </w:r>
                        </w:sdtContent>
                      </w:sdt>
                      <w:r>
                        <w:rPr>
                          <w:color w:val="000000"/>
                        </w:rPr>
                        <w:t>. regėjimas abiem akimis:</w:t>
                      </w:r>
                    </w:p>
                    <w:sdt>
                      <w:sdtPr>
                        <w:alias w:val="12 pr. 31.7.1 p."/>
                        <w:tag w:val="part_60c85ee2c99f4ebaa76b0f4be320519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851" w:hanging="284"/>
                            <w:jc w:val="both"/>
                            <w:rPr>
                              <w:color w:val="000000"/>
                            </w:rPr>
                          </w:pPr>
                          <w:sdt>
                            <w:sdtPr>
                              <w:alias w:val="Numeris"/>
                              <w:tag w:val="nr_60c85ee2c99f4ebaa76b0f4be320519d"/>
                              <w:lock w:val="sdtLocked"/>
                              <w:richText/>
                            </w:sdtPr>
                            <w:sdtContent>
                              <w:r>
                                <w:rPr>
                                  <w:szCs w:val="24"/>
                                </w:rPr>
                                <w:t>31.7.1</w:t>
                              </w:r>
                            </w:sdtContent>
                          </w:sdt>
                          <w:r>
                            <w:rPr>
                              <w:szCs w:val="24"/>
                            </w:rPr>
                            <w:t>. traukinio mašinistui – efektyvus;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a9f300dd811e5920c94700bb1958e">
                            <w:r w:rsidRPr="00532B9F">
                              <w:rPr>
                                <w:rFonts w:ascii="Times New Roman" w:eastAsia="MS Mincho" w:hAnsi="Times New Roman"/>
                                <w:sz w:val="20"/>
                                <w:i/>
                                <w:iCs/>
                                <w:color w:val="0000FF" w:themeColor="hyperlink"/>
                                <w:u w:val="single"/>
                              </w:rPr>
                              <w:t>V-714</w:t>
                            </w:r>
                          </w:fldSimple>
                          <w:r>
                            <w:rPr>
                              <w:rFonts w:ascii="Times New Roman" w:eastAsia="MS Mincho" w:hAnsi="Times New Roman"/>
                              <w:sz w:val="20"/>
                              <w:i/>
                              <w:iCs/>
                            </w:rPr>
                            <w:t>,
2015-06-08,
paskelbta TAR 2015-06-08, i. k. 2015-09000            </w:t>
                          </w:r>
                        </w:p>
                        <w:p/>
                      </w:sdtContent>
                    </w:sdt>
                    <w:sdt>
                      <w:sdtPr>
                        <w:alias w:val="12 pr. 31.7.2 p."/>
                        <w:tag w:val="part_36ccfc937ddb47d086c5522c0eac80ba"/>
                        <w:lock w:val="sdtLocked"/>
                        <w:richText/>
                      </w:sdtPr>
                      <w:sdtContent>
                        <w:p>
                          <w:pPr>
                            <w:widowControl w:val="0"/>
                            <w:suppressAutoHyphens/>
                            <w:ind w:firstLine="567"/>
                            <w:jc w:val="both"/>
                            <w:rPr>
                              <w:color w:val="000000"/>
                            </w:rPr>
                          </w:pPr>
                          <w:sdt>
                            <w:sdtPr>
                              <w:alias w:val="Numeris"/>
                              <w:tag w:val="nr_36ccfc937ddb47d086c5522c0eac80ba"/>
                              <w:lock w:val="sdtLocked"/>
                              <w:richText/>
                            </w:sdtPr>
                            <w:sdtContent>
                              <w:r>
                                <w:rPr>
                                  <w:color w:val="000000"/>
                                </w:rPr>
                                <w:t>31.7.2</w:t>
                              </w:r>
                            </w:sdtContent>
                          </w:sdt>
                          <w:r>
                            <w:rPr>
                              <w:color w:val="000000"/>
                            </w:rPr>
                            <w:t>. darbuotojui – yra;</w:t>
                          </w:r>
                        </w:p>
                      </w:sdtContent>
                    </w:sdt>
                  </w:sdtContent>
                </w:sdt>
                <w:sdt>
                  <w:sdtPr>
                    <w:alias w:val="12 pr. 31.8 p."/>
                    <w:tag w:val="part_40e1c97babf04834ae2e8e40328cd7a2"/>
                    <w:lock w:val="sdtLocked"/>
                    <w:richText/>
                  </w:sdtPr>
                  <w:sdtContent>
                    <w:p>
                      <w:pPr>
                        <w:widowControl w:val="0"/>
                        <w:suppressAutoHyphens/>
                        <w:ind w:firstLine="567"/>
                        <w:jc w:val="both"/>
                        <w:rPr>
                          <w:color w:val="000000"/>
                        </w:rPr>
                      </w:pPr>
                      <w:sdt>
                        <w:sdtPr>
                          <w:alias w:val="Numeris"/>
                          <w:tag w:val="nr_40e1c97babf04834ae2e8e40328cd7a2"/>
                          <w:lock w:val="sdtLocked"/>
                          <w:richText/>
                        </w:sdtPr>
                        <w:sdtContent>
                          <w:r>
                            <w:rPr>
                              <w:color w:val="000000"/>
                            </w:rPr>
                            <w:t>31.8</w:t>
                          </w:r>
                        </w:sdtContent>
                      </w:sdt>
                      <w:r>
                        <w:rPr>
                          <w:color w:val="000000"/>
                        </w:rPr>
                        <w:t>. abiakis matymas (binokulinis):</w:t>
                      </w:r>
                    </w:p>
                    <w:sdt>
                      <w:sdtPr>
                        <w:alias w:val="12 pr. 31.8.1 p."/>
                        <w:tag w:val="part_131635e3fd234d8db3782d30797dd6a5"/>
                        <w:lock w:val="sdtLocked"/>
                        <w:richText/>
                      </w:sdtPr>
                      <w:sdtContent>
                        <w:p>
                          <w:pPr>
                            <w:widowControl w:val="0"/>
                            <w:suppressAutoHyphens/>
                            <w:ind w:firstLine="567"/>
                            <w:jc w:val="both"/>
                            <w:rPr>
                              <w:color w:val="000000"/>
                            </w:rPr>
                          </w:pPr>
                          <w:sdt>
                            <w:sdtPr>
                              <w:alias w:val="Numeris"/>
                              <w:tag w:val="nr_131635e3fd234d8db3782d30797dd6a5"/>
                              <w:lock w:val="sdtLocked"/>
                              <w:richText/>
                            </w:sdtPr>
                            <w:sdtContent>
                              <w:r>
                                <w:rPr>
                                  <w:color w:val="000000"/>
                                </w:rPr>
                                <w:t>31.8.1</w:t>
                              </w:r>
                            </w:sdtContent>
                          </w:sdt>
                          <w:r>
                            <w:rPr>
                              <w:color w:val="000000"/>
                            </w:rPr>
                            <w:t>. traukinio mašinistui – yra (efektyvus);</w:t>
                          </w:r>
                        </w:p>
                      </w:sdtContent>
                    </w:sdt>
                    <w:sdt>
                      <w:sdtPr>
                        <w:alias w:val="12 pr. 31.8.2 p."/>
                        <w:tag w:val="part_ecd9150bfa0d499fbb22775165ae92ec"/>
                        <w:lock w:val="sdtLocked"/>
                        <w:richText/>
                      </w:sdtPr>
                      <w:sdtContent>
                        <w:p>
                          <w:pPr>
                            <w:widowControl w:val="0"/>
                            <w:suppressAutoHyphens/>
                            <w:ind w:firstLine="567"/>
                            <w:jc w:val="both"/>
                            <w:rPr>
                              <w:color w:val="000000"/>
                            </w:rPr>
                          </w:pPr>
                          <w:sdt>
                            <w:sdtPr>
                              <w:alias w:val="Numeris"/>
                              <w:tag w:val="nr_ecd9150bfa0d499fbb22775165ae92ec"/>
                              <w:lock w:val="sdtLocked"/>
                              <w:richText/>
                            </w:sdtPr>
                            <w:sdtContent>
                              <w:r>
                                <w:rPr>
                                  <w:color w:val="000000"/>
                                </w:rPr>
                                <w:t>31.8.2</w:t>
                              </w:r>
                            </w:sdtContent>
                          </w:sdt>
                          <w:r>
                            <w:rPr>
                              <w:color w:val="000000"/>
                            </w:rPr>
                            <w:t>. darbuotojui – yra;</w:t>
                          </w:r>
                        </w:p>
                      </w:sdtContent>
                    </w:sdt>
                  </w:sdtContent>
                </w:sdt>
                <w:sdt>
                  <w:sdtPr>
                    <w:alias w:val="12 pr. 31.9 p."/>
                    <w:tag w:val="part_a27c991a01d74ec3ba735e060e9d514e"/>
                    <w:lock w:val="sdtLocked"/>
                    <w:richText/>
                  </w:sdtPr>
                  <w:sdtContent>
                    <w:p>
                      <w:pPr>
                        <w:widowControl w:val="0"/>
                        <w:suppressAutoHyphens/>
                        <w:ind w:firstLine="567"/>
                        <w:jc w:val="both"/>
                        <w:rPr>
                          <w:color w:val="000000"/>
                        </w:rPr>
                      </w:pPr>
                      <w:sdt>
                        <w:sdtPr>
                          <w:alias w:val="Numeris"/>
                          <w:tag w:val="nr_a27c991a01d74ec3ba735e060e9d514e"/>
                          <w:lock w:val="sdtLocked"/>
                          <w:richText/>
                        </w:sdtPr>
                        <w:sdtContent>
                          <w:r>
                            <w:rPr>
                              <w:color w:val="000000"/>
                            </w:rPr>
                            <w:t>31.9</w:t>
                          </w:r>
                        </w:sdtContent>
                      </w:sdt>
                      <w:r>
                        <w:rPr>
                          <w:color w:val="000000"/>
                        </w:rPr>
                        <w:t>. traukinio mašinistui – spalvų signalų atpažinimas: testas grindžiamas atskirų spalvų atpažinimu, o ne reliatyviais skirtumais;</w:t>
                      </w:r>
                    </w:p>
                  </w:sdtContent>
                </w:sdt>
                <w:sdt>
                  <w:sdtPr>
                    <w:alias w:val="12 pr. 31.10 p."/>
                    <w:tag w:val="part_bb184129a37b42a49103c08550031ee9"/>
                    <w:lock w:val="sdtLocked"/>
                    <w:richText/>
                  </w:sdtPr>
                  <w:sdtContent>
                    <w:p>
                      <w:pPr>
                        <w:widowControl w:val="0"/>
                        <w:suppressAutoHyphens/>
                        <w:ind w:firstLine="567"/>
                        <w:jc w:val="both"/>
                        <w:rPr>
                          <w:color w:val="000000"/>
                        </w:rPr>
                      </w:pPr>
                      <w:sdt>
                        <w:sdtPr>
                          <w:alias w:val="Numeris"/>
                          <w:tag w:val="nr_bb184129a37b42a49103c08550031ee9"/>
                          <w:lock w:val="sdtLocked"/>
                          <w:richText/>
                        </w:sdtPr>
                        <w:sdtContent>
                          <w:r>
                            <w:rPr>
                              <w:color w:val="000000"/>
                            </w:rPr>
                            <w:t>31.10</w:t>
                          </w:r>
                        </w:sdtContent>
                      </w:sdt>
                      <w:r>
                        <w:rPr>
                          <w:color w:val="000000"/>
                        </w:rPr>
                        <w:t>. kontrastų jutimas traukinio mašinistui ir darbuotojui – geras;</w:t>
                      </w:r>
                    </w:p>
                  </w:sdtContent>
                </w:sdt>
                <w:sdt>
                  <w:sdtPr>
                    <w:alias w:val="12 pr. 31.11 p."/>
                    <w:tag w:val="part_a3d178394bfd4b1d851d2fffd63dd3ce"/>
                    <w:lock w:val="sdtLocked"/>
                    <w:richText/>
                  </w:sdtPr>
                  <w:sdtContent>
                    <w:p>
                      <w:pPr>
                        <w:widowControl w:val="0"/>
                        <w:suppressAutoHyphens/>
                        <w:ind w:firstLine="567"/>
                        <w:jc w:val="both"/>
                        <w:rPr>
                          <w:color w:val="000000"/>
                        </w:rPr>
                      </w:pPr>
                      <w:sdt>
                        <w:sdtPr>
                          <w:alias w:val="Numeris"/>
                          <w:tag w:val="nr_a3d178394bfd4b1d851d2fffd63dd3ce"/>
                          <w:lock w:val="sdtLocked"/>
                          <w:richText/>
                        </w:sdtPr>
                        <w:sdtContent>
                          <w:r>
                            <w:rPr>
                              <w:color w:val="000000"/>
                            </w:rPr>
                            <w:t>31.11</w:t>
                          </w:r>
                        </w:sdtContent>
                      </w:sdt>
                      <w:r>
                        <w:rPr>
                          <w:color w:val="000000"/>
                        </w:rPr>
                        <w:t>. progresuojančių akių ligų – nėra;</w:t>
                      </w:r>
                    </w:p>
                  </w:sdtContent>
                </w:sdt>
                <w:sdt>
                  <w:sdtPr>
                    <w:alias w:val="12 pr. 31.12 p."/>
                    <w:tag w:val="part_4abfc5d5e3f14673903350832f223db0"/>
                    <w:lock w:val="sdtLocked"/>
                    <w:richText/>
                  </w:sdtPr>
                  <w:sdtContent>
                    <w:p>
                      <w:pPr>
                        <w:widowControl w:val="0"/>
                        <w:suppressAutoHyphens/>
                        <w:ind w:firstLine="567"/>
                        <w:jc w:val="both"/>
                        <w:rPr>
                          <w:color w:val="000000"/>
                        </w:rPr>
                      </w:pPr>
                      <w:sdt>
                        <w:sdtPr>
                          <w:alias w:val="Numeris"/>
                          <w:tag w:val="nr_4abfc5d5e3f14673903350832f223db0"/>
                          <w:lock w:val="sdtLocked"/>
                          <w:richText/>
                        </w:sdtPr>
                        <w:sdtContent>
                          <w:r>
                            <w:rPr>
                              <w:color w:val="000000"/>
                            </w:rPr>
                            <w:t>31.12</w:t>
                          </w:r>
                        </w:sdtContent>
                      </w:sdt>
                      <w:r>
                        <w:rPr>
                          <w:color w:val="000000"/>
                        </w:rPr>
                        <w:t>. implantai:</w:t>
                      </w:r>
                    </w:p>
                    <w:sdt>
                      <w:sdtPr>
                        <w:alias w:val="12 pr. 31.12.1 p."/>
                        <w:tag w:val="part_7c0fca14c62b4098a99a021d8c013e15"/>
                        <w:lock w:val="sdtLocked"/>
                        <w:richText/>
                      </w:sdtPr>
                      <w:sdtContent>
                        <w:p>
                          <w:pPr>
                            <w:widowControl w:val="0"/>
                            <w:suppressAutoHyphens/>
                            <w:ind w:firstLine="567"/>
                            <w:jc w:val="both"/>
                            <w:rPr>
                              <w:color w:val="000000"/>
                            </w:rPr>
                          </w:pPr>
                          <w:sdt>
                            <w:sdtPr>
                              <w:alias w:val="Numeris"/>
                              <w:tag w:val="nr_7c0fca14c62b4098a99a021d8c013e15"/>
                              <w:lock w:val="sdtLocked"/>
                              <w:richText/>
                            </w:sdtPr>
                            <w:sdtContent>
                              <w:r>
                                <w:rPr>
                                  <w:color w:val="000000"/>
                                </w:rPr>
                                <w:t>31.12.1</w:t>
                              </w:r>
                            </w:sdtContent>
                          </w:sdt>
                          <w:r>
                            <w:rPr>
                              <w:color w:val="000000"/>
                            </w:rPr>
                            <w:t>. traukinio mašinistui – lęšių implantai, atliktos keratotomijos ir keratektomijos operacijos leistinos tik tuomet, jei kasmet arba gydytojo oftalmologo nustatytais laikotarpiais konsultuojama, tikrinamas operacijų poveikis akims;</w:t>
                          </w:r>
                        </w:p>
                      </w:sdtContent>
                    </w:sdt>
                    <w:sdt>
                      <w:sdtPr>
                        <w:alias w:val="12 pr. 31.12.2 p."/>
                        <w:tag w:val="part_11fa024a8458467bb72bfff8b327e362"/>
                        <w:lock w:val="sdtLocked"/>
                        <w:richText/>
                      </w:sdtPr>
                      <w:sdtContent>
                        <w:p>
                          <w:pPr>
                            <w:widowControl w:val="0"/>
                            <w:suppressAutoHyphens/>
                            <w:ind w:firstLine="567"/>
                            <w:jc w:val="both"/>
                            <w:rPr>
                              <w:color w:val="000000"/>
                            </w:rPr>
                          </w:pPr>
                          <w:sdt>
                            <w:sdtPr>
                              <w:alias w:val="Numeris"/>
                              <w:tag w:val="nr_11fa024a8458467bb72bfff8b327e362"/>
                              <w:lock w:val="sdtLocked"/>
                              <w:richText/>
                            </w:sdtPr>
                            <w:sdtContent>
                              <w:r>
                                <w:rPr>
                                  <w:color w:val="000000"/>
                                </w:rPr>
                                <w:t>31.12.2</w:t>
                              </w:r>
                            </w:sdtContent>
                          </w:sdt>
                          <w:r>
                            <w:rPr>
                              <w:color w:val="000000"/>
                            </w:rPr>
                            <w:t>. darbuotojui – akių implantai (protezai), atliktos keratotomijos ir keratektomijos operacijos leistinos tik tuomet, jei kasmet arba gydytojo oftalmologo nustatytais laikotarpiais konsultuojama, tikrinamas operacijų poveikis akims;</w:t>
                          </w:r>
                        </w:p>
                      </w:sdtContent>
                    </w:sdt>
                  </w:sdtContent>
                </w:sdt>
                <w:sdt>
                  <w:sdtPr>
                    <w:alias w:val="12 pr. 31.13 p."/>
                    <w:tag w:val="part_5dc1a86ff37d485e99b6f1fa0797f131"/>
                    <w:lock w:val="sdtLocked"/>
                    <w:richText/>
                  </w:sdtPr>
                  <w:sdtContent>
                    <w:p>
                      <w:pPr>
                        <w:widowControl w:val="0"/>
                        <w:suppressAutoHyphens/>
                        <w:ind w:firstLine="567"/>
                        <w:jc w:val="both"/>
                        <w:rPr>
                          <w:color w:val="000000"/>
                        </w:rPr>
                      </w:pPr>
                      <w:sdt>
                        <w:sdtPr>
                          <w:alias w:val="Numeris"/>
                          <w:tag w:val="nr_5dc1a86ff37d485e99b6f1fa0797f131"/>
                          <w:lock w:val="sdtLocked"/>
                          <w:richText/>
                        </w:sdtPr>
                        <w:sdtContent>
                          <w:r>
                            <w:rPr>
                              <w:color w:val="000000"/>
                            </w:rPr>
                            <w:t>31.13</w:t>
                          </w:r>
                        </w:sdtContent>
                      </w:sdt>
                      <w:r>
                        <w:rPr>
                          <w:color w:val="000000"/>
                        </w:rPr>
                        <w:t>. traukinio mašinistui – atsparumas akinimui;</w:t>
                      </w:r>
                    </w:p>
                  </w:sdtContent>
                </w:sdt>
                <w:sdt>
                  <w:sdtPr>
                    <w:alias w:val="12 pr. 31.14 p."/>
                    <w:tag w:val="part_8a4dafa6e86b4668bccf41f69573ccf0"/>
                    <w:lock w:val="sdtLocked"/>
                    <w:richText/>
                  </w:sdtPr>
                  <w:sdtContent>
                    <w:p>
                      <w:pPr>
                        <w:widowControl w:val="0"/>
                        <w:suppressAutoHyphens/>
                        <w:ind w:firstLine="567"/>
                        <w:jc w:val="both"/>
                        <w:rPr>
                          <w:color w:val="000000"/>
                        </w:rPr>
                      </w:pPr>
                      <w:sdt>
                        <w:sdtPr>
                          <w:alias w:val="Numeris"/>
                          <w:tag w:val="nr_8a4dafa6e86b4668bccf41f69573ccf0"/>
                          <w:lock w:val="sdtLocked"/>
                          <w:richText/>
                        </w:sdtPr>
                        <w:sdtContent>
                          <w:r>
                            <w:rPr>
                              <w:color w:val="000000"/>
                            </w:rPr>
                            <w:t>31.14</w:t>
                          </w:r>
                        </w:sdtContent>
                      </w:sdt>
                      <w:r>
                        <w:rPr>
                          <w:color w:val="000000"/>
                        </w:rPr>
                        <w:t>. traukinio mašinistui – draudžiama naudoti spalvotus kontaktinius lęšius ir fotochrominius lęšius, leidžiama naudoti lęšius su UV filtru.</w:t>
                      </w:r>
                    </w:p>
                  </w:sdtContent>
                </w:sdt>
              </w:sdtContent>
            </w:sdt>
            <w:sdt>
              <w:sdtPr>
                <w:alias w:val="12 pr. 32 p."/>
                <w:tag w:val="part_d222a52fb50c46b19fa9d78774cd7c1b"/>
                <w:lock w:val="sdtLocked"/>
                <w:richText/>
              </w:sdtPr>
              <w:sdtContent>
                <w:p>
                  <w:pPr>
                    <w:widowControl w:val="0"/>
                    <w:suppressAutoHyphens/>
                    <w:ind w:firstLine="567"/>
                    <w:jc w:val="both"/>
                    <w:rPr>
                      <w:color w:val="000000"/>
                    </w:rPr>
                  </w:pPr>
                  <w:sdt>
                    <w:sdtPr>
                      <w:alias w:val="Numeris"/>
                      <w:tag w:val="nr_d222a52fb50c46b19fa9d78774cd7c1b"/>
                      <w:lock w:val="sdtLocked"/>
                      <w:richText/>
                    </w:sdtPr>
                    <w:sdtContent>
                      <w:r>
                        <w:rPr>
                          <w:color w:val="000000"/>
                        </w:rPr>
                        <w:t>32</w:t>
                      </w:r>
                    </w:sdtContent>
                  </w:sdt>
                  <w:r>
                    <w:rPr>
                      <w:color w:val="000000"/>
                    </w:rPr>
                    <w:t>. Turi būti laikomasi šių klausai ir kalbėjimui taikomų reikalavimų:</w:t>
                  </w:r>
                </w:p>
                <w:sdt>
                  <w:sdtPr>
                    <w:alias w:val="12 pr. 32.1 p."/>
                    <w:tag w:val="part_ca5e7516b8be4cae8b1ba808dcfd5720"/>
                    <w:lock w:val="sdtLocked"/>
                    <w:richText/>
                  </w:sdtPr>
                  <w:sdtContent>
                    <w:p>
                      <w:pPr>
                        <w:widowControl w:val="0"/>
                        <w:suppressAutoHyphens/>
                        <w:ind w:firstLine="567"/>
                        <w:jc w:val="both"/>
                        <w:rPr>
                          <w:color w:val="000000"/>
                        </w:rPr>
                      </w:pPr>
                      <w:sdt>
                        <w:sdtPr>
                          <w:alias w:val="Numeris"/>
                          <w:tag w:val="nr_ca5e7516b8be4cae8b1ba808dcfd5720"/>
                          <w:lock w:val="sdtLocked"/>
                          <w:richText/>
                        </w:sdtPr>
                        <w:sdtContent>
                          <w:r>
                            <w:rPr>
                              <w:color w:val="000000"/>
                            </w:rPr>
                            <w:t>32.1</w:t>
                          </w:r>
                        </w:sdtContent>
                      </w:sdt>
                      <w:r>
                        <w:rPr>
                          <w:color w:val="000000"/>
                        </w:rPr>
                        <w:t>. traukinio mašinistui ir darbuotojui: pakankama, audiograma patvirtinta klausa, t. y. pakankama klausa kalbėtis telefonu ir gebėjimas išgirsti pavojaus signalus bei radijo pranešimus. Orientacinės reikšmės yra šios:</w:t>
                      </w:r>
                    </w:p>
                    <w:sdt>
                      <w:sdtPr>
                        <w:alias w:val="12 pr. 32.1.1 p."/>
                        <w:tag w:val="part_3f74a4f491ba4650962aa3b4b76b9dc8"/>
                        <w:lock w:val="sdtLocked"/>
                        <w:richText/>
                      </w:sdtPr>
                      <w:sdtContent>
                        <w:p>
                          <w:pPr>
                            <w:widowControl w:val="0"/>
                            <w:suppressAutoHyphens/>
                            <w:ind w:firstLine="567"/>
                            <w:jc w:val="both"/>
                            <w:rPr>
                              <w:color w:val="000000"/>
                            </w:rPr>
                          </w:pPr>
                          <w:sdt>
                            <w:sdtPr>
                              <w:alias w:val="Numeris"/>
                              <w:tag w:val="nr_3f74a4f491ba4650962aa3b4b76b9dc8"/>
                              <w:lock w:val="sdtLocked"/>
                              <w:richText/>
                            </w:sdtPr>
                            <w:sdtContent>
                              <w:r>
                                <w:rPr>
                                  <w:color w:val="000000"/>
                                </w:rPr>
                                <w:t>32.1.1</w:t>
                              </w:r>
                            </w:sdtContent>
                          </w:sdt>
                          <w:r>
                            <w:rPr>
                              <w:color w:val="000000"/>
                            </w:rPr>
                            <w:t>. klausos sutrikimo laipsnis neturi viršyti 40 dB, esant 500 ir 1 000 Hz dažniui;</w:t>
                          </w:r>
                        </w:p>
                      </w:sdtContent>
                    </w:sdt>
                    <w:sdt>
                      <w:sdtPr>
                        <w:alias w:val="12 pr. 32.1.2 p."/>
                        <w:tag w:val="part_b539cfa995c44f0aa48afe47b603acc5"/>
                        <w:lock w:val="sdtLocked"/>
                        <w:richText/>
                      </w:sdtPr>
                      <w:sdtContent>
                        <w:p>
                          <w:pPr>
                            <w:widowControl w:val="0"/>
                            <w:suppressAutoHyphens/>
                            <w:ind w:firstLine="567"/>
                            <w:jc w:val="both"/>
                            <w:rPr>
                              <w:color w:val="000000"/>
                            </w:rPr>
                          </w:pPr>
                          <w:sdt>
                            <w:sdtPr>
                              <w:alias w:val="Numeris"/>
                              <w:tag w:val="nr_b539cfa995c44f0aa48afe47b603acc5"/>
                              <w:lock w:val="sdtLocked"/>
                              <w:richText/>
                            </w:sdtPr>
                            <w:sdtContent>
                              <w:r>
                                <w:rPr>
                                  <w:color w:val="000000"/>
                                </w:rPr>
                                <w:t>32.1.2</w:t>
                              </w:r>
                            </w:sdtContent>
                          </w:sdt>
                          <w:r>
                            <w:rPr>
                              <w:color w:val="000000"/>
                            </w:rPr>
                            <w:t>. tos ausies, kurioje oro laidumas garsui yra blogesnis, klausos sutrikimo laipsnis neturi viršyti 45 dB, esant 2 000 Hz dažniui;</w:t>
                          </w:r>
                        </w:p>
                      </w:sdtContent>
                    </w:sdt>
                  </w:sdtContent>
                </w:sdt>
                <w:sdt>
                  <w:sdtPr>
                    <w:alias w:val="12 pr. 32.2 p."/>
                    <w:tag w:val="part_c79f8fd167ae44c9927b33b1aec0a9fa"/>
                    <w:lock w:val="sdtLocked"/>
                    <w:richText/>
                  </w:sdtPr>
                  <w:sdtContent>
                    <w:p>
                      <w:pPr>
                        <w:widowControl w:val="0"/>
                        <w:suppressAutoHyphens/>
                        <w:ind w:firstLine="567"/>
                        <w:jc w:val="both"/>
                        <w:rPr>
                          <w:color w:val="000000"/>
                        </w:rPr>
                      </w:pPr>
                      <w:sdt>
                        <w:sdtPr>
                          <w:alias w:val="Numeris"/>
                          <w:tag w:val="nr_c79f8fd167ae44c9927b33b1aec0a9fa"/>
                          <w:lock w:val="sdtLocked"/>
                          <w:richText/>
                        </w:sdtPr>
                        <w:sdtContent>
                          <w:r>
                            <w:rPr>
                              <w:color w:val="000000"/>
                            </w:rPr>
                            <w:t>32.2</w:t>
                          </w:r>
                        </w:sdtContent>
                      </w:sdt>
                      <w:r>
                        <w:rPr>
                          <w:color w:val="000000"/>
                        </w:rPr>
                        <w:t>. traukinio mašinistui: neturi būti jokių vestibulinės sistemos anomalijų;</w:t>
                      </w:r>
                    </w:p>
                  </w:sdtContent>
                </w:sdt>
                <w:sdt>
                  <w:sdtPr>
                    <w:alias w:val="12 pr. 32.3 p."/>
                    <w:tag w:val="part_73d74b00dd5b4b4ca7f3206aa76228bd"/>
                    <w:lock w:val="sdtLocked"/>
                    <w:richText/>
                  </w:sdtPr>
                  <w:sdtContent>
                    <w:p>
                      <w:pPr>
                        <w:widowControl w:val="0"/>
                        <w:suppressAutoHyphens/>
                        <w:ind w:firstLine="567"/>
                        <w:jc w:val="both"/>
                        <w:rPr>
                          <w:color w:val="000000"/>
                        </w:rPr>
                      </w:pPr>
                      <w:sdt>
                        <w:sdtPr>
                          <w:alias w:val="Numeris"/>
                          <w:tag w:val="nr_73d74b00dd5b4b4ca7f3206aa76228bd"/>
                          <w:lock w:val="sdtLocked"/>
                          <w:richText/>
                        </w:sdtPr>
                        <w:sdtContent>
                          <w:r>
                            <w:rPr>
                              <w:color w:val="000000"/>
                            </w:rPr>
                            <w:t>32.3</w:t>
                          </w:r>
                        </w:sdtContent>
                      </w:sdt>
                      <w:r>
                        <w:rPr>
                          <w:color w:val="000000"/>
                        </w:rPr>
                        <w:t>. traukinio mašinistui: neleistini jokie lėtiniai kalbos sutrikimai (dėl būtinybės garsiai ir aiškiai perduoti pranešimus);</w:t>
                      </w:r>
                    </w:p>
                  </w:sdtContent>
                </w:sdt>
                <w:sdt>
                  <w:sdtPr>
                    <w:alias w:val="12 pr. 32.4 p."/>
                    <w:tag w:val="part_9ac8b773f7364e46a2d4df480fdfefbd"/>
                    <w:lock w:val="sdtLocked"/>
                    <w:richText/>
                  </w:sdtPr>
                  <w:sdtContent>
                    <w:p>
                      <w:pPr>
                        <w:widowControl w:val="0"/>
                        <w:suppressAutoHyphens/>
                        <w:ind w:firstLine="567"/>
                        <w:jc w:val="both"/>
                        <w:rPr>
                          <w:color w:val="000000"/>
                        </w:rPr>
                      </w:pPr>
                      <w:sdt>
                        <w:sdtPr>
                          <w:alias w:val="Numeris"/>
                          <w:tag w:val="nr_9ac8b773f7364e46a2d4df480fdfefbd"/>
                          <w:lock w:val="sdtLocked"/>
                          <w:richText/>
                        </w:sdtPr>
                        <w:sdtContent>
                          <w:r>
                            <w:rPr>
                              <w:color w:val="000000"/>
                            </w:rPr>
                            <w:t>32.4</w:t>
                          </w:r>
                        </w:sdtContent>
                      </w:sdt>
                      <w:r>
                        <w:rPr>
                          <w:color w:val="000000"/>
                        </w:rPr>
                        <w:t>. traukinio mašinistui: ypatingais atvejais leidžiama naudoti klausos aparatus.</w:t>
                      </w:r>
                    </w:p>
                  </w:sdtContent>
                </w:sdt>
              </w:sdtContent>
            </w:sdt>
            <w:sdt>
              <w:sdtPr>
                <w:alias w:val="12 pr. 33 p."/>
                <w:tag w:val="part_b5c7b0b578f244729491570d75954096"/>
                <w:lock w:val="sdtLocked"/>
                <w:richText/>
              </w:sdtPr>
              <w:sdtContent>
                <w:p>
                  <w:pPr>
                    <w:widowControl w:val="0"/>
                    <w:suppressAutoHyphens/>
                    <w:ind w:firstLine="567"/>
                    <w:jc w:val="both"/>
                    <w:rPr>
                      <w:color w:val="000000"/>
                    </w:rPr>
                  </w:pPr>
                  <w:sdt>
                    <w:sdtPr>
                      <w:alias w:val="Numeris"/>
                      <w:tag w:val="nr_b5c7b0b578f244729491570d75954096"/>
                      <w:lock w:val="sdtLocked"/>
                      <w:richText/>
                    </w:sdtPr>
                    <w:sdtContent>
                      <w:r>
                        <w:rPr>
                          <w:color w:val="000000"/>
                        </w:rPr>
                        <w:t>33</w:t>
                      </w:r>
                    </w:sdtContent>
                  </w:sdt>
                  <w:r>
                    <w:rPr>
                      <w:color w:val="000000"/>
                    </w:rPr>
                    <w:t>. Minimalios psichologinio tinkamumo normos:</w:t>
                  </w:r>
                </w:p>
                <w:sdt>
                  <w:sdtPr>
                    <w:alias w:val="12 pr. 33.1 p."/>
                    <w:tag w:val="part_b7784fc94c324826912410ddb16af185"/>
                    <w:lock w:val="sdtLocked"/>
                    <w:richText/>
                  </w:sdtPr>
                  <w:sdtContent>
                    <w:p>
                      <w:pPr>
                        <w:widowControl w:val="0"/>
                        <w:suppressAutoHyphens/>
                        <w:ind w:firstLine="567"/>
                        <w:jc w:val="both"/>
                        <w:rPr>
                          <w:color w:val="000000"/>
                        </w:rPr>
                      </w:pPr>
                      <w:sdt>
                        <w:sdtPr>
                          <w:alias w:val="Numeris"/>
                          <w:tag w:val="nr_b7784fc94c324826912410ddb16af185"/>
                          <w:lock w:val="sdtLocked"/>
                          <w:richText/>
                        </w:sdtPr>
                        <w:sdtContent>
                          <w:r>
                            <w:rPr>
                              <w:color w:val="000000"/>
                            </w:rPr>
                            <w:t>33.1</w:t>
                          </w:r>
                        </w:sdtContent>
                      </w:sdt>
                      <w:r>
                        <w:rPr>
                          <w:color w:val="000000"/>
                        </w:rPr>
                        <w:t>. normalus arba greitas reakcijos laikas;</w:t>
                      </w:r>
                    </w:p>
                  </w:sdtContent>
                </w:sdt>
                <w:sdt>
                  <w:sdtPr>
                    <w:alias w:val="12 pr. 33.2 p."/>
                    <w:tag w:val="part_35b635caf1e14099a169f61fa70fc3d1"/>
                    <w:lock w:val="sdtLocked"/>
                    <w:richText/>
                  </w:sdtPr>
                  <w:sdtContent>
                    <w:p>
                      <w:pPr>
                        <w:widowControl w:val="0"/>
                        <w:suppressAutoHyphens/>
                        <w:ind w:firstLine="567"/>
                        <w:jc w:val="both"/>
                        <w:rPr>
                          <w:color w:val="000000"/>
                        </w:rPr>
                      </w:pPr>
                      <w:sdt>
                        <w:sdtPr>
                          <w:alias w:val="Numeris"/>
                          <w:tag w:val="nr_35b635caf1e14099a169f61fa70fc3d1"/>
                          <w:lock w:val="sdtLocked"/>
                          <w:richText/>
                        </w:sdtPr>
                        <w:sdtContent>
                          <w:r>
                            <w:rPr>
                              <w:color w:val="000000"/>
                            </w:rPr>
                            <w:t>33.2</w:t>
                          </w:r>
                        </w:sdtContent>
                      </w:sdt>
                      <w:r>
                        <w:rPr>
                          <w:color w:val="000000"/>
                        </w:rPr>
                        <w:t>. adekvatus regimųjų ir girdimųjų stimulų suvokimas;</w:t>
                      </w:r>
                    </w:p>
                  </w:sdtContent>
                </w:sdt>
                <w:sdt>
                  <w:sdtPr>
                    <w:alias w:val="12 pr. 33.3 p."/>
                    <w:tag w:val="part_d0b23ec0059246d6a8f3b36482d98923"/>
                    <w:lock w:val="sdtLocked"/>
                    <w:richText/>
                  </w:sdtPr>
                  <w:sdtContent>
                    <w:p>
                      <w:pPr>
                        <w:widowControl w:val="0"/>
                        <w:suppressAutoHyphens/>
                        <w:ind w:firstLine="567"/>
                        <w:jc w:val="both"/>
                        <w:rPr>
                          <w:color w:val="000000"/>
                        </w:rPr>
                      </w:pPr>
                      <w:sdt>
                        <w:sdtPr>
                          <w:alias w:val="Numeris"/>
                          <w:tag w:val="nr_d0b23ec0059246d6a8f3b36482d98923"/>
                          <w:lock w:val="sdtLocked"/>
                          <w:richText/>
                        </w:sdtPr>
                        <w:sdtContent>
                          <w:r>
                            <w:rPr>
                              <w:color w:val="000000"/>
                            </w:rPr>
                            <w:t>33.3</w:t>
                          </w:r>
                        </w:sdtContent>
                      </w:sdt>
                      <w:r>
                        <w:rPr>
                          <w:color w:val="000000"/>
                        </w:rPr>
                        <w:t>. normalus vidutinis kalbos tempas, aiškus žodžių tarimas, pakankamas instrukcijų suvokimas;</w:t>
                      </w:r>
                    </w:p>
                  </w:sdtContent>
                </w:sdt>
                <w:sdt>
                  <w:sdtPr>
                    <w:alias w:val="12 pr. 33.4 p."/>
                    <w:tag w:val="part_d0537561503e45199ca6a947f6212dcc"/>
                    <w:lock w:val="sdtLocked"/>
                    <w:richText/>
                  </w:sdtPr>
                  <w:sdtContent>
                    <w:p>
                      <w:pPr>
                        <w:widowControl w:val="0"/>
                        <w:suppressAutoHyphens/>
                        <w:ind w:firstLine="567"/>
                        <w:jc w:val="both"/>
                        <w:rPr>
                          <w:color w:val="000000"/>
                        </w:rPr>
                      </w:pPr>
                      <w:sdt>
                        <w:sdtPr>
                          <w:alias w:val="Numeris"/>
                          <w:tag w:val="nr_d0537561503e45199ca6a947f6212dcc"/>
                          <w:lock w:val="sdtLocked"/>
                          <w:richText/>
                        </w:sdtPr>
                        <w:sdtContent>
                          <w:r>
                            <w:rPr>
                              <w:color w:val="000000"/>
                            </w:rPr>
                            <w:t>33.4</w:t>
                          </w:r>
                        </w:sdtContent>
                      </w:sdt>
                      <w:r>
                        <w:rPr>
                          <w:color w:val="000000"/>
                        </w:rPr>
                        <w:t>. gebėjimas sutelkti ir išlaikyti dėmesį, ryškių dėmesio išsekimo požymių nebuvimas;</w:t>
                      </w:r>
                    </w:p>
                  </w:sdtContent>
                </w:sdt>
                <w:sdt>
                  <w:sdtPr>
                    <w:alias w:val="12 pr. 33.5 p."/>
                    <w:tag w:val="part_00875e3b736b410d99e748e330cfdcc3"/>
                    <w:lock w:val="sdtLocked"/>
                    <w:richText/>
                  </w:sdtPr>
                  <w:sdtContent>
                    <w:p>
                      <w:pPr>
                        <w:widowControl w:val="0"/>
                        <w:suppressAutoHyphens/>
                        <w:ind w:firstLine="567"/>
                        <w:jc w:val="both"/>
                        <w:rPr>
                          <w:color w:val="000000"/>
                        </w:rPr>
                      </w:pPr>
                      <w:sdt>
                        <w:sdtPr>
                          <w:alias w:val="Numeris"/>
                          <w:tag w:val="nr_00875e3b736b410d99e748e330cfdcc3"/>
                          <w:lock w:val="sdtLocked"/>
                          <w:richText/>
                        </w:sdtPr>
                        <w:sdtContent>
                          <w:r>
                            <w:rPr>
                              <w:color w:val="000000"/>
                            </w:rPr>
                            <w:t>33.5</w:t>
                          </w:r>
                        </w:sdtContent>
                      </w:sdt>
                      <w:r>
                        <w:rPr>
                          <w:color w:val="000000"/>
                        </w:rPr>
                        <w:t>. informacijos įsiminimo ir išlaikymo atmintyje sutrikimų nebuvimas.</w:t>
                      </w:r>
                    </w:p>
                  </w:sdtContent>
                </w:sdt>
              </w:sdtContent>
            </w:sdt>
            <w:sdt>
              <w:sdtPr>
                <w:alias w:val="12 pr. 34 p."/>
                <w:tag w:val="part_c96266a0686d4029b7157229d4465e8d"/>
                <w:lock w:val="sdtLocked"/>
                <w:richText/>
              </w:sdtPr>
              <w:sdtContent>
                <w:p>
                  <w:pPr>
                    <w:widowControl w:val="0"/>
                    <w:suppressAutoHyphens/>
                    <w:ind w:firstLine="567"/>
                    <w:jc w:val="both"/>
                    <w:rPr>
                      <w:color w:val="000000"/>
                    </w:rPr>
                  </w:pPr>
                  <w:sdt>
                    <w:sdtPr>
                      <w:alias w:val="Numeris"/>
                      <w:tag w:val="nr_c96266a0686d4029b7157229d4465e8d"/>
                      <w:lock w:val="sdtLocked"/>
                      <w:richText/>
                    </w:sdtPr>
                    <w:sdtContent>
                      <w:r>
                        <w:rPr>
                          <w:color w:val="000000"/>
                        </w:rPr>
                        <w:t>34</w:t>
                      </w:r>
                    </w:sdtContent>
                  </w:sdt>
                  <w:r>
                    <w:rPr>
                      <w:color w:val="000000"/>
                    </w:rPr>
                    <w:t xml:space="preserve">. Esant nėštumo patologijai ar kitiems veiksniams, komplikuojantiems nėštumą, nėštumas turi būti laikomas priežastimi laikinai nušalinti traukinio mašinistę nuo pareigų. Turi būti taikomos nėščioms traukinių mašinistėms apsaugą užtikrinančios teisės aktų normos. Vadovaujamasi Lietuvos Respublikos Vyriausybės 2003 m. kovo 19 d. nutarimu Nr. 340 „Dėl Nėščioms, neseniai pagimdžiusioms ar krūtimi maitinančioms moterims kenksmingų darbo sąlygų ir pavojingų veiksnių sąrašo patvirtinimo“ (Žin., 2003, Nr. </w:t>
                  </w:r>
                  <w:hyperlink r:id="rId58" w:tgtFrame="_blank" w:history="1">
                    <w:r>
                      <w:rPr>
                        <w:color w:val="0000FF" w:themeColor="hyperlink"/>
                        <w:u w:val="single"/>
                      </w:rPr>
                      <w:t>29-1184</w:t>
                    </w:r>
                  </w:hyperlink>
                  <w:r>
                    <w:rPr>
                      <w:color w:val="000000"/>
                    </w:rPr>
                    <w:t>) ir kitais teisės aktais.</w:t>
                  </w:r>
                </w:p>
                <w:p>
                  <w:pPr>
                    <w:widowControl w:val="0"/>
                    <w:suppressAutoHyphens/>
                    <w:ind w:firstLine="567"/>
                    <w:jc w:val="both"/>
                    <w:rPr>
                      <w:color w:val="000000"/>
                    </w:rPr>
                  </w:pPr>
                </w:p>
              </w:sdtContent>
            </w:sdt>
          </w:sdtContent>
        </w:sdt>
        <w:sdt>
          <w:sdtPr>
            <w:alias w:val="skyrius"/>
            <w:tag w:val="part_f511e02c493a45778464059dffb75368"/>
            <w:lock w:val="sdtLocked"/>
            <w:richText/>
          </w:sdtPr>
          <w:sdtContent>
            <w:p>
              <w:pPr>
                <w:widowControl w:val="0"/>
                <w:suppressAutoHyphens/>
                <w:jc w:val="center"/>
                <w:rPr>
                  <w:b/>
                  <w:bCs/>
                  <w:caps/>
                  <w:color w:val="000000"/>
                </w:rPr>
              </w:pPr>
              <w:sdt>
                <w:sdtPr>
                  <w:alias w:val="Numeris"/>
                  <w:tag w:val="nr_f511e02c493a45778464059dffb75368"/>
                  <w:lock w:val="sdtLocked"/>
                  <w:richText/>
                </w:sdtPr>
                <w:sdtContent>
                  <w:r>
                    <w:rPr>
                      <w:b/>
                      <w:bCs/>
                      <w:caps/>
                      <w:color w:val="000000"/>
                    </w:rPr>
                    <w:t>IV</w:t>
                  </w:r>
                </w:sdtContent>
              </w:sdt>
              <w:r>
                <w:rPr>
                  <w:b/>
                  <w:bCs/>
                  <w:caps/>
                  <w:color w:val="000000"/>
                </w:rPr>
                <w:t xml:space="preserve">. </w:t>
              </w:r>
              <w:sdt>
                <w:sdtPr>
                  <w:alias w:val="Pavadinimas"/>
                  <w:tag w:val="title_f511e02c493a45778464059dffb75368"/>
                  <w:lock w:val="sdtLocked"/>
                  <w:richText/>
                </w:sdtPr>
                <w:sdtContent>
                  <w:r>
                    <w:rPr>
                      <w:b/>
                      <w:bCs/>
                      <w:caps/>
                      <w:color w:val="000000"/>
                    </w:rPr>
                    <w:t>PRIEŠ PRIIMANT Į MOKYMO ĮSTAIGĄ ARBA Į DARBĄ ATLIKTINI BŪTINIAUSI SVEIKATOS PATIKRINIMAI</w:t>
                  </w:r>
                </w:sdtContent>
              </w:sdt>
            </w:p>
            <w:p>
              <w:pPr>
                <w:widowControl w:val="0"/>
                <w:suppressAutoHyphens/>
                <w:ind w:firstLine="567"/>
                <w:jc w:val="both"/>
                <w:rPr>
                  <w:color w:val="000000"/>
                </w:rPr>
              </w:pPr>
            </w:p>
            <w:sdt>
              <w:sdtPr>
                <w:alias w:val="12 pr. 35 p."/>
                <w:tag w:val="part_438625043f7343f5847f4518d8ba8911"/>
                <w:lock w:val="sdtLocked"/>
                <w:richText/>
              </w:sdtPr>
              <w:sdtContent>
                <w:p>
                  <w:pPr>
                    <w:widowControl w:val="0"/>
                    <w:suppressAutoHyphens/>
                    <w:ind w:firstLine="567"/>
                    <w:jc w:val="both"/>
                    <w:rPr>
                      <w:color w:val="000000"/>
                    </w:rPr>
                  </w:pPr>
                  <w:sdt>
                    <w:sdtPr>
                      <w:alias w:val="Numeris"/>
                      <w:tag w:val="nr_438625043f7343f5847f4518d8ba8911"/>
                      <w:lock w:val="sdtLocked"/>
                      <w:richText/>
                    </w:sdtPr>
                    <w:sdtContent>
                      <w:r>
                        <w:rPr>
                          <w:color w:val="000000"/>
                        </w:rPr>
                        <w:t>35</w:t>
                      </w:r>
                    </w:sdtContent>
                  </w:sdt>
                  <w:r>
                    <w:rPr>
                      <w:color w:val="000000"/>
                    </w:rPr>
                    <w:t xml:space="preserve">. Traukinio mašinistui – bendras sveikatos patikrinimas (t. y. profilaktinis sveikatos tikrinimas, atliktas vadovaujantis Neinfekcinių ligų profilaktikos ir kontrolės tvarka (6 priedas), patvirtinta Lietuvos Respublikos sveikatos apsaugos ministro 2000 m. gegužės 31 d. įsakymu Nr. 301 „Dėl profilaktinių sveikatos tikrinimų sveikatos priežiūros įstaigose“ (Žin., 2000, Nr. </w:t>
                  </w:r>
                  <w:hyperlink r:id="rId59" w:tgtFrame="_blank" w:history="1">
                    <w:r>
                      <w:rPr>
                        <w:color w:val="0000FF" w:themeColor="hyperlink"/>
                        <w:u w:val="single"/>
                      </w:rPr>
                      <w:t>47-1365</w:t>
                    </w:r>
                  </w:hyperlink>
                  <w:r>
                    <w:rPr>
                      <w:color w:val="000000"/>
                    </w:rPr>
                    <w:t>). Antropometriniai darbuotojų matmenys turi būti tinkami saugiai naudoti geležinkelių riedmenis. Neturi būti reikalaujama arba leidžiama, kad traukinio mašinistas valdytų tam tikrų tipų geležinkelių riedmenis, jeigu dėl jo ūgio, svorio arba kitų fizinių ypatybių tai būtų nesaugu.</w:t>
                  </w:r>
                </w:p>
              </w:sdtContent>
            </w:sdt>
            <w:sdt>
              <w:sdtPr>
                <w:alias w:val="12 pr. 36 p."/>
                <w:tag w:val="part_ea457b53610545f681211cd2e82d83bb"/>
                <w:lock w:val="sdtLocked"/>
                <w:richText/>
              </w:sdtPr>
              <w:sdtContent>
                <w:p>
                  <w:pPr>
                    <w:widowControl w:val="0"/>
                    <w:suppressAutoHyphens/>
                    <w:ind w:firstLine="567"/>
                    <w:jc w:val="both"/>
                    <w:rPr>
                      <w:color w:val="000000"/>
                    </w:rPr>
                  </w:pPr>
                  <w:sdt>
                    <w:sdtPr>
                      <w:alias w:val="Numeris"/>
                      <w:tag w:val="nr_ea457b53610545f681211cd2e82d83bb"/>
                      <w:lock w:val="sdtLocked"/>
                      <w:richText/>
                    </w:sdtPr>
                    <w:sdtContent>
                      <w:r>
                        <w:rPr>
                          <w:color w:val="000000"/>
                        </w:rPr>
                        <w:t>36</w:t>
                      </w:r>
                    </w:sdtContent>
                  </w:sdt>
                  <w:r>
                    <w:rPr>
                      <w:color w:val="000000"/>
                    </w:rPr>
                    <w:t>. Traukinio mašinistui – sensorinių funkcijų patikrinimas:</w:t>
                  </w:r>
                </w:p>
                <w:sdt>
                  <w:sdtPr>
                    <w:alias w:val="12 pr. 36.1 p."/>
                    <w:tag w:val="part_436fdc6c691740a2a38a80178c2e6663"/>
                    <w:lock w:val="sdtLocked"/>
                    <w:richText/>
                  </w:sdtPr>
                  <w:sdtContent>
                    <w:p>
                      <w:pPr>
                        <w:widowControl w:val="0"/>
                        <w:suppressAutoHyphens/>
                        <w:ind w:firstLine="567"/>
                        <w:jc w:val="both"/>
                        <w:rPr>
                          <w:color w:val="000000"/>
                        </w:rPr>
                      </w:pPr>
                      <w:sdt>
                        <w:sdtPr>
                          <w:alias w:val="Numeris"/>
                          <w:tag w:val="nr_436fdc6c691740a2a38a80178c2e6663"/>
                          <w:lock w:val="sdtLocked"/>
                          <w:richText/>
                        </w:sdtPr>
                        <w:sdtContent>
                          <w:r>
                            <w:rPr>
                              <w:color w:val="000000"/>
                            </w:rPr>
                            <w:t>36.1</w:t>
                          </w:r>
                        </w:sdtContent>
                      </w:sdt>
                      <w:r>
                        <w:rPr>
                          <w:color w:val="000000"/>
                        </w:rPr>
                        <w:t>. regėjimo – tikrina gydytojas oftalmologas:</w:t>
                      </w:r>
                    </w:p>
                    <w:sdt>
                      <w:sdtPr>
                        <w:alias w:val="12 pr. 36.1.1 p."/>
                        <w:tag w:val="part_c7088d2f711d4f35ac0fd8b63c2d3a53"/>
                        <w:lock w:val="sdtLocked"/>
                        <w:richText/>
                      </w:sdtPr>
                      <w:sdtContent>
                        <w:p>
                          <w:pPr>
                            <w:widowControl w:val="0"/>
                            <w:suppressAutoHyphens/>
                            <w:ind w:firstLine="567"/>
                            <w:jc w:val="both"/>
                            <w:rPr>
                              <w:color w:val="000000"/>
                            </w:rPr>
                          </w:pPr>
                          <w:sdt>
                            <w:sdtPr>
                              <w:alias w:val="Numeris"/>
                              <w:tag w:val="nr_c7088d2f711d4f35ac0fd8b63c2d3a53"/>
                              <w:lock w:val="sdtLocked"/>
                              <w:richText/>
                            </w:sdtPr>
                            <w:sdtContent>
                              <w:r>
                                <w:rPr>
                                  <w:color w:val="000000"/>
                                </w:rPr>
                                <w:t>36.1.1</w:t>
                              </w:r>
                            </w:sdtContent>
                          </w:sdt>
                          <w:r>
                            <w:rPr>
                              <w:color w:val="000000"/>
                            </w:rPr>
                            <w:t>. regėjimo aštrumo;</w:t>
                          </w:r>
                        </w:p>
                      </w:sdtContent>
                    </w:sdt>
                    <w:sdt>
                      <w:sdtPr>
                        <w:alias w:val="12 pr. 36.1.2 p."/>
                        <w:tag w:val="part_8ead3b1e458146ea92b8f6f5c91c165c"/>
                        <w:lock w:val="sdtLocked"/>
                        <w:richText/>
                      </w:sdtPr>
                      <w:sdtContent>
                        <w:p>
                          <w:pPr>
                            <w:widowControl w:val="0"/>
                            <w:suppressAutoHyphens/>
                            <w:ind w:firstLine="567"/>
                            <w:jc w:val="both"/>
                            <w:rPr>
                              <w:color w:val="000000"/>
                            </w:rPr>
                          </w:pPr>
                          <w:sdt>
                            <w:sdtPr>
                              <w:alias w:val="Numeris"/>
                              <w:tag w:val="nr_8ead3b1e458146ea92b8f6f5c91c165c"/>
                              <w:lock w:val="sdtLocked"/>
                              <w:richText/>
                            </w:sdtPr>
                            <w:sdtContent>
                              <w:r>
                                <w:rPr>
                                  <w:color w:val="000000"/>
                                </w:rPr>
                                <w:t>36.1.2</w:t>
                              </w:r>
                            </w:sdtContent>
                          </w:sdt>
                          <w:r>
                            <w:rPr>
                              <w:color w:val="000000"/>
                            </w:rPr>
                            <w:t>. regėjimo lauko (akipločio);</w:t>
                          </w:r>
                        </w:p>
                      </w:sdtContent>
                    </w:sdt>
                    <w:sdt>
                      <w:sdtPr>
                        <w:alias w:val="12 pr. 36.1.3 p."/>
                        <w:tag w:val="part_fef262ddfa454834bb6190db158c8018"/>
                        <w:lock w:val="sdtLocked"/>
                        <w:richText/>
                      </w:sdtPr>
                      <w:sdtContent>
                        <w:p>
                          <w:pPr>
                            <w:widowControl w:val="0"/>
                            <w:suppressAutoHyphens/>
                            <w:ind w:firstLine="567"/>
                            <w:jc w:val="both"/>
                            <w:rPr>
                              <w:color w:val="000000"/>
                            </w:rPr>
                          </w:pPr>
                          <w:sdt>
                            <w:sdtPr>
                              <w:alias w:val="Numeris"/>
                              <w:tag w:val="nr_fef262ddfa454834bb6190db158c8018"/>
                              <w:lock w:val="sdtLocked"/>
                              <w:richText/>
                            </w:sdtPr>
                            <w:sdtContent>
                              <w:r>
                                <w:rPr>
                                  <w:color w:val="000000"/>
                                </w:rPr>
                                <w:t>36.1.3</w:t>
                              </w:r>
                            </w:sdtContent>
                          </w:sdt>
                          <w:r>
                            <w:rPr>
                              <w:color w:val="000000"/>
                            </w:rPr>
                            <w:t>. regėjimo prieblandoje (adaptacijos tamsai);</w:t>
                          </w:r>
                        </w:p>
                      </w:sdtContent>
                    </w:sdt>
                    <w:sdt>
                      <w:sdtPr>
                        <w:alias w:val="12 pr. 36.1.4 p."/>
                        <w:tag w:val="part_f34be6369ed541a59d3ce0e4ca17d893"/>
                        <w:lock w:val="sdtLocked"/>
                        <w:richText/>
                      </w:sdtPr>
                      <w:sdtContent>
                        <w:p>
                          <w:pPr>
                            <w:widowControl w:val="0"/>
                            <w:suppressAutoHyphens/>
                            <w:ind w:firstLine="567"/>
                            <w:jc w:val="both"/>
                            <w:rPr>
                              <w:color w:val="000000"/>
                            </w:rPr>
                          </w:pPr>
                          <w:sdt>
                            <w:sdtPr>
                              <w:alias w:val="Numeris"/>
                              <w:tag w:val="nr_f34be6369ed541a59d3ce0e4ca17d893"/>
                              <w:lock w:val="sdtLocked"/>
                              <w:richText/>
                            </w:sdtPr>
                            <w:sdtContent>
                              <w:r>
                                <w:rPr>
                                  <w:color w:val="000000"/>
                                </w:rPr>
                                <w:t>36.1.4</w:t>
                              </w:r>
                            </w:sdtContent>
                          </w:sdt>
                          <w:r>
                            <w:rPr>
                              <w:color w:val="000000"/>
                            </w:rPr>
                            <w:t>. akispūdžio matavimas (asmenims nuo 40 m.);</w:t>
                          </w:r>
                        </w:p>
                      </w:sdtContent>
                    </w:sdt>
                    <w:sdt>
                      <w:sdtPr>
                        <w:alias w:val="12 pr. 36.1.5 p."/>
                        <w:tag w:val="part_84038b237eea43568ab8e46a6b6487b1"/>
                        <w:lock w:val="sdtLocked"/>
                        <w:richText/>
                      </w:sdtPr>
                      <w:sdtContent>
                        <w:p>
                          <w:pPr>
                            <w:widowControl w:val="0"/>
                            <w:suppressAutoHyphens/>
                            <w:ind w:firstLine="567"/>
                            <w:jc w:val="both"/>
                            <w:rPr>
                              <w:color w:val="000000"/>
                            </w:rPr>
                          </w:pPr>
                          <w:sdt>
                            <w:sdtPr>
                              <w:alias w:val="Numeris"/>
                              <w:tag w:val="nr_84038b237eea43568ab8e46a6b6487b1"/>
                              <w:lock w:val="sdtLocked"/>
                              <w:richText/>
                            </w:sdtPr>
                            <w:sdtContent>
                              <w:r>
                                <w:rPr>
                                  <w:color w:val="000000"/>
                                </w:rPr>
                                <w:t>36.1.5</w:t>
                              </w:r>
                            </w:sdtContent>
                          </w:sdt>
                          <w:r>
                            <w:rPr>
                              <w:color w:val="000000"/>
                            </w:rPr>
                            <w:t>. kontrastų jutimo;</w:t>
                          </w:r>
                        </w:p>
                      </w:sdtContent>
                    </w:sdt>
                    <w:sdt>
                      <w:sdtPr>
                        <w:alias w:val="12 pr. 36.1.6 p."/>
                        <w:tag w:val="part_bb3a2da4dbd0470496c427a5c6e1b5bb"/>
                        <w:lock w:val="sdtLocked"/>
                        <w:richText/>
                      </w:sdtPr>
                      <w:sdtContent>
                        <w:p>
                          <w:pPr>
                            <w:widowControl w:val="0"/>
                            <w:suppressAutoHyphens/>
                            <w:ind w:firstLine="567"/>
                            <w:jc w:val="both"/>
                            <w:rPr>
                              <w:color w:val="000000"/>
                            </w:rPr>
                          </w:pPr>
                          <w:sdt>
                            <w:sdtPr>
                              <w:alias w:val="Numeris"/>
                              <w:tag w:val="nr_bb3a2da4dbd0470496c427a5c6e1b5bb"/>
                              <w:lock w:val="sdtLocked"/>
                              <w:richText/>
                            </w:sdtPr>
                            <w:sdtContent>
                              <w:r>
                                <w:rPr>
                                  <w:color w:val="000000"/>
                                </w:rPr>
                                <w:t>36.1.6</w:t>
                              </w:r>
                            </w:sdtContent>
                          </w:sdt>
                          <w:r>
                            <w:rPr>
                              <w:color w:val="000000"/>
                            </w:rPr>
                            <w:t>. spalvų jutimo:</w:t>
                          </w:r>
                        </w:p>
                        <w:sdt>
                          <w:sdtPr>
                            <w:alias w:val="12 pr. 36.1.6.1 p."/>
                            <w:tag w:val="part_8d8dc9a994cb4f7ab0e8d808693ba5c5"/>
                            <w:lock w:val="sdtLocked"/>
                            <w:richText/>
                          </w:sdtPr>
                          <w:sdtContent>
                            <w:p>
                              <w:pPr>
                                <w:widowControl w:val="0"/>
                                <w:suppressAutoHyphens/>
                                <w:ind w:firstLine="567"/>
                                <w:jc w:val="both"/>
                                <w:rPr>
                                  <w:color w:val="000000"/>
                                </w:rPr>
                              </w:pPr>
                              <w:sdt>
                                <w:sdtPr>
                                  <w:alias w:val="Numeris"/>
                                  <w:tag w:val="nr_8d8dc9a994cb4f7ab0e8d808693ba5c5"/>
                                  <w:lock w:val="sdtLocked"/>
                                  <w:richText/>
                                </w:sdtPr>
                                <w:sdtContent>
                                  <w:r>
                                    <w:rPr>
                                      <w:color w:val="000000"/>
                                    </w:rPr>
                                    <w:t>36.1.6.1</w:t>
                                  </w:r>
                                </w:sdtContent>
                              </w:sdt>
                              <w:r>
                                <w:rPr>
                                  <w:color w:val="000000"/>
                                </w:rPr>
                                <w:t>. spalvinio jutimo (įsigyjant traukinio mašinisto pažymėjimą);</w:t>
                              </w:r>
                            </w:p>
                          </w:sdtContent>
                        </w:sdt>
                        <w:sdt>
                          <w:sdtPr>
                            <w:alias w:val="12 pr. 36.1.6.2 p."/>
                            <w:tag w:val="part_cedb97dab54343dc91f521ca2e6eacad"/>
                            <w:lock w:val="sdtLocked"/>
                            <w:richText/>
                          </w:sdtPr>
                          <w:sdtContent>
                            <w:p>
                              <w:pPr>
                                <w:widowControl w:val="0"/>
                                <w:suppressAutoHyphens/>
                                <w:ind w:firstLine="567"/>
                                <w:jc w:val="both"/>
                                <w:rPr>
                                  <w:color w:val="000000"/>
                                </w:rPr>
                              </w:pPr>
                              <w:sdt>
                                <w:sdtPr>
                                  <w:alias w:val="Numeris"/>
                                  <w:tag w:val="nr_cedb97dab54343dc91f521ca2e6eacad"/>
                                  <w:lock w:val="sdtLocked"/>
                                  <w:richText/>
                                </w:sdtPr>
                                <w:sdtContent>
                                  <w:r>
                                    <w:rPr>
                                      <w:color w:val="000000"/>
                                    </w:rPr>
                                    <w:t>36.1.6.2</w:t>
                                  </w:r>
                                </w:sdtContent>
                              </w:sdt>
                              <w:r>
                                <w:rPr>
                                  <w:color w:val="000000"/>
                                </w:rPr>
                                <w:t>. spalvų signalo atpažinimo;</w:t>
                              </w:r>
                            </w:p>
                          </w:sdtContent>
                        </w:sdt>
                      </w:sdtContent>
                    </w:sdt>
                    <w:sdt>
                      <w:sdtPr>
                        <w:alias w:val="12 pr. 36.1.7 p."/>
                        <w:tag w:val="part_58d4c28e82d4424aa84f0f36803c651f"/>
                        <w:lock w:val="sdtLocked"/>
                        <w:richText/>
                      </w:sdtPr>
                      <w:sdtContent>
                        <w:p>
                          <w:pPr>
                            <w:widowControl w:val="0"/>
                            <w:suppressAutoHyphens/>
                            <w:ind w:firstLine="567"/>
                            <w:jc w:val="both"/>
                            <w:rPr>
                              <w:color w:val="000000"/>
                            </w:rPr>
                          </w:pPr>
                          <w:sdt>
                            <w:sdtPr>
                              <w:alias w:val="Numeris"/>
                              <w:tag w:val="nr_58d4c28e82d4424aa84f0f36803c651f"/>
                              <w:lock w:val="sdtLocked"/>
                              <w:richText/>
                            </w:sdtPr>
                            <w:sdtContent>
                              <w:r>
                                <w:rPr>
                                  <w:color w:val="000000"/>
                                </w:rPr>
                                <w:t>36.1.7</w:t>
                              </w:r>
                            </w:sdtContent>
                          </w:sdt>
                          <w:r>
                            <w:rPr>
                              <w:color w:val="000000"/>
                            </w:rPr>
                            <w:t>. atsparumo akinimui;</w:t>
                          </w:r>
                        </w:p>
                      </w:sdtContent>
                    </w:sdt>
                  </w:sdtContent>
                </w:sdt>
                <w:sdt>
                  <w:sdtPr>
                    <w:alias w:val="12 pr. 36.2 p."/>
                    <w:tag w:val="part_adc493ee7602418e82ddcc6016f48352"/>
                    <w:lock w:val="sdtLocked"/>
                    <w:richText/>
                  </w:sdtPr>
                  <w:sdtContent>
                    <w:p>
                      <w:pPr>
                        <w:widowControl w:val="0"/>
                        <w:suppressAutoHyphens/>
                        <w:ind w:firstLine="567"/>
                        <w:jc w:val="both"/>
                        <w:rPr>
                          <w:color w:val="000000"/>
                        </w:rPr>
                      </w:pPr>
                      <w:sdt>
                        <w:sdtPr>
                          <w:alias w:val="Numeris"/>
                          <w:tag w:val="nr_adc493ee7602418e82ddcc6016f48352"/>
                          <w:lock w:val="sdtLocked"/>
                          <w:richText/>
                        </w:sdtPr>
                        <w:sdtContent>
                          <w:r>
                            <w:rPr>
                              <w:color w:val="000000"/>
                            </w:rPr>
                            <w:t>36.2</w:t>
                          </w:r>
                        </w:sdtContent>
                      </w:sdt>
                      <w:r>
                        <w:rPr>
                          <w:color w:val="000000"/>
                        </w:rPr>
                        <w:t>. klausos – tikrina gydytojas otorinolaringologas:</w:t>
                      </w:r>
                    </w:p>
                    <w:sdt>
                      <w:sdtPr>
                        <w:alias w:val="12 pr. 36.2.1 p."/>
                        <w:tag w:val="part_6e694e08feda4b09ba5139da6d00d77c"/>
                        <w:lock w:val="sdtLocked"/>
                        <w:richText/>
                      </w:sdtPr>
                      <w:sdtContent>
                        <w:p>
                          <w:pPr>
                            <w:widowControl w:val="0"/>
                            <w:suppressAutoHyphens/>
                            <w:ind w:firstLine="567"/>
                            <w:jc w:val="both"/>
                            <w:rPr>
                              <w:color w:val="000000"/>
                            </w:rPr>
                          </w:pPr>
                          <w:sdt>
                            <w:sdtPr>
                              <w:alias w:val="Numeris"/>
                              <w:tag w:val="nr_6e694e08feda4b09ba5139da6d00d77c"/>
                              <w:lock w:val="sdtLocked"/>
                              <w:richText/>
                            </w:sdtPr>
                            <w:sdtContent>
                              <w:r>
                                <w:rPr>
                                  <w:color w:val="000000"/>
                                </w:rPr>
                                <w:t>36.2.1</w:t>
                              </w:r>
                            </w:sdtContent>
                          </w:sdt>
                          <w:r>
                            <w:rPr>
                              <w:color w:val="000000"/>
                            </w:rPr>
                            <w:t>. klausos aštrumo, šnabždesiu abipus;</w:t>
                          </w:r>
                        </w:p>
                      </w:sdtContent>
                    </w:sdt>
                    <w:sdt>
                      <w:sdtPr>
                        <w:alias w:val="12 pr. 36.2.2 p."/>
                        <w:tag w:val="part_9421d8b70184460b97755e5491f2e161"/>
                        <w:lock w:val="sdtLocked"/>
                        <w:richText/>
                      </w:sdtPr>
                      <w:sdtContent>
                        <w:p>
                          <w:pPr>
                            <w:widowControl w:val="0"/>
                            <w:suppressAutoHyphens/>
                            <w:ind w:firstLine="567"/>
                            <w:jc w:val="both"/>
                            <w:rPr>
                              <w:color w:val="000000"/>
                            </w:rPr>
                          </w:pPr>
                          <w:sdt>
                            <w:sdtPr>
                              <w:alias w:val="Numeris"/>
                              <w:tag w:val="nr_9421d8b70184460b97755e5491f2e161"/>
                              <w:lock w:val="sdtLocked"/>
                              <w:richText/>
                            </w:sdtPr>
                            <w:sdtContent>
                              <w:r>
                                <w:rPr>
                                  <w:color w:val="000000"/>
                                </w:rPr>
                                <w:t>36.2.2</w:t>
                              </w:r>
                            </w:sdtContent>
                          </w:sdt>
                          <w:r>
                            <w:rPr>
                              <w:color w:val="000000"/>
                            </w:rPr>
                            <w:t>. audiograma;</w:t>
                          </w:r>
                        </w:p>
                      </w:sdtContent>
                    </w:sdt>
                  </w:sdtContent>
                </w:sdt>
                <w:sdt>
                  <w:sdtPr>
                    <w:alias w:val="12 pr. 36.3 p."/>
                    <w:tag w:val="part_fbbad57886a84900b5cf926507e125b4"/>
                    <w:lock w:val="sdtLocked"/>
                    <w:richText/>
                  </w:sdtPr>
                  <w:sdtContent>
                    <w:p>
                      <w:pPr>
                        <w:widowControl w:val="0"/>
                        <w:suppressAutoHyphens/>
                        <w:ind w:firstLine="567"/>
                        <w:jc w:val="both"/>
                        <w:rPr>
                          <w:color w:val="000000"/>
                        </w:rPr>
                      </w:pPr>
                      <w:sdt>
                        <w:sdtPr>
                          <w:alias w:val="Numeris"/>
                          <w:tag w:val="nr_fbbad57886a84900b5cf926507e125b4"/>
                          <w:lock w:val="sdtLocked"/>
                          <w:richText/>
                        </w:sdtPr>
                        <w:sdtContent>
                          <w:r>
                            <w:rPr>
                              <w:color w:val="000000"/>
                            </w:rPr>
                            <w:t>36.3</w:t>
                          </w:r>
                        </w:sdtContent>
                      </w:sdt>
                      <w:r>
                        <w:rPr>
                          <w:color w:val="000000"/>
                        </w:rPr>
                        <w:t>. vestibulinės funkcijos įvertinimas – tikrina gydytojas otorinolaringologas:</w:t>
                      </w:r>
                    </w:p>
                    <w:sdt>
                      <w:sdtPr>
                        <w:alias w:val="12 pr. 36.3.1 p."/>
                        <w:tag w:val="part_95751bf7ba1f4743b2fe8ca1e55c1678"/>
                        <w:lock w:val="sdtLocked"/>
                        <w:richText/>
                      </w:sdtPr>
                      <w:sdtContent>
                        <w:p>
                          <w:pPr>
                            <w:widowControl w:val="0"/>
                            <w:suppressAutoHyphens/>
                            <w:ind w:firstLine="567"/>
                            <w:jc w:val="both"/>
                            <w:rPr>
                              <w:color w:val="000000"/>
                            </w:rPr>
                          </w:pPr>
                          <w:sdt>
                            <w:sdtPr>
                              <w:alias w:val="Numeris"/>
                              <w:tag w:val="nr_95751bf7ba1f4743b2fe8ca1e55c1678"/>
                              <w:lock w:val="sdtLocked"/>
                              <w:richText/>
                            </w:sdtPr>
                            <w:sdtContent>
                              <w:r>
                                <w:rPr>
                                  <w:color w:val="000000"/>
                                </w:rPr>
                                <w:t>36.3.1</w:t>
                              </w:r>
                            </w:sdtContent>
                          </w:sdt>
                          <w:r>
                            <w:rPr>
                              <w:color w:val="000000"/>
                            </w:rPr>
                            <w:t>. tikrinamas spontaninis nistagmas;</w:t>
                          </w:r>
                        </w:p>
                      </w:sdtContent>
                    </w:sdt>
                    <w:sdt>
                      <w:sdtPr>
                        <w:alias w:val="12 pr. 36.3.2 p."/>
                        <w:tag w:val="part_46c770e9bd3848d699cdd4267a5e09d4"/>
                        <w:lock w:val="sdtLocked"/>
                        <w:richText/>
                      </w:sdtPr>
                      <w:sdtContent>
                        <w:p>
                          <w:pPr>
                            <w:widowControl w:val="0"/>
                            <w:suppressAutoHyphens/>
                            <w:ind w:firstLine="567"/>
                            <w:jc w:val="both"/>
                            <w:rPr>
                              <w:color w:val="000000"/>
                            </w:rPr>
                          </w:pPr>
                          <w:sdt>
                            <w:sdtPr>
                              <w:alias w:val="Numeris"/>
                              <w:tag w:val="nr_46c770e9bd3848d699cdd4267a5e09d4"/>
                              <w:lock w:val="sdtLocked"/>
                              <w:richText/>
                            </w:sdtPr>
                            <w:sdtContent>
                              <w:r>
                                <w:rPr>
                                  <w:color w:val="000000"/>
                                </w:rPr>
                                <w:t>36.3.2</w:t>
                              </w:r>
                            </w:sdtContent>
                          </w:sdt>
                          <w:r>
                            <w:rPr>
                              <w:color w:val="000000"/>
                            </w:rPr>
                            <w:t>. atliekami koordinaciniai mėginiai (Rombergo poza, piršto–nosies mėginys ir kt.);</w:t>
                          </w:r>
                        </w:p>
                      </w:sdtContent>
                    </w:sdt>
                    <w:sdt>
                      <w:sdtPr>
                        <w:alias w:val="12 pr. 36.3.3 p."/>
                        <w:tag w:val="part_16b43914f0bb446686ee709b3f6bae73"/>
                        <w:lock w:val="sdtLocked"/>
                        <w:richText/>
                      </w:sdtPr>
                      <w:sdtContent>
                        <w:p>
                          <w:pPr>
                            <w:widowControl w:val="0"/>
                            <w:suppressAutoHyphens/>
                            <w:ind w:firstLine="567"/>
                            <w:jc w:val="both"/>
                            <w:rPr>
                              <w:color w:val="000000"/>
                            </w:rPr>
                          </w:pPr>
                          <w:sdt>
                            <w:sdtPr>
                              <w:alias w:val="Numeris"/>
                              <w:tag w:val="nr_16b43914f0bb446686ee709b3f6bae73"/>
                              <w:lock w:val="sdtLocked"/>
                              <w:richText/>
                            </w:sdtPr>
                            <w:sdtContent>
                              <w:r>
                                <w:rPr>
                                  <w:color w:val="000000"/>
                                </w:rPr>
                                <w:t>36.3.3</w:t>
                              </w:r>
                            </w:sdtContent>
                          </w:sdt>
                          <w:r>
                            <w:rPr>
                              <w:color w:val="000000"/>
                            </w:rPr>
                            <w:t>. videonistagmometrija atliekama, esant bent vienam patologiniam simptomui, atlikus 35.3.1 ir 35.3.2 punktuose nurodytus tyrimus.</w:t>
                          </w:r>
                        </w:p>
                      </w:sdtContent>
                    </w:sdt>
                  </w:sdtContent>
                </w:sdt>
              </w:sdtContent>
            </w:sdt>
            <w:sdt>
              <w:sdtPr>
                <w:alias w:val="12 pr. 37 p."/>
                <w:tag w:val="part_f9b98a1c7def47a58e623070b1425812"/>
                <w:lock w:val="sdtLocked"/>
                <w:richText/>
              </w:sdtPr>
              <w:sdtContent>
                <w:p>
                  <w:pPr>
                    <w:widowControl w:val="0"/>
                    <w:suppressAutoHyphens/>
                    <w:ind w:firstLine="567"/>
                    <w:jc w:val="both"/>
                    <w:rPr>
                      <w:color w:val="000000"/>
                    </w:rPr>
                  </w:pPr>
                  <w:sdt>
                    <w:sdtPr>
                      <w:alias w:val="Numeris"/>
                      <w:tag w:val="nr_f9b98a1c7def47a58e623070b1425812"/>
                      <w:lock w:val="sdtLocked"/>
                      <w:richText/>
                    </w:sdtPr>
                    <w:sdtContent>
                      <w:r>
                        <w:rPr>
                          <w:color w:val="000000"/>
                        </w:rPr>
                        <w:t>37</w:t>
                      </w:r>
                    </w:sdtContent>
                  </w:sdt>
                  <w:r>
                    <w:rPr>
                      <w:color w:val="000000"/>
                    </w:rPr>
                    <w:t>. Kraujo tyrimas hematologiniu analizatoriumi.</w:t>
                  </w:r>
                </w:p>
              </w:sdtContent>
            </w:sdt>
            <w:sdt>
              <w:sdtPr>
                <w:alias w:val="12 pr. 38 p."/>
                <w:tag w:val="part_8e1129612d0b47828778366a0211f71c"/>
                <w:lock w:val="sdtLocked"/>
                <w:richText/>
              </w:sdtPr>
              <w:sdtContent>
                <w:p>
                  <w:pPr>
                    <w:widowControl w:val="0"/>
                    <w:suppressAutoHyphens/>
                    <w:ind w:firstLine="567"/>
                    <w:jc w:val="both"/>
                    <w:rPr>
                      <w:color w:val="000000"/>
                    </w:rPr>
                  </w:pPr>
                  <w:sdt>
                    <w:sdtPr>
                      <w:alias w:val="Numeris"/>
                      <w:tag w:val="nr_8e1129612d0b47828778366a0211f71c"/>
                      <w:lock w:val="sdtLocked"/>
                      <w:richText/>
                    </w:sdtPr>
                    <w:sdtContent>
                      <w:r>
                        <w:rPr>
                          <w:color w:val="000000"/>
                        </w:rPr>
                        <w:t>38</w:t>
                      </w:r>
                    </w:sdtContent>
                  </w:sdt>
                  <w:r>
                    <w:rPr>
                      <w:color w:val="000000"/>
                    </w:rPr>
                    <w:t>. Kraujo tyrimas dėl cukrinio diabeto (gliukozės kiekio kraujyje nustatymas, esant indikacijų), kiek tai būtina siekiant įvertinti fizinę kandidato būklę.</w:t>
                  </w:r>
                </w:p>
              </w:sdtContent>
            </w:sdt>
            <w:sdt>
              <w:sdtPr>
                <w:alias w:val="12 pr. 39 p."/>
                <w:tag w:val="part_113c3da11b6a4c34a848c7172d22a8bf"/>
                <w:lock w:val="sdtLocked"/>
                <w:richText/>
              </w:sdtPr>
              <w:sdtContent>
                <w:p>
                  <w:pPr>
                    <w:widowControl w:val="0"/>
                    <w:suppressAutoHyphens/>
                    <w:ind w:firstLine="567"/>
                    <w:jc w:val="both"/>
                    <w:rPr>
                      <w:color w:val="000000"/>
                    </w:rPr>
                  </w:pPr>
                  <w:sdt>
                    <w:sdtPr>
                      <w:alias w:val="Numeris"/>
                      <w:tag w:val="nr_113c3da11b6a4c34a848c7172d22a8bf"/>
                      <w:lock w:val="sdtLocked"/>
                      <w:richText/>
                    </w:sdtPr>
                    <w:sdtContent>
                      <w:r>
                        <w:rPr>
                          <w:color w:val="000000"/>
                        </w:rPr>
                        <w:t>39</w:t>
                      </w:r>
                    </w:sdtContent>
                  </w:sdt>
                  <w:r>
                    <w:rPr>
                      <w:color w:val="000000"/>
                    </w:rPr>
                    <w:t>. Bendras šlapimo tyrimas analizatoriumi, įskaitant gliukozės nustatymą (esant indikacijų).</w:t>
                  </w:r>
                </w:p>
              </w:sdtContent>
            </w:sdt>
            <w:sdt>
              <w:sdtPr>
                <w:alias w:val="12 pr. 40 p."/>
                <w:tag w:val="part_1a4e5914601a44b49188a73d61033b85"/>
                <w:lock w:val="sdtLocked"/>
                <w:richText/>
              </w:sdtPr>
              <w:sdtContent>
                <w:p>
                  <w:pPr>
                    <w:widowControl w:val="0"/>
                    <w:suppressAutoHyphens/>
                    <w:ind w:firstLine="567"/>
                    <w:jc w:val="both"/>
                    <w:rPr>
                      <w:color w:val="000000"/>
                    </w:rPr>
                  </w:pPr>
                  <w:sdt>
                    <w:sdtPr>
                      <w:alias w:val="Numeris"/>
                      <w:tag w:val="nr_1a4e5914601a44b49188a73d61033b85"/>
                      <w:lock w:val="sdtLocked"/>
                      <w:richText/>
                    </w:sdtPr>
                    <w:sdtContent>
                      <w:r>
                        <w:rPr>
                          <w:color w:val="000000"/>
                        </w:rPr>
                        <w:t>40</w:t>
                      </w:r>
                    </w:sdtContent>
                  </w:sdt>
                  <w:r>
                    <w:rPr>
                      <w:color w:val="000000"/>
                    </w:rPr>
                    <w:t>. Traukinio mašinistui – elektrokardiograma (EKG) ramybės būsenoje.</w:t>
                  </w:r>
                </w:p>
              </w:sdtContent>
            </w:sdt>
            <w:sdt>
              <w:sdtPr>
                <w:alias w:val="12 pr. 41 p."/>
                <w:tag w:val="part_9641c5fe0f7440ee93fe4b97a62267a0"/>
                <w:lock w:val="sdtLocked"/>
                <w:richText/>
              </w:sdtPr>
              <w:sdtContent>
                <w:p>
                  <w:pPr>
                    <w:widowControl w:val="0"/>
                    <w:suppressAutoHyphens/>
                    <w:ind w:firstLine="567"/>
                    <w:jc w:val="both"/>
                    <w:rPr>
                      <w:color w:val="000000"/>
                    </w:rPr>
                  </w:pPr>
                  <w:sdt>
                    <w:sdtPr>
                      <w:alias w:val="Numeris"/>
                      <w:tag w:val="nr_9641c5fe0f7440ee93fe4b97a62267a0"/>
                      <w:lock w:val="sdtLocked"/>
                      <w:richText/>
                    </w:sdtPr>
                    <w:sdtContent>
                      <w:r>
                        <w:rPr>
                          <w:color w:val="000000"/>
                        </w:rPr>
                        <w:t>41</w:t>
                      </w:r>
                    </w:sdtContent>
                  </w:sdt>
                  <w:r>
                    <w:rPr>
                      <w:color w:val="000000"/>
                    </w:rPr>
                    <w:t>. Patikrinimai dėl psichotropinių medžiagų, pavyzdžiui, neteisėtų narkotinių medžiagų ar psichotropinių medikamentų vartojimo, piktnaudžiavimo alkoholiu, jei dėl to kyla abejonių dėl tinkamumo darbui.</w:t>
                  </w:r>
                </w:p>
              </w:sdtContent>
            </w:sdt>
            <w:sdt>
              <w:sdtPr>
                <w:alias w:val="12 pr. 42 p."/>
                <w:tag w:val="part_8ca96ecdfea14f2ab37d8381cc058b75"/>
                <w:lock w:val="sdtLocked"/>
                <w:richText/>
              </w:sdtPr>
              <w:sdtContent>
                <w:p>
                  <w:pPr>
                    <w:widowControl w:val="0"/>
                    <w:suppressAutoHyphens/>
                    <w:ind w:firstLine="567"/>
                    <w:jc w:val="both"/>
                    <w:rPr>
                      <w:color w:val="000000"/>
                    </w:rPr>
                  </w:pPr>
                  <w:sdt>
                    <w:sdtPr>
                      <w:alias w:val="Numeris"/>
                      <w:tag w:val="nr_8ca96ecdfea14f2ab37d8381cc058b75"/>
                      <w:lock w:val="sdtLocked"/>
                      <w:richText/>
                    </w:sdtPr>
                    <w:sdtContent>
                      <w:r>
                        <w:rPr>
                          <w:color w:val="000000"/>
                        </w:rPr>
                        <w:t>42</w:t>
                      </w:r>
                    </w:sdtContent>
                  </w:sdt>
                  <w:r>
                    <w:rPr>
                      <w:color w:val="000000"/>
                    </w:rPr>
                    <w:t>. Psichikos sveikatos įvertinimas – tikrina gydytojas psichiatras, įvertinęs psichologo atliktus tyrimus:</w:t>
                  </w:r>
                </w:p>
                <w:sdt>
                  <w:sdtPr>
                    <w:alias w:val="12 pr. 42.1 p."/>
                    <w:tag w:val="part_f2c1a7ef7d4140d1b4a45f1e84356cfc"/>
                    <w:lock w:val="sdtLocked"/>
                    <w:richText/>
                  </w:sdtPr>
                  <w:sdtContent>
                    <w:p>
                      <w:pPr>
                        <w:widowControl w:val="0"/>
                        <w:suppressAutoHyphens/>
                        <w:ind w:firstLine="567"/>
                        <w:jc w:val="both"/>
                        <w:rPr>
                          <w:color w:val="000000"/>
                        </w:rPr>
                      </w:pPr>
                      <w:sdt>
                        <w:sdtPr>
                          <w:alias w:val="Numeris"/>
                          <w:tag w:val="nr_f2c1a7ef7d4140d1b4a45f1e84356cfc"/>
                          <w:lock w:val="sdtLocked"/>
                          <w:richText/>
                        </w:sdtPr>
                        <w:sdtContent>
                          <w:r>
                            <w:rPr>
                              <w:color w:val="000000"/>
                            </w:rPr>
                            <w:t>42.1</w:t>
                          </w:r>
                        </w:sdtContent>
                      </w:sdt>
                      <w:r>
                        <w:rPr>
                          <w:color w:val="000000"/>
                        </w:rPr>
                        <w:t>. kognityvines funkcijas:</w:t>
                      </w:r>
                    </w:p>
                    <w:sdt>
                      <w:sdtPr>
                        <w:alias w:val="12 pr. 42.1.1 p."/>
                        <w:tag w:val="part_9290d05568464b5d9202c5d1297fb6d0"/>
                        <w:lock w:val="sdtLocked"/>
                        <w:richText/>
                      </w:sdtPr>
                      <w:sdtContent>
                        <w:p>
                          <w:pPr>
                            <w:widowControl w:val="0"/>
                            <w:suppressAutoHyphens/>
                            <w:ind w:firstLine="567"/>
                            <w:jc w:val="both"/>
                            <w:rPr>
                              <w:color w:val="000000"/>
                            </w:rPr>
                          </w:pPr>
                          <w:sdt>
                            <w:sdtPr>
                              <w:alias w:val="Numeris"/>
                              <w:tag w:val="nr_9290d05568464b5d9202c5d1297fb6d0"/>
                              <w:lock w:val="sdtLocked"/>
                              <w:richText/>
                            </w:sdtPr>
                            <w:sdtContent>
                              <w:r>
                                <w:rPr>
                                  <w:color w:val="000000"/>
                                </w:rPr>
                                <w:t>42.1.1</w:t>
                              </w:r>
                            </w:sdtContent>
                          </w:sdt>
                          <w:r>
                            <w:rPr>
                              <w:color w:val="000000"/>
                            </w:rPr>
                            <w:t>. reakcijos greitį;</w:t>
                          </w:r>
                        </w:p>
                      </w:sdtContent>
                    </w:sdt>
                    <w:sdt>
                      <w:sdtPr>
                        <w:alias w:val="12 pr. 42.1.2 p."/>
                        <w:tag w:val="part_26281daba2404e5da189ac72a3df3245"/>
                        <w:lock w:val="sdtLocked"/>
                        <w:richText/>
                      </w:sdtPr>
                      <w:sdtContent>
                        <w:p>
                          <w:pPr>
                            <w:widowControl w:val="0"/>
                            <w:suppressAutoHyphens/>
                            <w:ind w:firstLine="567"/>
                            <w:jc w:val="both"/>
                            <w:rPr>
                              <w:color w:val="000000"/>
                            </w:rPr>
                          </w:pPr>
                          <w:sdt>
                            <w:sdtPr>
                              <w:alias w:val="Numeris"/>
                              <w:tag w:val="nr_26281daba2404e5da189ac72a3df3245"/>
                              <w:lock w:val="sdtLocked"/>
                              <w:richText/>
                            </w:sdtPr>
                            <w:sdtContent>
                              <w:r>
                                <w:rPr>
                                  <w:color w:val="000000"/>
                                </w:rPr>
                                <w:t>42.1.2</w:t>
                              </w:r>
                            </w:sdtContent>
                          </w:sdt>
                          <w:r>
                            <w:rPr>
                              <w:color w:val="000000"/>
                            </w:rPr>
                            <w:t>. regimųjų ir girdimųjų stimulų suvokimą;</w:t>
                          </w:r>
                        </w:p>
                      </w:sdtContent>
                    </w:sdt>
                    <w:sdt>
                      <w:sdtPr>
                        <w:alias w:val="12 pr. 42.1.3 p."/>
                        <w:tag w:val="part_2706735f1be74d7cb639582aea157c1d"/>
                        <w:lock w:val="sdtLocked"/>
                        <w:richText/>
                      </w:sdtPr>
                      <w:sdtContent>
                        <w:p>
                          <w:pPr>
                            <w:widowControl w:val="0"/>
                            <w:suppressAutoHyphens/>
                            <w:ind w:firstLine="567"/>
                            <w:jc w:val="both"/>
                            <w:rPr>
                              <w:color w:val="000000"/>
                            </w:rPr>
                          </w:pPr>
                          <w:sdt>
                            <w:sdtPr>
                              <w:alias w:val="Numeris"/>
                              <w:tag w:val="nr_2706735f1be74d7cb639582aea157c1d"/>
                              <w:lock w:val="sdtLocked"/>
                              <w:richText/>
                            </w:sdtPr>
                            <w:sdtContent>
                              <w:r>
                                <w:rPr>
                                  <w:color w:val="000000"/>
                                </w:rPr>
                                <w:t>42.1.3</w:t>
                              </w:r>
                            </w:sdtContent>
                          </w:sdt>
                          <w:r>
                            <w:rPr>
                              <w:color w:val="000000"/>
                            </w:rPr>
                            <w:t>. kalbos funkcijas (automatinė kalba, kalbos nuoseklumas, šnekamosios kalbos suvokimas, komunikabilumas);</w:t>
                          </w:r>
                        </w:p>
                      </w:sdtContent>
                    </w:sdt>
                    <w:sdt>
                      <w:sdtPr>
                        <w:alias w:val="12 pr. 42.1.4 p."/>
                        <w:tag w:val="part_e263a1cc2d034797be899618205a0f5d"/>
                        <w:lock w:val="sdtLocked"/>
                        <w:richText/>
                      </w:sdtPr>
                      <w:sdtContent>
                        <w:p>
                          <w:pPr>
                            <w:widowControl w:val="0"/>
                            <w:suppressAutoHyphens/>
                            <w:ind w:firstLine="567"/>
                            <w:jc w:val="both"/>
                            <w:rPr>
                              <w:color w:val="000000"/>
                            </w:rPr>
                          </w:pPr>
                          <w:sdt>
                            <w:sdtPr>
                              <w:alias w:val="Numeris"/>
                              <w:tag w:val="nr_e263a1cc2d034797be899618205a0f5d"/>
                              <w:lock w:val="sdtLocked"/>
                              <w:richText/>
                            </w:sdtPr>
                            <w:sdtContent>
                              <w:r>
                                <w:rPr>
                                  <w:color w:val="000000"/>
                                </w:rPr>
                                <w:t>42.1.4</w:t>
                              </w:r>
                            </w:sdtContent>
                          </w:sdt>
                          <w:r>
                            <w:rPr>
                              <w:color w:val="000000"/>
                            </w:rPr>
                            <w:t>. dėmesį;</w:t>
                          </w:r>
                        </w:p>
                      </w:sdtContent>
                    </w:sdt>
                    <w:sdt>
                      <w:sdtPr>
                        <w:alias w:val="12 pr. 42.1.5 p."/>
                        <w:tag w:val="part_3c7ae568824248749f06f7b92655fc20"/>
                        <w:lock w:val="sdtLocked"/>
                        <w:richText/>
                      </w:sdtPr>
                      <w:sdtContent>
                        <w:p>
                          <w:pPr>
                            <w:widowControl w:val="0"/>
                            <w:suppressAutoHyphens/>
                            <w:ind w:firstLine="567"/>
                            <w:jc w:val="both"/>
                            <w:rPr>
                              <w:color w:val="000000"/>
                            </w:rPr>
                          </w:pPr>
                          <w:sdt>
                            <w:sdtPr>
                              <w:alias w:val="Numeris"/>
                              <w:tag w:val="nr_3c7ae568824248749f06f7b92655fc20"/>
                              <w:lock w:val="sdtLocked"/>
                              <w:richText/>
                            </w:sdtPr>
                            <w:sdtContent>
                              <w:r>
                                <w:rPr>
                                  <w:color w:val="000000"/>
                                </w:rPr>
                                <w:t>42.1.5</w:t>
                              </w:r>
                            </w:sdtContent>
                          </w:sdt>
                          <w:r>
                            <w:rPr>
                              <w:color w:val="000000"/>
                            </w:rPr>
                            <w:t>. atmintį;</w:t>
                          </w:r>
                        </w:p>
                      </w:sdtContent>
                    </w:sdt>
                  </w:sdtContent>
                </w:sdt>
                <w:sdt>
                  <w:sdtPr>
                    <w:alias w:val="12 pr. 42.2 p."/>
                    <w:tag w:val="part_f929626ae7434ec0a9f0c0630d2edea0"/>
                    <w:lock w:val="sdtLocked"/>
                    <w:richText/>
                  </w:sdtPr>
                  <w:sdtContent>
                    <w:p>
                      <w:pPr>
                        <w:widowControl w:val="0"/>
                        <w:suppressAutoHyphens/>
                        <w:ind w:firstLine="567"/>
                        <w:jc w:val="both"/>
                        <w:rPr>
                          <w:color w:val="000000"/>
                        </w:rPr>
                      </w:pPr>
                      <w:sdt>
                        <w:sdtPr>
                          <w:alias w:val="Numeris"/>
                          <w:tag w:val="nr_f929626ae7434ec0a9f0c0630d2edea0"/>
                          <w:lock w:val="sdtLocked"/>
                          <w:richText/>
                        </w:sdtPr>
                        <w:sdtContent>
                          <w:r>
                            <w:rPr>
                              <w:color w:val="000000"/>
                            </w:rPr>
                            <w:t>42.2</w:t>
                          </w:r>
                        </w:sdtContent>
                      </w:sdt>
                      <w:r>
                        <w:rPr>
                          <w:color w:val="000000"/>
                        </w:rPr>
                        <w:t>. mąstymo tyrimą (gydytojui psichiatrui skyrus);</w:t>
                      </w:r>
                    </w:p>
                  </w:sdtContent>
                </w:sdt>
                <w:sdt>
                  <w:sdtPr>
                    <w:alias w:val="12 pr. 42.3 p."/>
                    <w:tag w:val="part_7b23a5a8d1ba41af8ef4cd96d897c6e9"/>
                    <w:lock w:val="sdtLocked"/>
                    <w:richText/>
                  </w:sdtPr>
                  <w:sdtContent>
                    <w:p>
                      <w:pPr>
                        <w:widowControl w:val="0"/>
                        <w:suppressAutoHyphens/>
                        <w:ind w:firstLine="567"/>
                        <w:jc w:val="both"/>
                        <w:rPr>
                          <w:color w:val="000000"/>
                        </w:rPr>
                      </w:pPr>
                      <w:sdt>
                        <w:sdtPr>
                          <w:alias w:val="Numeris"/>
                          <w:tag w:val="nr_7b23a5a8d1ba41af8ef4cd96d897c6e9"/>
                          <w:lock w:val="sdtLocked"/>
                          <w:richText/>
                        </w:sdtPr>
                        <w:sdtContent>
                          <w:r>
                            <w:rPr>
                              <w:color w:val="000000"/>
                            </w:rPr>
                            <w:t>42.3</w:t>
                          </w:r>
                        </w:sdtContent>
                      </w:sdt>
                      <w:r>
                        <w:rPr>
                          <w:color w:val="000000"/>
                        </w:rPr>
                        <w:t>. asmenybės ir emocijų tyrimas (gydytojui psichiatrui skyrus);</w:t>
                      </w:r>
                    </w:p>
                  </w:sdtContent>
                </w:sdt>
                <w:sdt>
                  <w:sdtPr>
                    <w:alias w:val="12 pr. 42.4 p."/>
                    <w:tag w:val="part_31f0aad933644107ae99e67532fa48bb"/>
                    <w:lock w:val="sdtLocked"/>
                    <w:richText/>
                  </w:sdtPr>
                  <w:sdtContent>
                    <w:p>
                      <w:pPr>
                        <w:widowControl w:val="0"/>
                        <w:suppressAutoHyphens/>
                        <w:ind w:firstLine="567"/>
                        <w:jc w:val="both"/>
                        <w:rPr>
                          <w:color w:val="000000"/>
                        </w:rPr>
                      </w:pPr>
                      <w:sdt>
                        <w:sdtPr>
                          <w:alias w:val="Numeris"/>
                          <w:tag w:val="nr_31f0aad933644107ae99e67532fa48bb"/>
                          <w:lock w:val="sdtLocked"/>
                          <w:richText/>
                        </w:sdtPr>
                        <w:sdtContent>
                          <w:r>
                            <w:rPr>
                              <w:color w:val="000000"/>
                            </w:rPr>
                            <w:t>42.4</w:t>
                          </w:r>
                        </w:sdtContent>
                      </w:sdt>
                      <w:r>
                        <w:rPr>
                          <w:color w:val="000000"/>
                        </w:rPr>
                        <w:t>. narkotinių medžiagų naudojimo tyrimai (jei yra klinikinių indikacijų).</w:t>
                      </w:r>
                    </w:p>
                  </w:sdtContent>
                </w:sdt>
              </w:sdtContent>
            </w:sdt>
            <w:sdt>
              <w:sdtPr>
                <w:alias w:val="12 pr. 43 p."/>
                <w:tag w:val="part_2dd6e86783d1472883c02f2e5aea0742"/>
                <w:lock w:val="sdtLocked"/>
                <w:richText/>
              </w:sdtPr>
              <w:sdtContent>
                <w:p>
                  <w:pPr>
                    <w:widowControl w:val="0"/>
                    <w:suppressAutoHyphens/>
                    <w:ind w:firstLine="567"/>
                    <w:jc w:val="both"/>
                    <w:rPr>
                      <w:color w:val="000000"/>
                    </w:rPr>
                  </w:pPr>
                  <w:sdt>
                    <w:sdtPr>
                      <w:alias w:val="Numeris"/>
                      <w:tag w:val="nr_2dd6e86783d1472883c02f2e5aea0742"/>
                      <w:lock w:val="sdtLocked"/>
                      <w:richText/>
                    </w:sdtPr>
                    <w:sdtContent>
                      <w:r>
                        <w:rPr>
                          <w:color w:val="000000"/>
                        </w:rPr>
                        <w:t>43</w:t>
                      </w:r>
                    </w:sdtContent>
                  </w:sdt>
                  <w:r>
                    <w:rPr>
                      <w:color w:val="000000"/>
                    </w:rPr>
                    <w:t>. Neurologo įvertinimas:</w:t>
                  </w:r>
                </w:p>
                <w:sdt>
                  <w:sdtPr>
                    <w:alias w:val="12 pr. 43.1 p."/>
                    <w:tag w:val="part_da1f038d473c4c028b327a0dbc6acaa1"/>
                    <w:lock w:val="sdtLocked"/>
                    <w:richText/>
                  </w:sdtPr>
                  <w:sdtContent>
                    <w:p>
                      <w:pPr>
                        <w:widowControl w:val="0"/>
                        <w:suppressAutoHyphens/>
                        <w:ind w:firstLine="567"/>
                        <w:jc w:val="both"/>
                        <w:rPr>
                          <w:color w:val="000000"/>
                        </w:rPr>
                      </w:pPr>
                      <w:sdt>
                        <w:sdtPr>
                          <w:alias w:val="Numeris"/>
                          <w:tag w:val="nr_da1f038d473c4c028b327a0dbc6acaa1"/>
                          <w:lock w:val="sdtLocked"/>
                          <w:richText/>
                        </w:sdtPr>
                        <w:sdtContent>
                          <w:r>
                            <w:rPr>
                              <w:color w:val="000000"/>
                            </w:rPr>
                            <w:t>43.1</w:t>
                          </w:r>
                        </w:sdtContent>
                      </w:sdt>
                      <w:r>
                        <w:rPr>
                          <w:color w:val="000000"/>
                        </w:rPr>
                        <w:t>. jutimų, motorikos ir koordinacijos įvertinimas;</w:t>
                      </w:r>
                    </w:p>
                  </w:sdtContent>
                </w:sdt>
                <w:sdt>
                  <w:sdtPr>
                    <w:alias w:val="12 pr. 43.2 p."/>
                    <w:tag w:val="part_c8527ddeebf54589af07f308c9f89e15"/>
                    <w:lock w:val="sdtLocked"/>
                    <w:richText/>
                  </w:sdtPr>
                  <w:sdtContent>
                    <w:p>
                      <w:pPr>
                        <w:widowControl w:val="0"/>
                        <w:suppressAutoHyphens/>
                        <w:ind w:firstLine="567"/>
                        <w:jc w:val="both"/>
                        <w:rPr>
                          <w:color w:val="000000"/>
                        </w:rPr>
                      </w:pPr>
                      <w:sdt>
                        <w:sdtPr>
                          <w:alias w:val="Numeris"/>
                          <w:tag w:val="nr_c8527ddeebf54589af07f308c9f89e15"/>
                          <w:lock w:val="sdtLocked"/>
                          <w:richText/>
                        </w:sdtPr>
                        <w:sdtContent>
                          <w:r>
                            <w:rPr>
                              <w:color w:val="000000"/>
                            </w:rPr>
                            <w:t>43.2</w:t>
                          </w:r>
                        </w:sdtContent>
                      </w:sdt>
                      <w:r>
                        <w:rPr>
                          <w:color w:val="000000"/>
                        </w:rPr>
                        <w:t>. kalbos funkcijų įvertinimas (afazija, dizartrija).</w:t>
                      </w:r>
                    </w:p>
                  </w:sdtContent>
                </w:sdt>
              </w:sdtContent>
            </w:sdt>
            <w:sdt>
              <w:sdtPr>
                <w:alias w:val="12 pr. 44 p."/>
                <w:tag w:val="part_6ee185065db34791981a24f6744f2763"/>
                <w:lock w:val="sdtLocked"/>
                <w:richText/>
              </w:sdtPr>
              <w:sdtContent>
                <w:p>
                  <w:pPr>
                    <w:widowControl w:val="0"/>
                    <w:suppressAutoHyphens/>
                    <w:ind w:firstLine="567"/>
                    <w:jc w:val="both"/>
                    <w:rPr>
                      <w:color w:val="000000"/>
                    </w:rPr>
                  </w:pPr>
                  <w:sdt>
                    <w:sdtPr>
                      <w:alias w:val="Numeris"/>
                      <w:tag w:val="nr_6ee185065db34791981a24f6744f2763"/>
                      <w:lock w:val="sdtLocked"/>
                      <w:richText/>
                    </w:sdtPr>
                    <w:sdtContent>
                      <w:r>
                        <w:rPr>
                          <w:color w:val="000000"/>
                        </w:rPr>
                        <w:t>44</w:t>
                      </w:r>
                    </w:sdtContent>
                  </w:sdt>
                  <w:r>
                    <w:rPr>
                      <w:color w:val="000000"/>
                    </w:rPr>
                    <w:t>. Krūtinės ląstos rentgenograma – esant indikacijų.</w:t>
                  </w:r>
                </w:p>
                <w:p>
                  <w:pPr>
                    <w:widowControl w:val="0"/>
                    <w:suppressAutoHyphens/>
                    <w:ind w:firstLine="567"/>
                    <w:jc w:val="both"/>
                    <w:rPr>
                      <w:color w:val="000000"/>
                    </w:rPr>
                  </w:pPr>
                </w:p>
              </w:sdtContent>
            </w:sdt>
          </w:sdtContent>
        </w:sdt>
        <w:sdt>
          <w:sdtPr>
            <w:alias w:val="skyrius"/>
            <w:tag w:val="part_fd42abe091ab4a17a3eb3f9d60a0bab2"/>
            <w:lock w:val="sdtLocked"/>
            <w:richText/>
          </w:sdtPr>
          <w:sdtContent>
            <w:p>
              <w:pPr>
                <w:widowControl w:val="0"/>
                <w:suppressAutoHyphens/>
                <w:jc w:val="center"/>
                <w:rPr>
                  <w:b/>
                  <w:bCs/>
                  <w:caps/>
                  <w:color w:val="000000"/>
                </w:rPr>
              </w:pPr>
              <w:sdt>
                <w:sdtPr>
                  <w:alias w:val="Numeris"/>
                  <w:tag w:val="nr_fd42abe091ab4a17a3eb3f9d60a0bab2"/>
                  <w:lock w:val="sdtLocked"/>
                  <w:richText/>
                </w:sdtPr>
                <w:sdtContent>
                  <w:r>
                    <w:rPr>
                      <w:b/>
                      <w:bCs/>
                      <w:caps/>
                      <w:color w:val="000000"/>
                    </w:rPr>
                    <w:t>V</w:t>
                  </w:r>
                </w:sdtContent>
              </w:sdt>
              <w:r>
                <w:rPr>
                  <w:b/>
                  <w:bCs/>
                  <w:caps/>
                  <w:color w:val="000000"/>
                </w:rPr>
                <w:t xml:space="preserve">. </w:t>
              </w:r>
              <w:sdt>
                <w:sdtPr>
                  <w:alias w:val="Pavadinimas"/>
                  <w:tag w:val="title_fd42abe091ab4a17a3eb3f9d60a0bab2"/>
                  <w:lock w:val="sdtLocked"/>
                  <w:richText/>
                </w:sdtPr>
                <w:sdtContent>
                  <w:r>
                    <w:rPr>
                      <w:b/>
                      <w:bCs/>
                      <w:caps/>
                      <w:color w:val="000000"/>
                    </w:rPr>
                    <w:t>PERIODINIAI DARBUOTOJŲ SVEIKATOS PATIKRINIMAI IR BŪTINIAUSI PERIODINIO SVEIKATOS PATIKRINIMO REIKALAVIMAI</w:t>
                  </w:r>
                </w:sdtContent>
              </w:sdt>
            </w:p>
            <w:p>
              <w:pPr>
                <w:widowControl w:val="0"/>
                <w:suppressAutoHyphens/>
                <w:ind w:firstLine="567"/>
                <w:jc w:val="both"/>
                <w:rPr>
                  <w:color w:val="000000"/>
                </w:rPr>
              </w:pPr>
            </w:p>
            <w:sdt>
              <w:sdtPr>
                <w:alias w:val="12 pr. 45 p."/>
                <w:tag w:val="part_9d79114995a444a6bda6848576ab67b4"/>
                <w:lock w:val="sdtLocked"/>
                <w:richText/>
              </w:sdtPr>
              <w:sdtContent>
                <w:p>
                  <w:pPr>
                    <w:widowControl w:val="0"/>
                    <w:suppressAutoHyphens/>
                    <w:ind w:firstLine="567"/>
                    <w:jc w:val="both"/>
                    <w:rPr>
                      <w:color w:val="000000"/>
                    </w:rPr>
                  </w:pPr>
                  <w:sdt>
                    <w:sdtPr>
                      <w:alias w:val="Numeris"/>
                      <w:tag w:val="nr_9d79114995a444a6bda6848576ab67b4"/>
                      <w:lock w:val="sdtLocked"/>
                      <w:richText/>
                    </w:sdtPr>
                    <w:sdtContent>
                      <w:r>
                        <w:rPr>
                          <w:color w:val="000000"/>
                        </w:rPr>
                        <w:t>45</w:t>
                      </w:r>
                    </w:sdtContent>
                  </w:sdt>
                  <w:r>
                    <w:rPr>
                      <w:color w:val="000000"/>
                    </w:rPr>
                    <w:t>. Dažnumas. Sveikata turi būti tikrinama:</w:t>
                  </w:r>
                </w:p>
                <w:sdt>
                  <w:sdtPr>
                    <w:alias w:val="12 pr. 45.1 p."/>
                    <w:tag w:val="part_688f59a5e7cc43049855cef0dc48d8f1"/>
                    <w:lock w:val="sdtLocked"/>
                    <w:richText/>
                  </w:sdtPr>
                  <w:sdtContent>
                    <w:p>
                      <w:pPr>
                        <w:widowControl w:val="0"/>
                        <w:suppressAutoHyphens/>
                        <w:ind w:firstLine="567"/>
                        <w:jc w:val="both"/>
                        <w:rPr>
                          <w:color w:val="000000"/>
                        </w:rPr>
                      </w:pPr>
                      <w:sdt>
                        <w:sdtPr>
                          <w:alias w:val="Numeris"/>
                          <w:tag w:val="nr_688f59a5e7cc43049855cef0dc48d8f1"/>
                          <w:lock w:val="sdtLocked"/>
                          <w:richText/>
                        </w:sdtPr>
                        <w:sdtContent>
                          <w:r>
                            <w:rPr>
                              <w:color w:val="000000"/>
                            </w:rPr>
                            <w:t>45.1</w:t>
                          </w:r>
                        </w:sdtContent>
                      </w:sdt>
                      <w:r>
                        <w:rPr>
                          <w:color w:val="000000"/>
                        </w:rPr>
                        <w:t>. traukinio mašinistams – ne rečiau kaip kas treji metai, jei asmuo yra jaunesnis nei 55 metų, vėliau – kasmet;</w:t>
                      </w:r>
                    </w:p>
                  </w:sdtContent>
                </w:sdt>
                <w:sdt>
                  <w:sdtPr>
                    <w:alias w:val="12 pr. 45.2 p."/>
                    <w:tag w:val="part_bddf3439affd4ffd85cc3880355e0fe7"/>
                    <w:lock w:val="sdtLocked"/>
                    <w:richText/>
                  </w:sdtPr>
                  <w:sdtContent>
                    <w:p>
                      <w:pPr>
                        <w:widowControl w:val="0"/>
                        <w:suppressAutoHyphens/>
                        <w:ind w:firstLine="567"/>
                        <w:jc w:val="both"/>
                        <w:rPr>
                          <w:color w:val="000000"/>
                        </w:rPr>
                      </w:pPr>
                      <w:sdt>
                        <w:sdtPr>
                          <w:alias w:val="Numeris"/>
                          <w:tag w:val="nr_bddf3439affd4ffd85cc3880355e0fe7"/>
                          <w:lock w:val="sdtLocked"/>
                          <w:richText/>
                        </w:sdtPr>
                        <w:sdtContent>
                          <w:r>
                            <w:rPr>
                              <w:color w:val="000000"/>
                            </w:rPr>
                            <w:t>45.2</w:t>
                          </w:r>
                        </w:sdtContent>
                      </w:sdt>
                      <w:r>
                        <w:rPr>
                          <w:color w:val="000000"/>
                        </w:rPr>
                        <w:t>. darbuotojams, jaunesniems kaip 40 m. – kas 5 metus; 41–62 m. amžiaus darbuotojams – kas 3 metus, vyresniems kaip 62 metų darbuotojams – kasmet.</w:t>
                      </w:r>
                    </w:p>
                  </w:sdtContent>
                </w:sdt>
                <w:sdt>
                  <w:sdtPr>
                    <w:alias w:val="12 pr. 45.3 p."/>
                    <w:tag w:val="part_f806c7ce52984da4904b4e1be9a25f49"/>
                    <w:lock w:val="sdtLocked"/>
                    <w:richText/>
                  </w:sdtPr>
                  <w:sdtContent>
                    <w:p>
                      <w:pPr>
                        <w:widowControl w:val="0"/>
                        <w:suppressAutoHyphens/>
                        <w:ind w:firstLine="567"/>
                        <w:jc w:val="both"/>
                        <w:rPr>
                          <w:color w:val="000000"/>
                        </w:rPr>
                      </w:pPr>
                      <w:sdt>
                        <w:sdtPr>
                          <w:alias w:val="Numeris"/>
                          <w:tag w:val="nr_f806c7ce52984da4904b4e1be9a25f49"/>
                          <w:lock w:val="sdtLocked"/>
                          <w:richText/>
                        </w:sdtPr>
                        <w:sdtContent>
                          <w:r>
                            <w:rPr>
                              <w:color w:val="000000"/>
                            </w:rPr>
                            <w:t>45.3</w:t>
                          </w:r>
                        </w:sdtContent>
                      </w:sdt>
                      <w:r>
                        <w:rPr>
                          <w:color w:val="000000"/>
                        </w:rPr>
                        <w:t>. Gydytojas sveikatos patikrinimus gali skirti dažniau, jei to reikia dėl traukinio mašinisto ar darbuotojo sveikatos: jis gali nuspręsti, kad traukinio mašinisto ar darbuotojo, turinčio galiojančią išvadą dėl tinkamumo dirbti F Nr. 048/a, sveikata turi būti neeilinį kartą patikrinta, pirmiausia, grįžtant į darbą po ilgo nedarbingumo periodo, jeigu jo nedarbingumas tęsiasi ilgiau kaip 30 dienų, atsižvelgiant į jo nedarbingumo priežastį, ar kitais atvejais.</w:t>
                      </w:r>
                    </w:p>
                  </w:sdtContent>
                </w:sdt>
                <w:sdt>
                  <w:sdtPr>
                    <w:alias w:val="12 pr. 45.4 p."/>
                    <w:tag w:val="part_b8648f6c80c1491eab90583876816aae"/>
                    <w:lock w:val="sdtLocked"/>
                    <w:richText/>
                  </w:sdtPr>
                  <w:sdtContent>
                    <w:p>
                      <w:pPr>
                        <w:widowControl w:val="0"/>
                        <w:suppressAutoHyphens/>
                        <w:ind w:firstLine="567"/>
                        <w:jc w:val="both"/>
                        <w:rPr>
                          <w:color w:val="000000"/>
                        </w:rPr>
                      </w:pPr>
                      <w:sdt>
                        <w:sdtPr>
                          <w:alias w:val="Numeris"/>
                          <w:tag w:val="nr_b8648f6c80c1491eab90583876816aae"/>
                          <w:lock w:val="sdtLocked"/>
                          <w:richText/>
                        </w:sdtPr>
                        <w:sdtContent>
                          <w:r>
                            <w:rPr>
                              <w:color w:val="000000"/>
                            </w:rPr>
                            <w:t>45.4</w:t>
                          </w:r>
                        </w:sdtContent>
                      </w:sdt>
                      <w:r>
                        <w:rPr>
                          <w:color w:val="000000"/>
                        </w:rPr>
                        <w:t>. Sveikatos patikrinimas turi būti atliktas, jei yra pagrindas abejoti, kad pažymėjimo ar sertifikato turėtojo sveikatos būklė nebeatitinka bendrųjų reikalavimų sveikatos būklei, nurodytų šio Aprašo III skyriuje.</w:t>
                      </w:r>
                    </w:p>
                  </w:sdtContent>
                </w:sdt>
                <w:sdt>
                  <w:sdtPr>
                    <w:alias w:val="12 pr. 45.5 p."/>
                    <w:tag w:val="part_97101217ec6743d09cd0995ed6b14eec"/>
                    <w:lock w:val="sdtLocked"/>
                    <w:richText/>
                  </w:sdtPr>
                  <w:sdtContent>
                    <w:p>
                      <w:pPr>
                        <w:widowControl w:val="0"/>
                        <w:suppressAutoHyphens/>
                        <w:ind w:firstLine="567"/>
                        <w:jc w:val="both"/>
                        <w:rPr>
                          <w:color w:val="000000"/>
                        </w:rPr>
                      </w:pPr>
                      <w:sdt>
                        <w:sdtPr>
                          <w:alias w:val="Numeris"/>
                          <w:tag w:val="nr_97101217ec6743d09cd0995ed6b14eec"/>
                          <w:lock w:val="sdtLocked"/>
                          <w:richText/>
                        </w:sdtPr>
                        <w:sdtContent>
                          <w:r>
                            <w:rPr>
                              <w:color w:val="000000"/>
                            </w:rPr>
                            <w:t>45.5</w:t>
                          </w:r>
                        </w:sdtContent>
                      </w:sdt>
                      <w:r>
                        <w:rPr>
                          <w:color w:val="000000"/>
                        </w:rPr>
                        <w:t>. Darbdaviui atstovaujantis ar jo įgaliotas asmuo turi teisę, nurodę priežastį, siųsti darbuotojus neeilinio sveikatos tikrinimo:</w:t>
                      </w:r>
                    </w:p>
                    <w:sdt>
                      <w:sdtPr>
                        <w:alias w:val="12 pr. 45.5.1 p."/>
                        <w:tag w:val="part_e3ff855a90ba4037af19e845dff49254"/>
                        <w:lock w:val="sdtLocked"/>
                        <w:richText/>
                      </w:sdtPr>
                      <w:sdtContent>
                        <w:p>
                          <w:pPr>
                            <w:widowControl w:val="0"/>
                            <w:suppressAutoHyphens/>
                            <w:ind w:firstLine="567"/>
                            <w:jc w:val="both"/>
                            <w:rPr>
                              <w:color w:val="000000"/>
                            </w:rPr>
                          </w:pPr>
                          <w:sdt>
                            <w:sdtPr>
                              <w:alias w:val="Numeris"/>
                              <w:tag w:val="nr_e3ff855a90ba4037af19e845dff49254"/>
                              <w:lock w:val="sdtLocked"/>
                              <w:richText/>
                            </w:sdtPr>
                            <w:sdtContent>
                              <w:r>
                                <w:rPr>
                                  <w:color w:val="000000"/>
                                </w:rPr>
                                <w:t>45.5.1</w:t>
                              </w:r>
                            </w:sdtContent>
                          </w:sdt>
                          <w:r>
                            <w:rPr>
                              <w:color w:val="000000"/>
                            </w:rPr>
                            <w:t>. po kiekvieno nelaimingo atsitikimo darbe, ypač – po rikto arba avarijos, kurių priežastis –žmogaus padaryta klaida;</w:t>
                          </w:r>
                        </w:p>
                      </w:sdtContent>
                    </w:sdt>
                    <w:sdt>
                      <w:sdtPr>
                        <w:alias w:val="12 pr. 45.5.2 p."/>
                        <w:tag w:val="part_e59f1c0db1ff495d9a3195f62f516f71"/>
                        <w:lock w:val="sdtLocked"/>
                        <w:richText/>
                      </w:sdtPr>
                      <w:sdtContent>
                        <w:p>
                          <w:pPr>
                            <w:widowControl w:val="0"/>
                            <w:suppressAutoHyphens/>
                            <w:ind w:firstLine="567"/>
                            <w:jc w:val="both"/>
                            <w:rPr>
                              <w:color w:val="000000"/>
                            </w:rPr>
                          </w:pPr>
                          <w:sdt>
                            <w:sdtPr>
                              <w:alias w:val="Numeris"/>
                              <w:tag w:val="nr_e59f1c0db1ff495d9a3195f62f516f71"/>
                              <w:lock w:val="sdtLocked"/>
                              <w:richText/>
                            </w:sdtPr>
                            <w:sdtContent>
                              <w:r>
                                <w:rPr>
                                  <w:color w:val="000000"/>
                                </w:rPr>
                                <w:t>45.5.2</w:t>
                              </w:r>
                            </w:sdtContent>
                          </w:sdt>
                          <w:r>
                            <w:rPr>
                              <w:color w:val="000000"/>
                            </w:rPr>
                            <w:t>. po nebuvimo darbe dėl nelaimingo atsitikimo, per kurį nukentėjo asmenys;</w:t>
                          </w:r>
                        </w:p>
                      </w:sdtContent>
                    </w:sdt>
                    <w:sdt>
                      <w:sdtPr>
                        <w:alias w:val="12 pr. 45.5.3 p."/>
                        <w:tag w:val="part_b71a96452e9a40dcafb8df0c6993081e"/>
                        <w:lock w:val="sdtLocked"/>
                        <w:richText/>
                      </w:sdtPr>
                      <w:sdtContent>
                        <w:p>
                          <w:pPr>
                            <w:widowControl w:val="0"/>
                            <w:suppressAutoHyphens/>
                            <w:ind w:firstLine="567"/>
                            <w:jc w:val="both"/>
                            <w:rPr>
                              <w:color w:val="000000"/>
                            </w:rPr>
                          </w:pPr>
                          <w:sdt>
                            <w:sdtPr>
                              <w:alias w:val="Numeris"/>
                              <w:tag w:val="nr_b71a96452e9a40dcafb8df0c6993081e"/>
                              <w:lock w:val="sdtLocked"/>
                              <w:richText/>
                            </w:sdtPr>
                            <w:sdtContent>
                              <w:r>
                                <w:rPr>
                                  <w:color w:val="000000"/>
                                </w:rPr>
                                <w:t>45.5.3</w:t>
                              </w:r>
                            </w:sdtContent>
                          </w:sdt>
                          <w:r>
                            <w:rPr>
                              <w:color w:val="000000"/>
                            </w:rPr>
                            <w:t>. jeigu darbdaviui atstovaujantis ar jo įgaliotas asmuo turėjo nušalinti traukinio mašinistą nuo pareigų, kai dėl jo veikos iškilo grėsmė eismo saugai;</w:t>
                          </w:r>
                        </w:p>
                      </w:sdtContent>
                    </w:sdt>
                    <w:sdt>
                      <w:sdtPr>
                        <w:alias w:val="12 pr. 45.5.4 p."/>
                        <w:tag w:val="part_9e6202146e9e488d8ced80cbfe7ac17c"/>
                        <w:lock w:val="sdtLocked"/>
                        <w:richText/>
                      </w:sdtPr>
                      <w:sdtContent>
                        <w:p>
                          <w:pPr>
                            <w:widowControl w:val="0"/>
                            <w:suppressAutoHyphens/>
                            <w:ind w:firstLine="567"/>
                            <w:jc w:val="both"/>
                            <w:rPr>
                              <w:color w:val="000000"/>
                            </w:rPr>
                          </w:pPr>
                          <w:sdt>
                            <w:sdtPr>
                              <w:alias w:val="Numeris"/>
                              <w:tag w:val="nr_9e6202146e9e488d8ced80cbfe7ac17c"/>
                              <w:lock w:val="sdtLocked"/>
                              <w:richText/>
                            </w:sdtPr>
                            <w:sdtContent>
                              <w:r>
                                <w:rPr>
                                  <w:color w:val="000000"/>
                                </w:rPr>
                                <w:t>45.5.4</w:t>
                              </w:r>
                            </w:sdtContent>
                          </w:sdt>
                          <w:r>
                            <w:rPr>
                              <w:color w:val="000000"/>
                            </w:rPr>
                            <w:t>. dėl tokio tikrinimo turi teisę kreiptis ir pats darbuotojas – jei mano, kad dėl jo sveikatos būklės kyla abejonių dėl jo tinkamumo dirbti šį darbą, jis tuojau pat praneša apie tai darbdaviui atstovaujančiam ar jo įgaliotam asmeniui.</w:t>
                          </w:r>
                        </w:p>
                      </w:sdtContent>
                    </w:sdt>
                  </w:sdtContent>
                </w:sdt>
              </w:sdtContent>
            </w:sdt>
            <w:sdt>
              <w:sdtPr>
                <w:alias w:val="12 pr. 46 p."/>
                <w:tag w:val="part_68fb33d330014086819d7c1344dd8c82"/>
                <w:lock w:val="sdtLocked"/>
                <w:richText/>
              </w:sdtPr>
              <w:sdtContent>
                <w:p>
                  <w:pPr>
                    <w:widowControl w:val="0"/>
                    <w:suppressAutoHyphens/>
                    <w:ind w:firstLine="567"/>
                    <w:jc w:val="both"/>
                    <w:rPr>
                      <w:color w:val="000000"/>
                    </w:rPr>
                  </w:pPr>
                  <w:sdt>
                    <w:sdtPr>
                      <w:alias w:val="Numeris"/>
                      <w:tag w:val="nr_68fb33d330014086819d7c1344dd8c82"/>
                      <w:lock w:val="sdtLocked"/>
                      <w:richText/>
                    </w:sdtPr>
                    <w:sdtContent>
                      <w:r>
                        <w:rPr>
                          <w:color w:val="000000"/>
                        </w:rPr>
                        <w:t>46</w:t>
                      </w:r>
                    </w:sdtContent>
                  </w:sdt>
                  <w:r>
                    <w:rPr>
                      <w:color w:val="000000"/>
                    </w:rPr>
                    <w:t>. Būtiniausi periodinio sveikatos patikrinimo reikalavimai. Jei traukinio mašinistas ar darbuotojas atitinka visus sveikatos patikrinimo prieš priimant į darbą kriterijus, periodiniai patikrinimai privalo apimti bent:</w:t>
                  </w:r>
                </w:p>
                <w:sdt>
                  <w:sdtPr>
                    <w:alias w:val="12 pr. 46.1 p."/>
                    <w:tag w:val="part_1610657fc7e740a381ca5d77b56da028"/>
                    <w:lock w:val="sdtLocked"/>
                    <w:richText/>
                  </w:sdtPr>
                  <w:sdtContent>
                    <w:p>
                      <w:pPr>
                        <w:widowControl w:val="0"/>
                        <w:suppressAutoHyphens/>
                        <w:ind w:firstLine="567"/>
                        <w:jc w:val="both"/>
                        <w:rPr>
                          <w:color w:val="000000"/>
                        </w:rPr>
                      </w:pPr>
                      <w:sdt>
                        <w:sdtPr>
                          <w:alias w:val="Numeris"/>
                          <w:tag w:val="nr_1610657fc7e740a381ca5d77b56da028"/>
                          <w:lock w:val="sdtLocked"/>
                          <w:richText/>
                        </w:sdtPr>
                        <w:sdtContent>
                          <w:r>
                            <w:rPr>
                              <w:color w:val="000000"/>
                            </w:rPr>
                            <w:t>46.1</w:t>
                          </w:r>
                        </w:sdtContent>
                      </w:sdt>
                      <w:r>
                        <w:rPr>
                          <w:color w:val="000000"/>
                        </w:rPr>
                        <w:t>. bendrą sveikatos patikrinimą vadovaujantis šio Aprašo 35 punktu;</w:t>
                      </w:r>
                    </w:p>
                  </w:sdtContent>
                </w:sdt>
                <w:sdt>
                  <w:sdtPr>
                    <w:alias w:val="12 pr. 46.2 p."/>
                    <w:tag w:val="part_9be872f0af4e4c76b9c245f4f801d26f"/>
                    <w:lock w:val="sdtLocked"/>
                    <w:richText/>
                  </w:sdtPr>
                  <w:sdtContent>
                    <w:p>
                      <w:pPr>
                        <w:widowControl w:val="0"/>
                        <w:suppressAutoHyphens/>
                        <w:ind w:firstLine="567"/>
                        <w:jc w:val="both"/>
                        <w:rPr>
                          <w:color w:val="000000"/>
                        </w:rPr>
                      </w:pPr>
                      <w:sdt>
                        <w:sdtPr>
                          <w:alias w:val="Numeris"/>
                          <w:tag w:val="nr_9be872f0af4e4c76b9c245f4f801d26f"/>
                          <w:lock w:val="sdtLocked"/>
                          <w:richText/>
                        </w:sdtPr>
                        <w:sdtContent>
                          <w:r>
                            <w:rPr>
                              <w:color w:val="000000"/>
                            </w:rPr>
                            <w:t>46.2</w:t>
                          </w:r>
                        </w:sdtContent>
                      </w:sdt>
                      <w:r>
                        <w:rPr>
                          <w:color w:val="000000"/>
                        </w:rPr>
                        <w:t>. sensorinių funkcijų patikrinimą (regėjimas, klausa, spalvų jutimas);</w:t>
                      </w:r>
                    </w:p>
                  </w:sdtContent>
                </w:sdt>
                <w:sdt>
                  <w:sdtPr>
                    <w:alias w:val="12 pr. 46.3 p."/>
                    <w:tag w:val="part_1fd979c1dd6440948ad27a8e94439c04"/>
                    <w:lock w:val="sdtLocked"/>
                    <w:richText/>
                  </w:sdtPr>
                  <w:sdtContent>
                    <w:p>
                      <w:pPr>
                        <w:widowControl w:val="0"/>
                        <w:suppressAutoHyphens/>
                        <w:ind w:firstLine="567"/>
                        <w:jc w:val="both"/>
                        <w:rPr>
                          <w:color w:val="000000"/>
                        </w:rPr>
                      </w:pPr>
                      <w:sdt>
                        <w:sdtPr>
                          <w:alias w:val="Numeris"/>
                          <w:tag w:val="nr_1fd979c1dd6440948ad27a8e94439c04"/>
                          <w:lock w:val="sdtLocked"/>
                          <w:richText/>
                        </w:sdtPr>
                        <w:sdtContent>
                          <w:r>
                            <w:rPr>
                              <w:color w:val="000000"/>
                            </w:rPr>
                            <w:t>46.3</w:t>
                          </w:r>
                        </w:sdtContent>
                      </w:sdt>
                      <w:r>
                        <w:rPr>
                          <w:color w:val="000000"/>
                        </w:rPr>
                        <w:t>. kraujo tyrimą hematologiniu analizatoriumi;</w:t>
                      </w:r>
                    </w:p>
                  </w:sdtContent>
                </w:sdt>
                <w:sdt>
                  <w:sdtPr>
                    <w:alias w:val="12 pr. 46.4 p."/>
                    <w:tag w:val="part_106530b9e9114c57b8aa7e363f7b9834"/>
                    <w:lock w:val="sdtLocked"/>
                    <w:richText/>
                  </w:sdtPr>
                  <w:sdtContent>
                    <w:p>
                      <w:pPr>
                        <w:widowControl w:val="0"/>
                        <w:suppressAutoHyphens/>
                        <w:ind w:firstLine="567"/>
                        <w:jc w:val="both"/>
                        <w:rPr>
                          <w:color w:val="000000"/>
                        </w:rPr>
                      </w:pPr>
                      <w:sdt>
                        <w:sdtPr>
                          <w:alias w:val="Numeris"/>
                          <w:tag w:val="nr_106530b9e9114c57b8aa7e363f7b9834"/>
                          <w:lock w:val="sdtLocked"/>
                          <w:richText/>
                        </w:sdtPr>
                        <w:sdtContent>
                          <w:r>
                            <w:rPr>
                              <w:color w:val="000000"/>
                            </w:rPr>
                            <w:t>46.4</w:t>
                          </w:r>
                        </w:sdtContent>
                      </w:sdt>
                      <w:r>
                        <w:rPr>
                          <w:color w:val="000000"/>
                        </w:rPr>
                        <w:t>. bendrą šlapimo tyrimą analizatoriumi (įskaitant tyrimą dėl cukrinio diabeto), kiek tai būtina siekiant įvertinti fizinę kandidato būklę, kaip nurodyta, atlikus klinikinius tyrimus;</w:t>
                      </w:r>
                    </w:p>
                  </w:sdtContent>
                </w:sdt>
                <w:sdt>
                  <w:sdtPr>
                    <w:alias w:val="12 pr. 46.5 p."/>
                    <w:tag w:val="part_4093d6be72f14eee87cb6f78735f7748"/>
                    <w:lock w:val="sdtLocked"/>
                    <w:richText/>
                  </w:sdtPr>
                  <w:sdtContent>
                    <w:p>
                      <w:pPr>
                        <w:widowControl w:val="0"/>
                        <w:suppressAutoHyphens/>
                        <w:ind w:firstLine="567"/>
                        <w:jc w:val="both"/>
                        <w:rPr>
                          <w:color w:val="000000"/>
                        </w:rPr>
                      </w:pPr>
                      <w:sdt>
                        <w:sdtPr>
                          <w:alias w:val="Numeris"/>
                          <w:tag w:val="nr_4093d6be72f14eee87cb6f78735f7748"/>
                          <w:lock w:val="sdtLocked"/>
                          <w:richText/>
                        </w:sdtPr>
                        <w:sdtContent>
                          <w:r>
                            <w:rPr>
                              <w:color w:val="000000"/>
                            </w:rPr>
                            <w:t>46.5</w:t>
                          </w:r>
                        </w:sdtContent>
                      </w:sdt>
                      <w:r>
                        <w:rPr>
                          <w:color w:val="000000"/>
                        </w:rPr>
                        <w:t>. narkotinių medžiagų naudojimo tyrimus, jei yra klinikinių indikacijų;</w:t>
                      </w:r>
                    </w:p>
                  </w:sdtContent>
                </w:sdt>
                <w:sdt>
                  <w:sdtPr>
                    <w:alias w:val="12 pr. 46.6 p."/>
                    <w:tag w:val="part_9e0a9325f4f6487bbab96559a5391e64"/>
                    <w:lock w:val="sdtLocked"/>
                    <w:richText/>
                  </w:sdtPr>
                  <w:sdtContent>
                    <w:p>
                      <w:pPr>
                        <w:widowControl w:val="0"/>
                        <w:suppressAutoHyphens/>
                        <w:ind w:firstLine="567"/>
                        <w:jc w:val="both"/>
                        <w:rPr>
                          <w:color w:val="000000"/>
                        </w:rPr>
                      </w:pPr>
                      <w:sdt>
                        <w:sdtPr>
                          <w:alias w:val="Numeris"/>
                          <w:tag w:val="nr_9e0a9325f4f6487bbab96559a5391e64"/>
                          <w:lock w:val="sdtLocked"/>
                          <w:richText/>
                        </w:sdtPr>
                        <w:sdtContent>
                          <w:r>
                            <w:rPr>
                              <w:color w:val="000000"/>
                            </w:rPr>
                            <w:t>46.6</w:t>
                          </w:r>
                        </w:sdtContent>
                      </w:sdt>
                      <w:r>
                        <w:rPr>
                          <w:color w:val="000000"/>
                        </w:rPr>
                        <w:t>. vyresniems nei 40 metų traukinio mašinistams būtina atlikti EKG ramybės būsenoje.</w:t>
                      </w:r>
                    </w:p>
                    <w:p>
                      <w:pPr>
                        <w:widowControl w:val="0"/>
                        <w:suppressAutoHyphens/>
                        <w:ind w:firstLine="567"/>
                        <w:jc w:val="both"/>
                        <w:rPr>
                          <w:color w:val="000000"/>
                        </w:rPr>
                      </w:pPr>
                    </w:p>
                  </w:sdtContent>
                </w:sdt>
              </w:sdtContent>
            </w:sdt>
          </w:sdtContent>
        </w:sdt>
        <w:sdt>
          <w:sdtPr>
            <w:alias w:val="skyrius"/>
            <w:tag w:val="part_bfcf35bfff24491fafe2cc312faaee63"/>
            <w:lock w:val="sdtLocked"/>
            <w:richText/>
          </w:sdtPr>
          <w:sdtContent>
            <w:p>
              <w:pPr>
                <w:widowControl w:val="0"/>
                <w:suppressAutoHyphens/>
                <w:jc w:val="center"/>
                <w:rPr>
                  <w:b/>
                  <w:bCs/>
                  <w:caps/>
                  <w:color w:val="000000"/>
                </w:rPr>
              </w:pPr>
              <w:sdt>
                <w:sdtPr>
                  <w:alias w:val="Numeris"/>
                  <w:tag w:val="nr_bfcf35bfff24491fafe2cc312faaee63"/>
                  <w:lock w:val="sdtLocked"/>
                  <w:richText/>
                </w:sdtPr>
                <w:sdtContent>
                  <w:r>
                    <w:rPr>
                      <w:b/>
                      <w:bCs/>
                      <w:caps/>
                      <w:color w:val="000000"/>
                    </w:rPr>
                    <w:t>VI</w:t>
                  </w:r>
                </w:sdtContent>
              </w:sdt>
              <w:r>
                <w:rPr>
                  <w:b/>
                  <w:bCs/>
                  <w:caps/>
                  <w:color w:val="000000"/>
                </w:rPr>
                <w:t xml:space="preserve">. </w:t>
              </w:r>
              <w:sdt>
                <w:sdtPr>
                  <w:alias w:val="Pavadinimas"/>
                  <w:tag w:val="title_bfcf35bfff24491fafe2cc312faaee63"/>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2 pr. 47 p."/>
                <w:tag w:val="part_b53ae6a954cb4681be092e1c6d58f0b8"/>
                <w:lock w:val="sdtLocked"/>
                <w:richText/>
              </w:sdtPr>
              <w:sdtContent>
                <w:p>
                  <w:pPr>
                    <w:widowControl w:val="0"/>
                    <w:suppressAutoHyphens/>
                    <w:ind w:firstLine="567"/>
                    <w:jc w:val="both"/>
                    <w:rPr>
                      <w:color w:val="000000"/>
                    </w:rPr>
                  </w:pPr>
                  <w:sdt>
                    <w:sdtPr>
                      <w:alias w:val="Numeris"/>
                      <w:tag w:val="nr_b53ae6a954cb4681be092e1c6d58f0b8"/>
                      <w:lock w:val="sdtLocked"/>
                      <w:richText/>
                    </w:sdtPr>
                    <w:sdtContent>
                      <w:r>
                        <w:rPr>
                          <w:color w:val="000000"/>
                        </w:rPr>
                        <w:t>47</w:t>
                      </w:r>
                    </w:sdtContent>
                  </w:sdt>
                  <w:r>
                    <w:rPr>
                      <w:color w:val="000000"/>
                    </w:rPr>
                    <w:t>. Atlikus sveikatos patikrinimą F Nr. 047/a ar F Nr. 048/a atiduodama pacientui, kuris pats ją pateikia darbdaviui atstovaujančiam ar jo įgaliotam asmeniui. Jos saugomos teisės aktų nustatyta tvarka.</w:t>
                  </w:r>
                </w:p>
              </w:sdtContent>
            </w:sdt>
            <w:sdt>
              <w:sdtPr>
                <w:alias w:val="12 pr. 48 p."/>
                <w:tag w:val="part_328a178ddb3b47ce80e7bd2c6acb069e"/>
                <w:lock w:val="sdtLocked"/>
                <w:richText/>
              </w:sdtPr>
              <w:sdtContent>
                <w:p>
                  <w:pPr>
                    <w:widowControl w:val="0"/>
                    <w:suppressAutoHyphens/>
                    <w:ind w:firstLine="567"/>
                    <w:jc w:val="both"/>
                    <w:rPr>
                      <w:color w:val="000000"/>
                    </w:rPr>
                  </w:pPr>
                  <w:sdt>
                    <w:sdtPr>
                      <w:alias w:val="Numeris"/>
                      <w:tag w:val="nr_328a178ddb3b47ce80e7bd2c6acb069e"/>
                      <w:lock w:val="sdtLocked"/>
                      <w:richText/>
                    </w:sdtPr>
                    <w:sdtContent>
                      <w:r>
                        <w:rPr>
                          <w:color w:val="000000"/>
                        </w:rPr>
                        <w:t>48</w:t>
                      </w:r>
                    </w:sdtContent>
                  </w:sdt>
                  <w:r>
                    <w:rPr>
                      <w:color w:val="000000"/>
                    </w:rPr>
                    <w:t>. Sudėtingais ir ginčytinais (kai dėl išvados reikia spręsti individualiai) atvejais apie tinkamumą mokytis ar dirbti traukinio mašinistu, darbuotoju sprendžia ASPĮ gydytojų konsultacinė komisija (toliau – GKK).</w:t>
                  </w:r>
                </w:p>
              </w:sdtContent>
            </w:sdt>
            <w:sdt>
              <w:sdtPr>
                <w:alias w:val="12 pr. 49 p."/>
                <w:tag w:val="part_eeb72d2fe9c5460891606b30922ff505"/>
                <w:lock w:val="sdtLocked"/>
                <w:richText/>
              </w:sdtPr>
              <w:sdtContent>
                <w:p>
                  <w:pPr>
                    <w:widowControl w:val="0"/>
                    <w:suppressAutoHyphens/>
                    <w:ind w:firstLine="567"/>
                    <w:jc w:val="both"/>
                    <w:rPr>
                      <w:color w:val="000000"/>
                    </w:rPr>
                  </w:pPr>
                  <w:sdt>
                    <w:sdtPr>
                      <w:alias w:val="Numeris"/>
                      <w:tag w:val="nr_eeb72d2fe9c5460891606b30922ff505"/>
                      <w:lock w:val="sdtLocked"/>
                      <w:richText/>
                    </w:sdtPr>
                    <w:sdtContent>
                      <w:r>
                        <w:rPr>
                          <w:color w:val="000000"/>
                        </w:rPr>
                        <w:t>49</w:t>
                      </w:r>
                    </w:sdtContent>
                  </w:sdt>
                  <w:r>
                    <w:rPr>
                      <w:color w:val="000000"/>
                    </w:rPr>
                    <w:t>. Kai kyla klausimai dėl individualaus tinkamumo mokytis ar dirbti dėl psichikos sveikatos būklės, sprendžia psichikos sveikatos priežiūros įstaigos GKK, sudaryta iš gydytojų psichiatrų. Į šią komisiją gali būti įtraukti ir kiti psichikos sveikatos priežiūros specialistai.</w:t>
                  </w:r>
                </w:p>
              </w:sdtContent>
            </w:sdt>
            <w:sdt>
              <w:sdtPr>
                <w:alias w:val="12 pr. 50 p."/>
                <w:tag w:val="part_c9ed5804398d44b980c718b03b5443f0"/>
                <w:lock w:val="sdtLocked"/>
                <w:richText/>
              </w:sdtPr>
              <w:sdtContent>
                <w:p>
                  <w:pPr>
                    <w:widowControl w:val="0"/>
                    <w:suppressAutoHyphens/>
                    <w:ind w:firstLine="567"/>
                    <w:jc w:val="both"/>
                    <w:rPr>
                      <w:color w:val="000000"/>
                    </w:rPr>
                  </w:pPr>
                  <w:sdt>
                    <w:sdtPr>
                      <w:alias w:val="Numeris"/>
                      <w:tag w:val="nr_c9ed5804398d44b980c718b03b5443f0"/>
                      <w:lock w:val="sdtLocked"/>
                      <w:richText/>
                    </w:sdtPr>
                    <w:sdtContent>
                      <w:r>
                        <w:rPr>
                          <w:color w:val="000000"/>
                        </w:rPr>
                        <w:t>50</w:t>
                      </w:r>
                    </w:sdtContent>
                  </w:sdt>
                  <w:r>
                    <w:rPr>
                      <w:color w:val="000000"/>
                    </w:rPr>
                    <w:t xml:space="preserve">. Pacientas, nesutinkantis su privalomo sveikatos patikrinimo išvadomis, gali jas apskųsti Lietuvos Respublikos pacientų teisių ir žalos sveikatai atlyginimo įstatymo (Žin., 1996, Nr. </w:t>
                  </w:r>
                  <w:hyperlink r:id="rId60" w:tgtFrame="_blank" w:history="1">
                    <w:r>
                      <w:rPr>
                        <w:color w:val="0000FF" w:themeColor="hyperlink"/>
                        <w:u w:val="single"/>
                      </w:rPr>
                      <w:t>102-2317</w:t>
                    </w:r>
                  </w:hyperlink>
                  <w:r>
                    <w:rPr>
                      <w:color w:val="000000"/>
                    </w:rPr>
                    <w:t>; 2004, Nr. 115-4284) nustatyta tvarka.</w:t>
                  </w:r>
                </w:p>
                <w:p>
                  <w:pPr>
                    <w:widowControl w:val="0"/>
                    <w:suppressAutoHyphens/>
                    <w:jc w:val="both"/>
                    <w:rPr>
                      <w:color w:val="000000"/>
                    </w:rPr>
                  </w:pPr>
                </w:p>
                <w:p>
                  <w:pPr>
                    <w:widowControl w:val="0"/>
                    <w:suppressAutoHyphens/>
                    <w:jc w:val="center"/>
                    <w:rPr>
                      <w:color w:val="000000"/>
                    </w:rPr>
                  </w:pPr>
                  <w:r>
                    <w:rPr>
                      <w:color w:val="000000"/>
                    </w:rPr>
                    <w:t>_________________</w:t>
                  </w:r>
                </w:p>
                <w:p>
                  <w:pPr>
                    <w:widowControl w:val="0"/>
                    <w:suppressAutoHyphens/>
                    <w:rPr>
                      <w:color w:val="000000"/>
                    </w:rPr>
                  </w:pPr>
                </w:p>
                <w:p>
                  <w:pPr>
                    <w:widowControl w:val="0"/>
                    <w:suppressAutoHyphens/>
                    <w:jc w:val="both"/>
                    <w:rPr>
                      <w:color w:val="000000"/>
                    </w:rPr>
                    <w:sectPr>
                      <w:pgSz w:w="11906" w:h="16838"/>
                      <w:pgMar w:top="1134" w:right="1134" w:bottom="1134" w:left="1701" w:header="567" w:footer="567" w:gutter="0"/>
                      <w:pgNumType w:start="1"/>
                      <w:cols w:space="1296"/>
                      <w:noEndnote/>
                      <w:titlePg/>
                      <w:docGrid w:linePitch="326"/>
                    </w:sectPr>
                  </w:pPr>
                </w:p>
              </w:sdtContent>
            </w:sdt>
            <w:sdt>
              <w:sdtPr>
                <w:alias w:val="lentele"/>
                <w:tag w:val="part_f7ff817d826645c9bdc9b5f076af4ee7"/>
                <w:lock w:val="sdtLocked"/>
                <w:richText/>
              </w:sdtPr>
              <w:sdtContent>
                <w:p>
                  <w:pPr>
                    <w:ind w:left="9000"/>
                  </w:pPr>
                  <w:r>
                    <w:t>1 lentelė</w:t>
                  </w:r>
                </w:p>
                <w:p>
                  <w:pPr>
                    <w:jc w:val="both"/>
                    <w:rPr>
                      <w:rFonts w:eastAsia="MS Mincho"/>
                    </w:rPr>
                  </w:pPr>
                </w:p>
                <w:p>
                  <w:pPr>
                    <w:jc w:val="center"/>
                    <w:rPr>
                      <w:b/>
                    </w:rPr>
                  </w:pPr>
                  <w:r>
                    <w:rPr>
                      <w:b/>
                    </w:rPr>
                    <w:t xml:space="preserve">KONTRAINDIKACIJOS, TAIKOMOS </w:t>
                  </w:r>
                  <w:r>
                    <w:rPr>
                      <w:b/>
                      <w:bCs/>
                    </w:rPr>
                    <w:t xml:space="preserve">ASMENIMS, </w:t>
                  </w:r>
                  <w:r>
                    <w:rPr>
                      <w:b/>
                    </w:rPr>
                    <w:t>PRIEŠ PRIIMANT Į MOKYMO ĮSTAIGĄ ARBA Į DARBĄ, ARBA DIRBANTIEMS TRAUKINIO MAŠINISTAIS</w:t>
                  </w:r>
                </w:p>
                <w:p/>
                <w:tbl>
                  <w:tblPr>
                    <w:tblW w:w="1422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20"/>
                    <w:gridCol w:w="8820"/>
                    <w:gridCol w:w="2340"/>
                    <w:gridCol w:w="2340"/>
                  </w:tblGrid>
                  <w:tr>
                    <w:trPr>
                      <w:cantSplit/>
                      <w:trHeight w:val="20"/>
                      <w:tblHeader/>
                    </w:trPr>
                    <w:tc>
                      <w:tcPr>
                        <w:tcW w:w="720" w:type="dxa"/>
                        <w:vMerge w:val="restart"/>
                        <w:vAlign w:val="center"/>
                      </w:tcPr>
                      <w:p>
                        <w:pPr>
                          <w:jc w:val="center"/>
                          <w:rPr>
                            <w:sz w:val="22"/>
                            <w:szCs w:val="22"/>
                          </w:rPr>
                        </w:pPr>
                        <w:r>
                          <w:rPr>
                            <w:sz w:val="22"/>
                            <w:szCs w:val="22"/>
                          </w:rPr>
                          <w:t>Eil.</w:t>
                        </w:r>
                      </w:p>
                      <w:p>
                        <w:pPr>
                          <w:jc w:val="center"/>
                          <w:rPr>
                            <w:sz w:val="22"/>
                            <w:szCs w:val="22"/>
                          </w:rPr>
                        </w:pPr>
                        <w:r>
                          <w:rPr>
                            <w:sz w:val="22"/>
                            <w:szCs w:val="22"/>
                          </w:rPr>
                          <w:t>Nr.</w:t>
                        </w:r>
                      </w:p>
                    </w:tc>
                    <w:tc>
                      <w:tcPr>
                        <w:tcW w:w="8820" w:type="dxa"/>
                        <w:vMerge w:val="restart"/>
                        <w:vAlign w:val="center"/>
                      </w:tcPr>
                      <w:p>
                        <w:pPr>
                          <w:jc w:val="center"/>
                          <w:rPr>
                            <w:sz w:val="22"/>
                            <w:szCs w:val="22"/>
                            <w:lang w:val="pt-BR"/>
                          </w:rPr>
                        </w:pPr>
                        <w:r>
                          <w:rPr>
                            <w:sz w:val="22"/>
                            <w:szCs w:val="22"/>
                            <w:lang w:val="pt-BR"/>
                          </w:rPr>
                          <w:t>Ligos ir sveikatos problemos (kodai pagal TLK-10), dėl kurių ribojama teisė</w:t>
                        </w:r>
                        <w:r>
                          <w:rPr>
                            <w:bCs/>
                            <w:sz w:val="22"/>
                            <w:szCs w:val="22"/>
                          </w:rPr>
                          <w:t xml:space="preserve"> mokytis ar</w:t>
                        </w:r>
                        <w:r>
                          <w:rPr>
                            <w:sz w:val="22"/>
                            <w:szCs w:val="22"/>
                          </w:rPr>
                          <w:t xml:space="preserve"> dirbti traukinio mašinistais</w:t>
                        </w:r>
                      </w:p>
                    </w:tc>
                    <w:tc>
                      <w:tcPr>
                        <w:tcW w:w="4680" w:type="dxa"/>
                        <w:gridSpan w:val="2"/>
                        <w:vAlign w:val="center"/>
                      </w:tcPr>
                      <w:p>
                        <w:pPr>
                          <w:jc w:val="center"/>
                          <w:rPr>
                            <w:sz w:val="22"/>
                            <w:szCs w:val="22"/>
                          </w:rPr>
                        </w:pPr>
                        <w:r>
                          <w:rPr>
                            <w:b/>
                            <w:bCs/>
                            <w:sz w:val="22"/>
                            <w:szCs w:val="22"/>
                            <w:lang w:val="pt-BR"/>
                          </w:rPr>
                          <w:t>Draudžiama</w:t>
                        </w:r>
                      </w:p>
                    </w:tc>
                  </w:tr>
                  <w:tr>
                    <w:trPr>
                      <w:cantSplit/>
                      <w:trHeight w:val="20"/>
                      <w:tblHeader/>
                    </w:trPr>
                    <w:tc>
                      <w:tcPr>
                        <w:tcW w:w="720" w:type="dxa"/>
                        <w:vMerge/>
                      </w:tcPr>
                      <w:p>
                        <w:pPr>
                          <w:jc w:val="center"/>
                          <w:rPr>
                            <w:sz w:val="22"/>
                            <w:szCs w:val="22"/>
                          </w:rPr>
                        </w:pPr>
                      </w:p>
                    </w:tc>
                    <w:tc>
                      <w:tcPr>
                        <w:tcW w:w="8820" w:type="dxa"/>
                        <w:vMerge/>
                      </w:tcPr>
                      <w:p>
                        <w:pPr>
                          <w:jc w:val="center"/>
                          <w:rPr>
                            <w:rFonts w:eastAsia="MS Mincho"/>
                            <w:bCs/>
                            <w:sz w:val="22"/>
                            <w:szCs w:val="22"/>
                          </w:rPr>
                        </w:pPr>
                      </w:p>
                    </w:tc>
                    <w:tc>
                      <w:tcPr>
                        <w:tcW w:w="2340" w:type="dxa"/>
                      </w:tcPr>
                      <w:p>
                        <w:pPr>
                          <w:jc w:val="center"/>
                          <w:rPr>
                            <w:sz w:val="22"/>
                            <w:szCs w:val="22"/>
                          </w:rPr>
                        </w:pPr>
                        <w:r>
                          <w:rPr>
                            <w:sz w:val="22"/>
                            <w:szCs w:val="22"/>
                          </w:rPr>
                          <w:t>Prieš priimant į mokymo įstaigą arba į darbą</w:t>
                        </w:r>
                      </w:p>
                    </w:tc>
                    <w:tc>
                      <w:tcPr>
                        <w:tcW w:w="2340" w:type="dxa"/>
                      </w:tcPr>
                      <w:p>
                        <w:pPr>
                          <w:jc w:val="center"/>
                          <w:rPr>
                            <w:sz w:val="22"/>
                            <w:szCs w:val="22"/>
                          </w:rPr>
                        </w:pPr>
                        <w:r>
                          <w:rPr>
                            <w:sz w:val="22"/>
                            <w:szCs w:val="22"/>
                          </w:rPr>
                          <w:t>Periodiškai</w:t>
                        </w:r>
                      </w:p>
                      <w:p>
                        <w:pPr>
                          <w:jc w:val="center"/>
                          <w:rPr>
                            <w:sz w:val="22"/>
                            <w:szCs w:val="22"/>
                          </w:rPr>
                        </w:pPr>
                        <w:r>
                          <w:rPr>
                            <w:sz w:val="22"/>
                            <w:szCs w:val="22"/>
                          </w:rPr>
                          <w:t>(dirbant)</w:t>
                        </w:r>
                      </w:p>
                    </w:tc>
                  </w:tr>
                  <w:tr>
                    <w:trPr>
                      <w:cantSplit/>
                      <w:trHeight w:val="20"/>
                      <w:tblHeader/>
                    </w:trPr>
                    <w:tc>
                      <w:tcPr>
                        <w:tcW w:w="720" w:type="dxa"/>
                      </w:tcPr>
                      <w:p>
                        <w:pPr>
                          <w:jc w:val="center"/>
                          <w:rPr>
                            <w:sz w:val="22"/>
                            <w:szCs w:val="22"/>
                          </w:rPr>
                        </w:pPr>
                        <w:r>
                          <w:rPr>
                            <w:sz w:val="22"/>
                            <w:szCs w:val="22"/>
                          </w:rPr>
                          <w:t>1.</w:t>
                        </w:r>
                      </w:p>
                    </w:tc>
                    <w:tc>
                      <w:tcPr>
                        <w:tcW w:w="8820" w:type="dxa"/>
                      </w:tcPr>
                      <w:p>
                        <w:pPr>
                          <w:jc w:val="center"/>
                          <w:rPr>
                            <w:sz w:val="22"/>
                            <w:szCs w:val="22"/>
                          </w:rPr>
                        </w:pPr>
                        <w:r>
                          <w:rPr>
                            <w:sz w:val="22"/>
                            <w:szCs w:val="22"/>
                          </w:rPr>
                          <w:t>2</w:t>
                        </w:r>
                      </w:p>
                    </w:tc>
                    <w:tc>
                      <w:tcPr>
                        <w:tcW w:w="2340" w:type="dxa"/>
                      </w:tcPr>
                      <w:p>
                        <w:pPr>
                          <w:jc w:val="center"/>
                          <w:rPr>
                            <w:sz w:val="22"/>
                            <w:szCs w:val="22"/>
                          </w:rPr>
                        </w:pPr>
                        <w:r>
                          <w:rPr>
                            <w:sz w:val="22"/>
                            <w:szCs w:val="22"/>
                          </w:rPr>
                          <w:t>3</w:t>
                        </w:r>
                      </w:p>
                    </w:tc>
                    <w:tc>
                      <w:tcPr>
                        <w:tcW w:w="2340" w:type="dxa"/>
                      </w:tcPr>
                      <w:p>
                        <w:pPr>
                          <w:jc w:val="center"/>
                          <w:rPr>
                            <w:sz w:val="22"/>
                            <w:szCs w:val="22"/>
                          </w:rPr>
                        </w:pPr>
                        <w:r>
                          <w:rPr>
                            <w:sz w:val="22"/>
                            <w:szCs w:val="22"/>
                          </w:rPr>
                          <w:t>4</w:t>
                        </w:r>
                      </w:p>
                    </w:tc>
                  </w:tr>
                  <w:tr>
                    <w:trPr>
                      <w:cantSplit/>
                      <w:trHeight w:val="20"/>
                    </w:trPr>
                    <w:tc>
                      <w:tcPr>
                        <w:tcW w:w="720" w:type="dxa"/>
                      </w:tcPr>
                      <w:p>
                        <w:pPr>
                          <w:rPr>
                            <w:sz w:val="22"/>
                            <w:szCs w:val="22"/>
                          </w:rPr>
                        </w:pPr>
                        <w:r>
                          <w:rPr>
                            <w:sz w:val="22"/>
                            <w:szCs w:val="22"/>
                          </w:rPr>
                          <w:t>1.</w:t>
                        </w:r>
                      </w:p>
                    </w:tc>
                    <w:tc>
                      <w:tcPr>
                        <w:tcW w:w="8820" w:type="dxa"/>
                      </w:tcPr>
                      <w:p>
                        <w:pPr>
                          <w:rPr>
                            <w:sz w:val="22"/>
                            <w:szCs w:val="22"/>
                          </w:rPr>
                        </w:pPr>
                        <w:r>
                          <w:rPr>
                            <w:b/>
                            <w:sz w:val="22"/>
                            <w:szCs w:val="22"/>
                          </w:rPr>
                          <w:t>REGĖJIMAS</w:t>
                        </w:r>
                        <w:r>
                          <w:rPr>
                            <w:sz w:val="22"/>
                            <w:szCs w:val="22"/>
                          </w:rPr>
                          <w:t xml:space="preserve"> Turi būti laikomasi šių su regėjimu susijusių reikalavimų: regėjimo į tolį aštrumas su pagalba ar be jos: 1,0; blogiau matančios akies – mažiausiai 0,5</w:t>
                        </w:r>
                      </w:p>
                      <w:p>
                        <w:pPr>
                          <w:rPr>
                            <w:sz w:val="22"/>
                            <w:szCs w:val="22"/>
                          </w:rPr>
                        </w:pPr>
                        <w:r>
                          <w:rPr>
                            <w:sz w:val="22"/>
                            <w:szCs w:val="22"/>
                          </w:rPr>
                          <w:t>Pastaba. Įsidarbinančiųjų traukinio mašinisto pažymėjimui gauti arba tokiam pažymėjimui atnaujinti sveikesnės akies regėjimo aštrumas, jeigu reikia, su korekciniais lęšiais, privalo būti ne mažesnis kaip1,0, o silpnesnės akies – ne mažesnis kaip 0,5. Jei korekciniai lęšiai naudojami tam, kad regėjimo aštrumas būtų 1,0 ir 0,5, regėjimo aštrumas kiekviena akimi be korekcinių lęšių privalo būti 0,05 arba minimalus regėjimo aštrumas (1,0 ir 0,5) privalo būti pasiektas nešiojant akinius, kurių stiprumas neturi būti didesnis kaip plius ar minus penkios dioptrijos, arba nešiojant kontaktinius lęšius (nekoreguotas regėjimas ne mažiau kaip 0,05). Korekcija turi būti gerai toleruojama. Mašinisto pažymėjimai neišduodami tiems kandidatams į mašinistus ar neatnaujinami tiems, kurių binokuliarinis regėjimo laukas nėra normalus arba kurie serga diplopija.</w:t>
                        </w:r>
                      </w:p>
                    </w:tc>
                    <w:tc>
                      <w:tcPr>
                        <w:tcW w:w="2340" w:type="dxa"/>
                      </w:tcPr>
                      <w:p>
                        <w:pPr>
                          <w:jc w:val="center"/>
                          <w:rPr>
                            <w:sz w:val="22"/>
                            <w:szCs w:val="22"/>
                          </w:rPr>
                        </w:pPr>
                        <w:r>
                          <w:rPr>
                            <w:sz w:val="22"/>
                            <w:szCs w:val="22"/>
                          </w:rPr>
                          <w:t>Žr. pastabą</w:t>
                        </w:r>
                      </w:p>
                    </w:tc>
                    <w:tc>
                      <w:tcPr>
                        <w:tcW w:w="2340" w:type="dxa"/>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1.1.</w:t>
                        </w:r>
                      </w:p>
                    </w:tc>
                    <w:tc>
                      <w:tcPr>
                        <w:tcW w:w="8820" w:type="dxa"/>
                      </w:tcPr>
                      <w:p>
                        <w:pPr>
                          <w:rPr>
                            <w:sz w:val="22"/>
                            <w:szCs w:val="22"/>
                            <w:lang w:val="pt-BR"/>
                          </w:rPr>
                        </w:pPr>
                        <w:r>
                          <w:rPr>
                            <w:sz w:val="22"/>
                            <w:szCs w:val="22"/>
                            <w:lang w:val="pt-BR"/>
                          </w:rPr>
                          <w:t xml:space="preserve">Toliaregystė H52.0 arba trumparegystė H52.1 </w:t>
                        </w:r>
                      </w:p>
                      <w:p>
                        <w:pPr>
                          <w:rPr>
                            <w:sz w:val="22"/>
                            <w:szCs w:val="22"/>
                          </w:rPr>
                        </w:pPr>
                        <w:r>
                          <w:rPr>
                            <w:sz w:val="22"/>
                            <w:szCs w:val="22"/>
                            <w:lang w:val="pt-BR"/>
                          </w:rPr>
                          <w:t xml:space="preserve">Pastaba. Leidžiama naudoti kontaktinius lęšius ar akinius, jei regėjimą periodiškai tikrina gydytojas oftalmologas. Korekciniams lęšiams taikomi maksimumai: +5 D ir -8 D. Jei mašinistas daug metų dirbo tą darbą </w:t>
                        </w:r>
                        <w:r>
                          <w:rPr>
                            <w:sz w:val="22"/>
                            <w:szCs w:val="22"/>
                          </w:rPr>
                          <w:t>– spręsti individualiai.</w:t>
                        </w:r>
                        <w:r>
                          <w:rPr>
                            <w:sz w:val="22"/>
                            <w:szCs w:val="22"/>
                            <w:lang w:val="pt-BR"/>
                          </w:rPr>
                          <w:t xml:space="preserve"> Išimtis galima daryti ypatingais atvejais, sprendimą priima gydytojas oftalmologas.</w:t>
                        </w:r>
                      </w:p>
                    </w:tc>
                    <w:tc>
                      <w:tcPr>
                        <w:tcW w:w="2340" w:type="dxa"/>
                      </w:tcPr>
                      <w:p>
                        <w:pPr>
                          <w:jc w:val="center"/>
                          <w:rPr>
                            <w:sz w:val="22"/>
                            <w:szCs w:val="22"/>
                            <w:lang w:val="pt-BR"/>
                          </w:rPr>
                        </w:pPr>
                        <w:r>
                          <w:rPr>
                            <w:sz w:val="22"/>
                            <w:szCs w:val="22"/>
                            <w:lang w:val="pt-BR"/>
                          </w:rPr>
                          <w:t xml:space="preserve">Jei toliaregystė daugiau kaip +5 D ir trumparegystė daugiau kaip -5 D </w:t>
                        </w:r>
                      </w:p>
                      <w:p>
                        <w:pPr>
                          <w:jc w:val="center"/>
                          <w:rPr>
                            <w:sz w:val="22"/>
                            <w:szCs w:val="22"/>
                            <w:lang w:val="pt-BR"/>
                          </w:rPr>
                        </w:pPr>
                        <w:r>
                          <w:rPr>
                            <w:sz w:val="22"/>
                            <w:szCs w:val="22"/>
                            <w:lang w:val="pt-BR"/>
                          </w:rPr>
                          <w:t>žr. Pastabą</w:t>
                        </w:r>
                      </w:p>
                    </w:tc>
                    <w:tc>
                      <w:tcPr>
                        <w:tcW w:w="2340" w:type="dxa"/>
                      </w:tcPr>
                      <w:p>
                        <w:pPr>
                          <w:jc w:val="center"/>
                          <w:rPr>
                            <w:sz w:val="22"/>
                            <w:szCs w:val="22"/>
                            <w:lang w:val="pt-BR"/>
                          </w:rPr>
                        </w:pPr>
                        <w:r>
                          <w:rPr>
                            <w:sz w:val="22"/>
                            <w:szCs w:val="22"/>
                            <w:lang w:val="pt-BR"/>
                          </w:rPr>
                          <w:t xml:space="preserve">Jei toliaregystė daugiau kaip +5 D ir trumparegystė </w:t>
                          <w:br/>
                          <w:t>daugiau kaip -8 D</w:t>
                        </w:r>
                      </w:p>
                      <w:p>
                        <w:pPr>
                          <w:ind w:firstLine="55"/>
                          <w:jc w:val="center"/>
                          <w:rPr>
                            <w:sz w:val="22"/>
                            <w:szCs w:val="22"/>
                            <w:lang w:val="pt-BR"/>
                          </w:rPr>
                        </w:pPr>
                        <w:r>
                          <w:rPr>
                            <w:sz w:val="22"/>
                            <w:szCs w:val="22"/>
                            <w:lang w:val="pt-BR"/>
                          </w:rPr>
                          <w:t>žr. Pastabą</w:t>
                        </w:r>
                      </w:p>
                    </w:tc>
                  </w:tr>
                  <w:tr>
                    <w:trPr>
                      <w:cantSplit/>
                      <w:trHeight w:val="20"/>
                    </w:trPr>
                    <w:tc>
                      <w:tcPr>
                        <w:tcW w:w="720" w:type="dxa"/>
                      </w:tcPr>
                      <w:p>
                        <w:pPr>
                          <w:ind w:right="-119"/>
                          <w:rPr>
                            <w:sz w:val="22"/>
                            <w:szCs w:val="22"/>
                          </w:rPr>
                        </w:pPr>
                        <w:r>
                          <w:rPr>
                            <w:sz w:val="22"/>
                            <w:szCs w:val="22"/>
                          </w:rPr>
                          <w:t>1.2</w:t>
                        </w:r>
                      </w:p>
                    </w:tc>
                    <w:tc>
                      <w:tcPr>
                        <w:tcW w:w="8820" w:type="dxa"/>
                      </w:tcPr>
                      <w:p>
                        <w:pPr>
                          <w:rPr>
                            <w:sz w:val="22"/>
                            <w:szCs w:val="22"/>
                            <w:lang w:val="pt-BR"/>
                          </w:rPr>
                        </w:pPr>
                        <w:r>
                          <w:rPr>
                            <w:sz w:val="22"/>
                            <w:szCs w:val="22"/>
                            <w:lang w:val="pt-BR"/>
                          </w:rPr>
                          <w:t>Glaukoma H40.1–H42 (II–III stadija)</w:t>
                        </w:r>
                      </w:p>
                      <w:p>
                        <w:pPr>
                          <w:rPr>
                            <w:sz w:val="22"/>
                            <w:szCs w:val="22"/>
                            <w:lang w:val="pt-BR"/>
                          </w:rPr>
                        </w:pPr>
                        <w:r>
                          <w:rPr>
                            <w:sz w:val="22"/>
                            <w:szCs w:val="22"/>
                            <w:lang w:val="pt-BR"/>
                          </w:rPr>
                          <w:t>Kitos tinklainės ligos H35–H36 (Progresuojančios akių ligos)</w:t>
                        </w:r>
                      </w:p>
                      <w:p>
                        <w:pPr>
                          <w:rPr>
                            <w:sz w:val="22"/>
                            <w:szCs w:val="22"/>
                            <w:lang w:val="pt-BR"/>
                          </w:rPr>
                        </w:pPr>
                        <w:r>
                          <w:rPr>
                            <w:sz w:val="22"/>
                            <w:szCs w:val="22"/>
                            <w:lang w:val="pt-BR"/>
                          </w:rPr>
                          <w:t xml:space="preserve">Pastaba. I stadijos glaukoma ir jei traukinio mašinistas dirbo tą darbą ne mažiau kaip 10 metų </w:t>
                        </w:r>
                        <w:r>
                          <w:rPr>
                            <w:sz w:val="22"/>
                            <w:szCs w:val="22"/>
                          </w:rPr>
                          <w:t>– spręsti individualiai.</w:t>
                        </w:r>
                        <w:r>
                          <w:rPr>
                            <w:sz w:val="22"/>
                            <w:szCs w:val="22"/>
                            <w:lang w:val="pt-BR"/>
                          </w:rPr>
                          <w:t xml:space="preserve"> Išimtis galima daryti ypatingais atvejais, individualiu gydytojo oftalmologo sprendimu.</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1.3.</w:t>
                        </w:r>
                      </w:p>
                    </w:tc>
                    <w:tc>
                      <w:tcPr>
                        <w:tcW w:w="8820" w:type="dxa"/>
                        <w:tcBorders>
                          <w:top w:val="single" w:sz="6" w:space="0" w:color="auto"/>
                          <w:left w:val="single" w:sz="6" w:space="0" w:color="auto"/>
                          <w:bottom w:val="single" w:sz="6" w:space="0" w:color="auto"/>
                          <w:right w:val="single" w:sz="6" w:space="0" w:color="auto"/>
                        </w:tcBorders>
                      </w:tcPr>
                      <w:p>
                        <w:pPr>
                          <w:tabs>
                            <w:tab w:val="left" w:pos="1296"/>
                            <w:tab w:val="center" w:pos="4153"/>
                            <w:tab w:val="right" w:pos="8306"/>
                          </w:tabs>
                          <w:rPr>
                            <w:sz w:val="22"/>
                            <w:szCs w:val="22"/>
                          </w:rPr>
                        </w:pPr>
                        <w:r>
                          <w:rPr>
                            <w:sz w:val="22"/>
                            <w:szCs w:val="22"/>
                          </w:rPr>
                          <w:t>Vokų ligos su regėjimo funkcijos sutrikimu, stabilūs vokų gleivinės pakitimai, vokų raumenų parezės, trukdantys regėjimui arba ribojantys akies obuolio judesius: H02.0–H02.5. Įgimtos vokų, ašarų aparato ir akiduobės formavimosi ydos Q10.0–Q10.3.</w:t>
                        </w:r>
                      </w:p>
                      <w:p>
                        <w:pPr>
                          <w:tabs>
                            <w:tab w:val="left" w:pos="1296"/>
                            <w:tab w:val="center" w:pos="4153"/>
                            <w:tab w:val="right" w:pos="8306"/>
                          </w:tabs>
                          <w:rPr>
                            <w:sz w:val="22"/>
                            <w:szCs w:val="22"/>
                          </w:rPr>
                        </w:pPr>
                        <w:r>
                          <w:rPr>
                            <w:sz w:val="22"/>
                            <w:szCs w:val="22"/>
                            <w:lang w:val="pt-BR"/>
                          </w:rPr>
                          <w:t xml:space="preserve">Pastaba. </w:t>
                        </w:r>
                        <w:r>
                          <w:rPr>
                            <w:sz w:val="22"/>
                            <w:szCs w:val="22"/>
                          </w:rPr>
                          <w:t>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1.4.</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Lėtinės ašarų sistemos ligos, neišgydomas ašarojimas: H04.2, H04.4, H04.5, H04.6; H04.8; H04.9</w:t>
                        </w:r>
                      </w:p>
                      <w:p>
                        <w:pPr>
                          <w:rPr>
                            <w:sz w:val="22"/>
                            <w:szCs w:val="22"/>
                            <w:lang w:val="pt-BR"/>
                          </w:rPr>
                        </w:pPr>
                        <w:r>
                          <w:rPr>
                            <w:sz w:val="22"/>
                            <w:szCs w:val="22"/>
                            <w:lang w:val="pt-BR"/>
                          </w:rPr>
                          <w:t>Pastaba. 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1.5.</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Diplopija ir žvairumas: H49–H50 </w:t>
                        </w:r>
                      </w:p>
                      <w:p>
                        <w:pPr>
                          <w:rPr>
                            <w:sz w:val="22"/>
                            <w:szCs w:val="22"/>
                            <w:lang w:val="pt-BR"/>
                          </w:rPr>
                        </w:pPr>
                        <w:r>
                          <w:rPr>
                            <w:sz w:val="22"/>
                            <w:szCs w:val="22"/>
                            <w:lang w:val="pt-BR"/>
                          </w:rPr>
                          <w:t>Pastaba. Traukinio mašinistu mokytis ir dirbti gali</w:t>
                        </w:r>
                        <w:r>
                          <w:rPr>
                            <w:sz w:val="22"/>
                            <w:szCs w:val="22"/>
                          </w:rPr>
                          <w:t>.</w:t>
                        </w:r>
                        <w:r>
                          <w:rPr>
                            <w:sz w:val="22"/>
                            <w:szCs w:val="22"/>
                            <w:lang w:val="pt-BR"/>
                          </w:rPr>
                          <w:t xml:space="preserve"> Išimtis galima daryti ypatingais atvejais, individualiu gydytojo oftalmologo sprendimu.</w:t>
                        </w:r>
                        <w:r>
                          <w:rPr>
                            <w:i/>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1.6.</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Lęšiuko ligos H 25–H 28, gyslainės ir tinklainės uždegimas H30–H36, </w:t>
                        </w:r>
                      </w:p>
                      <w:p>
                        <w:pPr>
                          <w:rPr>
                            <w:sz w:val="22"/>
                            <w:szCs w:val="22"/>
                            <w:lang w:val="pt-BR"/>
                          </w:rPr>
                        </w:pPr>
                        <w:r>
                          <w:rPr>
                            <w:sz w:val="22"/>
                            <w:szCs w:val="22"/>
                            <w:lang w:val="pt-BR"/>
                          </w:rPr>
                          <w:t>kitos regos nervo (2-ojo) ir regos takų ligos H47</w:t>
                        </w:r>
                      </w:p>
                      <w:p>
                        <w:pPr>
                          <w:rPr>
                            <w:sz w:val="22"/>
                            <w:szCs w:val="22"/>
                            <w:lang w:val="pt-BR"/>
                          </w:rPr>
                        </w:pPr>
                        <w:r>
                          <w:rPr>
                            <w:sz w:val="22"/>
                            <w:szCs w:val="22"/>
                            <w:lang w:val="pt-BR"/>
                          </w:rPr>
                          <w:t>Pastaba. Regėjimo susilpnėjimas dėl nuolatinio šviesos laužiamųjų skaidrių terpių drumstumo arba akių dugno pakitimų, refrakcijos anomalijų ir kitų organinio pobūdžio priežasčių.</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1.7.</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Silpnas abiejų akių regėjimas H54.2 </w:t>
                        </w:r>
                      </w:p>
                      <w:p>
                        <w:pP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1.8.</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Akipločio defektai H53.4</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1.9.</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Spalvinio matymo trūkumai H53.5</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 xml:space="preserve">2 </w:t>
                        </w:r>
                      </w:p>
                    </w:tc>
                    <w:tc>
                      <w:tcPr>
                        <w:tcW w:w="8820" w:type="dxa"/>
                      </w:tcPr>
                      <w:p>
                        <w:pPr>
                          <w:rPr>
                            <w:b/>
                            <w:bCs/>
                            <w:sz w:val="22"/>
                            <w:szCs w:val="22"/>
                            <w:lang w:val="pt-BR"/>
                          </w:rPr>
                        </w:pPr>
                        <w:r>
                          <w:rPr>
                            <w:b/>
                            <w:bCs/>
                            <w:sz w:val="22"/>
                            <w:szCs w:val="22"/>
                            <w:lang w:val="pt-BR"/>
                          </w:rPr>
                          <w:t>KLAUSA</w:t>
                        </w:r>
                      </w:p>
                      <w:p>
                        <w:pPr>
                          <w:rPr>
                            <w:sz w:val="22"/>
                            <w:szCs w:val="22"/>
                            <w:lang w:val="pt-BR"/>
                          </w:rPr>
                        </w:pPr>
                        <w:r>
                          <w:rPr>
                            <w:bCs/>
                            <w:sz w:val="22"/>
                            <w:szCs w:val="22"/>
                            <w:lang w:val="pt-BR"/>
                          </w:rPr>
                          <w:t>Sergant šiomis ausies ir speninės ataugos ligomis:</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Pr>
                      <w:p>
                        <w:pPr>
                          <w:rPr>
                            <w:sz w:val="22"/>
                            <w:szCs w:val="22"/>
                          </w:rPr>
                        </w:pPr>
                        <w:r>
                          <w:rPr>
                            <w:sz w:val="22"/>
                            <w:szCs w:val="22"/>
                          </w:rPr>
                          <w:t>2.1.</w:t>
                        </w:r>
                      </w:p>
                    </w:tc>
                    <w:tc>
                      <w:tcPr>
                        <w:tcW w:w="8820" w:type="dxa"/>
                      </w:tcPr>
                      <w:p>
                        <w:pPr>
                          <w:rPr>
                            <w:sz w:val="22"/>
                            <w:szCs w:val="22"/>
                            <w:lang w:val="pt-BR"/>
                          </w:rPr>
                        </w:pPr>
                        <w:r>
                          <w:rPr>
                            <w:bCs/>
                            <w:sz w:val="22"/>
                            <w:szCs w:val="22"/>
                            <w:lang w:val="pt-BR"/>
                          </w:rPr>
                          <w:t>Vienpusiu ar abipusiu kurtumu H91.3</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2.2.</w:t>
                        </w:r>
                      </w:p>
                    </w:tc>
                    <w:tc>
                      <w:tcPr>
                        <w:tcW w:w="8820" w:type="dxa"/>
                      </w:tcPr>
                      <w:p>
                        <w:pPr>
                          <w:rPr>
                            <w:bCs/>
                            <w:sz w:val="22"/>
                            <w:szCs w:val="22"/>
                          </w:rPr>
                        </w:pPr>
                        <w:r>
                          <w:rPr>
                            <w:bCs/>
                            <w:sz w:val="22"/>
                            <w:szCs w:val="22"/>
                          </w:rPr>
                          <w:t>otosclerozė H80.0</w:t>
                        </w:r>
                      </w:p>
                      <w:p>
                        <w:pPr>
                          <w:rPr>
                            <w:sz w:val="22"/>
                            <w:szCs w:val="22"/>
                          </w:rPr>
                        </w:pPr>
                        <w:r>
                          <w:rPr>
                            <w:sz w:val="22"/>
                            <w:szCs w:val="22"/>
                            <w:lang w:val="pt-BR"/>
                          </w:rPr>
                          <w:t>Pastaba. J</w:t>
                        </w:r>
                        <w:r>
                          <w:rPr>
                            <w:bCs/>
                            <w:sz w:val="22"/>
                            <w:szCs w:val="22"/>
                          </w:rPr>
                          <w:t>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2.3.</w:t>
                        </w:r>
                      </w:p>
                    </w:tc>
                    <w:tc>
                      <w:tcPr>
                        <w:tcW w:w="8820" w:type="dxa"/>
                      </w:tcPr>
                      <w:p>
                        <w:pPr>
                          <w:rPr>
                            <w:bCs/>
                            <w:sz w:val="22"/>
                            <w:szCs w:val="22"/>
                          </w:rPr>
                        </w:pPr>
                        <w:r>
                          <w:rPr>
                            <w:bCs/>
                            <w:sz w:val="22"/>
                            <w:szCs w:val="22"/>
                          </w:rPr>
                          <w:t>lėtine atikoantraline liga H66.2 svaigimas</w:t>
                        </w:r>
                      </w:p>
                      <w:p>
                        <w:pPr>
                          <w:rPr>
                            <w:sz w:val="22"/>
                            <w:szCs w:val="22"/>
                          </w:rPr>
                        </w:pPr>
                        <w:r>
                          <w:rPr>
                            <w:bCs/>
                            <w:sz w:val="22"/>
                            <w:szCs w:val="22"/>
                          </w:rPr>
                          <w:t>Pastaba. Jei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2.4.</w:t>
                        </w:r>
                      </w:p>
                    </w:tc>
                    <w:tc>
                      <w:tcPr>
                        <w:tcW w:w="8820" w:type="dxa"/>
                      </w:tcPr>
                      <w:p>
                        <w:pPr>
                          <w:rPr>
                            <w:bCs/>
                            <w:sz w:val="22"/>
                            <w:szCs w:val="22"/>
                            <w:lang w:val="pt-BR"/>
                          </w:rPr>
                        </w:pPr>
                        <w:r>
                          <w:rPr>
                            <w:bCs/>
                            <w:sz w:val="22"/>
                            <w:szCs w:val="22"/>
                            <w:lang w:val="pt-BR"/>
                          </w:rPr>
                          <w:t>Sergant kitomis ausų, nosies, gerklės ligomis:</w:t>
                        </w:r>
                      </w:p>
                    </w:tc>
                    <w:tc>
                      <w:tcPr>
                        <w:tcW w:w="2340" w:type="dxa"/>
                        <w:shd w:val="clear" w:color="auto" w:fill="auto"/>
                      </w:tcPr>
                      <w:p>
                        <w:pPr>
                          <w:jc w:val="center"/>
                          <w:rPr>
                            <w:sz w:val="22"/>
                            <w:szCs w:val="22"/>
                            <w:lang w:val="fr-FR"/>
                          </w:rPr>
                        </w:pPr>
                      </w:p>
                    </w:tc>
                    <w:tc>
                      <w:tcPr>
                        <w:tcW w:w="2340" w:type="dxa"/>
                        <w:shd w:val="clear" w:color="auto" w:fill="auto"/>
                      </w:tcPr>
                      <w:p>
                        <w:pPr>
                          <w:jc w:val="center"/>
                          <w:rPr>
                            <w:sz w:val="22"/>
                            <w:szCs w:val="22"/>
                            <w:lang w:val="fr-FR"/>
                          </w:rPr>
                        </w:pPr>
                      </w:p>
                    </w:tc>
                  </w:tr>
                  <w:tr>
                    <w:trPr>
                      <w:cantSplit/>
                      <w:trHeight w:val="20"/>
                    </w:trPr>
                    <w:tc>
                      <w:tcPr>
                        <w:tcW w:w="720" w:type="dxa"/>
                      </w:tcPr>
                      <w:p>
                        <w:pPr>
                          <w:rPr>
                            <w:sz w:val="22"/>
                            <w:szCs w:val="22"/>
                          </w:rPr>
                        </w:pPr>
                        <w:r>
                          <w:rPr>
                            <w:sz w:val="22"/>
                            <w:szCs w:val="22"/>
                          </w:rPr>
                          <w:t>2.5.</w:t>
                        </w:r>
                      </w:p>
                    </w:tc>
                    <w:tc>
                      <w:tcPr>
                        <w:tcW w:w="8820" w:type="dxa"/>
                      </w:tcPr>
                      <w:p>
                        <w:pPr>
                          <w:rPr>
                            <w:sz w:val="22"/>
                            <w:szCs w:val="22"/>
                          </w:rPr>
                        </w:pPr>
                        <w:r>
                          <w:rPr>
                            <w:bCs/>
                            <w:sz w:val="22"/>
                            <w:szCs w:val="22"/>
                            <w:lang w:val="pt-BR"/>
                          </w:rPr>
                          <w:t>Menjero liga H81.0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2.6.</w:t>
                        </w:r>
                      </w:p>
                    </w:tc>
                    <w:tc>
                      <w:tcPr>
                        <w:tcW w:w="8820" w:type="dxa"/>
                      </w:tcPr>
                      <w:p>
                        <w:pPr>
                          <w:rPr>
                            <w:bCs/>
                            <w:sz w:val="22"/>
                            <w:szCs w:val="22"/>
                          </w:rPr>
                        </w:pPr>
                        <w:r>
                          <w:rPr>
                            <w:bCs/>
                            <w:sz w:val="22"/>
                            <w:szCs w:val="22"/>
                          </w:rPr>
                          <w:t xml:space="preserve">Kitų ir nepatikslintų lokalizacijų gerybiniai navikai D36 klausos </w:t>
                        </w:r>
                        <w:r>
                          <w:rPr>
                            <w:sz w:val="22"/>
                            <w:szCs w:val="22"/>
                          </w:rPr>
                          <w:t>(8-ojo)</w:t>
                        </w:r>
                        <w:r>
                          <w:rPr>
                            <w:bCs/>
                            <w:sz w:val="22"/>
                            <w:szCs w:val="22"/>
                          </w:rPr>
                          <w:t xml:space="preserve"> nervo neurinoma D36.1)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2.7.</w:t>
                        </w:r>
                      </w:p>
                    </w:tc>
                    <w:tc>
                      <w:tcPr>
                        <w:tcW w:w="8820" w:type="dxa"/>
                      </w:tcPr>
                      <w:p>
                        <w:pPr>
                          <w:rPr>
                            <w:bCs/>
                            <w:sz w:val="22"/>
                            <w:szCs w:val="22"/>
                          </w:rPr>
                        </w:pPr>
                        <w:r>
                          <w:rPr>
                            <w:bCs/>
                            <w:sz w:val="22"/>
                            <w:szCs w:val="22"/>
                          </w:rPr>
                          <w:t>Gerklų stenoze su ryškiu kvėpavimo ir kalbos funkcijų sutrikimu: gerklų papilomatoze D14.0</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2.8.</w:t>
                        </w:r>
                      </w:p>
                    </w:tc>
                    <w:tc>
                      <w:tcPr>
                        <w:tcW w:w="8820" w:type="dxa"/>
                      </w:tcPr>
                      <w:p>
                        <w:pPr>
                          <w:rPr>
                            <w:bCs/>
                            <w:sz w:val="22"/>
                            <w:szCs w:val="22"/>
                          </w:rPr>
                        </w:pPr>
                        <w:r>
                          <w:rPr>
                            <w:bCs/>
                            <w:sz w:val="22"/>
                            <w:szCs w:val="22"/>
                          </w:rPr>
                          <w:t>abipusiu balso klosčių paralyžiumi J38.0</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2.9.</w:t>
                        </w:r>
                      </w:p>
                    </w:tc>
                    <w:tc>
                      <w:tcPr>
                        <w:tcW w:w="8820" w:type="dxa"/>
                      </w:tcPr>
                      <w:p>
                        <w:pPr>
                          <w:rPr>
                            <w:bCs/>
                            <w:sz w:val="22"/>
                            <w:szCs w:val="22"/>
                            <w:lang w:val="pt-BR"/>
                          </w:rPr>
                        </w:pPr>
                        <w:r>
                          <w:rPr>
                            <w:bCs/>
                            <w:sz w:val="22"/>
                            <w:szCs w:val="22"/>
                            <w:lang w:val="pt-BR"/>
                          </w:rPr>
                          <w:t>gerklų ir ryklės onkologinėmis ligomis C14.0–C32.0</w:t>
                        </w:r>
                      </w:p>
                      <w:p>
                        <w:pPr>
                          <w:rPr>
                            <w:bCs/>
                            <w:sz w:val="22"/>
                            <w:szCs w:val="22"/>
                            <w:lang w:val="pt-BR"/>
                          </w:rPr>
                        </w:pPr>
                        <w:r>
                          <w:rPr>
                            <w:bCs/>
                            <w:sz w:val="22"/>
                            <w:szCs w:val="22"/>
                            <w:lang w:val="pt-BR"/>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2.10.</w:t>
                        </w:r>
                      </w:p>
                    </w:tc>
                    <w:tc>
                      <w:tcPr>
                        <w:tcW w:w="8820" w:type="dxa"/>
                      </w:tcPr>
                      <w:p>
                        <w:pPr>
                          <w:rPr>
                            <w:bCs/>
                            <w:sz w:val="22"/>
                            <w:szCs w:val="22"/>
                          </w:rPr>
                        </w:pPr>
                        <w:r>
                          <w:rPr>
                            <w:bCs/>
                            <w:sz w:val="22"/>
                            <w:szCs w:val="22"/>
                          </w:rPr>
                          <w:t xml:space="preserve">Gerklų tuberkulioze A16.4 </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2.11.</w:t>
                        </w:r>
                      </w:p>
                    </w:tc>
                    <w:tc>
                      <w:tcPr>
                        <w:tcW w:w="8820" w:type="dxa"/>
                      </w:tcPr>
                      <w:p>
                        <w:pPr>
                          <w:rPr>
                            <w:sz w:val="22"/>
                            <w:szCs w:val="22"/>
                          </w:rPr>
                        </w:pPr>
                        <w:r>
                          <w:rPr>
                            <w:sz w:val="22"/>
                            <w:szCs w:val="22"/>
                          </w:rPr>
                          <w:t xml:space="preserve">Pastaba. </w:t>
                        </w:r>
                        <w:r>
                          <w:rPr>
                            <w:sz w:val="22"/>
                            <w:szCs w:val="22"/>
                            <w:lang w:val="pt-BR"/>
                          </w:rPr>
                          <w:t xml:space="preserve">Individualiais atvejais, kai trauma ar nelaimingas atsitikimas sutrikdo klausos ar kalbos bei kvėpavimo funkcijas, sprendžia gydytojas otorinolaringologas. </w:t>
                        </w:r>
                        <w:r>
                          <w:rPr>
                            <w:sz w:val="22"/>
                            <w:szCs w:val="22"/>
                          </w:rPr>
                          <w:t>Ypatingais atvejais leidžiama naudoti klausos aparatus.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3.</w:t>
                        </w:r>
                      </w:p>
                    </w:tc>
                    <w:tc>
                      <w:tcPr>
                        <w:tcW w:w="8820" w:type="dxa"/>
                      </w:tcPr>
                      <w:p>
                        <w:pPr>
                          <w:rPr>
                            <w:b/>
                            <w:sz w:val="22"/>
                            <w:szCs w:val="22"/>
                          </w:rPr>
                        </w:pPr>
                        <w:r>
                          <w:rPr>
                            <w:b/>
                            <w:sz w:val="22"/>
                            <w:szCs w:val="22"/>
                          </w:rPr>
                          <w:t>NĖŠTUMAS.</w:t>
                        </w:r>
                      </w:p>
                      <w:p>
                        <w:pPr>
                          <w:rPr>
                            <w:sz w:val="22"/>
                            <w:szCs w:val="22"/>
                          </w:rPr>
                        </w:pPr>
                        <w:r>
                          <w:rPr>
                            <w:sz w:val="22"/>
                            <w:szCs w:val="22"/>
                            <w:lang w:val="pt-BR"/>
                          </w:rPr>
                          <w:t xml:space="preserve">Esant nėštumo patologijai ar kitiems veiksniams, komplikuojantiems nėštumą, </w:t>
                        </w:r>
                        <w:r>
                          <w:rPr>
                            <w:sz w:val="22"/>
                            <w:szCs w:val="22"/>
                          </w:rPr>
                          <w:t>nėštumas turi būti laikomas priežastimi laikinai nušalinti traukinio mašinistę nuo pareigų. Turi būti taikomos nėščioms traukinio mašinistėms apsaugą teikiančios teisės aktų normos.</w:t>
                        </w:r>
                      </w:p>
                      <w:p>
                        <w:pPr>
                          <w:rPr>
                            <w:sz w:val="22"/>
                            <w:szCs w:val="22"/>
                          </w:rPr>
                        </w:pPr>
                        <w:r>
                          <w:rPr>
                            <w:sz w:val="22"/>
                            <w:szCs w:val="22"/>
                          </w:rPr>
                          <w:t xml:space="preserve">Vadovaujamasi Lietuvos Respublikos Vyriausybės 2003 m. kovo 19 d. nutarimu Nr. 340 „Dėl Nėščioms, neseniai pagimdžiusioms ar krūtimi maitinančioms moterims kenksmingų darbo sąlygų ir pavojingų veiksnių sąrašo patvirtinimo“ (Žin., 2003, Nr. </w:t>
                        </w:r>
                        <w:hyperlink r:id="rId61" w:tgtFrame="_blank" w:history="1">
                          <w:r>
                            <w:rPr>
                              <w:color w:val="0000FF" w:themeColor="hyperlink"/>
                              <w:sz w:val="22"/>
                              <w:szCs w:val="22"/>
                              <w:u w:val="single"/>
                            </w:rPr>
                            <w:t>29-1184</w:t>
                          </w:r>
                        </w:hyperlink>
                        <w:r>
                          <w:rPr>
                            <w:sz w:val="22"/>
                            <w:szCs w:val="22"/>
                          </w:rPr>
                          <w:t>) ir kitais teisės aktais.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w:t>
                        </w:r>
                      </w:p>
                    </w:tc>
                    <w:tc>
                      <w:tcPr>
                        <w:tcW w:w="8820" w:type="dxa"/>
                      </w:tcPr>
                      <w:p>
                        <w:pPr>
                          <w:tabs>
                            <w:tab w:val="left" w:pos="900"/>
                          </w:tabs>
                          <w:rPr>
                            <w:b/>
                            <w:sz w:val="22"/>
                            <w:szCs w:val="22"/>
                          </w:rPr>
                        </w:pPr>
                        <w:r>
                          <w:rPr>
                            <w:b/>
                            <w:sz w:val="22"/>
                            <w:szCs w:val="22"/>
                          </w:rPr>
                          <w:t>ŠIRDIES IR KRAUJAGYSLIŲ LIGOS</w:t>
                        </w:r>
                      </w:p>
                      <w:p>
                        <w:pPr>
                          <w:rPr>
                            <w:sz w:val="22"/>
                            <w:szCs w:val="22"/>
                          </w:rPr>
                        </w:pPr>
                        <w:r>
                          <w:rPr>
                            <w:sz w:val="22"/>
                            <w:szCs w:val="22"/>
                          </w:rPr>
                          <w:t xml:space="preserve">4.1. Išduoti ar neišduoti pažymėjimą įsidarbinantiesiems, kurie skundžiasi padidintu arteriniu kraujospūdžiu, sprendžiama remiantis išplėstinės klinikinės kardiologo apžiūros rezultatais, atsižvelgiant į galimas komplikacijas ir pavojų, kurį jos galėtų sukelti geležinkelių transporto eismo saugai. Dirbantiems traukinio mašinistams, sergantiems didelės rizikos arterine hipertenzija, turėtų būti nustatomi individualūs sveikatos tikrinimo terminai ir pažymėjimai atnaujinami po kardiologo konsultacijos. </w:t>
                        </w:r>
                      </w:p>
                      <w:p>
                        <w:pPr>
                          <w:rPr>
                            <w:sz w:val="22"/>
                            <w:szCs w:val="22"/>
                          </w:rPr>
                        </w:pPr>
                        <w:r>
                          <w:rPr>
                            <w:sz w:val="22"/>
                            <w:szCs w:val="22"/>
                          </w:rPr>
                          <w:t xml:space="preserve">4.2. Pažymėjimas neišduodamas įsidarbinantiesiems ar neatnaujinamas traukinio mašinistams, kurie serga stabilia III–IV f. klasės krūtinės angina ar yra persirgę ūminiais išeminiais sindromais – nestabiliąja krūtinės angina ar ūminiu miokardo infarktu be kardiologo konsultacijos. </w:t>
                        </w:r>
                      </w:p>
                      <w:p>
                        <w:pPr>
                          <w:rPr>
                            <w:sz w:val="22"/>
                            <w:szCs w:val="22"/>
                          </w:rPr>
                        </w:pPr>
                        <w:r>
                          <w:rPr>
                            <w:sz w:val="22"/>
                            <w:szCs w:val="22"/>
                          </w:rPr>
                          <w:t>4.3. Be kardiologo konsultacijos pažymėjimas neišduodamas įsidarbinantiesiems ar neatnaujinamas traukinio mašinistams, kurie serga pasikartojančiais paroksizminiais laidumo sutrikimais arba jiems diagnozuoti atrioventrikulinio ritmo sutrikimai, reikalingi gydymo.</w:t>
                        </w:r>
                      </w:p>
                      <w:p>
                        <w:pPr>
                          <w:rPr>
                            <w:sz w:val="22"/>
                            <w:szCs w:val="22"/>
                          </w:rPr>
                        </w:pPr>
                        <w:r>
                          <w:rPr>
                            <w:sz w:val="22"/>
                            <w:szCs w:val="22"/>
                          </w:rPr>
                          <w:t>Pastaba: Esant sunkiems širdies ir kraujagyslių funkcijos sutrikimams, juos koregavus, individualiu sprendimu išduoti ar neišduoti pažymėjimo įsidarbinantiesiems ir dirbti traukinio mašinistu leidžiama vadovaujantis gydytojo kardiologo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4.1.</w:t>
                        </w:r>
                      </w:p>
                    </w:tc>
                    <w:tc>
                      <w:tcPr>
                        <w:tcW w:w="8820" w:type="dxa"/>
                      </w:tcPr>
                      <w:p>
                        <w:pPr>
                          <w:rPr>
                            <w:sz w:val="22"/>
                            <w:szCs w:val="22"/>
                            <w:lang w:val="pt-BR"/>
                          </w:rPr>
                        </w:pPr>
                        <w:r>
                          <w:rPr>
                            <w:sz w:val="22"/>
                            <w:szCs w:val="22"/>
                            <w:lang w:val="pt-BR"/>
                          </w:rPr>
                          <w:t xml:space="preserve">II laipsnio su didele rizika ir III laipsnio arterinė hipertenzija I11–I15 </w:t>
                        </w:r>
                      </w:p>
                      <w:p>
                        <w:pPr>
                          <w:rPr>
                            <w:sz w:val="22"/>
                            <w:szCs w:val="22"/>
                            <w:lang w:val="pt-BR"/>
                          </w:rPr>
                        </w:pPr>
                        <w:r>
                          <w:rPr>
                            <w:sz w:val="22"/>
                            <w:szCs w:val="22"/>
                            <w:lang w:val="pt-BR"/>
                          </w:rPr>
                          <w:t>Pastaba: Tikrinimo terminai nustatomi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4.2.</w:t>
                        </w:r>
                      </w:p>
                    </w:tc>
                    <w:tc>
                      <w:tcPr>
                        <w:tcW w:w="8820" w:type="dxa"/>
                      </w:tcPr>
                      <w:p>
                        <w:pPr>
                          <w:rPr>
                            <w:sz w:val="22"/>
                            <w:szCs w:val="22"/>
                          </w:rPr>
                        </w:pPr>
                        <w:r>
                          <w:rPr>
                            <w:sz w:val="22"/>
                            <w:szCs w:val="22"/>
                          </w:rPr>
                          <w:t>Nekoreguoti ir pasikartojantys paroksizminės skilvelinės tachikardijos epizodai su hemodinamikos sutrikimais I 47.2.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4.3.</w:t>
                        </w:r>
                      </w:p>
                    </w:tc>
                    <w:tc>
                      <w:tcPr>
                        <w:tcW w:w="8820" w:type="dxa"/>
                      </w:tcPr>
                      <w:p>
                        <w:pPr>
                          <w:tabs>
                            <w:tab w:val="left" w:pos="900"/>
                          </w:tabs>
                          <w:rPr>
                            <w:sz w:val="22"/>
                            <w:szCs w:val="22"/>
                          </w:rPr>
                        </w:pPr>
                        <w:r>
                          <w:rPr>
                            <w:sz w:val="22"/>
                            <w:szCs w:val="22"/>
                          </w:rPr>
                          <w:t>Nekoreguota atrioventrikulinė blokada su hemodinamikos sutrikimais I 44.2.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5.</w:t>
                        </w:r>
                      </w:p>
                    </w:tc>
                    <w:tc>
                      <w:tcPr>
                        <w:tcW w:w="8820" w:type="dxa"/>
                      </w:tcPr>
                      <w:p>
                        <w:pPr>
                          <w:rPr>
                            <w:sz w:val="22"/>
                            <w:szCs w:val="22"/>
                            <w:lang w:val="pt-BR"/>
                          </w:rPr>
                        </w:pPr>
                        <w:r>
                          <w:rPr>
                            <w:b/>
                            <w:sz w:val="22"/>
                            <w:szCs w:val="22"/>
                            <w:lang w:val="pt-BR"/>
                          </w:rPr>
                          <w:t>KVĖPAVIMO SISTEMOS LIGOS</w:t>
                        </w:r>
                      </w:p>
                      <w:p>
                        <w:pPr>
                          <w:rPr>
                            <w:sz w:val="22"/>
                            <w:szCs w:val="22"/>
                            <w:lang w:val="pt-BR"/>
                          </w:rPr>
                        </w:pPr>
                        <w:r>
                          <w:rPr>
                            <w:sz w:val="22"/>
                            <w:szCs w:val="22"/>
                            <w:lang w:val="pt-BR"/>
                          </w:rPr>
                          <w:t>Sunkios lėtinės plaučių ligos esant kvėpavimo funkcijos nepakankamumui.</w:t>
                        </w:r>
                      </w:p>
                      <w:p>
                        <w:pPr>
                          <w:rPr>
                            <w:sz w:val="22"/>
                            <w:szCs w:val="22"/>
                            <w:lang w:val="pt-BR"/>
                          </w:rPr>
                        </w:pPr>
                        <w:r>
                          <w:rPr>
                            <w:sz w:val="22"/>
                            <w:szCs w:val="22"/>
                            <w:lang w:val="pt-BR"/>
                          </w:rPr>
                          <w:t>Pastaba: Esant sunkiems kvėpavimo funkcijos sutrikimams, juos koregavus, individualiu sprendimu išduoti ar neišduoti pažymėjimo įsidarbinantiesiems ir dirbti traukinio mašinistu leidžiama vadovaujantis gydytojo pulmonologo išvada.</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r>
                  <w:tr>
                    <w:trPr>
                      <w:cantSplit/>
                      <w:trHeight w:val="20"/>
                    </w:trPr>
                    <w:tc>
                      <w:tcPr>
                        <w:tcW w:w="720" w:type="dxa"/>
                      </w:tcPr>
                      <w:p>
                        <w:pPr>
                          <w:jc w:val="both"/>
                          <w:rPr>
                            <w:sz w:val="22"/>
                            <w:szCs w:val="22"/>
                          </w:rPr>
                        </w:pPr>
                        <w:r>
                          <w:rPr>
                            <w:sz w:val="22"/>
                            <w:szCs w:val="22"/>
                          </w:rPr>
                          <w:t xml:space="preserve">6. </w:t>
                        </w:r>
                      </w:p>
                    </w:tc>
                    <w:tc>
                      <w:tcPr>
                        <w:tcW w:w="8820" w:type="dxa"/>
                      </w:tcPr>
                      <w:p>
                        <w:pPr>
                          <w:rPr>
                            <w:b/>
                            <w:sz w:val="22"/>
                            <w:szCs w:val="22"/>
                            <w:lang w:val="pt-BR"/>
                          </w:rPr>
                        </w:pPr>
                        <w:r>
                          <w:rPr>
                            <w:b/>
                            <w:sz w:val="22"/>
                            <w:szCs w:val="22"/>
                            <w:lang w:val="pt-BR"/>
                          </w:rPr>
                          <w:t>ENDOKRININĖS, MITYBOS IR MEDŽIAGŲ APYKAITOS LIGOS.</w:t>
                        </w:r>
                      </w:p>
                      <w:p>
                        <w:pPr>
                          <w:rPr>
                            <w:sz w:val="22"/>
                            <w:szCs w:val="22"/>
                            <w:lang w:val="pt-BR"/>
                          </w:rPr>
                        </w:pPr>
                        <w:r>
                          <w:rPr>
                            <w:b/>
                            <w:sz w:val="22"/>
                            <w:szCs w:val="22"/>
                            <w:lang w:val="pt-BR"/>
                          </w:rPr>
                          <w:t>CUKRINIS DIABETAS: E10, E11, E12, E13, E14</w:t>
                        </w:r>
                      </w:p>
                      <w:p>
                        <w:pPr>
                          <w:rPr>
                            <w:sz w:val="22"/>
                            <w:szCs w:val="22"/>
                            <w:lang w:val="pt-BR"/>
                          </w:rPr>
                        </w:pPr>
                        <w:r>
                          <w:rPr>
                            <w:sz w:val="22"/>
                            <w:szCs w:val="22"/>
                            <w:lang w:val="pt-BR"/>
                          </w:rPr>
                          <w:t>Pažymėjimai dirbti t</w:t>
                        </w:r>
                        <w:r>
                          <w:rPr>
                            <w:sz w:val="22"/>
                            <w:szCs w:val="22"/>
                          </w:rPr>
                          <w:t>raukinio</w:t>
                        </w:r>
                        <w:r>
                          <w:rPr>
                            <w:sz w:val="22"/>
                            <w:szCs w:val="22"/>
                            <w:lang w:val="pt-BR"/>
                          </w:rPr>
                          <w:t xml:space="preserve"> mašinistu gali būti išduodami, sergantiems cukriniu diabetu, pateikus gydytojo endokrinologo išvadą ir reguliariai atliekant medicinines apžiūras kiekvienu atitinkamu atveju.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7.</w:t>
                        </w:r>
                      </w:p>
                    </w:tc>
                    <w:tc>
                      <w:tcPr>
                        <w:tcW w:w="8820" w:type="dxa"/>
                      </w:tcPr>
                      <w:p>
                        <w:pPr>
                          <w:rPr>
                            <w:b/>
                            <w:sz w:val="22"/>
                            <w:szCs w:val="22"/>
                          </w:rPr>
                        </w:pPr>
                        <w:r>
                          <w:rPr>
                            <w:b/>
                            <w:sz w:val="22"/>
                            <w:szCs w:val="22"/>
                          </w:rPr>
                          <w:t>NEUROLOGINĖS LIGOS</w:t>
                        </w:r>
                      </w:p>
                      <w:p>
                        <w:pPr>
                          <w:rPr>
                            <w:sz w:val="22"/>
                            <w:szCs w:val="22"/>
                          </w:rPr>
                        </w:pPr>
                        <w:r>
                          <w:rPr>
                            <w:sz w:val="22"/>
                            <w:szCs w:val="22"/>
                          </w:rPr>
                          <w:t>Traukinio mašinistų pažymėjimai neišduodami įsidarbinantiesiems ar neatnaujinami traukinio mašinistams, sergantiems sunkiomis nervų sistemos ligomis, išskyrus atvejus, kai prie prašymo pridedama gydytojo neurologo išvada. Centrinės ar periferinės nervų sistemos neurologiniai sutrikimai ar chirurgine intervencija, dėl kurių atsiranda sensoriniai ar motoriniai sutrikimai, darantys poveikį pusiausvyrai bei koordinacijai, privalo būti tinkamai įvertinti atsižvelgiant į jų funkcinius padarinius ir progresavimo riziką. Jei yra ligos progresavimo rizika, traukinio mašinisto pažymėjimai gali būti išduodami ar atnaujinami tik periodiškai įvertinant sveikatos būklę, vadovaujantis gydytojo neurologo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7.1.</w:t>
                        </w:r>
                      </w:p>
                    </w:tc>
                    <w:tc>
                      <w:tcPr>
                        <w:tcW w:w="8820" w:type="dxa"/>
                      </w:tcPr>
                      <w:p>
                        <w:pPr>
                          <w:rPr>
                            <w:sz w:val="22"/>
                            <w:szCs w:val="22"/>
                            <w:lang w:val="pt-BR"/>
                          </w:rPr>
                        </w:pPr>
                        <w:r>
                          <w:rPr>
                            <w:sz w:val="22"/>
                            <w:szCs w:val="22"/>
                            <w:lang w:val="pt-BR"/>
                          </w:rPr>
                          <w:t xml:space="preserve">Epilepsija su įvairaus pobūdžio priepuoliais: G40 </w:t>
                        </w:r>
                      </w:p>
                      <w:p>
                        <w:pPr>
                          <w:rPr>
                            <w:b/>
                            <w:sz w:val="22"/>
                            <w:szCs w:val="22"/>
                            <w:lang w:val="pt-BR"/>
                          </w:rPr>
                        </w:pPr>
                        <w:r>
                          <w:rPr>
                            <w:b/>
                            <w:sz w:val="22"/>
                            <w:szCs w:val="22"/>
                            <w:lang w:val="pt-BR"/>
                          </w:rPr>
                          <w:t>PASTABOS:</w:t>
                        </w:r>
                      </w:p>
                      <w:p>
                        <w:pPr>
                          <w:tabs>
                            <w:tab w:val="left" w:pos="720"/>
                            <w:tab w:val="center" w:pos="4153"/>
                            <w:tab w:val="right" w:pos="8306"/>
                          </w:tabs>
                          <w:rPr>
                            <w:sz w:val="22"/>
                            <w:szCs w:val="22"/>
                            <w:lang w:val="pt-BR"/>
                          </w:rPr>
                        </w:pPr>
                        <w:r>
                          <w:rPr>
                            <w:sz w:val="22"/>
                            <w:szCs w:val="22"/>
                            <w:lang w:val="pt-BR"/>
                          </w:rPr>
                          <w:t xml:space="preserve">1. Po pirmo (vienintelio) epilepsijos priepuolio negali dirbti mašinistu 2 metus. </w:t>
                        </w:r>
                      </w:p>
                      <w:p>
                        <w:pPr>
                          <w:rPr>
                            <w:sz w:val="22"/>
                            <w:szCs w:val="22"/>
                            <w:lang w:val="pt-BR"/>
                          </w:rPr>
                        </w:pPr>
                        <w:r>
                          <w:rPr>
                            <w:sz w:val="22"/>
                            <w:szCs w:val="22"/>
                            <w:lang w:val="pt-BR"/>
                          </w:rPr>
                          <w:t>2. Diagnozavus epilepsiją (buvus 2 ir daugiau epilepsijos priepuolių) ir priepuoliams nesikartojant, negali dirbti mašinistu 10 metų.</w:t>
                        </w:r>
                      </w:p>
                    </w:tc>
                    <w:tc>
                      <w:tcPr>
                        <w:tcW w:w="2340" w:type="dxa"/>
                        <w:shd w:val="clear" w:color="auto" w:fill="auto"/>
                      </w:tcPr>
                      <w:p>
                        <w:pPr>
                          <w:jc w:val="center"/>
                          <w:rPr>
                            <w:sz w:val="22"/>
                            <w:szCs w:val="22"/>
                            <w:lang w:val="pt-BR"/>
                          </w:rPr>
                        </w:pPr>
                      </w:p>
                      <w:p>
                        <w:pPr>
                          <w:jc w:val="center"/>
                          <w:rPr>
                            <w:sz w:val="22"/>
                            <w:szCs w:val="22"/>
                          </w:rPr>
                        </w:pPr>
                        <w:r>
                          <w:rPr>
                            <w:sz w:val="22"/>
                            <w:szCs w:val="22"/>
                          </w:rPr>
                          <w:t>Spręsti individualiai</w:t>
                        </w:r>
                      </w:p>
                    </w:tc>
                    <w:tc>
                      <w:tcPr>
                        <w:tcW w:w="2340" w:type="dxa"/>
                        <w:shd w:val="clear" w:color="auto" w:fill="auto"/>
                      </w:tcPr>
                      <w:p>
                        <w:pPr>
                          <w:jc w:val="center"/>
                          <w:rPr>
                            <w:sz w:val="22"/>
                            <w:szCs w:val="22"/>
                          </w:rPr>
                        </w:pPr>
                      </w:p>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7.2.</w:t>
                        </w:r>
                      </w:p>
                    </w:tc>
                    <w:tc>
                      <w:tcPr>
                        <w:tcW w:w="8820" w:type="dxa"/>
                      </w:tcPr>
                      <w:p>
                        <w:pPr>
                          <w:rPr>
                            <w:sz w:val="22"/>
                            <w:szCs w:val="22"/>
                            <w:lang w:val="pt-BR"/>
                          </w:rPr>
                        </w:pPr>
                        <w:r>
                          <w:rPr>
                            <w:sz w:val="22"/>
                            <w:szCs w:val="22"/>
                            <w:lang w:val="pt-BR"/>
                          </w:rPr>
                          <w:t>Kiti sąmonės sutrikimo epizodai: R56.8</w:t>
                        </w:r>
                      </w:p>
                      <w:p>
                        <w:pPr>
                          <w:rPr>
                            <w:sz w:val="22"/>
                            <w:szCs w:val="22"/>
                            <w:lang w:val="pt-BR"/>
                          </w:rPr>
                        </w:pPr>
                        <w:r>
                          <w:rPr>
                            <w:sz w:val="22"/>
                            <w:szCs w:val="22"/>
                            <w:lang w:val="pt-BR"/>
                          </w:rPr>
                          <w:t>Pastaba: Po nepatikslinto sąmonės sutrikimo epizodo negali dirbti traukinio mašinistu 2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7.3.</w:t>
                        </w:r>
                      </w:p>
                    </w:tc>
                    <w:tc>
                      <w:tcPr>
                        <w:tcW w:w="8820" w:type="dxa"/>
                      </w:tcPr>
                      <w:p>
                        <w:pPr>
                          <w:rPr>
                            <w:sz w:val="22"/>
                            <w:szCs w:val="22"/>
                          </w:rPr>
                        </w:pPr>
                        <w:r>
                          <w:rPr>
                            <w:sz w:val="22"/>
                            <w:szCs w:val="22"/>
                          </w:rPr>
                          <w:t>Ūminės ir lėtinės nervų sistemos ligos ir jų liekamieji reiškiniai (išlikus reikšmingiems judėjimo, koordinacijos ir jautros sutrikimams).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w:t>
                        </w:r>
                      </w:p>
                    </w:tc>
                    <w:tc>
                      <w:tcPr>
                        <w:tcW w:w="8820" w:type="dxa"/>
                        <w:tcBorders>
                          <w:top w:val="single" w:sz="6" w:space="0" w:color="auto"/>
                          <w:left w:val="single" w:sz="6" w:space="0" w:color="auto"/>
                          <w:bottom w:val="single" w:sz="6" w:space="0" w:color="auto"/>
                        </w:tcBorders>
                        <w:shd w:val="clear" w:color="auto" w:fill="auto"/>
                      </w:tcPr>
                      <w:p>
                        <w:pPr>
                          <w:tabs>
                            <w:tab w:val="center" w:pos="4153"/>
                            <w:tab w:val="right" w:pos="8306"/>
                          </w:tabs>
                          <w:rPr>
                            <w:b/>
                            <w:caps/>
                            <w:sz w:val="22"/>
                            <w:szCs w:val="22"/>
                          </w:rPr>
                        </w:pPr>
                        <w:r>
                          <w:rPr>
                            <w:b/>
                            <w:caps/>
                            <w:sz w:val="22"/>
                            <w:szCs w:val="22"/>
                          </w:rPr>
                          <w:t>PSICHIkos ir elgesio SUTRIKIMAI</w:t>
                        </w:r>
                      </w:p>
                      <w:p>
                        <w:pPr>
                          <w:tabs>
                            <w:tab w:val="center" w:pos="4153"/>
                            <w:tab w:val="right" w:pos="8306"/>
                          </w:tabs>
                          <w:rPr>
                            <w:sz w:val="22"/>
                            <w:szCs w:val="22"/>
                          </w:rPr>
                        </w:pPr>
                        <w:r>
                          <w:rPr>
                            <w:sz w:val="22"/>
                            <w:szCs w:val="22"/>
                          </w:rPr>
                          <w:t>Traukinio mašinisto pažymėjimai neišduodami įsidarbinantiesiems ar neatnaujinami traukinio mašinistams, turintiems:</w:t>
                        </w:r>
                      </w:p>
                      <w:p>
                        <w:pPr>
                          <w:tabs>
                            <w:tab w:val="center" w:pos="4153"/>
                            <w:tab w:val="right" w:pos="8306"/>
                          </w:tabs>
                          <w:rPr>
                            <w:sz w:val="22"/>
                            <w:szCs w:val="22"/>
                          </w:rPr>
                        </w:pPr>
                        <w:r>
                          <w:rPr>
                            <w:sz w:val="22"/>
                            <w:szCs w:val="22"/>
                          </w:rPr>
                          <w:t>– sunkių psichikos sutrikimų, įgimtų ar įgytų, sukeltų ligos, traumų ar neurochirurginių operacijų,</w:t>
                        </w:r>
                      </w:p>
                      <w:p>
                        <w:pPr>
                          <w:tabs>
                            <w:tab w:val="center" w:pos="4153"/>
                            <w:tab w:val="right" w:pos="8306"/>
                          </w:tabs>
                          <w:rPr>
                            <w:sz w:val="22"/>
                            <w:szCs w:val="22"/>
                          </w:rPr>
                        </w:pPr>
                        <w:r>
                          <w:rPr>
                            <w:sz w:val="22"/>
                            <w:szCs w:val="22"/>
                          </w:rPr>
                          <w:t>– sunkų protinį atsilikimą,</w:t>
                        </w:r>
                      </w:p>
                      <w:p>
                        <w:pPr>
                          <w:tabs>
                            <w:tab w:val="center" w:pos="4153"/>
                            <w:tab w:val="right" w:pos="8306"/>
                          </w:tabs>
                          <w:rPr>
                            <w:sz w:val="22"/>
                            <w:szCs w:val="22"/>
                          </w:rPr>
                        </w:pPr>
                        <w:r>
                          <w:rPr>
                            <w:sz w:val="22"/>
                            <w:szCs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szCs w:val="22"/>
                          </w:rPr>
                        </w:pPr>
                        <w:r>
                          <w:rPr>
                            <w:sz w:val="22"/>
                            <w:szCs w:val="22"/>
                          </w:rPr>
                          <w:t>Gydytojas psichiatras tinkamai įvertina papildomą riziką ir pavojus, kurie kyla, dirbant traukinio mašinistu.</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w:t>
                        </w:r>
                      </w:p>
                    </w:tc>
                    <w:tc>
                      <w:tcPr>
                        <w:tcW w:w="8820" w:type="dxa"/>
                        <w:tcBorders>
                          <w:top w:val="single" w:sz="6" w:space="0" w:color="auto"/>
                          <w:left w:val="single" w:sz="6" w:space="0" w:color="auto"/>
                          <w:bottom w:val="single" w:sz="4" w:space="0" w:color="auto"/>
                        </w:tcBorders>
                        <w:shd w:val="clear" w:color="auto" w:fill="auto"/>
                      </w:tcPr>
                      <w:p>
                        <w:pPr>
                          <w:rPr>
                            <w:sz w:val="22"/>
                            <w:szCs w:val="22"/>
                            <w:lang w:val="pt-BR"/>
                          </w:rPr>
                        </w:pPr>
                        <w:r>
                          <w:rPr>
                            <w:sz w:val="22"/>
                            <w:szCs w:val="22"/>
                            <w:lang w:val="pt-BR"/>
                          </w:rPr>
                          <w:t>Visų etiologijų demencijos F00–F03, G30</w:t>
                        </w:r>
                      </w:p>
                    </w:tc>
                    <w:tc>
                      <w:tcPr>
                        <w:tcW w:w="2340" w:type="dxa"/>
                        <w:shd w:val="clear" w:color="auto" w:fill="auto"/>
                      </w:tcPr>
                      <w:p>
                        <w:pPr>
                          <w:jc w:val="center"/>
                          <w:rPr>
                            <w:sz w:val="22"/>
                            <w:szCs w:val="22"/>
                            <w:lang w:val="pt-BR"/>
                          </w:rPr>
                        </w:pPr>
                        <w:r>
                          <w:rPr>
                            <w:sz w:val="22"/>
                            <w:szCs w:val="22"/>
                          </w:rPr>
                          <w:t>Draudžiama</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8.2.</w:t>
                        </w:r>
                      </w:p>
                    </w:tc>
                    <w:tc>
                      <w:tcPr>
                        <w:tcW w:w="8820" w:type="dxa"/>
                        <w:tcBorders>
                          <w:top w:val="single" w:sz="4" w:space="0" w:color="auto"/>
                          <w:left w:val="single" w:sz="6" w:space="0" w:color="auto"/>
                          <w:bottom w:val="single" w:sz="6" w:space="0" w:color="auto"/>
                        </w:tcBorders>
                        <w:shd w:val="clear" w:color="auto" w:fill="auto"/>
                      </w:tcPr>
                      <w:p>
                        <w:pPr>
                          <w:outlineLvl w:val="7"/>
                          <w:rPr>
                            <w:iCs/>
                            <w:sz w:val="22"/>
                            <w:szCs w:val="22"/>
                            <w:lang w:val="pt-BR"/>
                          </w:rPr>
                        </w:pPr>
                        <w:r>
                          <w:rPr>
                            <w:iCs/>
                            <w:sz w:val="22"/>
                            <w:szCs w:val="22"/>
                            <w:lang w:val="pt-BR"/>
                          </w:rPr>
                          <w:t xml:space="preserve">Organiniai ir simptominiai psichikos sutrikimai F04; F05; F06 – </w:t>
                        </w:r>
                      </w:p>
                      <w:p>
                        <w:pPr>
                          <w:rPr>
                            <w:sz w:val="22"/>
                            <w:szCs w:val="22"/>
                            <w:lang w:val="pt-BR"/>
                          </w:rPr>
                        </w:pPr>
                        <w:r>
                          <w:rPr>
                            <w:sz w:val="22"/>
                            <w:szCs w:val="22"/>
                            <w:lang w:val="pt-BR"/>
                          </w:rPr>
                          <w:t>sprendžiama individualiai, įvertinus kompleksinio tyrimo duomenis, kompensacijos stabilumą, skiriamą medikamentinį gydymą ar pasveikus.</w:t>
                        </w:r>
                      </w:p>
                    </w:tc>
                    <w:tc>
                      <w:tcPr>
                        <w:tcW w:w="2340" w:type="dxa"/>
                        <w:shd w:val="clear" w:color="auto" w:fill="auto"/>
                      </w:tcPr>
                      <w:p>
                        <w:pPr>
                          <w:jc w:val="center"/>
                          <w:rPr>
                            <w:sz w:val="22"/>
                            <w:szCs w:val="22"/>
                          </w:rPr>
                        </w:pPr>
                        <w:r>
                          <w:rPr>
                            <w:sz w:val="22"/>
                            <w:szCs w:val="22"/>
                          </w:rPr>
                          <w:t>Žr. pastabą</w:t>
                        </w:r>
                      </w:p>
                      <w:p>
                        <w:pPr>
                          <w:jc w:val="center"/>
                          <w:rPr>
                            <w:sz w:val="22"/>
                            <w:szCs w:val="22"/>
                          </w:rPr>
                        </w:pPr>
                        <w:r>
                          <w:rPr>
                            <w:sz w:val="22"/>
                            <w:szCs w:val="22"/>
                          </w:rPr>
                          <w:t>Spręsti individualiai</w:t>
                        </w:r>
                      </w:p>
                    </w:tc>
                    <w:tc>
                      <w:tcPr>
                        <w:tcW w:w="2340" w:type="dxa"/>
                        <w:shd w:val="clear" w:color="auto" w:fill="auto"/>
                      </w:tcPr>
                      <w:p>
                        <w:pPr>
                          <w:jc w:val="center"/>
                          <w:rPr>
                            <w:sz w:val="22"/>
                            <w:szCs w:val="22"/>
                            <w:lang w:val="pt-BR"/>
                          </w:rPr>
                        </w:pPr>
                        <w:r>
                          <w:rPr>
                            <w:sz w:val="22"/>
                            <w:szCs w:val="22"/>
                            <w:lang w:val="pt-BR"/>
                          </w:rPr>
                          <w:t>Žr. pastabą</w:t>
                        </w:r>
                      </w:p>
                      <w:p>
                        <w:pPr>
                          <w:jc w:val="center"/>
                          <w:rPr>
                            <w:sz w:val="22"/>
                            <w:szCs w:val="22"/>
                            <w:lang w:val="pt-BR"/>
                          </w:rPr>
                        </w:pPr>
                        <w:r>
                          <w:rPr>
                            <w:sz w:val="22"/>
                            <w:szCs w:val="22"/>
                            <w:lang w:val="pt-BR"/>
                          </w:rPr>
                          <w:t xml:space="preserve">Pasveikus spręsti individualiai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8.3.</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Organiniai asmenybės ir elgesio sutrikimai </w:t>
                        </w:r>
                      </w:p>
                      <w:p>
                        <w:pPr>
                          <w:rPr>
                            <w:sz w:val="22"/>
                            <w:szCs w:val="22"/>
                          </w:rPr>
                        </w:pPr>
                        <w:r>
                          <w:rPr>
                            <w:sz w:val="22"/>
                            <w:szCs w:val="22"/>
                          </w:rPr>
                          <w:t xml:space="preserve">F07 – sprendžiama individualiai, įvertinus kompleksinio tyrimo duomenis, kompensacijos stabilumą, adaptacijos kokybę, skiriamą medikamentinį gydymą.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8.4.</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Psichikos ir elgesio sutrikimai, vartojant psichotropines medžiagas</w:t>
                        </w:r>
                      </w:p>
                      <w:p>
                        <w:pPr>
                          <w:rPr>
                            <w:rFonts w:eastAsia="MS Mincho"/>
                            <w:sz w:val="22"/>
                            <w:szCs w:val="22"/>
                          </w:rPr>
                        </w:pPr>
                        <w:r>
                          <w:rPr>
                            <w:rFonts w:eastAsia="MS Mincho"/>
                            <w:sz w:val="22"/>
                            <w:szCs w:val="22"/>
                          </w:rPr>
                          <w:t xml:space="preserve">F1X.1–F1X.9 (remisijų metu sprendžiama individualiai, atsižvelgiant į remisijų trukmę, stabilumą, adaptaciją, skiriamą medikamentinį gydymą) </w:t>
                        </w:r>
                      </w:p>
                      <w:p>
                        <w:pPr>
                          <w:tabs>
                            <w:tab w:val="left" w:pos="1296"/>
                            <w:tab w:val="center" w:pos="4153"/>
                            <w:tab w:val="right" w:pos="8306"/>
                          </w:tabs>
                          <w:rPr>
                            <w:sz w:val="22"/>
                            <w:szCs w:val="22"/>
                          </w:rPr>
                        </w:pPr>
                        <w:r>
                          <w:rPr>
                            <w:sz w:val="22"/>
                            <w:szCs w:val="22"/>
                          </w:rPr>
                          <w:t>(X – bet kuris skaičius nuo 1 iki 9, išskyrus 7)</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8.5.</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 xml:space="preserve">Schizofrenija, schizotipinis ir kliedesinis sutrikimas F20–29 </w:t>
                        </w:r>
                      </w:p>
                      <w:p>
                        <w:pPr>
                          <w:tabs>
                            <w:tab w:val="left" w:pos="1296"/>
                            <w:tab w:val="center" w:pos="4153"/>
                            <w:tab w:val="right" w:pos="8306"/>
                          </w:tabs>
                          <w:rPr>
                            <w:sz w:val="22"/>
                            <w:szCs w:val="22"/>
                          </w:rPr>
                        </w:pPr>
                        <w:r>
                          <w:rPr>
                            <w:sz w:val="22"/>
                            <w:szCs w:val="22"/>
                          </w:rPr>
                          <w:t xml:space="preserve">(esant remisijai ar ribinio lygio rezidualinei simptomatikai, galimybės dirbti traukinio mašinistu klausimas sprendžiamas individualiai, atsižvelgiant į kompleksinio tyrimo duomenis – remisijos trukmę, kokybę, rezidualinę simptomatiką, adaptacijos kokybę,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tabs>
                            <w:tab w:val="left" w:pos="1296"/>
                            <w:tab w:val="center" w:pos="4153"/>
                            <w:tab w:val="right" w:pos="8306"/>
                          </w:tabs>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8.6.</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Afektiniai sutrikimai – F30.1–F 0.9; F31.1–F31.9; F32.1–F32.9; F33.0–F33.9, F39 (remisijų metu klausimas sprendžiamas individualiai, atsižvelgiant į remisijos trukmę, stabilumą, adaptaciją, skiriamą medikamentinį gydymą).</w:t>
                        </w:r>
                      </w:p>
                      <w:p>
                        <w:pPr>
                          <w:rPr>
                            <w:sz w:val="22"/>
                            <w:szCs w:val="22"/>
                          </w:rPr>
                        </w:pPr>
                        <w:r>
                          <w:rPr>
                            <w:sz w:val="22"/>
                            <w:szCs w:val="22"/>
                          </w:rPr>
                          <w:t xml:space="preserve">Afektiniai sutrikimai F34; F38 (sprendžiama individualiai, atsižvelgiant į psichikos sutrikimo simptomų išreikštumą, adaptaciją,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8.7.</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Neuroziniai, stresiniai ir somatoforminiai sutrikimai F40–F48 – sprendžiama individualiai, atsižvelgiant į sutrikimus, adaptacijos, ilgalaikio psichotropinių vaistų vartojimo būtinumą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8.8.</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Elgesio sindromai, susiję su fiziologiniais sutrikimais bei somatiniais veiksniais F50; F51: F53–F59 – sprendžiama individualiai, atsižvelgiant į sutrikimus, adaptaciją, ilgalaikio psichotropinių vaistų vartojimo būtinumą</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8.9.</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Suaugusiųjų asmenybės ir elgesio sutrikimai F60–F63; F68; F69 – sprendžiama individualiai, atsižvelgiant į dekompensacijų dažnumą, laipsnį, adaptacijos kokybę, ilgalaikio psichotropinių vaistų vartojimo būtinumą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8.10</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F70–F71– sprendžiama individualiai, remiantis psichologo išvada, atsižvelgiant į praktinius įgūdžius bei adaptacijos kokybę.</w:t>
                        </w:r>
                      </w:p>
                      <w:p>
                        <w:pPr>
                          <w:rPr>
                            <w:sz w:val="22"/>
                            <w:szCs w:val="22"/>
                            <w:lang w:val="pt-BR"/>
                          </w:rPr>
                        </w:pPr>
                        <w:r>
                          <w:rPr>
                            <w:sz w:val="22"/>
                            <w:szCs w:val="22"/>
                            <w:lang w:val="pt-BR"/>
                          </w:rPr>
                          <w:t>Pakartotinis sveikatos tikrinimas skiriamas po 3 metų.</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8.11</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F72–F79</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8.12.</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Psichologinės raidos sutrikimai F72–F79</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8.13</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Elgesio ir emocijų sutrikimai, prasidedantys vaikystėje ir paauglystėje F90–F98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b/>
                            <w:strike/>
                            <w:sz w:val="22"/>
                            <w:szCs w:val="22"/>
                          </w:rPr>
                        </w:pP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PASTABA: Psichozinio lygio sutrikimų atveju kokybiška remisija turėtų trukti ne trumpiau kaip 3 metus</w:t>
                        </w:r>
                      </w:p>
                      <w:p>
                        <w:pPr>
                          <w:rPr>
                            <w:sz w:val="22"/>
                            <w:szCs w:val="22"/>
                          </w:rPr>
                        </w:pPr>
                        <w:r>
                          <w:rPr>
                            <w:sz w:val="22"/>
                            <w:szCs w:val="22"/>
                          </w:rPr>
                          <w:t>Nepsichozinio lygio psichikos sutrikimų atveju remisija turėtų trukti ne trumpiau kaip 1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9.</w:t>
                        </w:r>
                      </w:p>
                    </w:tc>
                    <w:tc>
                      <w:tcPr>
                        <w:tcW w:w="8820" w:type="dxa"/>
                      </w:tcPr>
                      <w:p>
                        <w:pPr>
                          <w:rPr>
                            <w:b/>
                            <w:sz w:val="22"/>
                            <w:szCs w:val="22"/>
                          </w:rPr>
                        </w:pPr>
                        <w:r>
                          <w:rPr>
                            <w:b/>
                            <w:sz w:val="22"/>
                            <w:szCs w:val="22"/>
                          </w:rPr>
                          <w:t xml:space="preserve">UROGENITALINĖS SISTEMOS LIGOS: </w:t>
                        </w:r>
                      </w:p>
                      <w:p>
                        <w:pPr>
                          <w:tabs>
                            <w:tab w:val="left" w:pos="1080"/>
                          </w:tabs>
                          <w:rPr>
                            <w:rFonts w:eastAsia="MS Mincho"/>
                            <w:sz w:val="22"/>
                            <w:szCs w:val="22"/>
                          </w:rPr>
                        </w:pPr>
                        <w:r>
                          <w:rPr>
                            <w:sz w:val="22"/>
                            <w:szCs w:val="22"/>
                          </w:rPr>
                          <w:t>PASTABA: Pažymėjimai negali būti išduodami sergantiems sunkiu inkstų nepakankamumu, išskyrus atvejus, kai inkstų nepakankamumas yra lengvesnio laipsnio ir tai yra pagrįsta gydytojo nefrologo išvada, paremta reguliariai atliekamomis medicininėmis apžiūromis.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p>
                    </w:tc>
                    <w:tc>
                      <w:tcPr>
                        <w:tcW w:w="8820" w:type="dxa"/>
                      </w:tcPr>
                      <w:p>
                        <w:pPr>
                          <w:rPr>
                            <w:i/>
                            <w:sz w:val="22"/>
                            <w:szCs w:val="22"/>
                          </w:rPr>
                        </w:pPr>
                        <w:r>
                          <w:rPr>
                            <w:sz w:val="22"/>
                            <w:szCs w:val="22"/>
                          </w:rPr>
                          <w:t>Lėtinis inkstų nepakankamumas N18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10.</w:t>
                        </w:r>
                      </w:p>
                    </w:tc>
                    <w:tc>
                      <w:tcPr>
                        <w:tcW w:w="8820" w:type="dxa"/>
                      </w:tcPr>
                      <w:p>
                        <w:pPr>
                          <w:rPr>
                            <w:i/>
                            <w:sz w:val="22"/>
                            <w:szCs w:val="22"/>
                          </w:rPr>
                        </w:pPr>
                        <w:r>
                          <w:rPr>
                            <w:b/>
                            <w:sz w:val="22"/>
                            <w:szCs w:val="22"/>
                          </w:rPr>
                          <w:t>KITOS LIGOS AR BŪKLĖS</w:t>
                        </w:r>
                        <w:r>
                          <w:rPr>
                            <w:sz w:val="22"/>
                            <w:szCs w:val="22"/>
                          </w:rPr>
                          <w:t>, kurių nėra šiame sąraše, tačiau dėl kurių, gydytojų konsultacinės komisijos sprendimu, asmuo negali dirbti traukinio mašinistu. Sprendimą priima ASPĮ gydytojų konsultacinė komisija, jį būtina argumentuoti.</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bl>
                <w:p/>
                <w:p>
                  <w:pPr>
                    <w:jc w:val="both"/>
                  </w:pPr>
                  <w:r>
                    <w:t>Pastabos:</w:t>
                  </w:r>
                </w:p>
                <w:sdt>
                  <w:sdtPr>
                    <w:alias w:val="12 pr. 1 p."/>
                    <w:tag w:val="part_a2a1703406d040a4b7e2d5bfac8f4367"/>
                    <w:lock w:val="sdtLocked"/>
                    <w:richText/>
                  </w:sdtPr>
                  <w:sdtContent>
                    <w:p>
                      <w:pPr>
                        <w:jc w:val="both"/>
                      </w:pPr>
                      <w:sdt>
                        <w:sdtPr>
                          <w:alias w:val="Numeris"/>
                          <w:tag w:val="nr_a2a1703406d040a4b7e2d5bfac8f4367"/>
                          <w:lock w:val="sdtLocked"/>
                          <w:richText/>
                        </w:sdtPr>
                        <w:sdtContent>
                          <w:r>
                            <w:t>1</w:t>
                          </w:r>
                        </w:sdtContent>
                      </w:sdt>
                      <w:r>
                        <w:t>. „Spręsti individualiai“, „individualiu sprendimu“ reiškia, kad asmuo, atsakingas už sveikatos tikrinimus, o individualiais atvejais – gydytojų konsultacinė komisija, vadovaudamiesi ir specializuotų gydymo įstaigų, kitų profesinių kvalifikacijų gydytojų išvadomis ir rekomendacijomis, atsižvelgdami į susirgimą, kompensaciją, patologinio proceso grįžtamumą, jo progresavimą tęsiant darbuotojo, dirbančio pagal darbo sutartis (atsižvelgiant į darbo krūvį, konkrečias pareigas), darbą, tiriamojo ypatumus, gali priimti individualų sprendimą, leidžiantį asmeniui dirbti traukinio mašinistu.</w:t>
                      </w:r>
                    </w:p>
                  </w:sdtContent>
                </w:sdt>
                <w:sdt>
                  <w:sdtPr>
                    <w:alias w:val="12 pr. 2 p."/>
                    <w:tag w:val="part_8d7388ed9db7464b946fc272fb1206c0"/>
                    <w:lock w:val="sdtLocked"/>
                    <w:richText/>
                  </w:sdtPr>
                  <w:sdtContent>
                    <w:p>
                      <w:pPr>
                        <w:jc w:val="both"/>
                      </w:pPr>
                      <w:sdt>
                        <w:sdtPr>
                          <w:alias w:val="Numeris"/>
                          <w:tag w:val="nr_8d7388ed9db7464b946fc272fb1206c0"/>
                          <w:lock w:val="sdtLocked"/>
                          <w:richText/>
                        </w:sdtPr>
                        <w:sdtContent>
                          <w:r>
                            <w:t>2</w:t>
                          </w:r>
                        </w:sdtContent>
                      </w:sdt>
                      <w:r>
                        <w:t xml:space="preserve">. Apie būtinybę dirbti su akiniais, kontaktiniais lęšiais, klausos aparatu, protezu, draudimą dirbti, privaloma įrašyti į F Nr. 048/a. </w:t>
                      </w:r>
                    </w:p>
                  </w:sdtContent>
                </w:sdt>
                <w:sdt>
                  <w:sdtPr>
                    <w:alias w:val="12 pr. 3 p."/>
                    <w:tag w:val="part_011de965a61048bca96edb3b00b2dd95"/>
                    <w:lock w:val="sdtLocked"/>
                    <w:richText/>
                  </w:sdtPr>
                  <w:sdtContent>
                    <w:p>
                      <w:pPr>
                        <w:jc w:val="both"/>
                      </w:pPr>
                      <w:sdt>
                        <w:sdtPr>
                          <w:alias w:val="Numeris"/>
                          <w:tag w:val="nr_011de965a61048bca96edb3b00b2dd95"/>
                          <w:lock w:val="sdtLocked"/>
                          <w:richText/>
                        </w:sdtPr>
                        <w:sdtContent>
                          <w:r>
                            <w:t>3</w:t>
                          </w:r>
                        </w:sdtContent>
                      </w:sdt>
                      <w:r>
                        <w:t>. Visiems darbuotojams, kurių darbas susijęs su geležinkelių transporto eismu, dirbti leidžiama, jei psichozinio lygio sutrikimų atveju kokybiška remisija trunka ne trumpiau kaip 3 metus. Nepsichozinio lygio psichikos sutrikimų atveju remisija turėtų trukti ne trumpiau kaip 1 metus.</w:t>
                      </w:r>
                    </w:p>
                    <w:p>
                      <w:pPr>
                        <w:jc w:val="both"/>
                      </w:pPr>
                    </w:p>
                    <w:p>
                      <w:pPr>
                        <w:jc w:val="center"/>
                      </w:pPr>
                      <w:r>
                        <w:t>_________________</w:t>
                      </w:r>
                    </w:p>
                    <w:p>
                      <w:pPr>
                        <w:jc w:val="both"/>
                      </w:pPr>
                    </w:p>
                    <w:p>
                      <w:pPr>
                        <w:rPr>
                          <w:sz w:val="20"/>
                        </w:rPr>
                      </w:pPr>
                    </w:p>
                    <w:p>
                      <w:pPr>
                        <w:outlineLvl w:val="7"/>
                        <w:rPr>
                          <w:i/>
                          <w:iCs/>
                        </w:rPr>
                        <w:sectPr>
                          <w:headerReference w:type="even" r:id="rId62"/>
                          <w:footerReference w:type="default" r:id="rId63"/>
                          <w:pgSz w:w="16838" w:h="11906" w:orient="landscape"/>
                          <w:pgMar w:top="1078" w:right="1701" w:bottom="567" w:left="1134" w:header="567" w:footer="567" w:gutter="0"/>
                          <w:cols w:space="1296"/>
                          <w:docGrid w:linePitch="360"/>
                        </w:sectPr>
                      </w:pPr>
                    </w:p>
                    <w:p>
                      <w:pPr>
                        <w:rPr>
                          <w:sz w:val="6"/>
                          <w:szCs w:val="6"/>
                        </w:rPr>
                      </w:pPr>
                    </w:p>
                  </w:sdtContent>
                </w:sdt>
              </w:sdtContent>
            </w:sdt>
            <w:sdt>
              <w:sdtPr>
                <w:alias w:val="lentele"/>
                <w:tag w:val="part_0c21bcd121574730b780c7f2dc48b52c"/>
                <w:lock w:val="sdtLocked"/>
                <w:richText/>
              </w:sdtPr>
              <w:sdtContent>
                <w:p>
                  <w:pPr>
                    <w:widowControl w:val="0"/>
                    <w:ind w:firstLine="5102"/>
                    <w:outlineLvl w:val="7"/>
                    <w:rPr>
                      <w:iCs/>
                    </w:rPr>
                  </w:pPr>
                  <w:r>
                    <w:rPr>
                      <w:iCs/>
                    </w:rPr>
                    <w:t>2 lentelė</w:t>
                  </w:r>
                </w:p>
                <w:p>
                  <w:pPr>
                    <w:widowControl w:val="0"/>
                    <w:jc w:val="center"/>
                    <w:rPr>
                      <w:rFonts w:eastAsia="MS Mincho"/>
                      <w:b/>
                    </w:rPr>
                  </w:pPr>
                </w:p>
                <w:p>
                  <w:pPr>
                    <w:widowControl w:val="0"/>
                    <w:jc w:val="center"/>
                    <w:rPr>
                      <w:rFonts w:eastAsia="MS Mincho"/>
                      <w:b/>
                    </w:rPr>
                  </w:pPr>
                  <w:r>
                    <w:rPr>
                      <w:rFonts w:eastAsia="MS Mincho"/>
                      <w:b/>
                    </w:rPr>
                    <w:t xml:space="preserve">TRAUKINIO MAŠINISTO GARBĖS DEKLARACIJA </w:t>
                  </w:r>
                </w:p>
                <w:p>
                  <w:pPr>
                    <w:widowControl w:val="0"/>
                    <w:jc w:val="center"/>
                    <w:rPr>
                      <w:rFonts w:eastAsia="MS Mincho"/>
                      <w:b/>
                    </w:rPr>
                  </w:pPr>
                  <w:r>
                    <w:rPr>
                      <w:rFonts w:eastAsia="MS Mincho"/>
                      <w:b/>
                    </w:rPr>
                    <w:t>(SVEIKATOS PATIKRINIMO KLAUSIMYNAS)</w:t>
                  </w:r>
                </w:p>
                <w:p>
                  <w:pPr>
                    <w:widowControl w:val="0"/>
                    <w:rPr>
                      <w:rFonts w:eastAsia="MS Mincho"/>
                      <w:b/>
                    </w:rPr>
                  </w:pPr>
                </w:p>
                <w:p>
                  <w:pPr>
                    <w:tabs>
                      <w:tab w:val="left" w:pos="8789"/>
                    </w:tabs>
                    <w:ind w:right="857"/>
                    <w:jc w:val="center"/>
                    <w:rPr>
                      <w:lang w:val="pt-BR"/>
                    </w:rPr>
                  </w:pPr>
                  <w:r>
                    <w:rPr>
                      <w:lang w:val="pt-BR"/>
                    </w:rPr>
                    <w:t>________________________</w:t>
                  </w:r>
                </w:p>
                <w:p>
                  <w:pPr>
                    <w:tabs>
                      <w:tab w:val="left" w:pos="8789"/>
                    </w:tabs>
                    <w:ind w:right="857"/>
                    <w:jc w:val="center"/>
                    <w:rPr>
                      <w:sz w:val="22"/>
                      <w:lang w:val="pt-BR"/>
                    </w:rPr>
                  </w:pPr>
                  <w:r>
                    <w:rPr>
                      <w:sz w:val="22"/>
                      <w:lang w:val="pt-BR"/>
                    </w:rPr>
                    <w:t>(data)</w:t>
                  </w:r>
                </w:p>
                <w:p>
                  <w:pPr>
                    <w:tabs>
                      <w:tab w:val="left" w:pos="8789"/>
                    </w:tabs>
                    <w:ind w:right="857"/>
                    <w:jc w:val="center"/>
                    <w:rPr>
                      <w:lang w:val="pt-BR"/>
                    </w:rPr>
                  </w:pPr>
                  <w:r>
                    <w:rPr>
                      <w:lang w:val="pt-BR"/>
                    </w:rPr>
                    <w:t>______________________________</w:t>
                  </w:r>
                </w:p>
                <w:p>
                  <w:pPr>
                    <w:tabs>
                      <w:tab w:val="left" w:pos="8789"/>
                    </w:tabs>
                    <w:ind w:right="857"/>
                    <w:jc w:val="center"/>
                    <w:rPr>
                      <w:sz w:val="22"/>
                      <w:lang w:val="pt-BR"/>
                    </w:rPr>
                  </w:pPr>
                  <w:r>
                    <w:rPr>
                      <w:sz w:val="22"/>
                      <w:lang w:val="pt-BR"/>
                    </w:rPr>
                    <w:t>(sudarymo vieta)</w:t>
                  </w:r>
                </w:p>
                <w:p>
                  <w:pPr>
                    <w:tabs>
                      <w:tab w:val="left" w:pos="8789"/>
                    </w:tabs>
                    <w:ind w:right="857"/>
                    <w:jc w:val="center"/>
                    <w:rPr>
                      <w:lang w:val="pt-BR"/>
                    </w:rPr>
                  </w:pPr>
                </w:p>
                <w:tbl>
                  <w:tblPr>
                    <w:tblW w:w="0" w:type="auto"/>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firstRow="1" w:lastRow="0" w:firstColumn="1" w:lastColumn="0" w:noHBand="0" w:noVBand="0"/>
                  </w:tblPr>
                  <w:tblGrid>
                    <w:gridCol w:w="682"/>
                    <w:gridCol w:w="7326"/>
                    <w:gridCol w:w="682"/>
                    <w:gridCol w:w="511"/>
                  </w:tblGrid>
                  <w:tr>
                    <w:trPr>
                      <w:cantSplit/>
                      <w:trHeight w:val="20"/>
                      <w:tblHeader/>
                    </w:trPr>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Eil. Nr.</w:t>
                        </w:r>
                      </w:p>
                    </w:tc>
                    <w:tc>
                      <w:tcPr>
                        <w:tcW w:w="7326"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 xml:space="preserve">Klausimai, į kuriuos prašome atsakyti (tinkamą atsakymą „taip“ arba „ne“ lentelėje pažymėti </w:t>
                          <w:sym w:font="Wingdings" w:char="00FC"/>
                        </w:r>
                        <w:r>
                          <w:rPr>
                            <w:vanish/>
                            <w:sz w:val="22"/>
                          </w:rPr>
                          <w:t>v</w:t>
                        </w:r>
                        <w:r>
                          <w:rPr>
                            <w:sz w:val="22"/>
                          </w:rPr>
                          <w:t>) lankantis pas gydytoją dėl traukinio mašinisto sveikatos pažymėjimo įsigijimo arba jo galiojimo pratęsimo (priežastį pabraukti)</w:t>
                        </w:r>
                      </w:p>
                    </w:tc>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Taip</w:t>
                        </w:r>
                      </w:p>
                    </w:tc>
                    <w:tc>
                      <w:tcPr>
                        <w:tcW w:w="511"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Ne</w:t>
                        </w: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A.</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rPr>
                            <w:sz w:val="22"/>
                          </w:rPr>
                        </w:pPr>
                        <w:r>
                          <w:rPr>
                            <w:sz w:val="22"/>
                          </w:rPr>
                          <w:t>Ar sergate kokia nors liga arba gal turite kokią negalią ar kitų medicininių nusiskundimų, galinčių paveikti Jūsų gebėjimą dirbti traukinio mašinistu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turite regėjimo sutrikimų, tokių kaip:</w:t>
                        </w:r>
                      </w:p>
                      <w:p>
                        <w:pPr>
                          <w:tabs>
                            <w:tab w:val="center" w:pos="4153"/>
                            <w:tab w:val="right" w:pos="8306"/>
                            <w:tab w:val="left" w:pos="8789"/>
                          </w:tabs>
                          <w:ind w:right="857"/>
                          <w:rPr>
                            <w:sz w:val="22"/>
                          </w:rPr>
                        </w:pPr>
                        <w:r>
                          <w:rPr>
                            <w:sz w:val="22"/>
                          </w:rPr>
                          <w:t>1.1. pablogėjęs matymas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1.2. nevalingi akių judesiai (nistagmas)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1.3. regėjimo lauko defektai (pvz., ribotas matymas į šonus)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1.4. dvigubinimasis (dvejinimasis)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1.5. akivaizdus matymo pablogėjimas prieblandoje ar tamsoje (vištakumas)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1.6. pablogėjęs akių judrumas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1.7. jautrumas akinimui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1.8. pablogėjęs atstumo įvertinimas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72"/>
                          <w:rPr>
                            <w:sz w:val="22"/>
                          </w:rPr>
                        </w:pPr>
                        <w:r>
                          <w:rPr>
                            <w:sz w:val="22"/>
                          </w:rPr>
                          <w:t>1.9. kiti sutrikimai (akių skausmai, staigus matymo sutrikimas, buvo / yra nustatytas padidėjęs akispūdis ar kt.)</w:t>
                        </w:r>
                      </w:p>
                      <w:p>
                        <w:pPr>
                          <w:tabs>
                            <w:tab w:val="center" w:pos="4153"/>
                            <w:tab w:val="right" w:pos="8306"/>
                            <w:tab w:val="left" w:pos="8789"/>
                          </w:tabs>
                          <w:ind w:right="857"/>
                          <w:rPr>
                            <w:sz w:val="22"/>
                          </w:rPr>
                        </w:pPr>
                        <w:r>
                          <w:rPr>
                            <w:sz w:val="22"/>
                          </w:rPr>
                          <w:t>(jei „taip“, tinkamą atsakymą pabraukti arba įrašyti):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Jums svaigo / svaigsta galva?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pablogėjusia klausa, ar sirgote ausų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yra galūnių judesių funkcijos sutrikimų arba gal sergate kokia nors su tuo susijusia liga?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5.</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sirgote / sergate širdies ir / ar širdies ir kraujagyslių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5.1. insultas (paralyžius)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5.2. širdies ritmo sutrikimai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5.3. širdies infarktas ar krūtinės angina (stenokardija)</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5.4. širdies įgimta ar įgyta liga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5.5. kita širdies ar širdies ir kraujagyslių liga (reumatas ar kt.)</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sergate cukriniu diabetu?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7.</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lang w:val="pt-BR"/>
                          </w:rPr>
                        </w:pPr>
                        <w:r>
                          <w:rPr>
                            <w:sz w:val="22"/>
                            <w:lang w:val="pt-BR"/>
                          </w:rPr>
                          <w:t>Ar turėjote galvos smegenų traumų?</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8.</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rPr>
                        </w:pPr>
                        <w:r>
                          <w:rPr>
                            <w:sz w:val="22"/>
                          </w:rPr>
                          <w:t>Ar sirgote / sergate epilepsija?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9.</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Jums būna / kada nors buvo ištikę ženklūs pusiausvyros sutrikimai?</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10.</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alpote / alpstate arba turėjote / turite kitų sąmonės sutrikimų?</w:t>
                        </w:r>
                      </w:p>
                      <w:p>
                        <w:pPr>
                          <w:rPr>
                            <w:sz w:val="22"/>
                            <w:highlight w:val="yellow"/>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11.</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skundžiatės / skundėtės anksčiau šlapinimosi sutrikimais, inkstų veiklos pablogėjimu?</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dėmesio, pastabumo, mąstymo arba atminties sutrikimais?</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miego sutrikimais:</w:t>
                        </w:r>
                      </w:p>
                      <w:p>
                        <w:pPr>
                          <w:rPr>
                            <w:sz w:val="22"/>
                            <w:lang w:val="pt-BR"/>
                          </w:rPr>
                        </w:pPr>
                        <w:r>
                          <w:rPr>
                            <w:sz w:val="22"/>
                            <w:lang w:val="pt-BR"/>
                          </w:rPr>
                          <w:t>13.1. Ar būnate pavargęs ar mieguistas dieną?</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lang w:val="pt-BR"/>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13.2. Ar Jus ištinka nevalingi miego priepuoliai?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fi-FI"/>
                          </w:rPr>
                        </w:pPr>
                        <w:r>
                          <w:rPr>
                            <w:sz w:val="22"/>
                            <w:lang w:val="fi-FI"/>
                          </w:rPr>
                          <w:t>Ar piktnaudžiaujate / piktnaudžiavote 5 metų laikotarpiu alkoholiu, rūkalais, narkotikais arba vaistais?</w:t>
                        </w:r>
                      </w:p>
                      <w:p>
                        <w:pPr>
                          <w:rPr>
                            <w:sz w:val="22"/>
                            <w:lang w:val="fi-FI"/>
                          </w:rPr>
                        </w:pPr>
                        <w:r>
                          <w:rPr>
                            <w:sz w:val="22"/>
                            <w:lang w:val="fi-FI"/>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15.</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turite / turėjote 5 metų laikotarpiu kokių nors psichikos sutrikimų arba gal sirgote kokia nors psichikos liga, ar dėl to buvote gydomas (-a) psichiatro?</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B.</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Klausimai apie gydymą, vaistų vartojimą ir kt.</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buvote gydomas (-a) ligoninėje arba kreipėtės į gydytoją dėl anksčiau minėtų priežasčių (A 1–15)?</w:t>
                        </w:r>
                      </w:p>
                      <w:p>
                        <w:pPr>
                          <w:tabs>
                            <w:tab w:val="left" w:pos="284"/>
                            <w:tab w:val="center" w:pos="4153"/>
                            <w:tab w:val="right" w:pos="8306"/>
                            <w:tab w:val="left" w:pos="8789"/>
                          </w:tabs>
                          <w:ind w:right="857"/>
                          <w:rPr>
                            <w:sz w:val="22"/>
                          </w:rPr>
                        </w:pPr>
                        <w:r>
                          <w:rPr>
                            <w:sz w:val="22"/>
                          </w:rPr>
                          <w:t>Jei „taip“, tinkamą atsakymą pabraukti, nurodyti kada ir įstaigos, kurioje gydėtės, pavadinimą, adresą)</w:t>
                        </w:r>
                      </w:p>
                      <w:p>
                        <w:pPr>
                          <w:tabs>
                            <w:tab w:val="left" w:pos="284"/>
                            <w:tab w:val="center" w:pos="4153"/>
                            <w:tab w:val="right" w:pos="8306"/>
                            <w:tab w:val="left" w:pos="8789"/>
                          </w:tabs>
                          <w:ind w:right="857"/>
                          <w:rPr>
                            <w:sz w:val="22"/>
                          </w:rPr>
                        </w:pPr>
                      </w:p>
                      <w:p>
                        <w:pPr>
                          <w:tabs>
                            <w:tab w:val="left" w:pos="284"/>
                            <w:tab w:val="center" w:pos="4153"/>
                            <w:tab w:val="right" w:pos="8306"/>
                            <w:tab w:val="left" w:pos="8789"/>
                          </w:tabs>
                          <w:ind w:right="857"/>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17.</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lang w:val="fi-FI"/>
                          </w:rPr>
                        </w:pPr>
                        <w:r>
                          <w:rPr>
                            <w:sz w:val="22"/>
                            <w:lang w:val="fi-FI"/>
                          </w:rPr>
                          <w:t>Ar šiuo metu vartojate gydytojo paskirtus vaistus (raminamuosius, migdomuosius, nuskausminamuosius ar kitus)?</w:t>
                        </w:r>
                      </w:p>
                      <w:p>
                        <w:pPr>
                          <w:rPr>
                            <w:sz w:val="22"/>
                            <w:lang w:val="fi-FI"/>
                          </w:rPr>
                        </w:pPr>
                        <w:r>
                          <w:rPr>
                            <w:sz w:val="22"/>
                            <w:lang w:val="fi-FI"/>
                          </w:rPr>
                          <w:t>Jei „taip“, tinkamą atsakymą pabraukti, nurodyti, kokius vaistus:</w:t>
                        </w:r>
                      </w:p>
                      <w:p>
                        <w:pPr>
                          <w:rPr>
                            <w:sz w:val="22"/>
                            <w:lang w:val="fi-FI"/>
                          </w:rPr>
                        </w:pPr>
                      </w:p>
                      <w:p>
                        <w:pPr>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18.</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Gal Jums dėl kurios nors anksčiau minėtos ligos (A 1–13) paskirti kokie nors vaistai, kurie turi būti reguliariai vartojami ilgą laiką?</w:t>
                        </w:r>
                      </w:p>
                      <w:p>
                        <w:pPr>
                          <w:tabs>
                            <w:tab w:val="center" w:pos="4153"/>
                            <w:tab w:val="right" w:pos="8306"/>
                            <w:tab w:val="left" w:pos="8789"/>
                          </w:tabs>
                          <w:ind w:right="857"/>
                          <w:rPr>
                            <w:sz w:val="22"/>
                            <w:lang w:val="fi-FI"/>
                          </w:rPr>
                        </w:pPr>
                        <w:r>
                          <w:rPr>
                            <w:sz w:val="22"/>
                            <w:lang w:val="fi-FI"/>
                          </w:rPr>
                          <w:t>Jei atsakymas „taip“, nurodyti, kokie vaistai:</w:t>
                        </w:r>
                      </w:p>
                      <w:p>
                        <w:pPr>
                          <w:tabs>
                            <w:tab w:val="center" w:pos="4153"/>
                            <w:tab w:val="right" w:pos="8306"/>
                            <w:tab w:val="left" w:pos="8789"/>
                          </w:tabs>
                          <w:ind w:right="857"/>
                          <w:rPr>
                            <w:sz w:val="22"/>
                            <w:lang w:val="fi-FI"/>
                          </w:rPr>
                        </w:pPr>
                      </w:p>
                      <w:p>
                        <w:pPr>
                          <w:tabs>
                            <w:tab w:val="center" w:pos="4153"/>
                            <w:tab w:val="right" w:pos="8306"/>
                            <w:tab w:val="left" w:pos="8789"/>
                          </w:tabs>
                          <w:ind w:right="857"/>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19.</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anksčiau buvo tikrinta Jūsų sveikata, norint gauti traukinio mašinisto pažymėjimą?</w:t>
                        </w:r>
                      </w:p>
                      <w:p>
                        <w:pPr>
                          <w:rPr>
                            <w:sz w:val="22"/>
                            <w:lang w:val="fi-FI"/>
                          </w:rPr>
                        </w:pPr>
                        <w:r>
                          <w:rPr>
                            <w:sz w:val="22"/>
                            <w:lang w:val="fi-FI"/>
                          </w:rPr>
                          <w:t>Jei atsakymas „taip“, nurodyti kada: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20.</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turite darbingumo apribojimų dėl ligos ar sveikatos problemos?</w:t>
                        </w:r>
                      </w:p>
                      <w:p>
                        <w:pPr>
                          <w:tabs>
                            <w:tab w:val="center" w:pos="4153"/>
                            <w:tab w:val="left" w:pos="5954"/>
                            <w:tab w:val="left" w:pos="6096"/>
                            <w:tab w:val="right" w:pos="8306"/>
                            <w:tab w:val="left" w:pos="8789"/>
                            <w:tab w:val="left" w:pos="8931"/>
                          </w:tabs>
                          <w:ind w:right="476"/>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manote, kad dabar esate visiškai sveikas (-a)?</w:t>
                        </w:r>
                      </w:p>
                      <w:p>
                        <w:pPr>
                          <w:rPr>
                            <w:sz w:val="22"/>
                            <w:lang w:val="pt-BR"/>
                          </w:rPr>
                        </w:pPr>
                        <w:r>
                          <w:rPr>
                            <w:sz w:val="22"/>
                            <w:lang w:val="pt-BR"/>
                          </w:rPr>
                          <w:t>Jei atsakymas „ne“, įrašyti priežastis:</w:t>
                        </w:r>
                      </w:p>
                      <w:p>
                        <w:pPr>
                          <w:rPr>
                            <w:sz w:val="22"/>
                            <w:lang w:val="pt-BR"/>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bl>
                <w:p>
                  <w:pPr>
                    <w:rPr>
                      <w:lang w:val="pt-BR"/>
                    </w:rPr>
                  </w:pPr>
                </w:p>
                <w:p>
                  <w:pPr>
                    <w:ind w:firstLine="567"/>
                    <w:jc w:val="both"/>
                    <w:rPr>
                      <w:lang w:val="pt-BR"/>
                    </w:rPr>
                  </w:pPr>
                  <w:r>
                    <w:rPr>
                      <w:lang w:val="pt-BR"/>
                    </w:rPr>
                    <w:t>Užtikrinu, kad visa mano pateikta informacija yra visiškai teisinga, ir suprantu, kad pablogėjus sveikatos būklei, turiu nedelsdamas (-a) kreiptis į gydytoją.</w:t>
                  </w:r>
                </w:p>
                <w:p>
                  <w:pPr>
                    <w:rPr>
                      <w:lang w:val="pt-BR"/>
                    </w:rPr>
                  </w:pPr>
                </w:p>
                <w:p>
                  <w:pPr>
                    <w:tabs>
                      <w:tab w:val="center" w:pos="4153"/>
                      <w:tab w:val="right" w:leader="underscore" w:pos="9000"/>
                    </w:tabs>
                    <w:ind w:left="4535"/>
                    <w:rPr>
                      <w:lang w:val="pt-BR"/>
                    </w:rPr>
                  </w:pPr>
                  <w:r>
                    <w:rPr>
                      <w:lang w:val="pt-BR"/>
                    </w:rPr>
                    <w:t>___________       </w:t>
                    <w:tab/>
                  </w:r>
                </w:p>
                <w:p>
                  <w:pPr>
                    <w:tabs>
                      <w:tab w:val="center" w:pos="4153"/>
                      <w:tab w:val="center" w:pos="7680"/>
                    </w:tabs>
                    <w:ind w:left="4800"/>
                    <w:rPr>
                      <w:sz w:val="22"/>
                      <w:lang w:val="pt-BR"/>
                    </w:rPr>
                  </w:pPr>
                  <w:r>
                    <w:rPr>
                      <w:sz w:val="22"/>
                      <w:lang w:val="pt-BR"/>
                    </w:rPr>
                    <w:t>(parašas)</w:t>
                    <w:tab/>
                    <w:t>(vardas, pavardė)</w:t>
                  </w:r>
                </w:p>
                <w:p>
                  <w:pPr>
                    <w:tabs>
                      <w:tab w:val="center" w:pos="4153"/>
                      <w:tab w:val="right" w:pos="8306"/>
                      <w:tab w:val="left" w:pos="8789"/>
                    </w:tabs>
                    <w:ind w:right="857"/>
                    <w:rPr>
                      <w:b/>
                      <w:lang w:val="pt-BR"/>
                    </w:rPr>
                  </w:pPr>
                </w:p>
                <w:p>
                  <w:pPr>
                    <w:tabs>
                      <w:tab w:val="left" w:pos="8789"/>
                    </w:tabs>
                    <w:ind w:right="857"/>
                    <w:rPr>
                      <w:lang w:val="pt-BR"/>
                    </w:rPr>
                  </w:pPr>
                  <w:r>
                    <w:rPr>
                      <w:lang w:val="pt-BR"/>
                    </w:rPr>
                    <w:t>Pastaba.</w:t>
                  </w:r>
                  <w:r>
                    <w:rPr>
                      <w:b/>
                      <w:lang w:val="pt-BR"/>
                    </w:rPr>
                    <w:t xml:space="preserve"> </w:t>
                  </w:r>
                  <w:r>
                    <w:rPr>
                      <w:lang w:val="pt-BR"/>
                    </w:rPr>
                    <w:t>Įdedamas į Asmens sveikatos istoriją – F Nr. 025/a.</w:t>
                  </w:r>
                </w:p>
                <w:p>
                  <w:pPr>
                    <w:rPr>
                      <w:lang w:val="pt-BR"/>
                    </w:rPr>
                  </w:pPr>
                </w:p>
                <w:p>
                  <w:pPr>
                    <w:jc w:val="center"/>
                  </w:pPr>
                  <w:r>
                    <w:t>_________________</w:t>
                  </w:r>
                </w:p>
                <w:p>
                  <w:pPr>
                    <w:rPr>
                      <w:color w:val="000000"/>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3 pr."/>
        <w:tag w:val="part_863d39c30cdc4b52a8c6cc4d32d4bdf5"/>
        <w:lock w:val="sdtLocked"/>
        <w:richText/>
      </w:sdtPr>
      <w:sdtContent>
        <w:p>
          <w:pPr>
            <w:widowControl w:val="0"/>
            <w:suppressAutoHyphens/>
            <w:ind w:left="5102"/>
            <w:sectPr>
              <w:pgSz w:w="11907" w:h="16840" w:code="9"/>
              <w:pgMar w:top="1134" w:right="1134" w:bottom="1134" w:left="1701" w:header="567" w:footer="284" w:gutter="0"/>
              <w:cols w:space="1296"/>
              <w:docGrid w:linePitch="360"/>
            </w:sectPr>
          </w:pPr>
        </w:p>
        <w:p>
          <w:pPr>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w:t>
          </w:r>
        </w:p>
        <w:p>
          <w:pPr>
            <w:keepLines/>
            <w:widowControl w:val="0"/>
            <w:suppressAutoHyphens/>
            <w:ind w:firstLine="5102"/>
            <w:rPr>
              <w:color w:val="000000"/>
            </w:rPr>
          </w:pPr>
          <w:r>
            <w:rPr>
              <w:color w:val="000000"/>
            </w:rPr>
            <w:t xml:space="preserve">2009 m. gruodžio 29 d. </w:t>
          </w:r>
        </w:p>
        <w:p>
          <w:pPr>
            <w:keepLines/>
            <w:widowControl w:val="0"/>
            <w:suppressAutoHyphens/>
            <w:ind w:firstLine="5102"/>
            <w:rPr>
              <w:color w:val="000000"/>
            </w:rPr>
          </w:pPr>
          <w:r>
            <w:rPr>
              <w:color w:val="000000"/>
            </w:rPr>
            <w:t>įsakymo Nr. V- 1072 redakcija)</w:t>
          </w:r>
        </w:p>
        <w:p>
          <w:pPr>
            <w:keepLines/>
            <w:widowControl w:val="0"/>
            <w:suppressAutoHyphens/>
            <w:ind w:firstLine="5102"/>
            <w:rPr>
              <w:color w:val="000000"/>
            </w:rPr>
          </w:pPr>
          <w:sdt>
            <w:sdtPr>
              <w:alias w:val="Numeris"/>
              <w:tag w:val="nr_863d39c30cdc4b52a8c6cc4d32d4bdf5"/>
              <w:lock w:val="sdtLocked"/>
              <w:richText/>
            </w:sdtPr>
            <w:sdtContent>
              <w:r>
                <w:rPr>
                  <w:color w:val="000000"/>
                </w:rPr>
                <w:t>13</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863d39c30cdc4b52a8c6cc4d32d4bdf5"/>
              <w:lock w:val="sdtLocked"/>
              <w:richText/>
            </w:sdtPr>
            <w:sdtContent>
              <w:r>
                <w:rPr>
                  <w:b/>
                  <w:bCs/>
                  <w:caps/>
                  <w:color w:val="000000"/>
                </w:rPr>
                <w:t>ASMENŲ, DIRBANČIŲ DARBO APLINKOJE, KURIOJE GALIMA PROFESINĖ RIZIKA (KENKSMINGŲ VEIKSNIŲ POVEIKIS IR (AR) PAVOJINGAS DARBAS), PRIVALOMO SVEIKATOS TIKRINIMO TVARKOS APRAŠAS</w:t>
              </w:r>
            </w:sdtContent>
          </w:sdt>
        </w:p>
        <w:p>
          <w:pPr>
            <w:widowControl w:val="0"/>
            <w:suppressAutoHyphens/>
            <w:ind w:firstLine="567"/>
            <w:jc w:val="both"/>
            <w:rPr>
              <w:b/>
              <w:bCs/>
              <w:caps/>
              <w:color w:val="000000"/>
            </w:rPr>
          </w:pPr>
        </w:p>
        <w:sdt>
          <w:sdtPr>
            <w:alias w:val="skyrius"/>
            <w:tag w:val="part_5f06be7b7457448182516d0cc4b48329"/>
            <w:lock w:val="sdtLocked"/>
            <w:richText/>
          </w:sdtPr>
          <w:sdtContent>
            <w:p>
              <w:pPr>
                <w:keepLines/>
                <w:widowControl w:val="0"/>
                <w:suppressAutoHyphens/>
                <w:jc w:val="center"/>
                <w:rPr>
                  <w:b/>
                  <w:bCs/>
                  <w:caps/>
                  <w:color w:val="000000"/>
                </w:rPr>
              </w:pPr>
              <w:sdt>
                <w:sdtPr>
                  <w:alias w:val="Numeris"/>
                  <w:tag w:val="nr_5f06be7b7457448182516d0cc4b48329"/>
                  <w:lock w:val="sdtLocked"/>
                  <w:richText/>
                </w:sdtPr>
                <w:sdtContent>
                  <w:r>
                    <w:rPr>
                      <w:b/>
                      <w:bCs/>
                      <w:caps/>
                      <w:color w:val="000000"/>
                    </w:rPr>
                    <w:t>I</w:t>
                  </w:r>
                </w:sdtContent>
              </w:sdt>
              <w:r>
                <w:rPr>
                  <w:b/>
                  <w:bCs/>
                  <w:caps/>
                  <w:color w:val="000000"/>
                </w:rPr>
                <w:t xml:space="preserve">. </w:t>
              </w:r>
              <w:sdt>
                <w:sdtPr>
                  <w:alias w:val="Pavadinimas"/>
                  <w:tag w:val="title_5f06be7b7457448182516d0cc4b4832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3 pr. 1 p."/>
                <w:tag w:val="part_41be27b444ff4b2fb994620af8dd4310"/>
                <w:lock w:val="sdtLocked"/>
                <w:richText/>
              </w:sdtPr>
              <w:sdtContent>
                <w:p>
                  <w:pPr>
                    <w:widowControl w:val="0"/>
                    <w:suppressAutoHyphens/>
                    <w:ind w:firstLine="567"/>
                    <w:jc w:val="both"/>
                    <w:rPr>
                      <w:color w:val="000000"/>
                    </w:rPr>
                  </w:pPr>
                  <w:sdt>
                    <w:sdtPr>
                      <w:alias w:val="Numeris"/>
                      <w:tag w:val="nr_41be27b444ff4b2fb994620af8dd4310"/>
                      <w:lock w:val="sdtLocked"/>
                      <w:richText/>
                    </w:sdtPr>
                    <w:sdtContent>
                      <w:r>
                        <w:rPr>
                          <w:color w:val="000000"/>
                        </w:rPr>
                        <w:t>1</w:t>
                      </w:r>
                    </w:sdtContent>
                  </w:sdt>
                  <w:r>
                    <w:rPr>
                      <w:color w:val="000000"/>
                    </w:rPr>
                    <w:t>. Asmenys, norintys įsidarbinti (toliau – įsidarbinantieji) ar dirbantys (toliau – darbuotojai) darbo aplinkoje, kurioje galima profesinė rizika (traumos ar kitokio darbuotojo sveikatos pakenkimo tikimybė dėl kenksmingo ir (ar) pavojingo darbo aplinkos veiksnių poveikio), privalo tikrintis sveikatą prieš įsidarbindami, o dirbdami – tikrintis periodiškai.</w:t>
                  </w:r>
                </w:p>
              </w:sdtContent>
            </w:sdt>
            <w:sdt>
              <w:sdtPr>
                <w:alias w:val="13 pr. 2 p."/>
                <w:tag w:val="part_cdff958ff76f44e9a2f2b5d9532b319d"/>
                <w:lock w:val="sdtLocked"/>
                <w:richText/>
              </w:sdtPr>
              <w:sdtContent>
                <w:p>
                  <w:pPr>
                    <w:ind w:firstLine="567"/>
                    <w:jc w:val="both"/>
                    <w:rPr>
                      <w:color w:val="000000"/>
                    </w:rPr>
                  </w:pPr>
                  <w:sdt>
                    <w:sdtPr>
                      <w:alias w:val="Numeris"/>
                      <w:tag w:val="nr_cdff958ff76f44e9a2f2b5d9532b319d"/>
                      <w:lock w:val="sdtLocked"/>
                      <w:richText/>
                    </w:sdtPr>
                    <w:sdtContent>
                      <w:r>
                        <w:rPr>
                          <w:color w:val="000000"/>
                          <w:szCs w:val="24"/>
                        </w:rPr>
                        <w:t>2</w:t>
                      </w:r>
                    </w:sdtContent>
                  </w:sdt>
                  <w:r>
                    <w:rPr>
                      <w:color w:val="000000"/>
                      <w:szCs w:val="24"/>
                    </w:rPr>
                    <w:t xml:space="preserve">. Asmenų, dirbančių darbo aplinkoje, kurioje galima profesinė rizika (kenksmingų veiksnių poveikis ir (ar) pavojingas darbas), privalomo sveikatos tikrinimo tvarkos aprašas (toliau – Aprašas) nustato įsidarbinančiųjų ir darbuotojų, kurie siekia dirbti ar dirba darbus, įrašytus į Pavojingų darbų sąrašą, patvirtintą 2002 m. rugsėjo 3 d. Lietuvos Respublikos Vyriausybės nutarimu Nr. 1386 „Dėl Pavojingų darbų sąrašo patvirtinimo“, arba darbo aplinkoje, kurioje įvertinus riziką, atsižvelgiant į Profesinės rizikos vertinimo bendruosius nuostatus, patvirtintus Lietuvos Respublikos socialinės apsaugos ir darbo ministro ir Lietuvos Respublikos sveikatos apsaugos ministro 2012 m. spalio 25 d. įsakymu Nr. </w:t>
                  </w:r>
                  <w:r>
                    <w:rPr>
                      <w:color w:val="000000"/>
                      <w:szCs w:val="24"/>
                      <w:lang w:eastAsia="lt-LT"/>
                    </w:rPr>
                    <w:t>A1-457/V-961</w:t>
                  </w:r>
                  <w:r>
                    <w:rPr>
                      <w:color w:val="000000"/>
                      <w:szCs w:val="24"/>
                    </w:rPr>
                    <w:t xml:space="preserve"> „Dėl Profesinės rizikos vertinimo bendrųjų nuostatų patvirtinimo“, nustatyti rizikos veiksniai, išankstinio (prieš pradedant darbą ar veiklą), periodinio (darbo metu ar kai veikla yra tęsiama) bei neeilinio (nesilaikant nustatyto periodiškumo) privalomo profilaktinio sveikatos tikrinimo tikslą, vietą, tvarką: periodiškumą, sveikatos tikrintojus, privalomus tyrimus, kontraindikacijas, dokumentų įforminimo ir kontrolės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e619f0322711eabe008ea93139d588">
                    <w:r w:rsidRPr="00532B9F">
                      <w:rPr>
                        <w:rFonts w:ascii="Times New Roman" w:eastAsia="MS Mincho" w:hAnsi="Times New Roman"/>
                        <w:sz w:val="20"/>
                        <w:i/>
                        <w:iCs/>
                        <w:color w:val="0000FF" w:themeColor="hyperlink"/>
                        <w:u w:val="single"/>
                      </w:rPr>
                      <w:t>V-20</w:t>
                    </w:r>
                  </w:fldSimple>
                  <w:r>
                    <w:rPr>
                      <w:rFonts w:ascii="Times New Roman" w:eastAsia="MS Mincho" w:hAnsi="Times New Roman"/>
                      <w:sz w:val="20"/>
                      <w:i/>
                      <w:iCs/>
                    </w:rPr>
                    <w:t>,
2020-01-07,
paskelbta TAR 2020-01-09, i. k. 2020-00251            </w:t>
                  </w:r>
                </w:p>
                <w:p/>
              </w:sdtContent>
            </w:sdt>
            <w:sdt>
              <w:sdtPr>
                <w:alias w:val="13 pr. 3 p."/>
                <w:tag w:val="part_4db38ee772db42ae86a8bfcee7342396"/>
                <w:lock w:val="sdtLocked"/>
                <w:richText/>
              </w:sdtPr>
              <w:sdtContent>
                <w:p>
                  <w:pPr>
                    <w:widowControl w:val="0"/>
                    <w:suppressAutoHyphens/>
                    <w:ind w:firstLine="567"/>
                    <w:jc w:val="both"/>
                    <w:rPr>
                      <w:color w:val="000000"/>
                    </w:rPr>
                  </w:pPr>
                  <w:sdt>
                    <w:sdtPr>
                      <w:alias w:val="Numeris"/>
                      <w:tag w:val="nr_4db38ee772db42ae86a8bfcee7342396"/>
                      <w:lock w:val="sdtLocked"/>
                      <w:richText/>
                    </w:sdtPr>
                    <w:sdtContent>
                      <w:r>
                        <w:rPr>
                          <w:color w:val="000000"/>
                        </w:rPr>
                        <w:t>3</w:t>
                      </w:r>
                    </w:sdtContent>
                  </w:sdt>
                  <w:r>
                    <w:rPr>
                      <w:color w:val="000000"/>
                    </w:rPr>
                    <w:t xml:space="preserve">. Darbuotojų, kurie dirba darbo aplinkoje, kurioje galima profesinė rizika, sveikata priimant į darbą, dirbant ir pakeitus darbą ar darbovietę, tikrinama periodiškai, vadovaujantis šiuo Aprašu bei Lietuvos Respublikos radiacinės saugos įstatymu (Žin., 1999, Nr. </w:t>
                  </w:r>
                  <w:hyperlink r:id="rId64" w:tgtFrame="_blank" w:history="1">
                    <w:r>
                      <w:rPr>
                        <w:color w:val="0000FF" w:themeColor="hyperlink"/>
                        <w:u w:val="single"/>
                      </w:rPr>
                      <w:t>11-239</w:t>
                    </w:r>
                  </w:hyperlink>
                  <w:r>
                    <w:rPr>
                      <w:color w:val="000000"/>
                    </w:rPr>
                    <w:t xml:space="preserve">), Lietuvos Respublikos Vyriausybės 1999 m. gegužės 7 d. nutarimu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65" w:tgtFrame="_blank" w:history="1">
                    <w:r>
                      <w:rPr>
                        <w:color w:val="0000FF" w:themeColor="hyperlink"/>
                        <w:u w:val="single"/>
                      </w:rPr>
                      <w:t>41-1294</w:t>
                    </w:r>
                  </w:hyperlink>
                  <w:r>
                    <w:rPr>
                      <w:color w:val="000000"/>
                    </w:rPr>
                    <w:t>; 2002, Nr. 73-3127) ir kitų darbuotojų saugą ir sveikatą reglamentuojančių teisės aktų nuostatomis.</w:t>
                  </w:r>
                </w:p>
              </w:sdtContent>
            </w:sdt>
            <w:sdt>
              <w:sdtPr>
                <w:alias w:val="13 pr. 4 p."/>
                <w:tag w:val="part_1c039a9bee404d85a49396f9c939d5aa"/>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1c039a9bee404d85a49396f9c939d5aa"/>
                      <w:lock w:val="sdtLocked"/>
                      <w:richText/>
                    </w:sdtPr>
                    <w:sdtContent>
                      <w:r>
                        <w:rPr>
                          <w:szCs w:val="24"/>
                        </w:rPr>
                        <w:t>4</w:t>
                      </w:r>
                    </w:sdtContent>
                  </w:sdt>
                  <w:r>
                    <w:rPr>
                      <w:szCs w:val="24"/>
                    </w:rPr>
                    <w:t>.</w:t>
                  </w:r>
                  <w:r>
                    <w:rPr>
                      <w:color w:val="000000"/>
                      <w:szCs w:val="24"/>
                    </w:rPr>
                    <w:t xml:space="preserve"> Aprašu nustatyta tvarka taikoma atsižvelgiant į konkretų pavojingą darbą ir (ar) kenksmingą veiksnį. Vadovaujamasi Aprašo 1 lentelės „Darbai, įrašyti į pavojingų darbų sąrašą, kuriuos dirbant ir (ar) priimant į darbą privaloma tikrintis sveikatą. Tikrinimų periodiškumas ir mastas. Papildomos kontraindikacijos“ ir (ar) 2 lentelės „Privalomų sveikatos tikrinimų tvarka priimant į darbą ir (ar) dirbant kenksmingų rizikos veiksnių poveikyje (kai kuriais atvejais – pakeitus darbą ar darbovietę)“ nuostatomis, išskyrus atvejus, kai dėl žmonių užkrečiamųjų ligų plitimo grėsmės Lietuvos Respublikos Vyriausybės yra paskelbta valstybės lygio ekstremalioji situacija ir (ar) karantinas visoje Lietuvos Respublikos teritorijoje (toliau – ypatingi įvykiai), </w:t>
                  </w:r>
                  <w:r>
                    <w:rPr>
                      <w:szCs w:val="24"/>
                    </w:rPr>
                    <w:t xml:space="preserve">– šiais atvejais Aprašo 1 ir 2 lentelėse nurodytas darbuotojų sveikatos tikrinimo periodiškumas netaikomas ir darbuotojams išduotos F Nr. 047/a ir F Nr. 048/a, kurių galiojimas baigėsi ne anksčiau kaip prieš vieną mėnesį iki ypatingo įvykio paskelbimo dienos arba jo paskelbimo metu, laikomos galiojančiomis </w:t>
                  </w:r>
                  <w:r>
                    <w:rPr>
                      <w:color w:val="000000"/>
                      <w:szCs w:val="24"/>
                      <w:shd w:val="clear" w:color="auto" w:fill="FFFFFF"/>
                    </w:rPr>
                    <w:t>ypatingo įvykio paskelbimo laikotarpiu</w:t>
                  </w:r>
                  <w:r>
                    <w:rPr>
                      <w:szCs w:val="24"/>
                    </w:rPr>
                    <w:t xml:space="preserve"> ir 3 mėnesius po jo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fc9970c0f011ea9815f635b9c0dcef">
                    <w:r w:rsidRPr="00532B9F">
                      <w:rPr>
                        <w:rFonts w:ascii="Times New Roman" w:eastAsia="MS Mincho" w:hAnsi="Times New Roman"/>
                        <w:sz w:val="20"/>
                        <w:i/>
                        <w:iCs/>
                        <w:color w:val="0000FF" w:themeColor="hyperlink"/>
                        <w:u w:val="single"/>
                      </w:rPr>
                      <w:t>V-1615</w:t>
                    </w:r>
                  </w:fldSimple>
                  <w:r>
                    <w:rPr>
                      <w:rFonts w:ascii="Times New Roman" w:eastAsia="MS Mincho" w:hAnsi="Times New Roman"/>
                      <w:sz w:val="20"/>
                      <w:i/>
                      <w:iCs/>
                    </w:rPr>
                    <w:t>,
2020-07-07,
paskelbta TAR 2020-07-08, i. k. 2020-15197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5f42a0ee9f11eaa12ad7c04a383ca0">
                    <w:r w:rsidRPr="00532B9F">
                      <w:rPr>
                        <w:rFonts w:ascii="Times New Roman" w:eastAsia="MS Mincho" w:hAnsi="Times New Roman"/>
                        <w:sz w:val="20"/>
                        <w:i/>
                        <w:iCs/>
                        <w:color w:val="0000FF" w:themeColor="hyperlink"/>
                        <w:u w:val="single"/>
                      </w:rPr>
                      <w:t>V-1978</w:t>
                    </w:r>
                  </w:fldSimple>
                  <w:r>
                    <w:rPr>
                      <w:rFonts w:ascii="Times New Roman" w:eastAsia="MS Mincho" w:hAnsi="Times New Roman"/>
                      <w:sz w:val="20"/>
                      <w:i/>
                      <w:iCs/>
                    </w:rPr>
                    <w:t>,
2020-09-04,
paskelbta TAR 2020-09-04, i. k. 2020-18795            </w:t>
                  </w:r>
                </w:p>
                <w:p/>
              </w:sdtContent>
            </w:sdt>
            <w:sdt>
              <w:sdtPr>
                <w:alias w:val="13 pr. 5 p."/>
                <w:tag w:val="part_28dfbc2a02c04180ab5b358d2f327581"/>
                <w:lock w:val="sdtLocked"/>
                <w:richText/>
              </w:sdtPr>
              <w:sdtContent>
                <w:p>
                  <w:pPr>
                    <w:widowControl w:val="0"/>
                    <w:suppressAutoHyphens/>
                    <w:ind w:firstLine="567"/>
                    <w:jc w:val="both"/>
                    <w:rPr>
                      <w:color w:val="000000"/>
                    </w:rPr>
                  </w:pPr>
                  <w:sdt>
                    <w:sdtPr>
                      <w:alias w:val="Numeris"/>
                      <w:tag w:val="nr_28dfbc2a02c04180ab5b358d2f327581"/>
                      <w:lock w:val="sdtLocked"/>
                      <w:richText/>
                    </w:sdtPr>
                    <w:sdtContent>
                      <w:r>
                        <w:rPr>
                          <w:color w:val="000000"/>
                        </w:rPr>
                        <w:t>5</w:t>
                      </w:r>
                    </w:sdtContent>
                  </w:sdt>
                  <w:r>
                    <w:rPr>
                      <w:color w:val="000000"/>
                    </w:rPr>
                    <w:t>. Privalomo profilaktinio sveikatos tikrinimo tikslas:</w:t>
                  </w:r>
                </w:p>
                <w:sdt>
                  <w:sdtPr>
                    <w:alias w:val="13 pr. 5.1 p."/>
                    <w:tag w:val="part_9c024c3a8ce94270b36acac793660938"/>
                    <w:lock w:val="sdtLocked"/>
                    <w:richText/>
                  </w:sdtPr>
                  <w:sdtContent>
                    <w:p>
                      <w:pPr>
                        <w:widowControl w:val="0"/>
                        <w:suppressAutoHyphens/>
                        <w:ind w:firstLine="567"/>
                        <w:jc w:val="both"/>
                        <w:rPr>
                          <w:color w:val="000000"/>
                        </w:rPr>
                      </w:pPr>
                      <w:sdt>
                        <w:sdtPr>
                          <w:alias w:val="Numeris"/>
                          <w:tag w:val="nr_9c024c3a8ce94270b36acac793660938"/>
                          <w:lock w:val="sdtLocked"/>
                          <w:richText/>
                        </w:sdtPr>
                        <w:sdtContent>
                          <w:r>
                            <w:rPr>
                              <w:color w:val="000000"/>
                            </w:rPr>
                            <w:t>5.1</w:t>
                          </w:r>
                        </w:sdtContent>
                      </w:sdt>
                      <w:r>
                        <w:rPr>
                          <w:color w:val="000000"/>
                        </w:rPr>
                        <w:t>. apsaugoti įsidarbinančių asmenų ir darbuotojų sveikatą nuo galimo profesinės rizikos veiksnių poveikio, siekiant išvengti traumų ar kitokio darbuotojo sveikatos pakenkimo;</w:t>
                      </w:r>
                    </w:p>
                  </w:sdtContent>
                </w:sdt>
                <w:sdt>
                  <w:sdtPr>
                    <w:alias w:val="13 pr. 5.2 p."/>
                    <w:tag w:val="part_2891d33f5d3949dbb20a75777abe1726"/>
                    <w:lock w:val="sdtLocked"/>
                    <w:richText/>
                  </w:sdtPr>
                  <w:sdtContent>
                    <w:p>
                      <w:pPr>
                        <w:widowControl w:val="0"/>
                        <w:suppressAutoHyphens/>
                        <w:ind w:firstLine="567"/>
                        <w:jc w:val="both"/>
                        <w:rPr>
                          <w:color w:val="000000"/>
                        </w:rPr>
                      </w:pPr>
                      <w:sdt>
                        <w:sdtPr>
                          <w:alias w:val="Numeris"/>
                          <w:tag w:val="nr_2891d33f5d3949dbb20a75777abe1726"/>
                          <w:lock w:val="sdtLocked"/>
                          <w:richText/>
                        </w:sdtPr>
                        <w:sdtContent>
                          <w:r>
                            <w:rPr>
                              <w:color w:val="000000"/>
                            </w:rPr>
                            <w:t>5.2</w:t>
                          </w:r>
                        </w:sdtContent>
                      </w:sdt>
                      <w:r>
                        <w:rPr>
                          <w:color w:val="000000"/>
                        </w:rPr>
                        <w:t>. įvertinti, ar efektyvios taikytos profesinės rizikos šalinimo ir mažinimo priemonės;</w:t>
                      </w:r>
                    </w:p>
                  </w:sdtContent>
                </w:sdt>
                <w:sdt>
                  <w:sdtPr>
                    <w:alias w:val="13 pr. 5.3 p."/>
                    <w:tag w:val="part_07eb0034cc7e44df90b634cbf4099105"/>
                    <w:lock w:val="sdtLocked"/>
                    <w:richText/>
                  </w:sdtPr>
                  <w:sdtContent>
                    <w:p>
                      <w:pPr>
                        <w:widowControl w:val="0"/>
                        <w:suppressAutoHyphens/>
                        <w:ind w:firstLine="567"/>
                        <w:jc w:val="both"/>
                        <w:rPr>
                          <w:color w:val="000000"/>
                        </w:rPr>
                      </w:pPr>
                      <w:sdt>
                        <w:sdtPr>
                          <w:alias w:val="Numeris"/>
                          <w:tag w:val="nr_07eb0034cc7e44df90b634cbf4099105"/>
                          <w:lock w:val="sdtLocked"/>
                          <w:richText/>
                        </w:sdtPr>
                        <w:sdtContent>
                          <w:r>
                            <w:rPr>
                              <w:color w:val="000000"/>
                            </w:rPr>
                            <w:t>5.3</w:t>
                          </w:r>
                        </w:sdtContent>
                      </w:sdt>
                      <w:r>
                        <w:rPr>
                          <w:color w:val="000000"/>
                        </w:rPr>
                        <w:t>. įvertinti, ar įsidarbinantys asmenys ir darbuotojai gali dirbti konkretų darbą konkrečiomis galimos profesinės rizikos sąlygomis;</w:t>
                      </w:r>
                    </w:p>
                  </w:sdtContent>
                </w:sdt>
                <w:sdt>
                  <w:sdtPr>
                    <w:alias w:val="13 pr. 5.4 p."/>
                    <w:tag w:val="part_444282bd612d41c0acc3cc9d61d1269e"/>
                    <w:lock w:val="sdtLocked"/>
                    <w:richText/>
                  </w:sdtPr>
                  <w:sdtContent>
                    <w:p>
                      <w:pPr>
                        <w:widowControl w:val="0"/>
                        <w:suppressAutoHyphens/>
                        <w:ind w:firstLine="567"/>
                        <w:jc w:val="both"/>
                        <w:rPr>
                          <w:color w:val="000000"/>
                        </w:rPr>
                      </w:pPr>
                      <w:sdt>
                        <w:sdtPr>
                          <w:alias w:val="Numeris"/>
                          <w:tag w:val="nr_444282bd612d41c0acc3cc9d61d1269e"/>
                          <w:lock w:val="sdtLocked"/>
                          <w:richText/>
                        </w:sdtPr>
                        <w:sdtContent>
                          <w:r>
                            <w:rPr>
                              <w:color w:val="000000"/>
                            </w:rPr>
                            <w:t>5.4</w:t>
                          </w:r>
                        </w:sdtContent>
                      </w:sdt>
                      <w:r>
                        <w:rPr>
                          <w:color w:val="000000"/>
                        </w:rPr>
                        <w:t>. siekti išvengti ar kuo anksčiau diagnozuoti profesines ligas.</w:t>
                      </w:r>
                    </w:p>
                  </w:sdtContent>
                </w:sdt>
              </w:sdtContent>
            </w:sdt>
            <w:sdt>
              <w:sdtPr>
                <w:alias w:val="13 pr. 6 p."/>
                <w:tag w:val="part_a749b58c9b384a1189eae48242a4777d"/>
                <w:lock w:val="sdtLocked"/>
                <w:richText/>
              </w:sdtPr>
              <w:sdtContent>
                <w:p>
                  <w:pPr>
                    <w:widowControl w:val="0"/>
                    <w:suppressAutoHyphens/>
                    <w:ind w:firstLine="567"/>
                    <w:jc w:val="both"/>
                    <w:rPr>
                      <w:color w:val="000000"/>
                    </w:rPr>
                  </w:pPr>
                  <w:sdt>
                    <w:sdtPr>
                      <w:alias w:val="Numeris"/>
                      <w:tag w:val="nr_a749b58c9b384a1189eae48242a4777d"/>
                      <w:lock w:val="sdtLocked"/>
                      <w:richText/>
                    </w:sdtPr>
                    <w:sdtContent>
                      <w:r>
                        <w:rPr>
                          <w:color w:val="000000"/>
                        </w:rPr>
                        <w:t>6</w:t>
                      </w:r>
                    </w:sdtContent>
                  </w:sdt>
                  <w:r>
                    <w:rPr>
                      <w:color w:val="000000"/>
                    </w:rPr>
                    <w:t>. Pagrindinės Apraše vartojamos sąvokos atitinka darbuotojų saugą ir sveikatą reglamentuojančiuose Europos Sąjungos ir Lietuvos Respublikos teisės aktuose apibrėžtas sąvokas.</w:t>
                  </w:r>
                </w:p>
                <w:p>
                  <w:pPr>
                    <w:widowControl w:val="0"/>
                    <w:suppressAutoHyphens/>
                    <w:ind w:firstLine="567"/>
                    <w:jc w:val="both"/>
                    <w:rPr>
                      <w:color w:val="000000"/>
                    </w:rPr>
                  </w:pPr>
                </w:p>
              </w:sdtContent>
            </w:sdt>
          </w:sdtContent>
        </w:sdt>
        <w:sdt>
          <w:sdtPr>
            <w:alias w:val="skyrius"/>
            <w:tag w:val="part_9ebb2ce01cc84154a4908eb5fd2cca07"/>
            <w:lock w:val="sdtLocked"/>
            <w:richText/>
          </w:sdtPr>
          <w:sdtContent>
            <w:p>
              <w:pPr>
                <w:keepLines/>
                <w:widowControl w:val="0"/>
                <w:suppressAutoHyphens/>
                <w:jc w:val="center"/>
                <w:rPr>
                  <w:b/>
                  <w:bCs/>
                  <w:caps/>
                  <w:color w:val="000000"/>
                </w:rPr>
              </w:pPr>
              <w:sdt>
                <w:sdtPr>
                  <w:alias w:val="Numeris"/>
                  <w:tag w:val="nr_9ebb2ce01cc84154a4908eb5fd2cca07"/>
                  <w:lock w:val="sdtLocked"/>
                  <w:richText/>
                </w:sdtPr>
                <w:sdtContent>
                  <w:r>
                    <w:rPr>
                      <w:b/>
                      <w:bCs/>
                      <w:caps/>
                      <w:color w:val="000000"/>
                    </w:rPr>
                    <w:t>II</w:t>
                  </w:r>
                </w:sdtContent>
              </w:sdt>
              <w:r>
                <w:rPr>
                  <w:b/>
                  <w:bCs/>
                  <w:caps/>
                  <w:color w:val="000000"/>
                </w:rPr>
                <w:t xml:space="preserve">. </w:t>
              </w:r>
              <w:sdt>
                <w:sdtPr>
                  <w:alias w:val="Pavadinimas"/>
                  <w:tag w:val="title_9ebb2ce01cc84154a4908eb5fd2cca07"/>
                  <w:lock w:val="sdtLocked"/>
                  <w:richText/>
                </w:sdtPr>
                <w:sdtContent>
                  <w:r>
                    <w:rPr>
                      <w:b/>
                      <w:bCs/>
                      <w:caps/>
                      <w:color w:val="000000"/>
                    </w:rPr>
                    <w:t>PRIVALOMO SVEIKATOS TIKRINIMO TVARKA</w:t>
                  </w:r>
                </w:sdtContent>
              </w:sdt>
            </w:p>
            <w:p>
              <w:pPr>
                <w:widowControl w:val="0"/>
                <w:suppressAutoHyphens/>
                <w:ind w:firstLine="567"/>
                <w:jc w:val="both"/>
                <w:rPr>
                  <w:color w:val="000000"/>
                </w:rPr>
              </w:pPr>
            </w:p>
            <w:sdt>
              <w:sdtPr>
                <w:alias w:val="13 pr. 7 p."/>
                <w:tag w:val="part_8f6aa7b62f9e4783b75434b089b70cb9"/>
                <w:lock w:val="sdtLocked"/>
                <w:richText/>
              </w:sdtPr>
              <w:sdtContent>
                <w:p>
                  <w:pPr>
                    <w:widowControl w:val="0"/>
                    <w:suppressAutoHyphens/>
                    <w:ind w:firstLine="567"/>
                    <w:jc w:val="both"/>
                    <w:rPr>
                      <w:color w:val="000000"/>
                    </w:rPr>
                  </w:pPr>
                  <w:sdt>
                    <w:sdtPr>
                      <w:alias w:val="Numeris"/>
                      <w:tag w:val="nr_8f6aa7b62f9e4783b75434b089b70cb9"/>
                      <w:lock w:val="sdtLocked"/>
                      <w:richText/>
                    </w:sdtPr>
                    <w:sdtContent>
                      <w:r>
                        <w:rPr>
                          <w:color w:val="000000"/>
                        </w:rPr>
                        <w:t>7</w:t>
                      </w:r>
                    </w:sdtContent>
                  </w:sdt>
                  <w:r>
                    <w:rPr>
                      <w:color w:val="000000"/>
                    </w:rPr>
                    <w:t>. Darbdaviui atstovaujantis ar jo įgaliotas asmuo,</w:t>
                  </w:r>
                  <w:r>
                    <w:rPr>
                      <w:i/>
                      <w:iCs/>
                      <w:color w:val="000000"/>
                    </w:rPr>
                    <w:t xml:space="preserve"> </w:t>
                  </w:r>
                  <w:r>
                    <w:rPr>
                      <w:color w:val="000000"/>
                    </w:rPr>
                    <w:t xml:space="preserve">siųsdamas įsidarbinantį ar dirbantį asmenį tikrintis sveikatą, privalo išduoti ir pagal kompetenciją užpildyti Privalomo sveikatos patikrinimo medicininės pažymos formą (toliau – F Nr. 047/a) (įsidarbinančiam) arba Asmens medicininę knygelę (sveikatos pasą) (toliau – F Nr. 048/a) (dirbančiajam), patvirtintą Lietuvos Respublikos sveikatos apsaugos ministro 1999 m. lapkričio 29 d. įsakymu Nr. 515 „Dėl sveikatos priežiūros įstaigų veiklos apskaitos ir atskaitomybės tvarkos“ (Žin., 1999, Nr. </w:t>
                  </w:r>
                  <w:hyperlink r:id="rId66" w:tgtFrame="_blank" w:history="1">
                    <w:r>
                      <w:rPr>
                        <w:color w:val="0000FF" w:themeColor="hyperlink"/>
                        <w:u w:val="single"/>
                      </w:rPr>
                      <w:t>103-2972</w:t>
                    </w:r>
                  </w:hyperlink>
                  <w:r>
                    <w:rPr>
                      <w:color w:val="000000"/>
                    </w:rPr>
                    <w:t>) (toliau – įsakymas Nr. 515), nurodant:</w:t>
                  </w:r>
                </w:p>
                <w:sdt>
                  <w:sdtPr>
                    <w:alias w:val="13 pr. 7.1 p."/>
                    <w:tag w:val="part_85c087a482b04a348ab0092b594ce724"/>
                    <w:lock w:val="sdtLocked"/>
                    <w:richText/>
                  </w:sdtPr>
                  <w:sdtContent>
                    <w:p>
                      <w:pPr>
                        <w:widowControl w:val="0"/>
                        <w:suppressAutoHyphens/>
                        <w:ind w:firstLine="567"/>
                        <w:jc w:val="both"/>
                        <w:rPr>
                          <w:color w:val="000000"/>
                        </w:rPr>
                      </w:pPr>
                      <w:sdt>
                        <w:sdtPr>
                          <w:alias w:val="Numeris"/>
                          <w:tag w:val="nr_85c087a482b04a348ab0092b594ce724"/>
                          <w:lock w:val="sdtLocked"/>
                          <w:richText/>
                        </w:sdtPr>
                        <w:sdtContent>
                          <w:r>
                            <w:rPr>
                              <w:color w:val="000000"/>
                            </w:rPr>
                            <w:t>7.1</w:t>
                          </w:r>
                        </w:sdtContent>
                      </w:sdt>
                      <w:r>
                        <w:rPr>
                          <w:color w:val="000000"/>
                        </w:rPr>
                        <w:t>. vardą, pavardę, darbo stažą pagal profesiją metais;</w:t>
                      </w:r>
                    </w:p>
                  </w:sdtContent>
                </w:sdt>
                <w:sdt>
                  <w:sdtPr>
                    <w:alias w:val="13 pr. 7.2 p."/>
                    <w:tag w:val="part_61682c05cf454b8a870f1756fb58ea64"/>
                    <w:lock w:val="sdtLocked"/>
                    <w:richText/>
                  </w:sdtPr>
                  <w:sdtContent>
                    <w:p>
                      <w:pPr>
                        <w:widowControl w:val="0"/>
                        <w:suppressAutoHyphens/>
                        <w:ind w:firstLine="567"/>
                        <w:jc w:val="both"/>
                        <w:rPr>
                          <w:color w:val="000000"/>
                        </w:rPr>
                      </w:pPr>
                      <w:sdt>
                        <w:sdtPr>
                          <w:alias w:val="Numeris"/>
                          <w:tag w:val="nr_61682c05cf454b8a870f1756fb58ea64"/>
                          <w:lock w:val="sdtLocked"/>
                          <w:richText/>
                        </w:sdtPr>
                        <w:sdtContent>
                          <w:r>
                            <w:rPr>
                              <w:color w:val="000000"/>
                            </w:rPr>
                            <w:t>7.2</w:t>
                          </w:r>
                        </w:sdtContent>
                      </w:sdt>
                      <w:r>
                        <w:rPr>
                          <w:color w:val="000000"/>
                        </w:rPr>
                        <w:t>. kenksmingus darbo aplinkos veiksnius ir jų dydžius konkrečioje darbo vietoje;</w:t>
                      </w:r>
                    </w:p>
                  </w:sdtContent>
                </w:sdt>
                <w:sdt>
                  <w:sdtPr>
                    <w:alias w:val="13 pr. 7.3 p."/>
                    <w:tag w:val="part_a26b63efab0e4781abed941e26b39f1b"/>
                    <w:lock w:val="sdtLocked"/>
                    <w:richText/>
                  </w:sdtPr>
                  <w:sdtContent>
                    <w:p>
                      <w:pPr>
                        <w:widowControl w:val="0"/>
                        <w:suppressAutoHyphens/>
                        <w:ind w:firstLine="567"/>
                        <w:jc w:val="both"/>
                        <w:rPr>
                          <w:color w:val="000000"/>
                        </w:rPr>
                      </w:pPr>
                      <w:sdt>
                        <w:sdtPr>
                          <w:alias w:val="Numeris"/>
                          <w:tag w:val="nr_a26b63efab0e4781abed941e26b39f1b"/>
                          <w:lock w:val="sdtLocked"/>
                          <w:richText/>
                        </w:sdtPr>
                        <w:sdtContent>
                          <w:r>
                            <w:rPr>
                              <w:color w:val="000000"/>
                            </w:rPr>
                            <w:t>7.3</w:t>
                          </w:r>
                        </w:sdtContent>
                      </w:sdt>
                      <w:r>
                        <w:rPr>
                          <w:color w:val="000000"/>
                        </w:rPr>
                        <w:t>. pavojingus darbus konkrečioje darbo vietoje;</w:t>
                      </w:r>
                    </w:p>
                  </w:sdtContent>
                </w:sdt>
                <w:sdt>
                  <w:sdtPr>
                    <w:alias w:val="13 pr. 7.4 p."/>
                    <w:tag w:val="part_8aecf1a8f76d45698c53f4d4ff73e0b8"/>
                    <w:lock w:val="sdtLocked"/>
                    <w:richText/>
                  </w:sdtPr>
                  <w:sdtContent>
                    <w:p>
                      <w:pPr>
                        <w:widowControl w:val="0"/>
                        <w:suppressAutoHyphens/>
                        <w:ind w:firstLine="567"/>
                        <w:jc w:val="both"/>
                        <w:rPr>
                          <w:color w:val="000000"/>
                        </w:rPr>
                      </w:pPr>
                      <w:sdt>
                        <w:sdtPr>
                          <w:alias w:val="Numeris"/>
                          <w:tag w:val="nr_8aecf1a8f76d45698c53f4d4ff73e0b8"/>
                          <w:lock w:val="sdtLocked"/>
                          <w:richText/>
                        </w:sdtPr>
                        <w:sdtContent>
                          <w:r>
                            <w:rPr>
                              <w:color w:val="000000"/>
                            </w:rPr>
                            <w:t>7.4</w:t>
                          </w:r>
                        </w:sdtContent>
                      </w:sdt>
                      <w:r>
                        <w:rPr>
                          <w:color w:val="000000"/>
                        </w:rPr>
                        <w:t xml:space="preserve">. metines efektinės apšvitos dozes bei apšvitos dozes, gautas darbuotojų, dirbančių su jonizuojančiosios spinduliuotės šaltiniais, dirbant ypatingomis sąlygomis, vadovaujantis Lietuvos higienos norma HN 73:2001 „Pagrindinės radiacinės saugos normos“, patvirtinta Lietuvos Respublikos sveikatos apsaugos ministro 2001 m. gruodžio 21 d. įsakymu Nr. 663 „Dėl Lietuvos higienos normos HN 73:2001 „Pagrindinės radiacinės saugos normos“ patvirtinimo“ (Žin., 2002, Nr. </w:t>
                      </w:r>
                      <w:hyperlink r:id="rId67" w:tgtFrame="_blank" w:history="1">
                        <w:r>
                          <w:rPr>
                            <w:color w:val="0000FF" w:themeColor="hyperlink"/>
                            <w:u w:val="single"/>
                          </w:rPr>
                          <w:t>11-388</w:t>
                        </w:r>
                      </w:hyperlink>
                      <w:r>
                        <w:rPr>
                          <w:color w:val="000000"/>
                        </w:rPr>
                        <w:t>);</w:t>
                      </w:r>
                    </w:p>
                  </w:sdtContent>
                </w:sdt>
                <w:sdt>
                  <w:sdtPr>
                    <w:alias w:val="13 pr. 7.5 p."/>
                    <w:tag w:val="part_993fea31494f4f9d8624d2442b99dbe5"/>
                    <w:lock w:val="sdtLocked"/>
                    <w:richText/>
                  </w:sdtPr>
                  <w:sdtContent>
                    <w:p>
                      <w:pPr>
                        <w:widowControl w:val="0"/>
                        <w:suppressAutoHyphens/>
                        <w:ind w:firstLine="567"/>
                        <w:jc w:val="both"/>
                        <w:rPr>
                          <w:color w:val="000000"/>
                        </w:rPr>
                      </w:pPr>
                      <w:sdt>
                        <w:sdtPr>
                          <w:alias w:val="Numeris"/>
                          <w:tag w:val="nr_993fea31494f4f9d8624d2442b99dbe5"/>
                          <w:lock w:val="sdtLocked"/>
                          <w:richText/>
                        </w:sdtPr>
                        <w:sdtContent>
                          <w:r>
                            <w:rPr>
                              <w:color w:val="000000"/>
                            </w:rPr>
                            <w:t>7.5</w:t>
                          </w:r>
                        </w:sdtContent>
                      </w:sdt>
                      <w:r>
                        <w:rPr>
                          <w:color w:val="000000"/>
                        </w:rPr>
                        <w:t>. F Nr. 048/a turi būti su asmens nuotrauka ir patvirtinta darbovietės antspaudu bei darbdaviui atstovaujančio ar jo įgalioto asmens parašu.</w:t>
                      </w:r>
                    </w:p>
                  </w:sdtContent>
                </w:sdt>
              </w:sdtContent>
            </w:sdt>
            <w:sdt>
              <w:sdtPr>
                <w:alias w:val="13 pr. 8 p."/>
                <w:tag w:val="part_fc6c45806ee040729bf833f15545695c"/>
                <w:lock w:val="sdtLocked"/>
                <w:richText/>
              </w:sdtPr>
              <w:sdtContent>
                <w:p>
                  <w:pPr>
                    <w:widowControl w:val="0"/>
                    <w:suppressAutoHyphens/>
                    <w:ind w:firstLine="567"/>
                    <w:jc w:val="both"/>
                    <w:rPr>
                      <w:color w:val="000000"/>
                    </w:rPr>
                  </w:pPr>
                  <w:sdt>
                    <w:sdtPr>
                      <w:alias w:val="Numeris"/>
                      <w:tag w:val="nr_fc6c45806ee040729bf833f15545695c"/>
                      <w:lock w:val="sdtLocked"/>
                      <w:richText/>
                    </w:sdtPr>
                    <w:sdtContent>
                      <w:r>
                        <w:rPr>
                          <w:color w:val="000000"/>
                        </w:rPr>
                        <w:t>8</w:t>
                      </w:r>
                    </w:sdtContent>
                  </w:sdt>
                  <w:r>
                    <w:rPr>
                      <w:color w:val="000000"/>
                    </w:rPr>
                    <w:t>. Privalomai profilaktiškai darbuotojų sveikata tikrinama asmens sveikatos priežiūros įstaigoje (toliau – ASPĮ), turinčioje licenciją asmens sveikatos priežiūros veiklai.</w:t>
                  </w:r>
                </w:p>
              </w:sdtContent>
            </w:sdt>
            <w:sdt>
              <w:sdtPr>
                <w:alias w:val="13 pr. 9 p."/>
                <w:tag w:val="part_2ff4ab6837be459aabb1d06417a4934c"/>
                <w:lock w:val="sdtLocked"/>
                <w:richText/>
              </w:sdtPr>
              <w:sdtContent>
                <w:p>
                  <w:pPr>
                    <w:widowControl w:val="0"/>
                    <w:suppressAutoHyphens/>
                    <w:ind w:firstLine="567"/>
                    <w:jc w:val="both"/>
                    <w:rPr>
                      <w:color w:val="000000"/>
                    </w:rPr>
                  </w:pPr>
                  <w:sdt>
                    <w:sdtPr>
                      <w:alias w:val="Numeris"/>
                      <w:tag w:val="nr_2ff4ab6837be459aabb1d06417a4934c"/>
                      <w:lock w:val="sdtLocked"/>
                      <w:richText/>
                    </w:sdtPr>
                    <w:sdtContent>
                      <w:r>
                        <w:rPr>
                          <w:color w:val="000000"/>
                        </w:rPr>
                        <w:t>9</w:t>
                      </w:r>
                    </w:sdtContent>
                  </w:sdt>
                  <w:r>
                    <w:rPr>
                      <w:color w:val="000000"/>
                    </w:rPr>
                    <w:t>. Prieš privalomą profilaktinį asmens sveikatos tikrinimą, pacientas ASPĮ turi pateikti:</w:t>
                  </w:r>
                </w:p>
                <w:sdt>
                  <w:sdtPr>
                    <w:alias w:val="13 pr. 9.1 p."/>
                    <w:tag w:val="part_ea9b77c0747041d481b019b8da03e7df"/>
                    <w:lock w:val="sdtLocked"/>
                    <w:richText/>
                  </w:sdtPr>
                  <w:sdtContent>
                    <w:p>
                      <w:pPr>
                        <w:widowControl w:val="0"/>
                        <w:suppressAutoHyphens/>
                        <w:ind w:firstLine="567"/>
                        <w:jc w:val="both"/>
                        <w:rPr>
                          <w:color w:val="000000"/>
                        </w:rPr>
                      </w:pPr>
                      <w:sdt>
                        <w:sdtPr>
                          <w:alias w:val="Numeris"/>
                          <w:tag w:val="nr_ea9b77c0747041d481b019b8da03e7df"/>
                          <w:lock w:val="sdtLocked"/>
                          <w:richText/>
                        </w:sdtPr>
                        <w:sdtContent>
                          <w:r>
                            <w:rPr>
                              <w:color w:val="000000"/>
                            </w:rPr>
                            <w:t>9.1</w:t>
                          </w:r>
                        </w:sdtContent>
                      </w:sdt>
                      <w:r>
                        <w:rPr>
                          <w:color w:val="000000"/>
                        </w:rPr>
                        <w:t>. asmens tapatybę patvirtinantį dokumentą;</w:t>
                      </w:r>
                    </w:p>
                  </w:sdtContent>
                </w:sdt>
                <w:sdt>
                  <w:sdtPr>
                    <w:alias w:val="13 pr. 9.2 p."/>
                    <w:tag w:val="part_51c57afa63bb4416b1c5a3a616c07a9e"/>
                    <w:lock w:val="sdtLocked"/>
                    <w:richText/>
                  </w:sdtPr>
                  <w:sdtContent>
                    <w:p>
                      <w:pPr>
                        <w:widowControl w:val="0"/>
                        <w:suppressAutoHyphens/>
                        <w:ind w:firstLine="567"/>
                        <w:jc w:val="both"/>
                        <w:rPr>
                          <w:color w:val="000000"/>
                        </w:rPr>
                      </w:pPr>
                      <w:sdt>
                        <w:sdtPr>
                          <w:alias w:val="Numeris"/>
                          <w:tag w:val="nr_51c57afa63bb4416b1c5a3a616c07a9e"/>
                          <w:lock w:val="sdtLocked"/>
                          <w:richText/>
                        </w:sdtPr>
                        <w:sdtContent>
                          <w:r>
                            <w:rPr>
                              <w:color w:val="000000"/>
                            </w:rPr>
                            <w:t>9.2</w:t>
                          </w:r>
                        </w:sdtContent>
                      </w:sdt>
                      <w:r>
                        <w:rPr>
                          <w:color w:val="000000"/>
                        </w:rPr>
                        <w:t>. darbdaviui atstovaujančio ar jo įgalioto asmens pagal Aprašo 7 punkto nurodymus užpildytą F Nr. 047/a arba F Nr. 048/a, kuriose nurodytus profesinės rizikos veiksnius šeimos medicinos paslaugas teikiantis arba darbo medicinos gydytojas įrašo į paciento Asmens sveikatos istoriją (toliau – F Nr. 025/a) ir patvirtina savo parašu ir asmeniniu spaudu;</w:t>
                      </w:r>
                    </w:p>
                  </w:sdtContent>
                </w:sdt>
                <w:sdt>
                  <w:sdtPr>
                    <w:alias w:val="13 pr. 9.3 p."/>
                    <w:tag w:val="part_44f25c286c1c474fa3a0f525e14fc941"/>
                    <w:lock w:val="sdtLocked"/>
                    <w:richText/>
                  </w:sdtPr>
                  <w:sdtContent>
                    <w:p>
                      <w:pPr>
                        <w:widowControl w:val="0"/>
                        <w:suppressAutoHyphens/>
                        <w:ind w:firstLine="567"/>
                        <w:jc w:val="both"/>
                        <w:rPr>
                          <w:color w:val="000000"/>
                        </w:rPr>
                      </w:pPr>
                      <w:sdt>
                        <w:sdtPr>
                          <w:alias w:val="Numeris"/>
                          <w:tag w:val="nr_44f25c286c1c474fa3a0f525e14fc941"/>
                          <w:lock w:val="sdtLocked"/>
                          <w:richText/>
                        </w:sdtPr>
                        <w:sdtContent>
                          <w:r>
                            <w:rPr>
                              <w:color w:val="000000"/>
                            </w:rPr>
                            <w:t>9.3</w:t>
                          </w:r>
                        </w:sdtContent>
                      </w:sdt>
                      <w:r>
                        <w:rPr>
                          <w:color w:val="000000"/>
                        </w:rPr>
                        <w:t>. jei reikia, kitos profesinės kvalifikacijos gydytojo užpildytą Medicinos dokumentų išrašą pagal F 025/a, F 003/a (toliau – F Nr. 027/a), patvirtintą įsakymu Nr. 515;</w:t>
                      </w:r>
                    </w:p>
                  </w:sdtContent>
                </w:sdt>
                <w:sdt>
                  <w:sdtPr>
                    <w:alias w:val="13 pr. 9.4 p."/>
                    <w:tag w:val="part_2529ba8d4c5d4cfdba2ff4d9ff535b70"/>
                    <w:lock w:val="sdtLocked"/>
                    <w:richText/>
                  </w:sdtPr>
                  <w:sdtContent>
                    <w:p>
                      <w:pPr>
                        <w:widowControl w:val="0"/>
                        <w:suppressAutoHyphens/>
                        <w:ind w:firstLine="567"/>
                        <w:jc w:val="both"/>
                      </w:pPr>
                      <w:sdt>
                        <w:sdtPr>
                          <w:alias w:val="Numeris"/>
                          <w:tag w:val="nr_2529ba8d4c5d4cfdba2ff4d9ff535b70"/>
                          <w:lock w:val="sdtLocked"/>
                          <w:richText/>
                        </w:sdtPr>
                        <w:sdtContent>
                          <w:r>
                            <w:rPr>
                              <w:color w:val="000000"/>
                            </w:rPr>
                            <w:t>9.4</w:t>
                          </w:r>
                        </w:sdtContent>
                      </w:sdt>
                      <w:r>
                        <w:rPr>
                          <w:color w:val="000000"/>
                        </w:rPr>
                        <w:t>. ASPĮ, kurią asmuo yra pasirinkęs teisės aktų nustatyta tvarka, šeimos medicinos paslaugas teikiančio gydytojo užpildytą F Nr. 027/a (jei asmuo tikrinasi kitoje ASPĮ, nei yra prisirašęs);</w:t>
                      </w:r>
                    </w:p>
                  </w:sdtContent>
                </w:sdt>
                <w:sdt>
                  <w:sdtPr>
                    <w:alias w:val="9.5 pp."/>
                    <w:tag w:val="part_ecd90fb37b19407e839b28c2474140b8"/>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ecd90fb37b19407e839b28c2474140b8"/>
                          <w:lock w:val="sdtLocked"/>
                          <w:richText/>
                        </w:sdtPr>
                        <w:sdtContent>
                          <w:r>
                            <w:rPr>
                              <w:szCs w:val="24"/>
                              <w:lang w:eastAsia="lt-LT"/>
                            </w:rPr>
                            <w:t>9.5</w:t>
                          </w:r>
                        </w:sdtContent>
                      </w:sdt>
                      <w:r>
                        <w:rPr>
                          <w:szCs w:val="24"/>
                          <w:lang w:eastAsia="lt-LT"/>
                        </w:rPr>
                        <w:t xml:space="preserve">. jeigu reikalinga gydytojo </w:t>
                      </w:r>
                      <w:r>
                        <w:rPr>
                          <w:szCs w:val="24"/>
                        </w:rPr>
                        <w:t xml:space="preserve">išvada dėl sunkų ar vidutinį neįgalumo lygį ar 40 procentų neviršijantį darbingumo lygį </w:t>
                      </w:r>
                      <w:r>
                        <w:rPr>
                          <w:szCs w:val="24"/>
                          <w:lang w:eastAsia="lt-LT"/>
                        </w:rPr>
                        <w:t xml:space="preserve">arba didelių ar vidutinių specialiųjų poreikių lygį </w:t>
                      </w:r>
                      <w:r>
                        <w:rPr>
                          <w:szCs w:val="24"/>
                        </w:rPr>
                        <w:t xml:space="preserve">turinčių darbuotojų negalios pobūdžio, darbo funkcijos socialinėje įmonėje, kurios neįgalus darbuotojas negali atlikti be asistento pagalbos </w:t>
                      </w:r>
                      <w:r>
                        <w:rPr>
                          <w:color w:val="000000"/>
                          <w:szCs w:val="24"/>
                        </w:rPr>
                        <w:t>–</w:t>
                      </w:r>
                      <w:r>
                        <w:rPr>
                          <w:szCs w:val="24"/>
                        </w:rPr>
                        <w:t xml:space="preserve"> darbdaviui atstovaujančio ar jo įgalioto asmens raštą, kuriame išvardytos tos darbuotojo funkcijos, dėl kurių prašoma gydytojo išvados.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e619f0322711eabe008ea93139d588">
                        <w:r w:rsidRPr="00532B9F">
                          <w:rPr>
                            <w:rFonts w:ascii="Times New Roman" w:eastAsia="MS Mincho" w:hAnsi="Times New Roman"/>
                            <w:sz w:val="20"/>
                            <w:i/>
                            <w:iCs/>
                            <w:color w:val="0000FF" w:themeColor="hyperlink"/>
                            <w:u w:val="single"/>
                          </w:rPr>
                          <w:t>V-20</w:t>
                        </w:r>
                      </w:fldSimple>
                      <w:r>
                        <w:rPr>
                          <w:rFonts w:ascii="Times New Roman" w:eastAsia="MS Mincho" w:hAnsi="Times New Roman"/>
                          <w:sz w:val="20"/>
                          <w:i/>
                          <w:iCs/>
                        </w:rPr>
                        <w:t>,
2020-01-07,
paskelbta TAR 2020-01-09, i. k. 2020-00251        </w:t>
                      </w:r>
                    </w:p>
                    <w:p/>
                  </w:sdtContent>
                </w:sdt>
              </w:sdtContent>
            </w:sdt>
            <w:sdt>
              <w:sdtPr>
                <w:alias w:val="13 pr. 10 p."/>
                <w:tag w:val="part_39383f72a3a844b0a0459d0785a79a1f"/>
                <w:lock w:val="sdtLocked"/>
                <w:richText/>
              </w:sdtPr>
              <w:sdtContent>
                <w:p>
                  <w:pPr>
                    <w:widowControl w:val="0"/>
                    <w:suppressAutoHyphens/>
                    <w:ind w:firstLine="567"/>
                    <w:jc w:val="both"/>
                    <w:rPr>
                      <w:color w:val="000000"/>
                    </w:rPr>
                  </w:pPr>
                  <w:sdt>
                    <w:sdtPr>
                      <w:alias w:val="Numeris"/>
                      <w:tag w:val="nr_39383f72a3a844b0a0459d0785a79a1f"/>
                      <w:lock w:val="sdtLocked"/>
                      <w:richText/>
                    </w:sdtPr>
                    <w:sdtContent>
                      <w:r>
                        <w:rPr>
                          <w:color w:val="000000"/>
                        </w:rPr>
                        <w:t>10</w:t>
                      </w:r>
                    </w:sdtContent>
                  </w:sdt>
                  <w:r>
                    <w:rPr>
                      <w:color w:val="000000"/>
                    </w:rPr>
                    <w:t>. Privalomus profilaktinius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privalomai arba prireikus konsultuodamiesi su šiame priede nurodytų kitų profesinių kvalifikacijų gydytojais ir, esant indikacijų, skirdami privalomus arba kitus tyrimus: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10.1 p."/>
                    <w:tag w:val="part_a9b7eb8a78ca47f0ad9380dc55de9936"/>
                    <w:lock w:val="sdtLocked"/>
                    <w:richText/>
                  </w:sdtPr>
                  <w:sdtContent>
                    <w:p>
                      <w:pPr>
                        <w:widowControl w:val="0"/>
                        <w:suppressAutoHyphens/>
                        <w:ind w:firstLine="567"/>
                        <w:jc w:val="both"/>
                        <w:rPr>
                          <w:color w:val="000000"/>
                        </w:rPr>
                      </w:pPr>
                      <w:sdt>
                        <w:sdtPr>
                          <w:alias w:val="Numeris"/>
                          <w:tag w:val="nr_a9b7eb8a78ca47f0ad9380dc55de9936"/>
                          <w:lock w:val="sdtLocked"/>
                          <w:richText/>
                        </w:sdtPr>
                        <w:sdtContent>
                          <w:r>
                            <w:rPr>
                              <w:color w:val="000000"/>
                            </w:rPr>
                            <w:t>10.1</w:t>
                          </w:r>
                        </w:sdtContent>
                      </w:sdt>
                      <w:r>
                        <w:rPr>
                          <w:color w:val="000000"/>
                        </w:rPr>
                        <w:t>. F Nr. 027/a užpildoma ir išduodama tuo atveju, jei pacientas vyksta tikrintis sveikatos būklę į kitą ASPĮ (kurioje jis neprisirašęs) arba kai jis siunčiamas tikrintis pas kitų reikiamų profesinių kvalifikacijų gydytojus bei atsakant siuntusiam konsultuoti gydytojui;</w:t>
                      </w:r>
                    </w:p>
                  </w:sdtContent>
                </w:sdt>
                <w:sdt>
                  <w:sdtPr>
                    <w:alias w:val="13 pr. 10.2 p."/>
                    <w:tag w:val="part_29f040cf1c644f8fb60fc70a75718a3b"/>
                    <w:lock w:val="sdtLocked"/>
                    <w:richText/>
                  </w:sdtPr>
                  <w:sdtContent>
                    <w:p>
                      <w:pPr>
                        <w:widowControl w:val="0"/>
                        <w:suppressAutoHyphens/>
                        <w:ind w:firstLine="567"/>
                        <w:jc w:val="both"/>
                        <w:rPr>
                          <w:color w:val="000000"/>
                        </w:rPr>
                      </w:pPr>
                      <w:sdt>
                        <w:sdtPr>
                          <w:alias w:val="Numeris"/>
                          <w:tag w:val="nr_29f040cf1c644f8fb60fc70a75718a3b"/>
                          <w:lock w:val="sdtLocked"/>
                          <w:richText/>
                        </w:sdtPr>
                        <w:sdtContent>
                          <w:r>
                            <w:rPr>
                              <w:color w:val="000000"/>
                            </w:rPr>
                            <w:t>10.2</w:t>
                          </w:r>
                        </w:sdtContent>
                      </w:sdt>
                      <w:r>
                        <w:rPr>
                          <w:color w:val="000000"/>
                        </w:rPr>
                        <w:t>. F Nr. 027/a pildydamas gydytojas psichiatras nurodo, kad nėra įregistruota asmeniui teiktų sveikatos priežiūros paslaugų arba – nurodomos suteiktos asmens sveikatos priežiūros paslaugos. Pacientų psichikos sveikatą tikrina ASPĮ, prie kurios jie prisirašę, aptarnaujančio psichikos sveikatos centro gydytojas psichiatras, kuris tikrinimo rezultatus įrašo į F Nr. 025/a ir į ASPĮ antspaudu patvirtintą F Nr. 027/a, pasirašo ir patvirtina savo asmeniniu spaudu;</w:t>
                      </w:r>
                    </w:p>
                  </w:sdtContent>
                </w:sdt>
                <w:sdt>
                  <w:sdtPr>
                    <w:alias w:val="13 pr. 10.3 p."/>
                    <w:tag w:val="part_22774cdfd4af40a9b6eadb1ddc0597ed"/>
                    <w:lock w:val="sdtLocked"/>
                    <w:richText/>
                  </w:sdtPr>
                  <w:sdtContent>
                    <w:p>
                      <w:pPr>
                        <w:widowControl w:val="0"/>
                        <w:suppressAutoHyphens/>
                        <w:ind w:firstLine="567"/>
                        <w:jc w:val="both"/>
                        <w:rPr>
                          <w:color w:val="000000"/>
                        </w:rPr>
                      </w:pPr>
                      <w:sdt>
                        <w:sdtPr>
                          <w:alias w:val="Numeris"/>
                          <w:tag w:val="nr_22774cdfd4af40a9b6eadb1ddc0597ed"/>
                          <w:lock w:val="sdtLocked"/>
                          <w:richText/>
                        </w:sdtPr>
                        <w:sdtContent>
                          <w:r>
                            <w:rPr>
                              <w:color w:val="000000"/>
                            </w:rPr>
                            <w:t>10.3</w:t>
                          </w:r>
                        </w:sdtContent>
                      </w:sdt>
                      <w:r>
                        <w:rPr>
                          <w:color w:val="000000"/>
                        </w:rPr>
                        <w:t>. tikrinantis sveikatą bet kurios profesinės kvalifikacijos ir šeimos medicinos paslaugas teikiantis arba darbo medicinos gydytojas gali kreiptis informacijos apie paciento sveikatos būklę į kitą ASPĮ, o pastarosios tokią informaciją privalo teikti galiojančių teisės aktų nustatyta tvarka;</w:t>
                      </w:r>
                    </w:p>
                  </w:sdtContent>
                </w:sdt>
                <w:sdt>
                  <w:sdtPr>
                    <w:alias w:val="13 pr. 10.4 p."/>
                    <w:tag w:val="part_6f6426ca9d53490dba3127077b716561"/>
                    <w:lock w:val="sdtLocked"/>
                    <w:richText/>
                  </w:sdtPr>
                  <w:sdtContent>
                    <w:p>
                      <w:pPr>
                        <w:widowControl w:val="0"/>
                        <w:suppressAutoHyphens/>
                        <w:ind w:firstLine="567"/>
                        <w:jc w:val="both"/>
                        <w:rPr>
                          <w:color w:val="000000"/>
                        </w:rPr>
                      </w:pPr>
                      <w:sdt>
                        <w:sdtPr>
                          <w:alias w:val="Numeris"/>
                          <w:tag w:val="nr_6f6426ca9d53490dba3127077b716561"/>
                          <w:lock w:val="sdtLocked"/>
                          <w:richText/>
                        </w:sdtPr>
                        <w:sdtContent>
                          <w:r>
                            <w:rPr>
                              <w:color w:val="000000"/>
                            </w:rPr>
                            <w:t>10.4</w:t>
                          </w:r>
                        </w:sdtContent>
                      </w:sdt>
                      <w:r>
                        <w:rPr>
                          <w:color w:val="000000"/>
                        </w:rPr>
                        <w:t>. šeimos medicinos paslaugas teikiantis arba darbo medicinos gydytojas, įvertinęs tyrimų rezultatus, konsultavusių kitų profesinių kvalifikacijų gydytojų išvadas bei kontraindikacijas, nurodytas šio Aprašo III skyriuje ir 1, 2 lentelėse, daro išvadą apie asmens profesinį tinkamumą.</w:t>
                      </w:r>
                    </w:p>
                  </w:sdtContent>
                </w:sdt>
              </w:sdtContent>
            </w:sdt>
            <w:sdt>
              <w:sdtPr>
                <w:alias w:val="13 pr. 11 p."/>
                <w:tag w:val="part_3ff01f25ef364bc8a59d0e34e45004b9"/>
                <w:lock w:val="sdtLocked"/>
                <w:richText/>
              </w:sdtPr>
              <w:sdtContent>
                <w:p>
                  <w:pPr>
                    <w:widowControl w:val="0"/>
                    <w:suppressAutoHyphens/>
                    <w:ind w:firstLine="567"/>
                    <w:jc w:val="both"/>
                    <w:rPr>
                      <w:color w:val="000000"/>
                    </w:rPr>
                  </w:pPr>
                  <w:sdt>
                    <w:sdtPr>
                      <w:alias w:val="Numeris"/>
                      <w:tag w:val="nr_3ff01f25ef364bc8a59d0e34e45004b9"/>
                      <w:lock w:val="sdtLocked"/>
                      <w:richText/>
                    </w:sdtPr>
                    <w:sdtContent>
                      <w:r>
                        <w:rPr>
                          <w:color w:val="000000"/>
                        </w:rPr>
                        <w:t>11</w:t>
                      </w:r>
                    </w:sdtContent>
                  </w:sdt>
                  <w:r>
                    <w:rPr>
                      <w:color w:val="000000"/>
                    </w:rPr>
                    <w:t>. Sveikatos tikrinimo ir tyrimų duomenis bei išvadą dėl profesinio tinkamumo kiekvienas tikrinantis sveikatą gydytojas įrašo į F Nr. 025/a.</w:t>
                  </w:r>
                </w:p>
              </w:sdtContent>
            </w:sdt>
            <w:sdt>
              <w:sdtPr>
                <w:alias w:val="13 pr. 12 p."/>
                <w:tag w:val="part_9034792f355144e18f7ec16d0af11713"/>
                <w:lock w:val="sdtLocked"/>
                <w:richText/>
              </w:sdtPr>
              <w:sdtContent>
                <w:p>
                  <w:pPr>
                    <w:widowControl w:val="0"/>
                    <w:suppressAutoHyphens/>
                    <w:ind w:firstLine="567"/>
                    <w:jc w:val="both"/>
                    <w:rPr>
                      <w:color w:val="000000"/>
                    </w:rPr>
                  </w:pPr>
                  <w:sdt>
                    <w:sdtPr>
                      <w:alias w:val="Numeris"/>
                      <w:tag w:val="nr_9034792f355144e18f7ec16d0af11713"/>
                      <w:lock w:val="sdtLocked"/>
                      <w:richText/>
                    </w:sdtPr>
                    <w:sdtContent>
                      <w:r>
                        <w:rPr>
                          <w:color w:val="000000"/>
                        </w:rPr>
                        <w:t>12</w:t>
                      </w:r>
                    </w:sdtContent>
                  </w:sdt>
                  <w:r>
                    <w:rPr>
                      <w:color w:val="000000"/>
                    </w:rPr>
                    <w:t>. Išvadą dėl darbuotojo profesinio tinkamumo: „dirbti gali“ „dirbti gali, bet ribotai“ (nurodant kaip), „dirbti negali“ įsidarbinančiam – į F Nr. 047/a, dirbančiajam – į F Nr. 048/a įrašo 10.4. punkte nurodytas gydytojas.</w:t>
                  </w:r>
                </w:p>
              </w:sdtContent>
            </w:sdt>
            <w:sdt>
              <w:sdtPr>
                <w:alias w:val="13 pr. 13 p."/>
                <w:tag w:val="part_f7d9d10e0ed54428982d701534bc7025"/>
                <w:lock w:val="sdtLocked"/>
                <w:richText/>
              </w:sdtPr>
              <w:sdtContent>
                <w:p>
                  <w:pPr>
                    <w:widowControl w:val="0"/>
                    <w:suppressAutoHyphens/>
                    <w:ind w:firstLine="567"/>
                    <w:jc w:val="both"/>
                    <w:rPr>
                      <w:color w:val="000000"/>
                    </w:rPr>
                  </w:pPr>
                  <w:sdt>
                    <w:sdtPr>
                      <w:alias w:val="Numeris"/>
                      <w:tag w:val="nr_f7d9d10e0ed54428982d701534bc7025"/>
                      <w:lock w:val="sdtLocked"/>
                      <w:richText/>
                    </w:sdtPr>
                    <w:sdtContent>
                      <w:r>
                        <w:rPr>
                          <w:color w:val="000000"/>
                        </w:rPr>
                        <w:t>13</w:t>
                      </w:r>
                    </w:sdtContent>
                  </w:sdt>
                  <w:r>
                    <w:rPr>
                      <w:color w:val="000000"/>
                    </w:rPr>
                    <w:t>. Tikrinamiesiems dėl darbo su asbestu ir (ar) asbesto turinčiais produktais bei pavojingomis kancerogeninėmis, mutageninėmis medžiagomis ir preparatais gydytojas turi nurodyti, kad medicininė priežiūra turi būti tęsiama ir pasibaigus jų poveikiui.</w:t>
                  </w:r>
                </w:p>
              </w:sdtContent>
            </w:sdt>
            <w:sdt>
              <w:sdtPr>
                <w:alias w:val="13 pr. 14 p."/>
                <w:tag w:val="part_57d9d70244934bd282542798d790af49"/>
                <w:lock w:val="sdtLocked"/>
                <w:richText/>
              </w:sdtPr>
              <w:sdtContent>
                <w:p>
                  <w:pPr>
                    <w:widowControl w:val="0"/>
                    <w:suppressAutoHyphens/>
                    <w:ind w:firstLine="567"/>
                    <w:jc w:val="both"/>
                    <w:rPr>
                      <w:color w:val="000000"/>
                    </w:rPr>
                  </w:pPr>
                  <w:sdt>
                    <w:sdtPr>
                      <w:alias w:val="Numeris"/>
                      <w:tag w:val="nr_57d9d70244934bd282542798d790af49"/>
                      <w:lock w:val="sdtLocked"/>
                      <w:richText/>
                    </w:sdtPr>
                    <w:sdtContent>
                      <w:r>
                        <w:rPr>
                          <w:color w:val="000000"/>
                        </w:rPr>
                        <w:t>14</w:t>
                      </w:r>
                    </w:sdtContent>
                  </w:sdt>
                  <w:r>
                    <w:rPr>
                      <w:color w:val="000000"/>
                    </w:rPr>
                    <w:t>. Darbuotojų, dirbančių su asbestu ir (ar) asbesto turinčiais produktais, pavojingomis kancerogeninėmis, mutageninėmis medžiagomis ir preparatais sveikatos tikrinimo ir tyrimo duomenys turi būti saugomi ne mažiau kaip 40 metų baigus dirbti su asbestu ir (ar) asbesto turinčiais produktais bei pavojingomis kancerogeninėmis, mutageninėmis medžiagomis ir preparatais.</w:t>
                  </w:r>
                </w:p>
              </w:sdtContent>
            </w:sdt>
            <w:sdt>
              <w:sdtPr>
                <w:alias w:val="13 pr. 15 p."/>
                <w:tag w:val="part_d06974d490d44256973f10c2e9473188"/>
                <w:lock w:val="sdtLocked"/>
                <w:richText/>
              </w:sdtPr>
              <w:sdtContent>
                <w:p>
                  <w:pPr>
                    <w:widowControl w:val="0"/>
                    <w:suppressAutoHyphens/>
                    <w:ind w:firstLine="567"/>
                    <w:jc w:val="both"/>
                    <w:rPr>
                      <w:color w:val="000000"/>
                    </w:rPr>
                  </w:pPr>
                  <w:sdt>
                    <w:sdtPr>
                      <w:alias w:val="Numeris"/>
                      <w:tag w:val="nr_d06974d490d44256973f10c2e9473188"/>
                      <w:lock w:val="sdtLocked"/>
                      <w:richText/>
                    </w:sdtPr>
                    <w:sdtContent>
                      <w:r>
                        <w:rPr>
                          <w:color w:val="000000"/>
                        </w:rPr>
                        <w:t>15</w:t>
                      </w:r>
                    </w:sdtContent>
                  </w:sdt>
                  <w:r>
                    <w:rPr>
                      <w:color w:val="000000"/>
                    </w:rPr>
                    <w:t>. Darbuotojų, dirbančių su jonizuojančiosios spinduliuotės šaltiniais, sveikatos tikrinimo ir tyrimo duomenys bei įrašai apie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16 p."/>
                <w:tag w:val="part_ac200da4c4664ff0986fc65cd4d63792"/>
                <w:lock w:val="sdtLocked"/>
                <w:richText/>
              </w:sdtPr>
              <w:sdtContent>
                <w:p>
                  <w:pPr>
                    <w:widowControl w:val="0"/>
                    <w:suppressAutoHyphens/>
                    <w:ind w:firstLine="567"/>
                    <w:jc w:val="both"/>
                    <w:rPr>
                      <w:color w:val="000000"/>
                    </w:rPr>
                  </w:pPr>
                  <w:sdt>
                    <w:sdtPr>
                      <w:alias w:val="Numeris"/>
                      <w:tag w:val="nr_ac200da4c4664ff0986fc65cd4d63792"/>
                      <w:lock w:val="sdtLocked"/>
                      <w:richText/>
                    </w:sdtPr>
                    <w:sdtContent>
                      <w:r>
                        <w:rPr>
                          <w:color w:val="000000"/>
                        </w:rPr>
                        <w:t>16</w:t>
                      </w:r>
                    </w:sdtContent>
                  </w:sdt>
                  <w:r>
                    <w:rPr>
                      <w:color w:val="000000"/>
                    </w:rPr>
                    <w:t>. Gydytojas, nurodytas Aprašo 10.4. punkte, pacientui praneša apie su juo asmeniškai susijusius jo profilaktinio sveikatos tikrinimo rezultatus, taip pat informuoja ir pataria, koks sveikatos tikrinimas reikalingas jam, pasibaigus kenksmingo rizikos veiksnio poveikiui. Gydytojas įrašo F Nr. 025/a, kad suteikė pacientui informaciją, ir nurodo kokią.</w:t>
                  </w:r>
                </w:p>
              </w:sdtContent>
            </w:sdt>
            <w:sdt>
              <w:sdtPr>
                <w:alias w:val="13 pr. 17 p."/>
                <w:tag w:val="part_215ed7b52a1044edae884ba078e5063f"/>
                <w:lock w:val="sdtLocked"/>
                <w:richText/>
              </w:sdtPr>
              <w:sdtContent>
                <w:p>
                  <w:pPr>
                    <w:widowControl w:val="0"/>
                    <w:suppressAutoHyphens/>
                    <w:ind w:firstLine="567"/>
                    <w:jc w:val="both"/>
                    <w:rPr>
                      <w:color w:val="000000"/>
                    </w:rPr>
                  </w:pPr>
                  <w:sdt>
                    <w:sdtPr>
                      <w:alias w:val="Numeris"/>
                      <w:tag w:val="nr_215ed7b52a1044edae884ba078e5063f"/>
                      <w:lock w:val="sdtLocked"/>
                      <w:richText/>
                    </w:sdtPr>
                    <w:sdtContent>
                      <w:r>
                        <w:rPr>
                          <w:color w:val="000000"/>
                        </w:rPr>
                        <w:t>17</w:t>
                      </w:r>
                    </w:sdtContent>
                  </w:sdt>
                  <w:r>
                    <w:rPr>
                      <w:color w:val="000000"/>
                    </w:rPr>
                    <w:t>. Gydytojas, nurodytas Aprašo 10.4. punkte, ar už sveikatos priežiūrą atsakinga ASPĮ, ar darbuotojų saugos ir sveikatos tarnyba gali pasiūlyti darbdaviui atstovaujančiam ar jo įgaliotam asmeniui siųsti darbuotoją neeilinio sveikatos tikrinimo. Darbdaviui atstovaujantis ar jo įgaliotas asmuo privalo pasirūpinti, kad būtų atliekamas to darbuotojo ir bet kurio kito darbuotojo, kuris patyrė panašų poveikį, sveikatos patikrinimas:</w:t>
                  </w:r>
                </w:p>
                <w:sdt>
                  <w:sdtPr>
                    <w:alias w:val="13 pr. 17.1 p."/>
                    <w:tag w:val="part_9bfaf8fceec64882ba793ce1c455e0da"/>
                    <w:lock w:val="sdtLocked"/>
                    <w:richText/>
                  </w:sdtPr>
                  <w:sdtContent>
                    <w:p>
                      <w:pPr>
                        <w:widowControl w:val="0"/>
                        <w:suppressAutoHyphens/>
                        <w:ind w:firstLine="567"/>
                        <w:jc w:val="both"/>
                        <w:rPr>
                          <w:color w:val="000000"/>
                        </w:rPr>
                      </w:pPr>
                      <w:sdt>
                        <w:sdtPr>
                          <w:alias w:val="Numeris"/>
                          <w:tag w:val="nr_9bfaf8fceec64882ba793ce1c455e0da"/>
                          <w:lock w:val="sdtLocked"/>
                          <w:richText/>
                        </w:sdtPr>
                        <w:sdtContent>
                          <w:r>
                            <w:rPr>
                              <w:color w:val="000000"/>
                            </w:rPr>
                            <w:t>17.1</w:t>
                          </w:r>
                        </w:sdtContent>
                      </w:sdt>
                      <w:r>
                        <w:rPr>
                          <w:color w:val="000000"/>
                        </w:rPr>
                        <w:t xml:space="preserve">. jei nustatoma rizika darbuotojų sveikatai, vadovaujantis Lietuvos Respublikos socialinės apsaugos ir darbo ministro ir Lietuvos Respublikos sveikatos apsaugos ministro 2001 m. liepos 24 d. įsakymu Nr. 97/406 V-1025 „Dėl Darbuotojų apsaugos nuo cheminių veiksnių darbe nuostatų bei darbuotojų apsaugos nuo kancerogenų ir mutagenų poveikio darbe nuostatų patvirtinimo“ (Žin., 2001, Nr. </w:t>
                      </w:r>
                      <w:hyperlink r:id="rId68" w:tgtFrame="_blank" w:history="1">
                        <w:r>
                          <w:rPr>
                            <w:color w:val="0000FF" w:themeColor="hyperlink"/>
                            <w:u w:val="single"/>
                          </w:rPr>
                          <w:t>65-2396</w:t>
                        </w:r>
                      </w:hyperlink>
                      <w:r>
                        <w:rPr>
                          <w:color w:val="000000"/>
                        </w:rPr>
                        <w:t>);</w:t>
                      </w:r>
                    </w:p>
                  </w:sdtContent>
                </w:sdt>
                <w:sdt>
                  <w:sdtPr>
                    <w:alias w:val="13 pr. 17.2 p."/>
                    <w:tag w:val="part_4fb737dfe0a34e1db3ba3f6c9ffef544"/>
                    <w:lock w:val="sdtLocked"/>
                    <w:richText/>
                  </w:sdtPr>
                  <w:sdtContent>
                    <w:p>
                      <w:pPr>
                        <w:widowControl w:val="0"/>
                        <w:suppressAutoHyphens/>
                        <w:ind w:firstLine="567"/>
                        <w:jc w:val="both"/>
                        <w:rPr>
                          <w:color w:val="000000"/>
                        </w:rPr>
                      </w:pPr>
                      <w:sdt>
                        <w:sdtPr>
                          <w:alias w:val="Numeris"/>
                          <w:tag w:val="nr_4fb737dfe0a34e1db3ba3f6c9ffef544"/>
                          <w:lock w:val="sdtLocked"/>
                          <w:richText/>
                        </w:sdtPr>
                        <w:sdtContent>
                          <w:r>
                            <w:rPr>
                              <w:color w:val="000000"/>
                            </w:rPr>
                            <w:t>17.2</w:t>
                          </w:r>
                        </w:sdtContent>
                      </w:sdt>
                      <w:r>
                        <w:rPr>
                          <w:color w:val="000000"/>
                        </w:rPr>
                        <w:t xml:space="preserve">. jei nustatoma, kad dirbtinės optinės spinduliuotės veikimas viršija ribines vertes, jeigu Lietuvos Respublikos socialinės apsaugos ir darbo ministro ir Lietuvos Respublikos sveikatos apsaugos ministro 2007 m. gruodžio 14 d. įsakymu Nr. A1-366/V-1025 „Dėl darbuotojų apsaugos nuo dirbtinės optinės spinduliuotės keliamos rizikos nuostatų patvirtinimo“ (Žin., 2007, Nr. </w:t>
                      </w:r>
                      <w:hyperlink r:id="rId69" w:tgtFrame="_blank" w:history="1">
                        <w:r>
                          <w:rPr>
                            <w:color w:val="0000FF" w:themeColor="hyperlink"/>
                            <w:u w:val="single"/>
                          </w:rPr>
                          <w:t>136-5540</w:t>
                        </w:r>
                      </w:hyperlink>
                      <w:r>
                        <w:rPr>
                          <w:color w:val="000000"/>
                        </w:rPr>
                        <w:t>) numatyto įvertinimo ir matavimo rezultatai rodo riziką sveikatai ar nustatomas neigiamas poveikis sveikatai (įskaitant ligas ir sveikatos problemas), jei gydytojas, nurodytas 10.4. punkte, nusprendžia, kad to priežastis – dirbtinės optinės spinduliuotės poveikis darbe;</w:t>
                      </w:r>
                    </w:p>
                  </w:sdtContent>
                </w:sdt>
                <w:sdt>
                  <w:sdtPr>
                    <w:alias w:val="13 pr. 17.3 p."/>
                    <w:tag w:val="part_22ed9193e9b04a2584cb896fabcb2248"/>
                    <w:lock w:val="sdtLocked"/>
                    <w:richText/>
                  </w:sdtPr>
                  <w:sdtContent>
                    <w:p>
                      <w:pPr>
                        <w:widowControl w:val="0"/>
                        <w:suppressAutoHyphens/>
                        <w:ind w:firstLine="567"/>
                        <w:jc w:val="both"/>
                        <w:rPr>
                          <w:color w:val="000000"/>
                        </w:rPr>
                      </w:pPr>
                      <w:sdt>
                        <w:sdtPr>
                          <w:alias w:val="Numeris"/>
                          <w:tag w:val="nr_22ed9193e9b04a2584cb896fabcb2248"/>
                          <w:lock w:val="sdtLocked"/>
                          <w:richText/>
                        </w:sdtPr>
                        <w:sdtContent>
                          <w:r>
                            <w:rPr>
                              <w:color w:val="000000"/>
                            </w:rPr>
                            <w:t>17.3</w:t>
                          </w:r>
                        </w:sdtContent>
                      </w:sdt>
                      <w:r>
                        <w:rPr>
                          <w:color w:val="000000"/>
                        </w:rPr>
                        <w:t xml:space="preserve">. jei nustatoma, kad darbuotoją veikia triukšmas, viršijantis kasdienio triukšmo viršutinę ekspozicijos vertę, jis turi teisę, kad jo (jos) klausą patikrintų gydytojas otorinolaringologas. Profilaktinė audiometrija taip pat taikoma darbuotojams, kuriuos veikiantis triukšmas viršija kasdienio triukšmo žemutinę ekspozicijos vertę, jeigu Lietuvos Respublikos socialinės apsaugos ir darbo ministro ir Lietuvos Respublikos sveikatos apsaugos ministro 2005 m. balandžio 15 d. įsakymu Nr. A1-103/V-265 „Dėl darbuotojų apsaugos nuo triukšmo keliamos rizikos nuostatų patvirtinimo“ (Žin., 2005, Nr. </w:t>
                      </w:r>
                      <w:hyperlink r:id="rId70" w:tgtFrame="_blank" w:history="1">
                        <w:r>
                          <w:rPr>
                            <w:color w:val="0000FF" w:themeColor="hyperlink"/>
                            <w:u w:val="single"/>
                          </w:rPr>
                          <w:t>53-1804</w:t>
                        </w:r>
                      </w:hyperlink>
                      <w:r>
                        <w:rPr>
                          <w:color w:val="000000"/>
                        </w:rPr>
                        <w:t>) numatyto įvertinimo ir matavimo rezultatai rodo riziką sveikatai. Tokio patikrinimo tikslas yra anksti diagnozuoti galimą klausos praradimą dėl triukšmo ir išsaugoti klausą;</w:t>
                      </w:r>
                    </w:p>
                  </w:sdtContent>
                </w:sdt>
                <w:sdt>
                  <w:sdtPr>
                    <w:alias w:val="13 pr. 17.4 p."/>
                    <w:tag w:val="part_91f52745d0b24fe6bca5366c9f17366d"/>
                    <w:lock w:val="sdtLocked"/>
                    <w:richText/>
                  </w:sdtPr>
                  <w:sdtContent>
                    <w:p>
                      <w:pPr>
                        <w:widowControl w:val="0"/>
                        <w:suppressAutoHyphens/>
                        <w:ind w:firstLine="567"/>
                        <w:jc w:val="both"/>
                        <w:rPr>
                          <w:color w:val="000000"/>
                        </w:rPr>
                      </w:pPr>
                      <w:sdt>
                        <w:sdtPr>
                          <w:alias w:val="Numeris"/>
                          <w:tag w:val="nr_91f52745d0b24fe6bca5366c9f17366d"/>
                          <w:lock w:val="sdtLocked"/>
                          <w:richText/>
                        </w:sdtPr>
                        <w:sdtContent>
                          <w:r>
                            <w:rPr>
                              <w:color w:val="000000"/>
                            </w:rPr>
                            <w:t>17.4</w:t>
                          </w:r>
                        </w:sdtContent>
                      </w:sdt>
                      <w:r>
                        <w:rPr>
                          <w:color w:val="000000"/>
                        </w:rPr>
                        <w:t xml:space="preserve">. jei mechaninės vibracijos poveikis darbuotojui yra toks, kad dėl jo gali pasireikšti liga ar kenksmingi sveikatai padariniai, ar tikėtina, kad liga ar kenksmingi sveikatai padariniai pasireiškia esant konkrečioms darbuotojo darbo sąlygoms, bet kuriuo atveju, jeigu nustatoma, kad darbuotojus veikia vibracija, kurios veikimo vertės viršija Lietuvos Respublikos socialinės apsaugos ir darbo ministro ir Lietuvos Respublikos sveikatos apsaugos ministro 2004 m. kovo 2 d. įsakymu Nr. A1-55/V-91 „Dėl darbuotojų apsaugos nuo vibracijos keliamos rizikos nuostatų patvirtinimo“ (Žin., 2004, Nr. </w:t>
                      </w:r>
                      <w:hyperlink r:id="rId71" w:tgtFrame="_blank" w:history="1">
                        <w:r>
                          <w:rPr>
                            <w:color w:val="0000FF" w:themeColor="hyperlink"/>
                            <w:u w:val="single"/>
                          </w:rPr>
                          <w:t>41-1350</w:t>
                        </w:r>
                      </w:hyperlink>
                      <w:r>
                        <w:rPr>
                          <w:color w:val="000000"/>
                        </w:rPr>
                        <w:t>) nustatytas vertes;</w:t>
                      </w:r>
                    </w:p>
                  </w:sdtContent>
                </w:sdt>
                <w:sdt>
                  <w:sdtPr>
                    <w:alias w:val="13 pr. 17.5 p."/>
                    <w:tag w:val="part_72184eebbac24ed9bd3179ff90cd5be6"/>
                    <w:lock w:val="sdtLocked"/>
                    <w:richText/>
                  </w:sdtPr>
                  <w:sdtContent>
                    <w:p>
                      <w:pPr>
                        <w:widowControl w:val="0"/>
                        <w:suppressAutoHyphens/>
                        <w:ind w:firstLine="567"/>
                        <w:jc w:val="both"/>
                        <w:rPr>
                          <w:color w:val="000000"/>
                        </w:rPr>
                      </w:pPr>
                      <w:sdt>
                        <w:sdtPr>
                          <w:alias w:val="Numeris"/>
                          <w:tag w:val="nr_72184eebbac24ed9bd3179ff90cd5be6"/>
                          <w:lock w:val="sdtLocked"/>
                          <w:richText/>
                        </w:sdtPr>
                        <w:sdtContent>
                          <w:r>
                            <w:rPr>
                              <w:color w:val="000000"/>
                            </w:rPr>
                            <w:t>17.5</w:t>
                          </w:r>
                        </w:sdtContent>
                      </w:sdt>
                      <w:r>
                        <w:rPr>
                          <w:color w:val="000000"/>
                        </w:rPr>
                        <w:t>. tikrinant sveikatą asmenims, dirbantiesiems su jonizuojančiosios spinduliuotės šaltiniais – vadovautis Lietuvos Respublikos radiacinės saugos įstatymu.</w:t>
                      </w:r>
                    </w:p>
                  </w:sdtContent>
                </w:sdt>
                <w:sdt>
                  <w:sdtPr>
                    <w:alias w:val="13 pr. 17.6 p."/>
                    <w:tag w:val="part_c0a9f321358940f58657503fbdcb3353"/>
                    <w:lock w:val="sdtLocked"/>
                    <w:richText/>
                  </w:sdtPr>
                  <w:sdtContent>
                    <w:p>
                      <w:pPr>
                        <w:widowControl w:val="0"/>
                        <w:suppressAutoHyphens/>
                        <w:ind w:firstLine="567"/>
                        <w:jc w:val="both"/>
                        <w:rPr>
                          <w:color w:val="000000"/>
                        </w:rPr>
                      </w:pPr>
                      <w:sdt>
                        <w:sdtPr>
                          <w:alias w:val="Numeris"/>
                          <w:tag w:val="nr_c0a9f321358940f58657503fbdcb3353"/>
                          <w:lock w:val="sdtLocked"/>
                          <w:richText/>
                        </w:sdtPr>
                        <w:sdtContent>
                          <w:r>
                            <w:rPr>
                              <w:color w:val="000000"/>
                            </w:rPr>
                            <w:t>17.6</w:t>
                          </w:r>
                        </w:sdtContent>
                      </w:sdt>
                      <w:r>
                        <w:rPr>
                          <w:color w:val="000000"/>
                        </w:rPr>
                        <w:t>. kitais teisės aktų nustatytais atvejais.</w:t>
                      </w:r>
                    </w:p>
                  </w:sdtContent>
                </w:sdt>
              </w:sdtContent>
            </w:sdt>
            <w:sdt>
              <w:sdtPr>
                <w:alias w:val="13 pr. 18 p."/>
                <w:tag w:val="part_6f3bf7521a794d05b56dea416a12e9a8"/>
                <w:lock w:val="sdtLocked"/>
                <w:richText/>
              </w:sdtPr>
              <w:sdtContent>
                <w:p>
                  <w:pPr>
                    <w:widowControl w:val="0"/>
                    <w:suppressAutoHyphens/>
                    <w:ind w:firstLine="567"/>
                    <w:jc w:val="both"/>
                    <w:rPr>
                      <w:color w:val="000000"/>
                    </w:rPr>
                  </w:pPr>
                  <w:sdt>
                    <w:sdtPr>
                      <w:alias w:val="Numeris"/>
                      <w:tag w:val="nr_6f3bf7521a794d05b56dea416a12e9a8"/>
                      <w:lock w:val="sdtLocked"/>
                      <w:richText/>
                    </w:sdtPr>
                    <w:sdtContent>
                      <w:r>
                        <w:rPr>
                          <w:color w:val="000000"/>
                        </w:rPr>
                        <w:t>18</w:t>
                      </w:r>
                    </w:sdtContent>
                  </w:sdt>
                  <w:r>
                    <w:rPr>
                      <w:color w:val="000000"/>
                    </w:rPr>
                    <w:t>. ASPĮ gydytojai, darbdaviui atstovaujantis ar jo įgaliotas asmuo turi teisę, nurodę priežastį (ypač po sunkių onkologinių ligų ir jų gydymo, po operacijų, po sunkių traumų su ilgu laikinuoju nedarbingumu ir kt.), siųsti darbuotojus neeilinio sveikatos tikrinimo. Dėl tokio tikrinimo turi teisę kreiptis ir pats darbuotojas.</w:t>
                  </w:r>
                </w:p>
              </w:sdtContent>
            </w:sdt>
            <w:sdt>
              <w:sdtPr>
                <w:alias w:val="13 pr. 19 p."/>
                <w:tag w:val="part_a3d877e0cd114ec892d3b01867b1eae1"/>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lang w:eastAsia="lt-LT"/>
                    </w:rPr>
                  </w:pPr>
                  <w:sdt>
                    <w:sdtPr>
                      <w:alias w:val="Numeris"/>
                      <w:tag w:val="nr_a3d877e0cd114ec892d3b01867b1eae1"/>
                      <w:lock w:val="sdtLocked"/>
                      <w:richText/>
                    </w:sdtPr>
                    <w:sdtContent>
                      <w:r>
                        <w:rPr>
                          <w:szCs w:val="24"/>
                        </w:rPr>
                        <w:t>19</w:t>
                      </w:r>
                    </w:sdtContent>
                  </w:sdt>
                  <w:r>
                    <w:rPr>
                      <w:szCs w:val="24"/>
                    </w:rPr>
                    <w:t xml:space="preserve">. </w:t>
                  </w:r>
                  <w:r>
                    <w:rPr>
                      <w:color w:val="000000"/>
                      <w:szCs w:val="24"/>
                      <w:lang w:eastAsia="lt-LT"/>
                    </w:rPr>
                    <w:t>Asmenų iki aštuoniolikos metų, nėščių, neseniai pagimdžiusių ar krūtimi maitinančių darbuotojų, neįgaliųjų ir asmenų, kuriems nustatytas sumažėjęs darbingumo lygis, privalomi sveikatos tikrinimai:</w:t>
                  </w:r>
                </w:p>
                <w:sdt>
                  <w:sdtPr>
                    <w:alias w:val="19.1 pp."/>
                    <w:tag w:val="part_cb8ee80f82084bbdb61b058855fd2eb7"/>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cb8ee80f82084bbdb61b058855fd2eb7"/>
                          <w:lock w:val="sdtLocked"/>
                          <w:richText/>
                        </w:sdtPr>
                        <w:sdtContent>
                          <w:r>
                            <w:rPr>
                              <w:color w:val="000000"/>
                              <w:szCs w:val="24"/>
                            </w:rPr>
                            <w:t>19.1</w:t>
                          </w:r>
                        </w:sdtContent>
                      </w:sdt>
                      <w:r>
                        <w:rPr>
                          <w:color w:val="000000"/>
                          <w:szCs w:val="24"/>
                        </w:rPr>
                        <w:t xml:space="preserve">. tikrinant asmenų iki 18 metų amžiaus sveikatą vadovaujamasi </w:t>
                      </w:r>
                      <w:r>
                        <w:rPr>
                          <w:szCs w:val="24"/>
                        </w:rPr>
                        <w:t>Asmenų iki aštuoniolikos metų įdarbinimo, darbo ir profesinio parengimo organizavimo tvarkos, vaikų įdarbinimo sąlygų aprašu, patvirtintu Lietuvos Respublikos Vyriausybės 2017 m. birželio 28 d. nutarimu Nr. 518 „Dėl Asmenų iki aštuoniolikos metų įdarbinimo, darbo ir profesinio parengimo organizavimo tvarkos, vaikų įdarbinimo sąlygų aprašo patvirtinimo“;</w:t>
                      </w:r>
                    </w:p>
                  </w:sdtContent>
                </w:sdt>
                <w:sdt>
                  <w:sdtPr>
                    <w:alias w:val="19.2 pp."/>
                    <w:tag w:val="part_9bcbc80f0fb3408590d5644c6802337a"/>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9bcbc80f0fb3408590d5644c6802337a"/>
                          <w:lock w:val="sdtLocked"/>
                          <w:richText/>
                        </w:sdtPr>
                        <w:sdtContent>
                          <w:r>
                            <w:rPr>
                              <w:color w:val="000000"/>
                              <w:szCs w:val="24"/>
                            </w:rPr>
                            <w:t>19.2</w:t>
                          </w:r>
                        </w:sdtContent>
                      </w:sdt>
                      <w:r>
                        <w:rPr>
                          <w:color w:val="000000"/>
                          <w:szCs w:val="24"/>
                        </w:rPr>
                        <w:t xml:space="preserve">. tikrinant nėščiųjų, neseniai pagimdžiusių ar krūtimi maitinančių darbuotojų sveikatą vadovaujamasi </w:t>
                      </w:r>
                      <w:r>
                        <w:rPr>
                          <w:szCs w:val="24"/>
                        </w:rPr>
                        <w:t>Nėščių, neseniai pagimdžiusių, krūtimi maitinančių darbuotojų darbo sąlygų aprašu, patvirtintu Lietuvos Respublikos Vyriausybės 2017 m. birželio 21 d. nutarimu Nr. 469 „Dėl Nėščių, neseniai pagimdžiusių, krūtimi maitinančių darbuotojų darbo sąlygų aprašo patvirtinimo“;</w:t>
                      </w:r>
                    </w:p>
                  </w:sdtContent>
                </w:sdt>
                <w:sdt>
                  <w:sdtPr>
                    <w:alias w:val="19.3 pp."/>
                    <w:tag w:val="part_edf1b7aac38647e38f2f74d57fc0cfde"/>
                    <w:lock w:val="sdtLocked"/>
                    <w:richText/>
                  </w:sdtPr>
                  <w:sdtContent>
                    <w:p>
                      <w:pPr>
                        <w:ind w:firstLine="567"/>
                        <w:jc w:val="both"/>
                        <w:rPr>
                          <w:color w:val="000000"/>
                        </w:rPr>
                      </w:pPr>
                      <w:sdt>
                        <w:sdtPr>
                          <w:alias w:val="Numeris"/>
                          <w:tag w:val="nr_edf1b7aac38647e38f2f74d57fc0cfde"/>
                          <w:lock w:val="sdtLocked"/>
                          <w:richText/>
                        </w:sdtPr>
                        <w:sdtContent>
                          <w:r>
                            <w:rPr>
                              <w:color w:val="000000"/>
                              <w:szCs w:val="24"/>
                              <w:lang w:eastAsia="lt-LT"/>
                            </w:rPr>
                            <w:t>19.3</w:t>
                          </w:r>
                        </w:sdtContent>
                      </w:sdt>
                      <w:r>
                        <w:rPr>
                          <w:color w:val="000000"/>
                          <w:szCs w:val="24"/>
                          <w:lang w:eastAsia="lt-LT"/>
                        </w:rPr>
                        <w:t xml:space="preserve">. dėl neįgaliųjų asmenų ar asmenų, netekusių dalies darbingumo, galimybės dirbti konkretų darbą sprendžia Aprašo 10.4 papunktyje nurodytas gydytojas, gavęs Neįgalumo ir darbingumo nustatymo tarnybos prie Socialinės apsaugos ir darbo ministerijos rekomendacijas ir atitinkamos profesinės kvalifikacijos gydytojo išvadą. Jeigu buvo pateiktas Aprašo 9.5 papunktyje nurodytas </w:t>
                      </w:r>
                      <w:r>
                        <w:rPr>
                          <w:szCs w:val="24"/>
                        </w:rPr>
                        <w:t>darbdaviui atstovaujančio ar jo įgalioto asmens raštas, Aprašo 10.4 papunktyje nurodytas gydytojas F Nr. 047/a arba F Nr. 048/a papildomai įrašo išvadą dėl darbo funkcijos (-ų), kurios (-ių) darbuotojas dėl savo negalios pobūdžio negali atlikti be asistento pagalbos.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e619f0322711eabe008ea93139d588">
                    <w:r w:rsidRPr="00532B9F">
                      <w:rPr>
                        <w:rFonts w:ascii="Times New Roman" w:eastAsia="MS Mincho" w:hAnsi="Times New Roman"/>
                        <w:sz w:val="20"/>
                        <w:i/>
                        <w:iCs/>
                        <w:color w:val="0000FF" w:themeColor="hyperlink"/>
                        <w:u w:val="single"/>
                      </w:rPr>
                      <w:t>V-20</w:t>
                    </w:r>
                  </w:fldSimple>
                  <w:r>
                    <w:rPr>
                      <w:rFonts w:ascii="Times New Roman" w:eastAsia="MS Mincho" w:hAnsi="Times New Roman"/>
                      <w:sz w:val="20"/>
                      <w:i/>
                      <w:iCs/>
                    </w:rPr>
                    <w:t>,
2020-01-07,
paskelbta TAR 2020-01-09, i. k. 2020-00251            </w:t>
                  </w:r>
                </w:p>
                <w:p/>
              </w:sdtContent>
            </w:sdt>
            <w:sdt>
              <w:sdtPr>
                <w:alias w:val="19-1 p."/>
                <w:tag w:val="part_e186288a75384c44be0e92e8c774ce25"/>
                <w:lock w:val="sdtLocked"/>
                <w:richText/>
              </w:sdtPr>
              <w:sdtContent>
                <w:p>
                  <w:pPr>
                    <w:tabs>
                      <w:tab w:val="left" w:pos="1134"/>
                    </w:tabs>
                    <w:ind w:firstLine="567"/>
                    <w:jc w:val="both"/>
                    <w:rPr>
                      <w:color w:val="000000"/>
                    </w:rPr>
                  </w:pPr>
                  <w:sdt>
                    <w:sdtPr>
                      <w:alias w:val="Numeris"/>
                      <w:tag w:val="nr_e186288a75384c44be0e92e8c774ce25"/>
                      <w:lock w:val="sdtLocked"/>
                      <w:richText/>
                    </w:sdtPr>
                    <w:sdtContent>
                      <w:r>
                        <w:rPr>
                          <w:szCs w:val="24"/>
                        </w:rPr>
                        <w:t>19</w:t>
                      </w:r>
                      <w:r>
                        <w:rPr>
                          <w:szCs w:val="24"/>
                          <w:vertAlign w:val="superscript"/>
                        </w:rPr>
                        <w:t>1</w:t>
                      </w:r>
                    </w:sdtContent>
                  </w:sdt>
                  <w:r>
                    <w:rPr>
                      <w:szCs w:val="24"/>
                    </w:rPr>
                    <w:t xml:space="preserve">. Tikrinant asmenų, siekiančių verstis ar besiverčiančių bendrosios slaugos praktika, akušerijos praktika ar medicinos praktika sveikatą, papildomai vadovautis Ligų, trukdančių verstis bendrosios slaugos praktika, akušerijos praktika ar medicinos praktika sąrašu, patvirtintu Lietuvos Respublikos sveikatos apsaugos ministro 2010 m. </w:t>
                  </w:r>
                  <w:r>
                    <w:rPr>
                      <w:bCs/>
                      <w:szCs w:val="24"/>
                    </w:rPr>
                    <w:t xml:space="preserve">rugpjūčio 12 </w:t>
                  </w:r>
                  <w:r>
                    <w:rPr>
                      <w:szCs w:val="24"/>
                    </w:rPr>
                    <w:t>d. įsakymu Nr. V-720 „Dėl Ligų, trukdančių verstis bendrosios slaugos praktika, akušerijos praktika ar medicinos praktika, sąrašo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331b102b1511eabe008ea93139d588">
                    <w:r w:rsidRPr="00532B9F">
                      <w:rPr>
                        <w:rFonts w:ascii="Times New Roman" w:eastAsia="MS Mincho" w:hAnsi="Times New Roman"/>
                        <w:sz w:val="20"/>
                        <w:i/>
                        <w:iCs/>
                        <w:color w:val="0000FF" w:themeColor="hyperlink"/>
                        <w:u w:val="single"/>
                      </w:rPr>
                      <w:t>V-1512</w:t>
                    </w:r>
                  </w:fldSimple>
                  <w:r>
                    <w:rPr>
                      <w:rFonts w:ascii="Times New Roman" w:eastAsia="MS Mincho" w:hAnsi="Times New Roman"/>
                      <w:sz w:val="20"/>
                      <w:i/>
                      <w:iCs/>
                    </w:rPr>
                    <w:t>,
2019-12-30,
paskelbta TAR 2019-12-31, i. k. 2019-21686        </w:t>
                  </w:r>
                </w:p>
                <w:p/>
              </w:sdtContent>
            </w:sdt>
          </w:sdtContent>
        </w:sdt>
        <w:sdt>
          <w:sdtPr>
            <w:alias w:val="skyrius"/>
            <w:tag w:val="part_8a420506ee0a4fb88ef17ae34c237da7"/>
            <w:lock w:val="sdtLocked"/>
            <w:richText/>
          </w:sdtPr>
          <w:sdtContent>
            <w:p>
              <w:pPr>
                <w:keepLines/>
                <w:widowControl w:val="0"/>
                <w:suppressAutoHyphens/>
                <w:jc w:val="center"/>
                <w:rPr>
                  <w:b/>
                  <w:bCs/>
                  <w:color w:val="000000"/>
                </w:rPr>
              </w:pPr>
              <w:sdt>
                <w:sdtPr>
                  <w:alias w:val="Numeris"/>
                  <w:tag w:val="nr_8a420506ee0a4fb88ef17ae34c237da7"/>
                  <w:lock w:val="sdtLocked"/>
                  <w:richText/>
                </w:sdtPr>
                <w:sdtContent>
                  <w:r>
                    <w:rPr>
                      <w:b/>
                      <w:bCs/>
                      <w:caps/>
                      <w:color w:val="000000"/>
                    </w:rPr>
                    <w:t>III</w:t>
                  </w:r>
                </w:sdtContent>
              </w:sdt>
              <w:r>
                <w:rPr>
                  <w:b/>
                  <w:bCs/>
                  <w:caps/>
                  <w:color w:val="000000"/>
                </w:rPr>
                <w:t xml:space="preserve">. </w:t>
              </w:r>
              <w:sdt>
                <w:sdtPr>
                  <w:alias w:val="Pavadinimas"/>
                  <w:tag w:val="title_8a420506ee0a4fb88ef17ae34c237da7"/>
                  <w:lock w:val="sdtLocked"/>
                  <w:richText/>
                </w:sdtPr>
                <w:sdtContent>
                  <w:r>
                    <w:rPr>
                      <w:b/>
                      <w:bCs/>
                      <w:caps/>
                      <w:color w:val="000000"/>
                    </w:rPr>
                    <w:t xml:space="preserve">LIGŲ IR SVEIKATOS PROBLEMŲ, DĖL KURIŲ DRAUDŽIAMA DIRBTI DARBO APLINKOJE PROFESINĖS RIZIKOS (KENKSMINGŲ VEIKSNIŲ POVEIKIS IR (AR) PAVOJINGAS DARBAS) SĄLYGOMIS, SĄRAŠAS </w:t>
                  </w:r>
                  <w:r>
                    <w:rPr>
                      <w:b/>
                      <w:bCs/>
                      <w:color w:val="000000"/>
                    </w:rPr>
                    <w:t>(BENDROSIOS KONTRAINDIKACIJOS)</w:t>
                  </w:r>
                </w:sdtContent>
              </w:sdt>
            </w:p>
            <w:p>
              <w:pPr>
                <w:widowControl w:val="0"/>
                <w:suppressAutoHyphens/>
                <w:ind w:firstLine="567"/>
                <w:jc w:val="both"/>
                <w:rPr>
                  <w:color w:val="000000"/>
                </w:rPr>
              </w:pPr>
            </w:p>
            <w:sdt>
              <w:sdtPr>
                <w:alias w:val="13 pr. 20 p."/>
                <w:tag w:val="part_a32bbbff8bc540388f7566efa337bbda"/>
                <w:lock w:val="sdtLocked"/>
                <w:richText/>
              </w:sdtPr>
              <w:sdtContent>
                <w:p>
                  <w:pPr>
                    <w:widowControl w:val="0"/>
                    <w:suppressAutoHyphens/>
                    <w:ind w:firstLine="567"/>
                    <w:jc w:val="both"/>
                    <w:rPr>
                      <w:color w:val="000000"/>
                    </w:rPr>
                  </w:pPr>
                  <w:sdt>
                    <w:sdtPr>
                      <w:alias w:val="Numeris"/>
                      <w:tag w:val="nr_a32bbbff8bc540388f7566efa337bbda"/>
                      <w:lock w:val="sdtLocked"/>
                      <w:richText/>
                    </w:sdtPr>
                    <w:sdtContent>
                      <w:r>
                        <w:rPr>
                          <w:color w:val="000000"/>
                        </w:rPr>
                        <w:t>20</w:t>
                      </w:r>
                    </w:sdtContent>
                  </w:sdt>
                  <w:r>
                    <w:rPr>
                      <w:color w:val="000000"/>
                    </w:rPr>
                    <w:t>.</w:t>
                  </w:r>
                  <w:r>
                    <w:rPr>
                      <w:b/>
                      <w:bCs/>
                      <w:color w:val="000000"/>
                    </w:rPr>
                    <w:t xml:space="preserve"> </w:t>
                  </w:r>
                  <w:r>
                    <w:rPr>
                      <w:color w:val="000000"/>
                    </w:rPr>
                    <w:t>Ligos ir sveikatos problemos, kurioms esant draudžiama dirbti profesinės rizikos sąlygomis:</w:t>
                  </w:r>
                </w:p>
                <w:sdt>
                  <w:sdtPr>
                    <w:alias w:val="13 pr. 20.1 p."/>
                    <w:tag w:val="part_f3ff7fc5cb6148c1b8d9b674b972d7e4"/>
                    <w:lock w:val="sdtLocked"/>
                    <w:richText/>
                  </w:sdtPr>
                  <w:sdtContent>
                    <w:p>
                      <w:pPr>
                        <w:widowControl w:val="0"/>
                        <w:suppressAutoHyphens/>
                        <w:ind w:firstLine="567"/>
                        <w:jc w:val="both"/>
                        <w:rPr>
                          <w:color w:val="000000"/>
                        </w:rPr>
                      </w:pPr>
                      <w:sdt>
                        <w:sdtPr>
                          <w:alias w:val="Numeris"/>
                          <w:tag w:val="nr_f3ff7fc5cb6148c1b8d9b674b972d7e4"/>
                          <w:lock w:val="sdtLocked"/>
                          <w:richText/>
                        </w:sdtPr>
                        <w:sdtContent>
                          <w:r>
                            <w:rPr>
                              <w:color w:val="000000"/>
                            </w:rPr>
                            <w:t>20.1</w:t>
                          </w:r>
                        </w:sdtContent>
                      </w:sdt>
                      <w:r>
                        <w:rPr>
                          <w:color w:val="000000"/>
                        </w:rPr>
                        <w:t>. piktybiniai navikai (po gydymo, sprendžiama individualiai);</w:t>
                      </w:r>
                    </w:p>
                  </w:sdtContent>
                </w:sdt>
                <w:sdt>
                  <w:sdtPr>
                    <w:alias w:val="13 pr. 20.2 p."/>
                    <w:tag w:val="part_0760fe57aca0494bb634378c2bbb791d"/>
                    <w:lock w:val="sdtLocked"/>
                    <w:richText/>
                  </w:sdtPr>
                  <w:sdtContent>
                    <w:p>
                      <w:pPr>
                        <w:widowControl w:val="0"/>
                        <w:suppressAutoHyphens/>
                        <w:ind w:firstLine="567"/>
                        <w:jc w:val="both"/>
                        <w:rPr>
                          <w:color w:val="000000"/>
                        </w:rPr>
                      </w:pPr>
                      <w:sdt>
                        <w:sdtPr>
                          <w:alias w:val="Numeris"/>
                          <w:tag w:val="nr_0760fe57aca0494bb634378c2bbb791d"/>
                          <w:lock w:val="sdtLocked"/>
                          <w:richText/>
                        </w:sdtPr>
                        <w:sdtContent>
                          <w:r>
                            <w:rPr>
                              <w:color w:val="000000"/>
                            </w:rPr>
                            <w:t>20.2</w:t>
                          </w:r>
                        </w:sdtContent>
                      </w:sdt>
                      <w:r>
                        <w:rPr>
                          <w:color w:val="000000"/>
                        </w:rPr>
                        <w:t>. bet kurios lokalizacijos tuberkuliozė su mikobakterijų išskyrimu;</w:t>
                      </w:r>
                    </w:p>
                  </w:sdtContent>
                </w:sdt>
                <w:sdt>
                  <w:sdtPr>
                    <w:alias w:val="13 pr. 20.3 p."/>
                    <w:tag w:val="part_6cd69d21c5d24a6096b7b5f2a2e485d9"/>
                    <w:lock w:val="sdtLocked"/>
                    <w:richText/>
                  </w:sdtPr>
                  <w:sdtContent>
                    <w:p>
                      <w:pPr>
                        <w:widowControl w:val="0"/>
                        <w:suppressAutoHyphens/>
                        <w:ind w:firstLine="567"/>
                        <w:jc w:val="both"/>
                        <w:rPr>
                          <w:color w:val="000000"/>
                        </w:rPr>
                      </w:pPr>
                      <w:sdt>
                        <w:sdtPr>
                          <w:alias w:val="Numeris"/>
                          <w:tag w:val="nr_6cd69d21c5d24a6096b7b5f2a2e485d9"/>
                          <w:lock w:val="sdtLocked"/>
                          <w:richText/>
                        </w:sdtPr>
                        <w:sdtContent>
                          <w:r>
                            <w:rPr>
                              <w:color w:val="000000"/>
                            </w:rPr>
                            <w:t>20.3</w:t>
                          </w:r>
                        </w:sdtContent>
                      </w:sdt>
                      <w:r>
                        <w:rPr>
                          <w:color w:val="000000"/>
                        </w:rPr>
                        <w:t>. jungiamojo audinio ir skeleto–raumenų ligos (sąnarių, stuburo) su nuolatiniais, trukdančiais atlikti profesinius veiksmus, funkcijos sutrikimais (esant atramos judėjimo funkcijos sutrikimams, jei jie koreguojami specialiomis priemonėmis, individualiu atveju dėl galimybės dirbti sprendžia gydytojas ortopedas traumatologas);</w:t>
                      </w:r>
                    </w:p>
                  </w:sdtContent>
                </w:sdt>
                <w:sdt>
                  <w:sdtPr>
                    <w:alias w:val="13 pr. 20.4 p."/>
                    <w:tag w:val="part_264cdf4e07434a5595db188583ec76f1"/>
                    <w:lock w:val="sdtLocked"/>
                    <w:richText/>
                  </w:sdtPr>
                  <w:sdtContent>
                    <w:p>
                      <w:pPr>
                        <w:widowControl w:val="0"/>
                        <w:suppressAutoHyphens/>
                        <w:ind w:firstLine="567"/>
                        <w:jc w:val="both"/>
                        <w:rPr>
                          <w:color w:val="000000"/>
                        </w:rPr>
                      </w:pPr>
                      <w:sdt>
                        <w:sdtPr>
                          <w:alias w:val="Numeris"/>
                          <w:tag w:val="nr_264cdf4e07434a5595db188583ec76f1"/>
                          <w:lock w:val="sdtLocked"/>
                          <w:richText/>
                        </w:sdtPr>
                        <w:sdtContent>
                          <w:r>
                            <w:rPr>
                              <w:color w:val="000000"/>
                            </w:rPr>
                            <w:t>20.4</w:t>
                          </w:r>
                        </w:sdtContent>
                      </w:sdt>
                      <w:r>
                        <w:rPr>
                          <w:color w:val="000000"/>
                        </w:rPr>
                        <w:t>. dekompensuota glaukoma.</w:t>
                      </w:r>
                    </w:p>
                  </w:sdtContent>
                </w:sdt>
              </w:sdtContent>
            </w:sdt>
            <w:sdt>
              <w:sdtPr>
                <w:alias w:val="13 pr. 21 p."/>
                <w:tag w:val="part_b0b1c7185578481384e00309f53d421a"/>
                <w:lock w:val="sdtLocked"/>
                <w:richText/>
              </w:sdtPr>
              <w:sdtContent>
                <w:p>
                  <w:pPr>
                    <w:widowControl w:val="0"/>
                    <w:suppressAutoHyphens/>
                    <w:ind w:firstLine="567"/>
                    <w:jc w:val="both"/>
                    <w:rPr>
                      <w:color w:val="000000"/>
                    </w:rPr>
                  </w:pPr>
                  <w:sdt>
                    <w:sdtPr>
                      <w:alias w:val="Numeris"/>
                      <w:tag w:val="nr_b0b1c7185578481384e00309f53d421a"/>
                      <w:lock w:val="sdtLocked"/>
                      <w:richText/>
                    </w:sdtPr>
                    <w:sdtContent>
                      <w:r>
                        <w:rPr>
                          <w:color w:val="000000"/>
                        </w:rPr>
                        <w:t>21</w:t>
                      </w:r>
                    </w:sdtContent>
                  </w:sdt>
                  <w:r>
                    <w:rPr>
                      <w:color w:val="000000"/>
                    </w:rPr>
                    <w:t>. Ligos ir sveikatos problemos, kurioms esant draudžiama dirbti darbus, įrašytus į pavojingų darbų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21.1 p."/>
                    <w:tag w:val="part_db62ee7a076749e9af6cbafa7e4cfaaa"/>
                    <w:lock w:val="sdtLocked"/>
                    <w:richText/>
                  </w:sdtPr>
                  <w:sdtContent>
                    <w:p>
                      <w:pPr>
                        <w:widowControl w:val="0"/>
                        <w:suppressAutoHyphens/>
                        <w:ind w:firstLine="567"/>
                        <w:jc w:val="both"/>
                        <w:rPr>
                          <w:color w:val="000000"/>
                        </w:rPr>
                      </w:pPr>
                      <w:sdt>
                        <w:sdtPr>
                          <w:alias w:val="Numeris"/>
                          <w:tag w:val="nr_db62ee7a076749e9af6cbafa7e4cfaaa"/>
                          <w:lock w:val="sdtLocked"/>
                          <w:richText/>
                        </w:sdtPr>
                        <w:sdtContent>
                          <w:r>
                            <w:rPr>
                              <w:color w:val="000000"/>
                            </w:rPr>
                            <w:t>21.1</w:t>
                          </w:r>
                        </w:sdtContent>
                      </w:sdt>
                      <w:r>
                        <w:rPr>
                          <w:color w:val="000000"/>
                        </w:rPr>
                        <w:t>. organinės centrinės nervų sistemos ligos su nuolatiniais funkcijos sutrikimais;</w:t>
                      </w:r>
                    </w:p>
                  </w:sdtContent>
                </w:sdt>
                <w:sdt>
                  <w:sdtPr>
                    <w:alias w:val="13 pr. 21.2 p."/>
                    <w:tag w:val="part_125b5bc5b4c44b32a2a1451cbc526b70"/>
                    <w:lock w:val="sdtLocked"/>
                    <w:richText/>
                  </w:sdtPr>
                  <w:sdtContent>
                    <w:p>
                      <w:pPr>
                        <w:widowControl w:val="0"/>
                        <w:suppressAutoHyphens/>
                        <w:ind w:firstLine="567"/>
                        <w:jc w:val="both"/>
                        <w:rPr>
                          <w:color w:val="000000"/>
                        </w:rPr>
                      </w:pPr>
                      <w:sdt>
                        <w:sdtPr>
                          <w:alias w:val="Numeris"/>
                          <w:tag w:val="nr_125b5bc5b4c44b32a2a1451cbc526b70"/>
                          <w:lock w:val="sdtLocked"/>
                          <w:richText/>
                        </w:sdtPr>
                        <w:sdtContent>
                          <w:r>
                            <w:rPr>
                              <w:color w:val="000000"/>
                            </w:rPr>
                            <w:t>21.2</w:t>
                          </w:r>
                        </w:sdtContent>
                      </w:sdt>
                      <w:r>
                        <w:rPr>
                          <w:color w:val="000000"/>
                        </w:rPr>
                        <w:t>. lėtiniai ir dažnai pasikartojantys psichikos sutrikimai ir jiems prilygstančios būklės paūmėjimo metu, kai reikalingas aktyvus psichiatro stebėjimas ir gydymas;</w:t>
                      </w:r>
                    </w:p>
                  </w:sdtContent>
                </w:sdt>
                <w:sdt>
                  <w:sdtPr>
                    <w:alias w:val="13 pr. 21.3 p."/>
                    <w:tag w:val="part_14b34ab46f954395b7d961b481094d7b"/>
                    <w:lock w:val="sdtLocked"/>
                    <w:richText/>
                  </w:sdtPr>
                  <w:sdtContent>
                    <w:p>
                      <w:pPr>
                        <w:widowControl w:val="0"/>
                        <w:suppressAutoHyphens/>
                        <w:ind w:firstLine="567"/>
                        <w:jc w:val="both"/>
                        <w:rPr>
                          <w:color w:val="000000"/>
                        </w:rPr>
                      </w:pPr>
                      <w:sdt>
                        <w:sdtPr>
                          <w:alias w:val="Numeris"/>
                          <w:tag w:val="nr_14b34ab46f954395b7d961b481094d7b"/>
                          <w:lock w:val="sdtLocked"/>
                          <w:richText/>
                        </w:sdtPr>
                        <w:sdtContent>
                          <w:r>
                            <w:rPr>
                              <w:color w:val="000000"/>
                            </w:rPr>
                            <w:t>21.3</w:t>
                          </w:r>
                        </w:sdtContent>
                      </w:sdt>
                      <w:r>
                        <w:rPr>
                          <w:color w:val="000000"/>
                        </w:rPr>
                        <w:t>. epilepsija G40;</w:t>
                      </w:r>
                    </w:p>
                  </w:sdtContent>
                </w:sdt>
                <w:sdt>
                  <w:sdtPr>
                    <w:alias w:val="13 pr. 21.4 p."/>
                    <w:tag w:val="part_2c81ac40b1c44e86aa26ae147f7cc17a"/>
                    <w:lock w:val="sdtLocked"/>
                    <w:richText/>
                  </w:sdtPr>
                  <w:sdtContent>
                    <w:p>
                      <w:pPr>
                        <w:widowControl w:val="0"/>
                        <w:suppressAutoHyphens/>
                        <w:ind w:firstLine="567"/>
                        <w:jc w:val="both"/>
                        <w:rPr>
                          <w:color w:val="000000"/>
                        </w:rPr>
                      </w:pPr>
                      <w:sdt>
                        <w:sdtPr>
                          <w:alias w:val="Numeris"/>
                          <w:tag w:val="nr_2c81ac40b1c44e86aa26ae147f7cc17a"/>
                          <w:lock w:val="sdtLocked"/>
                          <w:richText/>
                        </w:sdtPr>
                        <w:sdtContent>
                          <w:r>
                            <w:rPr>
                              <w:color w:val="000000"/>
                            </w:rPr>
                            <w:t>21.4</w:t>
                          </w:r>
                        </w:sdtContent>
                      </w:sdt>
                      <w:r>
                        <w:rPr>
                          <w:color w:val="000000"/>
                        </w:rPr>
                        <w:t>. lėtinės kraujotakos sistemos ligos:</w:t>
                      </w:r>
                    </w:p>
                    <w:sdt>
                      <w:sdtPr>
                        <w:alias w:val="13 pr. 21.4.1 p."/>
                        <w:tag w:val="part_93c5d6bfcb0742ed822492029b065179"/>
                        <w:lock w:val="sdtLocked"/>
                        <w:richText/>
                      </w:sdtPr>
                      <w:sdtContent>
                        <w:p>
                          <w:pPr>
                            <w:widowControl w:val="0"/>
                            <w:suppressAutoHyphens/>
                            <w:ind w:firstLine="567"/>
                            <w:jc w:val="both"/>
                            <w:rPr>
                              <w:color w:val="000000"/>
                            </w:rPr>
                          </w:pPr>
                          <w:sdt>
                            <w:sdtPr>
                              <w:alias w:val="Numeris"/>
                              <w:tag w:val="nr_93c5d6bfcb0742ed822492029b065179"/>
                              <w:lock w:val="sdtLocked"/>
                              <w:richText/>
                            </w:sdtPr>
                            <w:sdtContent>
                              <w:r>
                                <w:rPr>
                                  <w:color w:val="000000"/>
                                </w:rPr>
                                <w:t>21.4.1</w:t>
                              </w:r>
                            </w:sdtContent>
                          </w:sdt>
                          <w:r>
                            <w:rPr>
                              <w:color w:val="000000"/>
                            </w:rPr>
                            <w:t>. nekoreguoti ir pasikartojantys paroksizminės skilvelinės tachikardijos epizodai su hemodinamikos sutrikimais I47.2;</w:t>
                          </w:r>
                        </w:p>
                      </w:sdtContent>
                    </w:sdt>
                    <w:sdt>
                      <w:sdtPr>
                        <w:alias w:val="13 pr. 21.4.2 p."/>
                        <w:tag w:val="part_0fe85792ae6e4bfdbe3805b5d204553a"/>
                        <w:lock w:val="sdtLocked"/>
                        <w:richText/>
                      </w:sdtPr>
                      <w:sdtContent>
                        <w:p>
                          <w:pPr>
                            <w:widowControl w:val="0"/>
                            <w:suppressAutoHyphens/>
                            <w:ind w:firstLine="567"/>
                            <w:jc w:val="both"/>
                            <w:rPr>
                              <w:color w:val="000000"/>
                            </w:rPr>
                          </w:pPr>
                          <w:sdt>
                            <w:sdtPr>
                              <w:alias w:val="Numeris"/>
                              <w:tag w:val="nr_0fe85792ae6e4bfdbe3805b5d204553a"/>
                              <w:lock w:val="sdtLocked"/>
                              <w:richText/>
                            </w:sdtPr>
                            <w:sdtContent>
                              <w:r>
                                <w:rPr>
                                  <w:color w:val="000000"/>
                                </w:rPr>
                                <w:t>21.4.2</w:t>
                              </w:r>
                            </w:sdtContent>
                          </w:sdt>
                          <w:r>
                            <w:rPr>
                              <w:color w:val="000000"/>
                            </w:rPr>
                            <w:t>. nekoreguota atrioventrikulinė blokada su hemodinamikos sutrikimais I44.2;</w:t>
                          </w:r>
                        </w:p>
                      </w:sdtContent>
                    </w:sdt>
                    <w:sdt>
                      <w:sdtPr>
                        <w:alias w:val="13 pr. 21.4.3 p."/>
                        <w:tag w:val="part_2a50b04df63f4a5babea9a29bd99e5b5"/>
                        <w:lock w:val="sdtLocked"/>
                        <w:richText/>
                      </w:sdtPr>
                      <w:sdtContent>
                        <w:p>
                          <w:pPr>
                            <w:widowControl w:val="0"/>
                            <w:suppressAutoHyphens/>
                            <w:ind w:firstLine="567"/>
                            <w:jc w:val="both"/>
                            <w:rPr>
                              <w:color w:val="000000"/>
                            </w:rPr>
                          </w:pPr>
                          <w:sdt>
                            <w:sdtPr>
                              <w:alias w:val="Numeris"/>
                              <w:tag w:val="nr_2a50b04df63f4a5babea9a29bd99e5b5"/>
                              <w:lock w:val="sdtLocked"/>
                              <w:richText/>
                            </w:sdtPr>
                            <w:sdtContent>
                              <w:r>
                                <w:rPr>
                                  <w:color w:val="000000"/>
                                </w:rPr>
                                <w:t>21.4.3</w:t>
                              </w:r>
                            </w:sdtContent>
                          </w:sdt>
                          <w:r>
                            <w:rPr>
                              <w:color w:val="000000"/>
                            </w:rPr>
                            <w:t>. sunkios lėtinės kraujotakos sistemos ligos su nepakankamumu I50–I52, funkcinė klasė pagal NYHA IV, stadija D; (esant sunkiems širdies ir kraujagyslių funkcijos sutrikimams, juos koregavus, individualiu atveju</w:t>
                          </w:r>
                          <w:r>
                            <w:rPr>
                              <w:b/>
                              <w:bCs/>
                              <w:color w:val="000000"/>
                            </w:rPr>
                            <w:t xml:space="preserve"> </w:t>
                          </w:r>
                          <w:r>
                            <w:rPr>
                              <w:color w:val="000000"/>
                            </w:rPr>
                            <w:t>dėl galimybės dirbti sprendžia gydytojas kardiologas);</w:t>
                          </w:r>
                        </w:p>
                      </w:sdtContent>
                    </w:sdt>
                  </w:sdtContent>
                </w:sdt>
                <w:sdt>
                  <w:sdtPr>
                    <w:alias w:val="13 pr. 21.5 p."/>
                    <w:tag w:val="part_b4e6ce34c8bb4751a0a428b32d999392"/>
                    <w:lock w:val="sdtLocked"/>
                    <w:richText/>
                  </w:sdtPr>
                  <w:sdtContent>
                    <w:p>
                      <w:pPr>
                        <w:widowControl w:val="0"/>
                        <w:suppressAutoHyphens/>
                        <w:ind w:firstLine="567"/>
                        <w:jc w:val="both"/>
                        <w:rPr>
                          <w:color w:val="000000"/>
                        </w:rPr>
                      </w:pPr>
                      <w:sdt>
                        <w:sdtPr>
                          <w:alias w:val="Numeris"/>
                          <w:tag w:val="nr_b4e6ce34c8bb4751a0a428b32d999392"/>
                          <w:lock w:val="sdtLocked"/>
                          <w:richText/>
                        </w:sdtPr>
                        <w:sdtContent>
                          <w:r>
                            <w:rPr>
                              <w:color w:val="000000"/>
                            </w:rPr>
                            <w:t>21.5</w:t>
                          </w:r>
                        </w:sdtContent>
                      </w:sdt>
                      <w:r>
                        <w:rPr>
                          <w:color w:val="000000"/>
                        </w:rPr>
                        <w:t>. lėtinės kvėpavimo takų ligos J41–J47, kai yra indikacijų gydyti ilgalaike oksigenoterapija;</w:t>
                      </w:r>
                    </w:p>
                  </w:sdtContent>
                </w:sdt>
                <w:sdt>
                  <w:sdtPr>
                    <w:alias w:val="13 pr. 21.6 p."/>
                    <w:tag w:val="part_8975c739c00049deafc0283be38ec3e8"/>
                    <w:lock w:val="sdtLocked"/>
                    <w:richText/>
                  </w:sdtPr>
                  <w:sdtContent>
                    <w:p>
                      <w:pPr>
                        <w:widowControl w:val="0"/>
                        <w:suppressAutoHyphens/>
                        <w:ind w:firstLine="567"/>
                        <w:jc w:val="both"/>
                        <w:rPr>
                          <w:color w:val="000000"/>
                        </w:rPr>
                      </w:pPr>
                      <w:sdt>
                        <w:sdtPr>
                          <w:alias w:val="Numeris"/>
                          <w:tag w:val="nr_8975c739c00049deafc0283be38ec3e8"/>
                          <w:lock w:val="sdtLocked"/>
                          <w:richText/>
                        </w:sdtPr>
                        <w:sdtContent>
                          <w:r>
                            <w:rPr>
                              <w:color w:val="000000"/>
                            </w:rPr>
                            <w:t>21.6</w:t>
                          </w:r>
                        </w:sdtContent>
                      </w:sdt>
                      <w:r>
                        <w:rPr>
                          <w:color w:val="000000"/>
                        </w:rPr>
                        <w:t>. cukrinis diabetas, gydomas insulinu, sulfonilkarbamidais ar glinidais, esant hipoglikeminėms būklėms, ir kiti gliukozės apykaitos ir kasos vidinės sekrecijos funkcijos sutrikimai E10.0–E14.0; E15</w:t>
                      </w:r>
                      <w:r>
                        <w:rPr>
                          <w:b/>
                          <w:bCs/>
                          <w:color w:val="000000"/>
                        </w:rPr>
                        <w:t xml:space="preserve"> </w:t>
                      </w:r>
                      <w:r>
                        <w:rPr>
                          <w:color w:val="000000"/>
                        </w:rPr>
                        <w:t>(individualiu atveju</w:t>
                      </w:r>
                      <w:r>
                        <w:rPr>
                          <w:b/>
                          <w:bCs/>
                          <w:color w:val="000000"/>
                        </w:rPr>
                        <w:t xml:space="preserve"> </w:t>
                      </w:r>
                      <w:r>
                        <w:rPr>
                          <w:color w:val="000000"/>
                        </w:rPr>
                        <w:t>dėl galimybės dirbti sprendžia gydytojas endokrinologas).</w:t>
                      </w:r>
                    </w:p>
                    <w:p>
                      <w:pPr>
                        <w:widowControl w:val="0"/>
                        <w:suppressAutoHyphens/>
                        <w:ind w:firstLine="567"/>
                        <w:jc w:val="both"/>
                        <w:rPr>
                          <w:color w:val="000000"/>
                        </w:rPr>
                      </w:pPr>
                    </w:p>
                  </w:sdtContent>
                </w:sdt>
              </w:sdtContent>
            </w:sdt>
          </w:sdtContent>
        </w:sdt>
        <w:sdt>
          <w:sdtPr>
            <w:alias w:val="skyrius"/>
            <w:tag w:val="part_b5c728a06ab44851b2568b63233e8a70"/>
            <w:lock w:val="sdtLocked"/>
            <w:richText/>
          </w:sdtPr>
          <w:sdtContent>
            <w:p>
              <w:pPr>
                <w:keepLines/>
                <w:widowControl w:val="0"/>
                <w:suppressAutoHyphens/>
                <w:jc w:val="center"/>
                <w:rPr>
                  <w:b/>
                  <w:bCs/>
                  <w:caps/>
                  <w:color w:val="000000"/>
                </w:rPr>
              </w:pPr>
              <w:sdt>
                <w:sdtPr>
                  <w:alias w:val="Numeris"/>
                  <w:tag w:val="nr_b5c728a06ab44851b2568b63233e8a70"/>
                  <w:lock w:val="sdtLocked"/>
                  <w:richText/>
                </w:sdtPr>
                <w:sdtContent>
                  <w:r>
                    <w:rPr>
                      <w:b/>
                      <w:bCs/>
                      <w:caps/>
                      <w:color w:val="000000"/>
                    </w:rPr>
                    <w:t>IV</w:t>
                  </w:r>
                </w:sdtContent>
              </w:sdt>
              <w:r>
                <w:rPr>
                  <w:b/>
                  <w:bCs/>
                  <w:caps/>
                  <w:color w:val="000000"/>
                </w:rPr>
                <w:t xml:space="preserve">. </w:t>
              </w:r>
              <w:sdt>
                <w:sdtPr>
                  <w:alias w:val="Pavadinimas"/>
                  <w:tag w:val="title_b5c728a06ab44851b2568b63233e8a70"/>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3 pr. 22 p."/>
                <w:tag w:val="part_3fbf9480e64d4e1dafa7ce9a7b7f2eef"/>
                <w:lock w:val="sdtLocked"/>
                <w:richText/>
              </w:sdtPr>
              <w:sdtContent>
                <w:p>
                  <w:pPr>
                    <w:widowControl w:val="0"/>
                    <w:suppressAutoHyphens/>
                    <w:ind w:firstLine="567"/>
                    <w:jc w:val="both"/>
                    <w:rPr>
                      <w:color w:val="000000"/>
                    </w:rPr>
                  </w:pPr>
                  <w:sdt>
                    <w:sdtPr>
                      <w:alias w:val="Numeris"/>
                      <w:tag w:val="nr_3fbf9480e64d4e1dafa7ce9a7b7f2eef"/>
                      <w:lock w:val="sdtLocked"/>
                      <w:richText/>
                    </w:sdtPr>
                    <w:sdtContent>
                      <w:r>
                        <w:rPr>
                          <w:color w:val="000000"/>
                        </w:rPr>
                        <w:t>22</w:t>
                      </w:r>
                    </w:sdtContent>
                  </w:sdt>
                  <w:r>
                    <w:rPr>
                      <w:color w:val="000000"/>
                    </w:rPr>
                    <w:t>. Kiekvienas sveikatą tikrinantis gydytojas atsako už sveikatos tikrinimo kokybę ir įrašo tikrinimo rezultatus į F Nr. 025/a, jei reikia – ir į F Nr. 027/a.</w:t>
                  </w:r>
                </w:p>
              </w:sdtContent>
            </w:sdt>
            <w:sdt>
              <w:sdtPr>
                <w:alias w:val="13 pr. 23 p."/>
                <w:tag w:val="part_c8e8cb92b08a4264a5e588d5afe4bfbb"/>
                <w:lock w:val="sdtLocked"/>
                <w:richText/>
              </w:sdtPr>
              <w:sdtContent>
                <w:p>
                  <w:pPr>
                    <w:widowControl w:val="0"/>
                    <w:suppressAutoHyphens/>
                    <w:ind w:firstLine="567"/>
                    <w:jc w:val="both"/>
                    <w:rPr>
                      <w:color w:val="000000"/>
                    </w:rPr>
                  </w:pPr>
                  <w:sdt>
                    <w:sdtPr>
                      <w:alias w:val="Numeris"/>
                      <w:tag w:val="nr_c8e8cb92b08a4264a5e588d5afe4bfbb"/>
                      <w:lock w:val="sdtLocked"/>
                      <w:richText/>
                    </w:sdtPr>
                    <w:sdtContent>
                      <w:r>
                        <w:rPr>
                          <w:color w:val="000000"/>
                        </w:rPr>
                        <w:t>23</w:t>
                      </w:r>
                    </w:sdtContent>
                  </w:sdt>
                  <w:r>
                    <w:rPr>
                      <w:color w:val="000000"/>
                    </w:rPr>
                    <w:t>. Privalomai profilaktiškai patikrinus asmens sveikatą, darbdaviui atstovaujančio ar jo įgalioto asmens prašymu ASPĮ gali būti apibendrinami rezultatai, pateikiamos rekomendacijos dėl įdarbinimo.</w:t>
                  </w:r>
                </w:p>
              </w:sdtContent>
            </w:sdt>
            <w:sdt>
              <w:sdtPr>
                <w:alias w:val="13 pr. 24 p."/>
                <w:tag w:val="part_29610328ceef454b8ee05c4fff66e229"/>
                <w:lock w:val="sdtLocked"/>
                <w:richText/>
              </w:sdtPr>
              <w:sdtContent>
                <w:p>
                  <w:pPr>
                    <w:widowControl w:val="0"/>
                    <w:suppressAutoHyphens/>
                    <w:ind w:firstLine="567"/>
                    <w:jc w:val="both"/>
                    <w:rPr>
                      <w:color w:val="000000"/>
                    </w:rPr>
                  </w:pPr>
                  <w:sdt>
                    <w:sdtPr>
                      <w:alias w:val="Numeris"/>
                      <w:tag w:val="nr_29610328ceef454b8ee05c4fff66e229"/>
                      <w:lock w:val="sdtLocked"/>
                      <w:richText/>
                    </w:sdtPr>
                    <w:sdtContent>
                      <w:r>
                        <w:rPr>
                          <w:color w:val="000000"/>
                        </w:rPr>
                        <w:t>24</w:t>
                      </w:r>
                    </w:sdtContent>
                  </w:sdt>
                  <w:r>
                    <w:rPr>
                      <w:color w:val="000000"/>
                    </w:rPr>
                    <w:t>. Po privalomo profilaktinio periodinio darbuotojų sveikatos tikrinimo darbdaviui atstovaujančio ar jo įgalioto asmens prašymu gali būti surašomas šio priedo 3 lentelėje nurodytus reikalavimus atitinkantis protokolas.</w:t>
                  </w:r>
                </w:p>
              </w:sdtContent>
            </w:sdt>
            <w:sdt>
              <w:sdtPr>
                <w:alias w:val="13 pr. 25 p."/>
                <w:tag w:val="part_a66b32c4e1d748f08bcbb8a667bd83e8"/>
                <w:lock w:val="sdtLocked"/>
                <w:richText/>
              </w:sdtPr>
              <w:sdtContent>
                <w:p>
                  <w:pPr>
                    <w:widowControl w:val="0"/>
                    <w:suppressAutoHyphens/>
                    <w:ind w:firstLine="567"/>
                    <w:jc w:val="both"/>
                    <w:rPr>
                      <w:color w:val="000000"/>
                    </w:rPr>
                  </w:pPr>
                  <w:sdt>
                    <w:sdtPr>
                      <w:alias w:val="Numeris"/>
                      <w:tag w:val="nr_a66b32c4e1d748f08bcbb8a667bd83e8"/>
                      <w:lock w:val="sdtLocked"/>
                      <w:richText/>
                    </w:sdtPr>
                    <w:sdtContent>
                      <w:r>
                        <w:rPr>
                          <w:color w:val="000000"/>
                        </w:rPr>
                        <w:t>25</w:t>
                      </w:r>
                    </w:sdtContent>
                  </w:sdt>
                  <w:r>
                    <w:rPr>
                      <w:color w:val="000000"/>
                    </w:rPr>
                    <w:t>. Atlikus privalomą profilaktinį sveikatos patikrinimą F Nr. 086/a, F Nr. 047/a, arba F Nr.048/a išduodama asmeniui, kuris pats ją pateikia mokymo įstaigai arba darbdaviui atstovaujančiam ar jo įgaliotam asmeniui.</w:t>
                  </w:r>
                </w:p>
              </w:sdtContent>
            </w:sdt>
            <w:sdt>
              <w:sdtPr>
                <w:alias w:val="13 pr. 26 p."/>
                <w:tag w:val="part_5806785b971544a681df754010e3098d"/>
                <w:lock w:val="sdtLocked"/>
                <w:richText/>
              </w:sdtPr>
              <w:sdtContent>
                <w:p>
                  <w:pPr>
                    <w:widowControl w:val="0"/>
                    <w:suppressAutoHyphens/>
                    <w:ind w:firstLine="567"/>
                    <w:jc w:val="both"/>
                    <w:rPr>
                      <w:color w:val="000000"/>
                    </w:rPr>
                  </w:pPr>
                  <w:sdt>
                    <w:sdtPr>
                      <w:alias w:val="Numeris"/>
                      <w:tag w:val="nr_5806785b971544a681df754010e3098d"/>
                      <w:lock w:val="sdtLocked"/>
                      <w:richText/>
                    </w:sdtPr>
                    <w:sdtContent>
                      <w:r>
                        <w:rPr>
                          <w:color w:val="000000"/>
                        </w:rPr>
                        <w:t>26</w:t>
                      </w:r>
                    </w:sdtContent>
                  </w:sdt>
                  <w:r>
                    <w:rPr>
                      <w:color w:val="000000"/>
                    </w:rPr>
                    <w:t>. Pasitikrinę sveikatą asmenys, stojantys mokytis – mokslo ar mokymo įstaigai, įsidarbinantys ar darbuotojai – darbdaviui atstovaujančiam ar jo įgaliotam asmeniui pateikia formas (stojantys mokytis – F Nr. 086/a įsidarbinantys – F Nr. 047/a, darbuotojai – F Nr. 048/a), patvirtintas įsakymu Nr. 515, kurios turi būti saugomos šio ir kitų teisės aktų nustatyta tvarka.</w:t>
                  </w:r>
                </w:p>
              </w:sdtContent>
            </w:sdt>
            <w:sdt>
              <w:sdtPr>
                <w:alias w:val="13 pr. 27 p."/>
                <w:tag w:val="part_2c3677f1232d494983ffdf60d08d784b"/>
                <w:lock w:val="sdtLocked"/>
                <w:richText/>
              </w:sdtPr>
              <w:sdtContent>
                <w:p>
                  <w:pPr>
                    <w:widowControl w:val="0"/>
                    <w:suppressAutoHyphens/>
                    <w:ind w:firstLine="567"/>
                    <w:jc w:val="both"/>
                    <w:rPr>
                      <w:color w:val="000000"/>
                    </w:rPr>
                  </w:pPr>
                  <w:sdt>
                    <w:sdtPr>
                      <w:alias w:val="Numeris"/>
                      <w:tag w:val="nr_2c3677f1232d494983ffdf60d08d784b"/>
                      <w:lock w:val="sdtLocked"/>
                      <w:richText/>
                    </w:sdtPr>
                    <w:sdtContent>
                      <w:r>
                        <w:rPr>
                          <w:color w:val="000000"/>
                        </w:rPr>
                        <w:t>27</w:t>
                      </w:r>
                    </w:sdtContent>
                  </w:sdt>
                  <w:r>
                    <w:rPr>
                      <w:color w:val="000000"/>
                    </w:rPr>
                    <w:t>. Kiekvienas to paprašęs darbuotojas gali susipažinti su savo asmenine medicinine dokumentacija.</w:t>
                  </w:r>
                </w:p>
              </w:sdtContent>
            </w:sdt>
            <w:sdt>
              <w:sdtPr>
                <w:alias w:val="13 pr. 28 p."/>
                <w:tag w:val="part_b5607618db764cd3ba5f653deebf282c"/>
                <w:lock w:val="sdtLocked"/>
                <w:richText/>
              </w:sdtPr>
              <w:sdtContent>
                <w:p>
                  <w:pPr>
                    <w:widowControl w:val="0"/>
                    <w:suppressAutoHyphens/>
                    <w:ind w:firstLine="567"/>
                    <w:jc w:val="both"/>
                    <w:rPr>
                      <w:color w:val="000000"/>
                    </w:rPr>
                  </w:pPr>
                  <w:sdt>
                    <w:sdtPr>
                      <w:alias w:val="Numeris"/>
                      <w:tag w:val="nr_b5607618db764cd3ba5f653deebf282c"/>
                      <w:lock w:val="sdtLocked"/>
                      <w:richText/>
                    </w:sdtPr>
                    <w:sdtContent>
                      <w:r>
                        <w:rPr>
                          <w:color w:val="000000"/>
                        </w:rPr>
                        <w:t>28</w:t>
                      </w:r>
                    </w:sdtContent>
                  </w:sdt>
                  <w:r>
                    <w:rPr>
                      <w:color w:val="000000"/>
                    </w:rPr>
                    <w:t>. Sveikatos tikrinimo ir jo dokumentacijos kontrolę gali vykdyti ASPĮ vadovai ar jų įgalioti asmenys. F Nr. 047/a ir F Nr. 048/a įrašus turi teisę tikrinti darbdavys arba jo įgaliotas asmuo, Valstybinės darbo inspekcijos darbo inspektoriai, ASPĮ vadovai ar jų įgalioti asmenys.</w:t>
                  </w:r>
                </w:p>
              </w:sdtContent>
            </w:sdt>
            <w:sdt>
              <w:sdtPr>
                <w:alias w:val="13 pr. 29 p."/>
                <w:tag w:val="part_54cf3303a93442c69da2581b7bf3ad43"/>
                <w:lock w:val="sdtLocked"/>
                <w:richText/>
              </w:sdtPr>
              <w:sdtContent>
                <w:p>
                  <w:pPr>
                    <w:widowControl w:val="0"/>
                    <w:suppressAutoHyphens/>
                    <w:ind w:firstLine="567"/>
                    <w:jc w:val="both"/>
                    <w:rPr>
                      <w:color w:val="000000"/>
                    </w:rPr>
                  </w:pPr>
                  <w:sdt>
                    <w:sdtPr>
                      <w:alias w:val="Numeris"/>
                      <w:tag w:val="nr_54cf3303a93442c69da2581b7bf3ad43"/>
                      <w:lock w:val="sdtLocked"/>
                      <w:richText/>
                    </w:sdtPr>
                    <w:sdtContent>
                      <w:r>
                        <w:rPr>
                          <w:color w:val="000000"/>
                        </w:rPr>
                        <w:t>29</w:t>
                      </w:r>
                    </w:sdtContent>
                  </w:sdt>
                  <w:r>
                    <w:rPr>
                      <w:color w:val="000000"/>
                    </w:rPr>
                    <w:t>. Gydytojo įrašytos išvados yra privalomos darbdaviui atstovaujančiam ar jo įgaliotam asmeniui ir darbuotojui.</w:t>
                  </w:r>
                </w:p>
              </w:sdtContent>
            </w:sdt>
            <w:sdt>
              <w:sdtPr>
                <w:alias w:val="13 pr. 30 p."/>
                <w:tag w:val="part_c488fd38aad84e1286dd0ad73a145175"/>
                <w:lock w:val="sdtLocked"/>
                <w:richText/>
              </w:sdtPr>
              <w:sdtContent>
                <w:p>
                  <w:pPr>
                    <w:widowControl w:val="0"/>
                    <w:suppressAutoHyphens/>
                    <w:ind w:firstLine="567"/>
                    <w:jc w:val="both"/>
                    <w:rPr>
                      <w:color w:val="000000"/>
                    </w:rPr>
                  </w:pPr>
                  <w:sdt>
                    <w:sdtPr>
                      <w:alias w:val="Numeris"/>
                      <w:tag w:val="nr_c488fd38aad84e1286dd0ad73a145175"/>
                      <w:lock w:val="sdtLocked"/>
                      <w:richText/>
                    </w:sdtPr>
                    <w:sdtContent>
                      <w:r>
                        <w:rPr>
                          <w:color w:val="000000"/>
                        </w:rPr>
                        <w:t>30</w:t>
                      </w:r>
                    </w:sdtContent>
                  </w:sdt>
                  <w:r>
                    <w:rPr>
                      <w:color w:val="000000"/>
                    </w:rPr>
                    <w:t>. Įrašų apie sveikatos būklę informacija turi būti tęstinė, todėl darbdaviui atstovaujantis ar jo įgaliotas asmuo, atleisdamas darbuotoją iš darbo, turi pasilikti F Nr. 048/a patvirtintą kopiją, o F Nr. 048/a originalą atiduoti darbuotojui, kuris įsidarbindamas privalo jį pateikti naujam darbdaviui.</w:t>
                  </w:r>
                </w:p>
              </w:sdtContent>
            </w:sdt>
            <w:sdt>
              <w:sdtPr>
                <w:alias w:val="13 pr. 31 p."/>
                <w:tag w:val="part_01bfcdd64dd74bc9b0c2893e6dc6c605"/>
                <w:lock w:val="sdtLocked"/>
                <w:richText/>
              </w:sdtPr>
              <w:sdtContent>
                <w:p>
                  <w:pPr>
                    <w:widowControl w:val="0"/>
                    <w:suppressAutoHyphens/>
                    <w:ind w:firstLine="567"/>
                    <w:jc w:val="both"/>
                    <w:rPr>
                      <w:color w:val="000000"/>
                    </w:rPr>
                  </w:pPr>
                  <w:sdt>
                    <w:sdtPr>
                      <w:alias w:val="Numeris"/>
                      <w:tag w:val="nr_01bfcdd64dd74bc9b0c2893e6dc6c605"/>
                      <w:lock w:val="sdtLocked"/>
                      <w:richText/>
                    </w:sdtPr>
                    <w:sdtContent>
                      <w:r>
                        <w:rPr>
                          <w:color w:val="000000"/>
                        </w:rPr>
                        <w:t>31</w:t>
                      </w:r>
                    </w:sdtContent>
                  </w:sdt>
                  <w:r>
                    <w:rPr>
                      <w:color w:val="000000"/>
                    </w:rPr>
                    <w:t>. Sudėtingais ir konfliktiniais (kai išvadai reikia priimti individualius sprendimus) atvejais, 10.4. punkte nurodyto gydytojo siuntimu, įvertinusi konkrečios profesinės kvalifikacijos gydytojo išvadą, apie tinkamumą dirbti sprendžia Gydytojų konsultacinė komisija.</w:t>
                  </w:r>
                </w:p>
              </w:sdtContent>
            </w:sdt>
            <w:sdt>
              <w:sdtPr>
                <w:alias w:val="13 pr. 32 p."/>
                <w:tag w:val="part_7861c5eb2fbb4d258dc58640112de86e"/>
                <w:lock w:val="sdtLocked"/>
                <w:richText/>
              </w:sdtPr>
              <w:sdtContent>
                <w:p>
                  <w:pPr>
                    <w:widowControl w:val="0"/>
                    <w:suppressAutoHyphens/>
                    <w:ind w:firstLine="567"/>
                    <w:jc w:val="both"/>
                    <w:rPr>
                      <w:color w:val="000000"/>
                    </w:rPr>
                  </w:pPr>
                  <w:sdt>
                    <w:sdtPr>
                      <w:alias w:val="Numeris"/>
                      <w:tag w:val="nr_7861c5eb2fbb4d258dc58640112de86e"/>
                      <w:lock w:val="sdtLocked"/>
                      <w:richText/>
                    </w:sdtPr>
                    <w:sdtContent>
                      <w:r>
                        <w:rPr>
                          <w:color w:val="000000"/>
                        </w:rPr>
                        <w:t>32</w:t>
                      </w:r>
                    </w:sdtContent>
                  </w:sdt>
                  <w:r>
                    <w:rPr>
                      <w:color w:val="000000"/>
                    </w:rPr>
                    <w:t xml:space="preserve">. Jei privalomo profilaktinio sveikatos tikrinimo metu asmeniui įtariama profesinė liga, apie ją pranešama, vadovaujantis Profesinių ligų tyrimo ir apskaitos nuostatais, patvirtintais Lietuvos Respublikos Vyriausybės 2004 m. balandžio 28 d. nutarimu Nr. 487 „Dėl profesinių ligų tyrimo ir apskaitos nuostatų patvirtinimo“ (Žin., 2004, Nr. </w:t>
                  </w:r>
                  <w:hyperlink r:id="rId72" w:tgtFrame="_blank" w:history="1">
                    <w:r>
                      <w:rPr>
                        <w:color w:val="0000FF" w:themeColor="hyperlink"/>
                        <w:u w:val="single"/>
                      </w:rPr>
                      <w:t>69-2398</w:t>
                    </w:r>
                  </w:hyperlink>
                  <w:r>
                    <w:rPr>
                      <w:color w:val="000000"/>
                    </w:rPr>
                    <w:t>).</w:t>
                  </w:r>
                </w:p>
              </w:sdtContent>
            </w:sdt>
            <w:sdt>
              <w:sdtPr>
                <w:alias w:val="13 pr. 33 p."/>
                <w:tag w:val="part_f68e0d66bc1d4b57a460d6ec957df00c"/>
                <w:lock w:val="sdtLocked"/>
                <w:richText/>
              </w:sdtPr>
              <w:sdtContent>
                <w:p>
                  <w:pPr>
                    <w:widowControl w:val="0"/>
                    <w:suppressAutoHyphens/>
                    <w:ind w:firstLine="567"/>
                    <w:jc w:val="both"/>
                    <w:rPr>
                      <w:color w:val="000000"/>
                    </w:rPr>
                  </w:pPr>
                  <w:sdt>
                    <w:sdtPr>
                      <w:alias w:val="Numeris"/>
                      <w:tag w:val="nr_f68e0d66bc1d4b57a460d6ec957df00c"/>
                      <w:lock w:val="sdtLocked"/>
                      <w:richText/>
                    </w:sdtPr>
                    <w:sdtContent>
                      <w:r>
                        <w:rPr>
                          <w:color w:val="000000"/>
                        </w:rPr>
                        <w:t>33</w:t>
                      </w:r>
                    </w:sdtContent>
                  </w:sdt>
                  <w:r>
                    <w:rPr>
                      <w:color w:val="000000"/>
                    </w:rPr>
                    <w:t xml:space="preserve">. Asmuo, kuris nesutinka su privalomo sveikatos tikrinimo išvadomis, gali jas apskųsti Lietuvos Respublikos pacientų teisių ir žalos sveikatai atlyginimo įstatyme (Žin., 1996, Nr. </w:t>
                  </w:r>
                  <w:hyperlink r:id="rId73" w:tgtFrame="_blank" w:history="1">
                    <w:r>
                      <w:rPr>
                        <w:color w:val="0000FF" w:themeColor="hyperlink"/>
                        <w:u w:val="single"/>
                      </w:rPr>
                      <w:t>102-2317</w:t>
                    </w:r>
                  </w:hyperlink>
                  <w:r>
                    <w:rPr>
                      <w:color w:val="000000"/>
                    </w:rPr>
                    <w:t>; 2004,Nr. 115-4284) numatyta tvarka.</w:t>
                  </w:r>
                </w:p>
                <w:p/>
                <w:p>
                  <w:pPr>
                    <w:jc w:val="center"/>
                  </w:pPr>
                  <w:r>
                    <w:t>_________________</w:t>
                  </w:r>
                </w:p>
              </w:sdtContent>
            </w:sdt>
            <w:sdt>
              <w:sdtPr>
                <w:alias w:val="lentele"/>
                <w:tag w:val="part_3499587077194d49878499fb7fc83cd6"/>
                <w:lock w:val="sdtLocked"/>
                <w:richText/>
              </w:sdtPr>
              <w:sdtContent>
                <w:p/>
                <w:p>
                  <w:pPr>
                    <w:sectPr>
                      <w:pgSz w:w="11907" w:h="16840" w:code="9"/>
                      <w:pgMar w:top="1134" w:right="1134" w:bottom="1134" w:left="1701" w:header="567" w:footer="284" w:gutter="0"/>
                      <w:pgNumType w:start="1"/>
                      <w:cols w:space="1296"/>
                      <w:titlePg/>
                      <w:docGrid w:linePitch="360"/>
                    </w:sectPr>
                  </w:pPr>
                </w:p>
                <w:p>
                  <w:pPr>
                    <w:tabs>
                      <w:tab w:val="left" w:pos="567"/>
                    </w:tabs>
                    <w:jc w:val="right"/>
                    <w:rPr>
                      <w:sz w:val="20"/>
                    </w:rPr>
                  </w:pPr>
                  <w:r>
                    <w:rPr>
                      <w:sz w:val="20"/>
                    </w:rPr>
                    <w:t>1 lentelė</w:t>
                  </w:r>
                </w:p>
                <w:p>
                  <w:pPr>
                    <w:tabs>
                      <w:tab w:val="left" w:pos="567"/>
                    </w:tabs>
                    <w:jc w:val="center"/>
                    <w:rPr>
                      <w:sz w:val="20"/>
                    </w:rPr>
                  </w:pPr>
                </w:p>
                <w:p>
                  <w:pPr>
                    <w:tabs>
                      <w:tab w:val="left" w:pos="567"/>
                    </w:tabs>
                    <w:jc w:val="center"/>
                    <w:rPr>
                      <w:b/>
                      <w:sz w:val="20"/>
                    </w:rPr>
                  </w:pPr>
                  <w:r>
                    <w:rPr>
                      <w:b/>
                      <w:sz w:val="20"/>
                    </w:rPr>
                    <w:t>DARBAI, ĮRAŠYTI Į PAVOJINGŲ DARBŲ SĄRAŠĄ, KURIUOS DIRBANT IR (AR) PRIIMANT Į DARBĄ PRIVALOMA TIKRINTIS SVEIKATĄ.</w:t>
                  </w:r>
                </w:p>
                <w:p>
                  <w:pPr>
                    <w:tabs>
                      <w:tab w:val="left" w:pos="567"/>
                    </w:tabs>
                    <w:jc w:val="center"/>
                    <w:rPr>
                      <w:b/>
                      <w:sz w:val="20"/>
                    </w:rPr>
                  </w:pPr>
                  <w:r>
                    <w:rPr>
                      <w:b/>
                      <w:sz w:val="20"/>
                    </w:rPr>
                    <w:t>TIKRINIMŲ PERIODIŠKUMAS IR MASTAS. PAPILDOMOS KONTRAINDIKACIJOS</w:t>
                  </w:r>
                </w:p>
                <w:p>
                  <w:pPr>
                    <w:tabs>
                      <w:tab w:val="left" w:pos="567"/>
                    </w:tabs>
                    <w:jc w:val="center"/>
                    <w:rPr>
                      <w:b/>
                      <w:sz w:val="20"/>
                    </w:rPr>
                  </w:pPr>
                </w:p>
                <w:tbl>
                  <w:tblPr>
                    <w:tblW w:w="147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70"/>
                    <w:gridCol w:w="1167"/>
                    <w:gridCol w:w="1571"/>
                    <w:gridCol w:w="1397"/>
                    <w:gridCol w:w="1571"/>
                    <w:gridCol w:w="16"/>
                    <w:gridCol w:w="6548"/>
                  </w:tblGrid>
                  <w:tr>
                    <w:trPr>
                      <w:cantSplit/>
                      <w:trHeight w:val="20"/>
                      <w:tblHeader/>
                    </w:trPr>
                    <w:tc>
                      <w:tcPr>
                        <w:tcW w:w="2470" w:type="dxa"/>
                        <w:vMerge w:val="restart"/>
                      </w:tcPr>
                      <w:p>
                        <w:pPr>
                          <w:jc w:val="center"/>
                          <w:rPr>
                            <w:sz w:val="18"/>
                            <w:szCs w:val="18"/>
                          </w:rPr>
                        </w:pPr>
                        <w:r>
                          <w:rPr>
                            <w:sz w:val="18"/>
                            <w:szCs w:val="18"/>
                          </w:rPr>
                          <w:t>Darbai, įrašyti į pavojingų darbų sąrašą</w:t>
                        </w:r>
                      </w:p>
                    </w:tc>
                    <w:tc>
                      <w:tcPr>
                        <w:tcW w:w="1167" w:type="dxa"/>
                        <w:vMerge w:val="restart"/>
                      </w:tcPr>
                      <w:p>
                        <w:pPr>
                          <w:jc w:val="center"/>
                          <w:rPr>
                            <w:sz w:val="18"/>
                            <w:szCs w:val="18"/>
                          </w:rPr>
                        </w:pPr>
                        <w:r>
                          <w:rPr>
                            <w:sz w:val="18"/>
                            <w:szCs w:val="18"/>
                          </w:rPr>
                          <w:t>Tikrinimų periodiškumas</w:t>
                        </w:r>
                      </w:p>
                    </w:tc>
                    <w:tc>
                      <w:tcPr>
                        <w:tcW w:w="2968" w:type="dxa"/>
                        <w:gridSpan w:val="2"/>
                      </w:tcPr>
                      <w:p>
                        <w:pPr>
                          <w:jc w:val="center"/>
                          <w:rPr>
                            <w:sz w:val="18"/>
                            <w:szCs w:val="18"/>
                          </w:rPr>
                        </w:pPr>
                        <w:r>
                          <w:rPr>
                            <w:sz w:val="18"/>
                            <w:szCs w:val="18"/>
                          </w:rPr>
                          <w:t>Sveikatos tikrintojai</w:t>
                        </w:r>
                      </w:p>
                    </w:tc>
                    <w:tc>
                      <w:tcPr>
                        <w:tcW w:w="1587" w:type="dxa"/>
                        <w:gridSpan w:val="2"/>
                        <w:vMerge w:val="restart"/>
                      </w:tcPr>
                      <w:p>
                        <w:pPr>
                          <w:jc w:val="center"/>
                          <w:rPr>
                            <w:sz w:val="18"/>
                            <w:szCs w:val="18"/>
                          </w:rPr>
                        </w:pPr>
                        <w:r>
                          <w:rPr>
                            <w:sz w:val="18"/>
                            <w:szCs w:val="18"/>
                          </w:rPr>
                          <w:t>Privalomi tyrimai</w:t>
                        </w:r>
                      </w:p>
                    </w:tc>
                    <w:tc>
                      <w:tcPr>
                        <w:tcW w:w="6548" w:type="dxa"/>
                        <w:vMerge w:val="restart"/>
                      </w:tcPr>
                      <w:p>
                        <w:pPr>
                          <w:widowControl w:val="0"/>
                          <w:jc w:val="center"/>
                          <w:rPr>
                            <w:sz w:val="18"/>
                            <w:szCs w:val="18"/>
                            <w:lang w:val="en-AU"/>
                          </w:rPr>
                        </w:pPr>
                        <w:r>
                          <w:rPr>
                            <w:rFonts w:ascii="TimesLT" w:hAnsi="TimesLT"/>
                            <w:sz w:val="18"/>
                            <w:szCs w:val="18"/>
                            <w:lang w:val="en-AU"/>
                          </w:rPr>
                          <w:t>Papildomos kontraindikacijos</w:t>
                        </w:r>
                      </w:p>
                    </w:tc>
                  </w:tr>
                  <w:tr>
                    <w:trPr>
                      <w:cantSplit/>
                      <w:trHeight w:val="20"/>
                      <w:tblHeader/>
                    </w:trPr>
                    <w:tc>
                      <w:tcPr>
                        <w:tcW w:w="2470" w:type="dxa"/>
                        <w:vMerge/>
                      </w:tcPr>
                      <w:p>
                        <w:pPr>
                          <w:rPr>
                            <w:sz w:val="18"/>
                            <w:szCs w:val="18"/>
                          </w:rPr>
                        </w:pPr>
                      </w:p>
                    </w:tc>
                    <w:tc>
                      <w:tcPr>
                        <w:tcW w:w="1167" w:type="dxa"/>
                        <w:vMerge/>
                      </w:tcPr>
                      <w:p>
                        <w:pPr>
                          <w:jc w:val="both"/>
                          <w:rPr>
                            <w:sz w:val="18"/>
                            <w:szCs w:val="18"/>
                          </w:rPr>
                        </w:pPr>
                      </w:p>
                    </w:tc>
                    <w:tc>
                      <w:tcPr>
                        <w:tcW w:w="1571" w:type="dxa"/>
                      </w:tcPr>
                      <w:p>
                        <w:pPr>
                          <w:jc w:val="center"/>
                          <w:rPr>
                            <w:sz w:val="18"/>
                            <w:szCs w:val="18"/>
                          </w:rPr>
                        </w:pPr>
                      </w:p>
                    </w:tc>
                    <w:tc>
                      <w:tcPr>
                        <w:tcW w:w="1397" w:type="dxa"/>
                        <w:tcBorders>
                          <w:top w:val="nil"/>
                        </w:tcBorders>
                      </w:tcPr>
                      <w:p>
                        <w:pPr>
                          <w:jc w:val="center"/>
                          <w:rPr>
                            <w:sz w:val="18"/>
                            <w:szCs w:val="18"/>
                          </w:rPr>
                        </w:pPr>
                      </w:p>
                    </w:tc>
                    <w:tc>
                      <w:tcPr>
                        <w:tcW w:w="1587" w:type="dxa"/>
                        <w:gridSpan w:val="2"/>
                        <w:vMerge/>
                      </w:tcPr>
                      <w:p>
                        <w:pPr>
                          <w:rPr>
                            <w:sz w:val="18"/>
                            <w:szCs w:val="18"/>
                          </w:rPr>
                        </w:pPr>
                      </w:p>
                    </w:tc>
                    <w:tc>
                      <w:tcPr>
                        <w:tcW w:w="6548" w:type="dxa"/>
                        <w:vMerge/>
                      </w:tcPr>
                      <w:p>
                        <w:pPr>
                          <w:rPr>
                            <w:sz w:val="18"/>
                            <w:szCs w:val="18"/>
                          </w:rPr>
                        </w:pPr>
                      </w:p>
                    </w:tc>
                  </w:tr>
                  <w:tr>
                    <w:trPr>
                      <w:cantSplit/>
                      <w:trHeight w:val="20"/>
                      <w:tblHeader/>
                    </w:trPr>
                    <w:tc>
                      <w:tcPr>
                        <w:tcW w:w="2470" w:type="dxa"/>
                      </w:tcPr>
                      <w:p>
                        <w:pPr>
                          <w:jc w:val="center"/>
                          <w:rPr>
                            <w:sz w:val="18"/>
                            <w:szCs w:val="18"/>
                          </w:rPr>
                        </w:pPr>
                        <w:r>
                          <w:rPr>
                            <w:sz w:val="18"/>
                            <w:szCs w:val="18"/>
                          </w:rPr>
                          <w:t>1</w:t>
                        </w:r>
                      </w:p>
                    </w:tc>
                    <w:tc>
                      <w:tcPr>
                        <w:tcW w:w="1167" w:type="dxa"/>
                      </w:tcPr>
                      <w:p>
                        <w:pPr>
                          <w:jc w:val="center"/>
                          <w:rPr>
                            <w:sz w:val="18"/>
                            <w:szCs w:val="18"/>
                          </w:rPr>
                        </w:pPr>
                        <w:r>
                          <w:rPr>
                            <w:sz w:val="18"/>
                            <w:szCs w:val="18"/>
                          </w:rPr>
                          <w:t>2</w:t>
                        </w:r>
                      </w:p>
                    </w:tc>
                    <w:tc>
                      <w:tcPr>
                        <w:tcW w:w="1571" w:type="dxa"/>
                        <w:tcBorders>
                          <w:bottom w:val="single" w:sz="4" w:space="0" w:color="auto"/>
                        </w:tcBorders>
                      </w:tcPr>
                      <w:p>
                        <w:pPr>
                          <w:jc w:val="center"/>
                          <w:rPr>
                            <w:bCs/>
                            <w:sz w:val="18"/>
                            <w:szCs w:val="18"/>
                          </w:rPr>
                        </w:pPr>
                        <w:r>
                          <w:rPr>
                            <w:bCs/>
                            <w:sz w:val="18"/>
                            <w:szCs w:val="18"/>
                          </w:rPr>
                          <w:t>3</w:t>
                        </w:r>
                      </w:p>
                    </w:tc>
                    <w:tc>
                      <w:tcPr>
                        <w:tcW w:w="1397" w:type="dxa"/>
                      </w:tcPr>
                      <w:p>
                        <w:pPr>
                          <w:jc w:val="center"/>
                          <w:rPr>
                            <w:sz w:val="18"/>
                            <w:szCs w:val="18"/>
                          </w:rPr>
                        </w:pPr>
                        <w:r>
                          <w:rPr>
                            <w:sz w:val="18"/>
                            <w:szCs w:val="18"/>
                          </w:rPr>
                          <w:t>4</w:t>
                        </w:r>
                      </w:p>
                    </w:tc>
                    <w:tc>
                      <w:tcPr>
                        <w:tcW w:w="1587" w:type="dxa"/>
                        <w:gridSpan w:val="2"/>
                        <w:tcBorders>
                          <w:bottom w:val="single" w:sz="4" w:space="0" w:color="auto"/>
                        </w:tcBorders>
                      </w:tcPr>
                      <w:p>
                        <w:pPr>
                          <w:jc w:val="center"/>
                          <w:rPr>
                            <w:sz w:val="18"/>
                            <w:szCs w:val="18"/>
                          </w:rPr>
                        </w:pPr>
                        <w:r>
                          <w:rPr>
                            <w:sz w:val="18"/>
                            <w:szCs w:val="18"/>
                          </w:rPr>
                          <w:t>5</w:t>
                        </w:r>
                      </w:p>
                    </w:tc>
                    <w:tc>
                      <w:tcPr>
                        <w:tcW w:w="6548" w:type="dxa"/>
                        <w:tcBorders>
                          <w:bottom w:val="single" w:sz="4" w:space="0" w:color="auto"/>
                        </w:tcBorders>
                      </w:tcPr>
                      <w:p>
                        <w:pPr>
                          <w:jc w:val="center"/>
                          <w:rPr>
                            <w:sz w:val="18"/>
                            <w:szCs w:val="18"/>
                          </w:rPr>
                        </w:pPr>
                        <w:r>
                          <w:rPr>
                            <w:sz w:val="18"/>
                            <w:szCs w:val="18"/>
                          </w:rPr>
                          <w:t>6</w:t>
                        </w:r>
                      </w:p>
                    </w:tc>
                  </w:tr>
                  <w:tr>
                    <w:trPr>
                      <w:cantSplit/>
                      <w:trHeight w:val="20"/>
                    </w:trPr>
                    <w:tc>
                      <w:tcPr>
                        <w:tcW w:w="2470" w:type="dxa"/>
                      </w:tcPr>
                      <w:p>
                        <w:pPr>
                          <w:rPr>
                            <w:sz w:val="18"/>
                            <w:szCs w:val="18"/>
                          </w:rPr>
                        </w:pPr>
                        <w:r>
                          <w:rPr>
                            <w:sz w:val="18"/>
                            <w:szCs w:val="18"/>
                          </w:rPr>
                          <w:t>1. Darbas elektros įrenginiuose, įrengtuose lauke, elektros srovės pavojingumo atžvilgiu pavojingose ir labai pavojingose patalpose, taip pat veikiančių elektros įrenginių srovinių grandinių, skirtų didesnei kaip 10 A srovei ir esant aukštesnei kaip 50 V kintamosios srovės ir aukštesnei kaip 75 V nuolatinės srovės įtampai, remonto ir (ar) derinimo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 xml:space="preserve">oftalmologas, </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psichiatras ir kitų profesinių kvalifikacijų gydytojai</w:t>
                        </w:r>
                        <w:r>
                          <w:rPr>
                            <w:b/>
                            <w:bCs/>
                            <w:sz w:val="18"/>
                            <w:szCs w:val="18"/>
                          </w:rPr>
                          <w:t xml:space="preserve"> </w:t>
                        </w:r>
                      </w:p>
                    </w:tc>
                    <w:tc>
                      <w:tcPr>
                        <w:tcW w:w="1587" w:type="dxa"/>
                        <w:gridSpan w:val="2"/>
                      </w:tcPr>
                      <w:p>
                        <w:pPr>
                          <w:rPr>
                            <w:sz w:val="18"/>
                            <w:szCs w:val="18"/>
                          </w:rPr>
                        </w:pPr>
                        <w:r>
                          <w:rPr>
                            <w:sz w:val="18"/>
                            <w:szCs w:val="18"/>
                          </w:rPr>
                          <w:t>Regėjimo aštrumo ir regėjimo lauko ištyrimas, vestibulinės funkcijos ištyrimas,</w:t>
                        </w:r>
                      </w:p>
                      <w:p>
                        <w:pPr>
                          <w:rPr>
                            <w:sz w:val="18"/>
                            <w:szCs w:val="18"/>
                          </w:rPr>
                        </w:pPr>
                        <w:r>
                          <w:rPr>
                            <w:sz w:val="18"/>
                            <w:szCs w:val="18"/>
                          </w:rPr>
                          <w:t>esant indikacijų – audiograma</w:t>
                        </w:r>
                      </w:p>
                    </w:tc>
                    <w:tc>
                      <w:tcPr>
                        <w:tcW w:w="6548" w:type="dxa"/>
                      </w:tcPr>
                      <w:p>
                        <w:pPr>
                          <w:rPr>
                            <w:sz w:val="18"/>
                            <w:szCs w:val="18"/>
                          </w:rPr>
                        </w:pPr>
                        <w:r>
                          <w:rPr>
                            <w:sz w:val="18"/>
                            <w:szCs w:val="18"/>
                          </w:rPr>
                          <w:t>1. Regėjimo aštrumas su korekcija mažesnis kaip 0,5 viena ir 0,2 – kita akimi</w:t>
                        </w:r>
                      </w:p>
                      <w:p>
                        <w:pPr>
                          <w:rPr>
                            <w:sz w:val="18"/>
                            <w:szCs w:val="18"/>
                          </w:rPr>
                        </w:pPr>
                        <w:r>
                          <w:rPr>
                            <w:sz w:val="18"/>
                            <w:szCs w:val="18"/>
                          </w:rPr>
                          <w:t xml:space="preserve">2. Nuolatinis neišgydomas ašarojimas H04.2 </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w:t>
                        </w:r>
                      </w:p>
                      <w:p>
                        <w:pPr>
                          <w:tabs>
                            <w:tab w:val="center" w:pos="33"/>
                          </w:tabs>
                          <w:ind w:left="33" w:hanging="33"/>
                          <w:rPr>
                            <w:sz w:val="18"/>
                            <w:szCs w:val="18"/>
                          </w:rPr>
                        </w:pPr>
                        <w:r>
                          <w:rPr>
                            <w:sz w:val="18"/>
                            <w:szCs w:val="18"/>
                          </w:rPr>
                          <w:t>Individualiu atveju dėl galimybės dirbti sprendžia gydytojas otorinolaringologas.</w:t>
                        </w:r>
                      </w:p>
                      <w:p>
                        <w:pPr>
                          <w:rPr>
                            <w:sz w:val="18"/>
                            <w:szCs w:val="18"/>
                          </w:rPr>
                        </w:pPr>
                        <w:r>
                          <w:rPr>
                            <w:sz w:val="18"/>
                            <w:szCs w:val="18"/>
                          </w:rPr>
                          <w:t xml:space="preserve">5. Vestibulinės funkcijos sutrikimai H81; H82 </w:t>
                        </w:r>
                      </w:p>
                      <w:p>
                        <w:pPr>
                          <w:tabs>
                            <w:tab w:val="center" w:pos="33"/>
                          </w:tabs>
                          <w:ind w:left="33" w:hanging="33"/>
                          <w:rPr>
                            <w:sz w:val="18"/>
                            <w:szCs w:val="18"/>
                          </w:rPr>
                        </w:pPr>
                        <w:r>
                          <w:rPr>
                            <w:sz w:val="18"/>
                            <w:szCs w:val="18"/>
                          </w:rPr>
                          <w:t>6. Alkoholizmas, narkomanija, toksikomanija F10–F19. Individualiu atveju dėl galimybės dirbti sprendžia gydytojas psichiatras.</w:t>
                        </w:r>
                      </w:p>
                      <w:p>
                        <w:pPr>
                          <w:rPr>
                            <w:sz w:val="18"/>
                            <w:szCs w:val="18"/>
                          </w:rPr>
                        </w:pPr>
                        <w:r>
                          <w:rPr>
                            <w:sz w:val="18"/>
                            <w:szCs w:val="18"/>
                          </w:rPr>
                          <w:t>7. Epilepsija G40</w:t>
                        </w:r>
                      </w:p>
                    </w:tc>
                  </w:tr>
                  <w:tr>
                    <w:trPr>
                      <w:cantSplit/>
                      <w:trHeight w:val="20"/>
                    </w:trPr>
                    <w:tc>
                      <w:tcPr>
                        <w:tcW w:w="2470" w:type="dxa"/>
                      </w:tcPr>
                      <w:p>
                        <w:pPr>
                          <w:rPr>
                            <w:sz w:val="18"/>
                            <w:szCs w:val="18"/>
                          </w:rPr>
                        </w:pPr>
                        <w:r>
                          <w:rPr>
                            <w:sz w:val="18"/>
                            <w:szCs w:val="18"/>
                          </w:rPr>
                          <w:t>2. Mechaninis medienos, metalų ir kitų medžiagų apdirbimas, kai naudojama nemechanizuota pastūma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w:t>
                        </w:r>
                      </w:p>
                      <w:p>
                        <w:pPr>
                          <w:rPr>
                            <w:sz w:val="18"/>
                            <w:szCs w:val="18"/>
                          </w:rPr>
                        </w:pPr>
                        <w:r>
                          <w:rPr>
                            <w:sz w:val="18"/>
                            <w:szCs w:val="18"/>
                          </w:rPr>
                          <w:t>vestibulinės funkcijos ištyrimas</w:t>
                        </w:r>
                      </w:p>
                    </w:tc>
                    <w:tc>
                      <w:tcPr>
                        <w:tcW w:w="6548" w:type="dxa"/>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 xml:space="preserve">3. Vestibulinės funkcijos sutrikimai H81;  H82 </w:t>
                        </w:r>
                      </w:p>
                      <w:p>
                        <w:pPr>
                          <w:tabs>
                            <w:tab w:val="center" w:pos="33"/>
                          </w:tabs>
                          <w:ind w:left="33" w:hanging="33"/>
                          <w:rPr>
                            <w:sz w:val="18"/>
                            <w:szCs w:val="18"/>
                          </w:rPr>
                        </w:pPr>
                        <w:r>
                          <w:rPr>
                            <w:sz w:val="18"/>
                            <w:szCs w:val="18"/>
                          </w:rPr>
                          <w:t>3. Epilepsija G40</w:t>
                        </w:r>
                      </w:p>
                    </w:tc>
                  </w:tr>
                  <w:tr>
                    <w:trPr>
                      <w:cantSplit/>
                      <w:trHeight w:val="20"/>
                    </w:trPr>
                    <w:tc>
                      <w:tcPr>
                        <w:tcW w:w="2470" w:type="dxa"/>
                      </w:tcPr>
                      <w:p>
                        <w:pPr>
                          <w:rPr>
                            <w:strike/>
                            <w:sz w:val="18"/>
                            <w:szCs w:val="18"/>
                          </w:rPr>
                        </w:pPr>
                        <w:r>
                          <w:rPr>
                            <w:sz w:val="18"/>
                            <w:szCs w:val="18"/>
                          </w:rPr>
                          <w:t>3. Krovinių kėlimas mechaniniais, iš jų savaeigiais krautuvais, išskyrus potencialiai pavojingus įrenginius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Borders>
                          <w:bottom w:val="single" w:sz="4" w:space="0" w:color="auto"/>
                        </w:tcBorders>
                      </w:tcPr>
                      <w:p>
                        <w:pPr>
                          <w:rPr>
                            <w:sz w:val="18"/>
                            <w:szCs w:val="18"/>
                          </w:rPr>
                        </w:pPr>
                        <w:r>
                          <w:rPr>
                            <w:sz w:val="18"/>
                            <w:szCs w:val="18"/>
                          </w:rPr>
                          <w:t>Regėjimo aštrumo, akipločio, spalvinio jutimo (priimant į darbą), akispūdžio – asmenims nuo 40 m.,</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Borders>
                          <w:bottom w:val="single" w:sz="4" w:space="0" w:color="auto"/>
                        </w:tcBorders>
                      </w:tcPr>
                      <w:p>
                        <w:pPr>
                          <w:rPr>
                            <w:sz w:val="18"/>
                            <w:szCs w:val="18"/>
                          </w:rPr>
                        </w:pPr>
                        <w:r>
                          <w:rPr>
                            <w:sz w:val="18"/>
                            <w:szCs w:val="18"/>
                          </w:rPr>
                          <w:t>1. Regėjimo organų ligos:</w:t>
                        </w:r>
                      </w:p>
                      <w:p>
                        <w:pPr>
                          <w:rPr>
                            <w:sz w:val="18"/>
                            <w:szCs w:val="18"/>
                          </w:rPr>
                        </w:pPr>
                        <w:r>
                          <w:rPr>
                            <w:sz w:val="18"/>
                            <w:szCs w:val="18"/>
                          </w:rPr>
                          <w:t>1.1. Regėjimas su korekcija silpnesnis kaip 0,5 viena ir 0,2 – kita akimi</w:t>
                        </w:r>
                      </w:p>
                      <w:p>
                        <w:pPr>
                          <w:rPr>
                            <w:sz w:val="18"/>
                            <w:szCs w:val="18"/>
                          </w:rPr>
                        </w:pPr>
                        <w:r>
                          <w:rPr>
                            <w:sz w:val="18"/>
                            <w:szCs w:val="18"/>
                          </w:rPr>
                          <w:t xml:space="preserve">1.2. Nuolatinis neišgydomas ašarojimas H04.2 </w:t>
                        </w:r>
                      </w:p>
                      <w:p>
                        <w:pPr>
                          <w:rPr>
                            <w:sz w:val="18"/>
                            <w:szCs w:val="18"/>
                          </w:rPr>
                        </w:pPr>
                        <w:r>
                          <w:rPr>
                            <w:sz w:val="18"/>
                            <w:szCs w:val="18"/>
                          </w:rPr>
                          <w:t>1.3. Spalvų jutimo sutrikimai (tiems, kurie dirba su spalvota signalizacija) H53.5</w:t>
                        </w:r>
                      </w:p>
                      <w:p>
                        <w:pPr>
                          <w:rPr>
                            <w:sz w:val="18"/>
                            <w:szCs w:val="18"/>
                          </w:rPr>
                        </w:pPr>
                        <w:r>
                          <w:rPr>
                            <w:sz w:val="18"/>
                            <w:szCs w:val="18"/>
                          </w:rPr>
                          <w:t>1.4.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3. Vestibulinės funkcijos sutrikimai H81; H82</w:t>
                        </w:r>
                      </w:p>
                      <w:p>
                        <w:pPr>
                          <w:rPr>
                            <w:sz w:val="18"/>
                            <w:szCs w:val="18"/>
                          </w:rPr>
                        </w:pPr>
                        <w:r>
                          <w:rPr>
                            <w:sz w:val="18"/>
                            <w:szCs w:val="18"/>
                          </w:rPr>
                          <w:t>4. Epilepsija G40</w:t>
                        </w:r>
                      </w:p>
                    </w:tc>
                  </w:tr>
                  <w:tr>
                    <w:trPr>
                      <w:cantSplit/>
                      <w:trHeight w:val="20"/>
                    </w:trPr>
                    <w:tc>
                      <w:tcPr>
                        <w:tcW w:w="2470" w:type="dxa"/>
                      </w:tcPr>
                      <w:p>
                        <w:pPr>
                          <w:rPr>
                            <w:sz w:val="18"/>
                            <w:szCs w:val="18"/>
                          </w:rPr>
                        </w:pPr>
                        <w:r>
                          <w:rPr>
                            <w:sz w:val="18"/>
                            <w:szCs w:val="18"/>
                          </w:rPr>
                          <w:t>4. Darbai laivuose, iš jų žvejybos laivuose ir kituose plaukiojančiuose įrenginiuose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 xml:space="preserve">Vadovaujamasi Laivyno darbuotojų sveikatos tikrinimo tvarka (11 priedas), patvirtinta Lietuvos Respublikos sveikatos apsaugos ministro 2000 m. gegužės 31 d. įsakymu Nr. 301 „Dėl profilaktinių sveikatos tikrinimų sveikatos priežiūros įstaigose“ (Žin., 2000, Nr. </w:t>
                        </w:r>
                        <w:hyperlink r:id="rId74" w:tgtFrame="_blank" w:history="1">
                          <w:r>
                            <w:rPr>
                              <w:rStyle w:val="Hipersaitas"/>
                              <w:bCs/>
                              <w:sz w:val="18"/>
                              <w:szCs w:val="18"/>
                            </w:rPr>
                            <w:t>47-1365</w:t>
                          </w:r>
                        </w:hyperlink>
                        <w:r>
                          <w:rPr>
                            <w:bCs/>
                            <w:sz w:val="18"/>
                            <w:szCs w:val="18"/>
                          </w:rPr>
                          <w:t>)</w:t>
                        </w:r>
                      </w:p>
                    </w:tc>
                    <w:tc>
                      <w:tcPr>
                        <w:tcW w:w="1397" w:type="dxa"/>
                        <w:tcBorders>
                          <w:right w:val="single" w:sz="4" w:space="0" w:color="auto"/>
                        </w:tcBorders>
                      </w:tcPr>
                      <w:p>
                        <w:pPr>
                          <w:keepNext/>
                          <w:outlineLvl w:val="1"/>
                          <w:rPr>
                            <w:rFonts w:eastAsia="MS Mincho"/>
                            <w:b/>
                            <w:caps/>
                            <w:sz w:val="18"/>
                            <w:szCs w:val="18"/>
                          </w:rPr>
                        </w:pPr>
                      </w:p>
                    </w:tc>
                    <w:tc>
                      <w:tcPr>
                        <w:tcW w:w="1587" w:type="dxa"/>
                        <w:gridSpan w:val="2"/>
                        <w:tcBorders>
                          <w:top w:val="single" w:sz="4" w:space="0" w:color="auto"/>
                          <w:left w:val="single" w:sz="4" w:space="0" w:color="auto"/>
                          <w:bottom w:val="single" w:sz="4" w:space="0" w:color="auto"/>
                        </w:tcBorders>
                      </w:tcPr>
                      <w:p>
                        <w:pPr>
                          <w:rPr>
                            <w:sz w:val="18"/>
                            <w:szCs w:val="18"/>
                          </w:rPr>
                        </w:pPr>
                      </w:p>
                    </w:tc>
                    <w:tc>
                      <w:tcPr>
                        <w:tcW w:w="6548" w:type="dxa"/>
                        <w:tcBorders>
                          <w:top w:val="single" w:sz="4" w:space="0" w:color="auto"/>
                          <w:bottom w:val="single" w:sz="4" w:space="0" w:color="auto"/>
                          <w:right w:val="single" w:sz="4" w:space="0" w:color="auto"/>
                        </w:tcBorders>
                      </w:tcPr>
                      <w:p>
                        <w:pPr>
                          <w:rPr>
                            <w:sz w:val="18"/>
                            <w:szCs w:val="18"/>
                          </w:rPr>
                        </w:pPr>
                        <w:r>
                          <w:rPr>
                            <w:sz w:val="18"/>
                            <w:szCs w:val="18"/>
                          </w:rPr>
                          <w:t>Vadovaujamasi „Laivyno darbuotojų sveikatos tikrinimo tvarka“, patvirtinta Lietuvos Respublikos sveikatos apsaugos ministro 2000 m. gegužės 31 d. įsakymo Nr. 301 „Dėl profilaktinių sveikatos tikrinimų sveikatos priežiūros įstaigose“ 11 priedu.</w:t>
                        </w:r>
                      </w:p>
                    </w:tc>
                  </w:tr>
                  <w:tr>
                    <w:trPr>
                      <w:cantSplit/>
                      <w:trHeight w:val="20"/>
                    </w:trPr>
                    <w:tc>
                      <w:tcPr>
                        <w:tcW w:w="2470" w:type="dxa"/>
                      </w:tcPr>
                      <w:p>
                        <w:pPr>
                          <w:rPr>
                            <w:sz w:val="18"/>
                            <w:szCs w:val="18"/>
                          </w:rPr>
                        </w:pPr>
                        <w:r>
                          <w:rPr>
                            <w:sz w:val="18"/>
                            <w:szCs w:val="18"/>
                          </w:rPr>
                          <w:t xml:space="preserve">5. Darbai šuliniuose, iškasose, tuneliuose, kolektoriuose ir kituose požeminiuose įrenginiuose ir statiniuose (išskyrus požemines pėsčiųjų perėjas ir pervažas), uždarose bet kokių medžiagų talpyklose ir iš dalies uždarose ir ankštose patalpose ar iš dalies uždarose mašinų ir kitų įrenginių angose </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 xml:space="preserve">kitų profesinių kvalifikacijų gydytojai </w:t>
                        </w:r>
                      </w:p>
                    </w:tc>
                    <w:tc>
                      <w:tcPr>
                        <w:tcW w:w="1587" w:type="dxa"/>
                        <w:gridSpan w:val="2"/>
                        <w:tcBorders>
                          <w:top w:val="single" w:sz="4" w:space="0" w:color="auto"/>
                        </w:tcBorders>
                      </w:tcPr>
                      <w:p>
                        <w:pPr>
                          <w:rPr>
                            <w:sz w:val="18"/>
                            <w:szCs w:val="18"/>
                          </w:rPr>
                        </w:pPr>
                        <w:r>
                          <w:rPr>
                            <w:sz w:val="18"/>
                            <w:szCs w:val="18"/>
                          </w:rPr>
                          <w:t>Regėjimo aštrumo,</w:t>
                        </w:r>
                      </w:p>
                      <w:p>
                        <w:pPr>
                          <w:rPr>
                            <w:sz w:val="18"/>
                            <w:szCs w:val="18"/>
                          </w:rPr>
                        </w:pPr>
                        <w:r>
                          <w:rPr>
                            <w:sz w:val="18"/>
                            <w:szCs w:val="18"/>
                          </w:rPr>
                          <w:t>vestibulinės funkcijos ištyrimas,</w:t>
                        </w:r>
                      </w:p>
                      <w:p>
                        <w:pPr>
                          <w:rPr>
                            <w:sz w:val="18"/>
                            <w:szCs w:val="18"/>
                          </w:rPr>
                        </w:pPr>
                        <w:r>
                          <w:rPr>
                            <w:sz w:val="18"/>
                            <w:szCs w:val="18"/>
                          </w:rPr>
                          <w:t xml:space="preserve">esant indikacijų – audiograma, EKG </w:t>
                        </w:r>
                      </w:p>
                    </w:tc>
                    <w:tc>
                      <w:tcPr>
                        <w:tcW w:w="6548" w:type="dxa"/>
                        <w:tcBorders>
                          <w:top w:val="single" w:sz="4" w:space="0" w:color="auto"/>
                        </w:tcBorders>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tabs>
                            <w:tab w:val="center" w:pos="33"/>
                          </w:tabs>
                          <w:ind w:left="33" w:firstLine="17"/>
                          <w:rPr>
                            <w:sz w:val="18"/>
                            <w:szCs w:val="18"/>
                          </w:rPr>
                        </w:pPr>
                        <w:r>
                          <w:rPr>
                            <w:sz w:val="18"/>
                            <w:szCs w:val="18"/>
                          </w:rPr>
                          <w:t xml:space="preserve">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4. Vestibulinės funkcijos sutrikimai H81; H82</w:t>
                        </w:r>
                      </w:p>
                      <w:p>
                        <w:pPr>
                          <w:rPr>
                            <w:sz w:val="18"/>
                            <w:szCs w:val="18"/>
                          </w:rPr>
                        </w:pPr>
                        <w:r>
                          <w:rPr>
                            <w:sz w:val="18"/>
                            <w:szCs w:val="18"/>
                          </w:rPr>
                          <w:t>5. Obliteruojantis endarteritas, žymus venų išsiplėtimas, hemorojus su dažnais paūmėjimais, komplikacijomis I77.6, I83.0, I83.1, I83.2</w:t>
                        </w:r>
                      </w:p>
                      <w:p>
                        <w:pPr>
                          <w:rPr>
                            <w:sz w:val="18"/>
                            <w:szCs w:val="18"/>
                          </w:rPr>
                        </w:pPr>
                        <w:r>
                          <w:rPr>
                            <w:sz w:val="18"/>
                            <w:szCs w:val="18"/>
                          </w:rPr>
                          <w:t>6. Išvaržos ir galinčios įstrigti išvaržos K40–K46, tiesiosios žarnos iškritimas K62.3</w:t>
                        </w:r>
                      </w:p>
                      <w:p>
                        <w:pPr>
                          <w:rPr>
                            <w:sz w:val="18"/>
                            <w:szCs w:val="18"/>
                          </w:rPr>
                        </w:pPr>
                        <w:r>
                          <w:rPr>
                            <w:sz w:val="18"/>
                            <w:szCs w:val="18"/>
                          </w:rPr>
                          <w:t>7. Išplitę subatrofiniai viršutinių kvėpavimo takų gleivinės pakitimai J30; J31; J37–J39; uodimo sutrikimai R43,0; R43,1; R43,8; uodžiamojo nervo ligos G 52,0</w:t>
                        </w:r>
                      </w:p>
                      <w:p>
                        <w:pPr>
                          <w:rPr>
                            <w:sz w:val="18"/>
                            <w:szCs w:val="18"/>
                          </w:rPr>
                        </w:pPr>
                        <w:r>
                          <w:rPr>
                            <w:sz w:val="18"/>
                            <w:szCs w:val="18"/>
                          </w:rPr>
                          <w:t>8. Astma J45</w:t>
                        </w:r>
                      </w:p>
                      <w:p>
                        <w:pPr>
                          <w:rPr>
                            <w:sz w:val="18"/>
                            <w:szCs w:val="18"/>
                          </w:rPr>
                        </w:pPr>
                        <w:r>
                          <w:rPr>
                            <w:sz w:val="18"/>
                            <w:szCs w:val="18"/>
                          </w:rPr>
                          <w:t>9. Lėtiniai sąnarių uždegimai su ženkliu funkcijos sutrikimu M15</w:t>
                        </w:r>
                      </w:p>
                      <w:p>
                        <w:pPr>
                          <w:rPr>
                            <w:sz w:val="18"/>
                            <w:szCs w:val="18"/>
                          </w:rPr>
                        </w:pPr>
                        <w:r>
                          <w:rPr>
                            <w:sz w:val="18"/>
                            <w:szCs w:val="18"/>
                          </w:rPr>
                          <w:t>10. Cukrinis diabetas E10-E14</w:t>
                        </w:r>
                      </w:p>
                      <w:p>
                        <w:pPr>
                          <w:rPr>
                            <w:sz w:val="18"/>
                            <w:szCs w:val="18"/>
                          </w:rPr>
                        </w:pPr>
                        <w:r>
                          <w:rPr>
                            <w:sz w:val="18"/>
                            <w:szCs w:val="18"/>
                          </w:rPr>
                          <w:t>11. Epilepsija G40</w:t>
                        </w:r>
                      </w:p>
                    </w:tc>
                  </w:tr>
                  <w:tr>
                    <w:trPr>
                      <w:cantSplit/>
                      <w:trHeight w:val="20"/>
                    </w:trPr>
                    <w:tc>
                      <w:tcPr>
                        <w:tcW w:w="2470" w:type="dxa"/>
                      </w:tcPr>
                      <w:p>
                        <w:pPr>
                          <w:rPr>
                            <w:sz w:val="18"/>
                            <w:szCs w:val="18"/>
                          </w:rPr>
                        </w:pPr>
                        <w:r>
                          <w:rPr>
                            <w:sz w:val="18"/>
                            <w:szCs w:val="18"/>
                          </w:rPr>
                          <w:t>6. Darbai atliekami aukščiau kaip 5 metrai nuo žemės paviršiaus ar grunto, perdengimo, pastolių ar grindų paviršiaus, kai pagrindinė apsaugos nuo kritimo priemonė yra apraišai (apsaugos nuo kritimo diržai)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 akipločio, spalvinio jutimo (priimant į darbą) ištyrimas,</w:t>
                        </w:r>
                      </w:p>
                      <w:p>
                        <w:pPr>
                          <w:rPr>
                            <w:sz w:val="18"/>
                            <w:szCs w:val="18"/>
                          </w:rPr>
                        </w:pPr>
                        <w:r>
                          <w:rPr>
                            <w:sz w:val="18"/>
                            <w:szCs w:val="18"/>
                          </w:rPr>
                          <w:t xml:space="preserve">EKG, </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2. Vestibulinės funkcijos sutrikimai H81; H82</w:t>
                        </w:r>
                      </w:p>
                      <w:p>
                        <w:pPr>
                          <w:rPr>
                            <w:sz w:val="18"/>
                            <w:szCs w:val="18"/>
                          </w:rPr>
                        </w:pPr>
                        <w:r>
                          <w:rPr>
                            <w:sz w:val="18"/>
                            <w:szCs w:val="18"/>
                          </w:rPr>
                          <w:t>3. Regėjimo aštrumas su korekcija mažesnis nei 0,5 viena ir 0,2 kita akimi</w:t>
                        </w:r>
                      </w:p>
                      <w:p>
                        <w:pPr>
                          <w:rPr>
                            <w:i/>
                            <w:sz w:val="18"/>
                            <w:szCs w:val="18"/>
                          </w:rPr>
                        </w:pPr>
                        <w:r>
                          <w:rPr>
                            <w:sz w:val="18"/>
                            <w:szCs w:val="18"/>
                          </w:rPr>
                          <w:t>4. Epilepsija G40</w:t>
                        </w:r>
                      </w:p>
                    </w:tc>
                  </w:tr>
                  <w:tr>
                    <w:trPr>
                      <w:cantSplit/>
                      <w:trHeight w:val="20"/>
                    </w:trPr>
                    <w:tc>
                      <w:tcPr>
                        <w:tcW w:w="2470" w:type="dxa"/>
                      </w:tcPr>
                      <w:p>
                        <w:pPr>
                          <w:rPr>
                            <w:sz w:val="18"/>
                            <w:szCs w:val="18"/>
                            <w:lang w:val="pt-BR"/>
                          </w:rPr>
                        </w:pPr>
                        <w:r>
                          <w:rPr>
                            <w:sz w:val="18"/>
                            <w:szCs w:val="18"/>
                          </w:rPr>
                          <w:t xml:space="preserve">7. Darbai </w:t>
                        </w:r>
                        <w:r>
                          <w:rPr>
                            <w:sz w:val="18"/>
                            <w:szCs w:val="18"/>
                            <w:lang w:val="pt-BR"/>
                          </w:rPr>
                          <w:t>su plėšriaisiais ir kitais pavojingais gyvūnais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i/>
                            <w:sz w:val="18"/>
                            <w:szCs w:val="18"/>
                          </w:rPr>
                        </w:pPr>
                        <w:r>
                          <w:rPr>
                            <w:sz w:val="18"/>
                            <w:szCs w:val="18"/>
                          </w:rPr>
                          <w:t>esant indikacijų – audiograma</w:t>
                        </w:r>
                      </w:p>
                    </w:tc>
                    <w:tc>
                      <w:tcPr>
                        <w:tcW w:w="6548" w:type="dxa"/>
                      </w:tcPr>
                      <w:p>
                        <w:pPr>
                          <w:rPr>
                            <w:sz w:val="18"/>
                            <w:szCs w:val="18"/>
                          </w:rPr>
                        </w:pPr>
                        <w:r>
                          <w:rPr>
                            <w:sz w:val="18"/>
                            <w:szCs w:val="18"/>
                          </w:rPr>
                          <w:t>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 </w:t>
                        </w:r>
                      </w:p>
                      <w:p>
                        <w:pPr>
                          <w:tabs>
                            <w:tab w:val="center" w:pos="33"/>
                          </w:tabs>
                          <w:ind w:left="33" w:hanging="33"/>
                          <w:rPr>
                            <w:sz w:val="18"/>
                            <w:szCs w:val="18"/>
                          </w:rPr>
                        </w:pPr>
                        <w:r>
                          <w:rPr>
                            <w:sz w:val="18"/>
                            <w:szCs w:val="18"/>
                          </w:rPr>
                          <w:t>3. Degeneracinė trumparegystė H44.2</w:t>
                        </w:r>
                      </w:p>
                      <w:p>
                        <w:pPr>
                          <w:tabs>
                            <w:tab w:val="center" w:pos="33"/>
                          </w:tabs>
                          <w:ind w:left="33" w:hanging="33"/>
                          <w:rPr>
                            <w:sz w:val="18"/>
                            <w:szCs w:val="18"/>
                          </w:rPr>
                        </w:pPr>
                        <w:r>
                          <w:rPr>
                            <w:sz w:val="18"/>
                            <w:szCs w:val="18"/>
                          </w:rPr>
                          <w:t>4. Paveldimos tinklainės distrofijos H35.5</w:t>
                        </w:r>
                      </w:p>
                      <w:p>
                        <w:pPr>
                          <w:rPr>
                            <w:sz w:val="18"/>
                            <w:szCs w:val="18"/>
                          </w:rPr>
                        </w:pPr>
                        <w:r>
                          <w:rPr>
                            <w:sz w:val="18"/>
                            <w:szCs w:val="18"/>
                          </w:rPr>
                          <w:t>5. Epilepsija G40</w:t>
                        </w:r>
                      </w:p>
                    </w:tc>
                  </w:tr>
                  <w:tr>
                    <w:trPr>
                      <w:cantSplit/>
                      <w:trHeight w:val="20"/>
                    </w:trPr>
                    <w:tc>
                      <w:tcPr>
                        <w:tcW w:w="2470" w:type="dxa"/>
                      </w:tcPr>
                      <w:p>
                        <w:pPr>
                          <w:rPr>
                            <w:sz w:val="18"/>
                            <w:szCs w:val="18"/>
                          </w:rPr>
                        </w:pPr>
                        <w:r>
                          <w:rPr>
                            <w:sz w:val="18"/>
                            <w:szCs w:val="18"/>
                          </w:rPr>
                          <w:t>8. Hidroelektrinių, hidrotechninių įrenginių konstrukcijų, kurių patvankos aukštis didesnis kaip 3 metrai, rekonstravimas ir kapitalinis remontas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rPr>
                            <w:sz w:val="18"/>
                            <w:szCs w:val="18"/>
                          </w:rPr>
                        </w:pPr>
                        <w:r>
                          <w:rPr>
                            <w:sz w:val="18"/>
                            <w:szCs w:val="18"/>
                          </w:rPr>
                          <w:t xml:space="preserve">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3. Regėjimo aštrumas su korekcija mažesnis kaip 0,5 viena ir 0,2 – kita akimi</w:t>
                        </w:r>
                      </w:p>
                      <w:p>
                        <w:pPr>
                          <w:tabs>
                            <w:tab w:val="center" w:pos="33"/>
                          </w:tabs>
                          <w:ind w:left="33" w:hanging="33"/>
                          <w:rPr>
                            <w:sz w:val="18"/>
                            <w:szCs w:val="18"/>
                          </w:rPr>
                        </w:pPr>
                        <w:r>
                          <w:rPr>
                            <w:sz w:val="18"/>
                            <w:szCs w:val="18"/>
                          </w:rPr>
                          <w:t>4. Epilepsija G40</w:t>
                        </w:r>
                      </w:p>
                    </w:tc>
                  </w:tr>
                  <w:tr>
                    <w:trPr>
                      <w:cantSplit/>
                      <w:trHeight w:val="20"/>
                    </w:trPr>
                    <w:tc>
                      <w:tcPr>
                        <w:tcW w:w="2470" w:type="dxa"/>
                      </w:tcPr>
                      <w:p>
                        <w:pPr>
                          <w:rPr>
                            <w:sz w:val="18"/>
                            <w:szCs w:val="18"/>
                          </w:rPr>
                        </w:pPr>
                        <w:r>
                          <w:rPr>
                            <w:sz w:val="18"/>
                            <w:szCs w:val="18"/>
                            <w:lang w:val="en-AU"/>
                          </w:rPr>
                          <w:t>9. Darbai cirke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ind w:left="56"/>
                          <w:rPr>
                            <w:sz w:val="18"/>
                            <w:szCs w:val="18"/>
                          </w:rPr>
                        </w:pPr>
                        <w:r>
                          <w:rPr>
                            <w:sz w:val="18"/>
                            <w:szCs w:val="18"/>
                          </w:rPr>
                          <w:t>1. Vestibulinės funkcijos sutrikimai H81; H82</w:t>
                        </w:r>
                      </w:p>
                      <w:p>
                        <w:pPr>
                          <w:ind w:left="56"/>
                          <w:rPr>
                            <w:sz w:val="18"/>
                            <w:szCs w:val="18"/>
                          </w:rPr>
                        </w:pPr>
                        <w:r>
                          <w:rPr>
                            <w:sz w:val="18"/>
                            <w:szCs w:val="18"/>
                          </w:rPr>
                          <w:t>2. Epilepsija G40</w:t>
                        </w:r>
                      </w:p>
                      <w:p>
                        <w:pPr>
                          <w:ind w:firstLine="56"/>
                          <w:rPr>
                            <w:sz w:val="18"/>
                            <w:szCs w:val="18"/>
                          </w:rPr>
                        </w:pPr>
                        <w:r>
                          <w:rPr>
                            <w:sz w:val="18"/>
                            <w:szCs w:val="18"/>
                          </w:rPr>
                          <w:t>3. Pagal konkrečius profesinės rizikos veiksnius</w:t>
                        </w:r>
                      </w:p>
                    </w:tc>
                  </w:tr>
                  <w:tr>
                    <w:trPr>
                      <w:cantSplit/>
                      <w:trHeight w:val="20"/>
                    </w:trPr>
                    <w:tc>
                      <w:tcPr>
                        <w:tcW w:w="2470" w:type="dxa"/>
                      </w:tcPr>
                      <w:p>
                        <w:pPr>
                          <w:rPr>
                            <w:sz w:val="18"/>
                            <w:szCs w:val="18"/>
                            <w:lang w:val="en-AU"/>
                          </w:rPr>
                        </w:pPr>
                        <w:r>
                          <w:rPr>
                            <w:sz w:val="18"/>
                            <w:szCs w:val="18"/>
                          </w:rPr>
                          <w:t>10. Darbai skraidančiuose orlaiviuose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sz w:val="18"/>
                            <w:szCs w:val="18"/>
                          </w:rPr>
                        </w:pPr>
                      </w:p>
                    </w:tc>
                    <w:tc>
                      <w:tcPr>
                        <w:tcW w:w="6548" w:type="dxa"/>
                      </w:tcPr>
                      <w:p>
                        <w:pPr>
                          <w:ind w:left="56"/>
                          <w:rPr>
                            <w:sz w:val="18"/>
                            <w:szCs w:val="18"/>
                          </w:rPr>
                        </w:pPr>
                        <w:r>
                          <w:rPr>
                            <w:sz w:val="18"/>
                            <w:szCs w:val="18"/>
                          </w:rPr>
                          <w:t xml:space="preserve">Vadovaujamasi Licencijuojamų civilinės aviacijos specialistų sveikatos būklės tikrinimo tvarkos aprašu, patvirtintu Lietuvos Respublikos sveikatos apsaugos ministro 2000 m. gegužės 31 d. įsakymu Nr. 301 „Dėl profilaktinių sveikatos tikrinimų sveikatos priežiūros įstaigose“ (Žin., 2000, Nr. </w:t>
                        </w:r>
                        <w:hyperlink r:id="rId75" w:tgtFrame="_blank" w:history="1">
                          <w:r>
                            <w:rPr>
                              <w:color w:val="0000FF" w:themeColor="hyperlink"/>
                              <w:sz w:val="18"/>
                              <w:szCs w:val="18"/>
                              <w:u w:val="single"/>
                            </w:rPr>
                            <w:t>47-1365</w:t>
                          </w:r>
                        </w:hyperlink>
                        <w:r>
                          <w:rPr>
                            <w:sz w:val="18"/>
                            <w:szCs w:val="18"/>
                          </w:rPr>
                          <w:t xml:space="preserve">; 2005, Nr. </w:t>
                        </w:r>
                        <w:hyperlink r:id="rId76" w:tgtFrame="_blank" w:history="1">
                          <w:r>
                            <w:rPr>
                              <w:color w:val="0000FF" w:themeColor="hyperlink"/>
                              <w:sz w:val="18"/>
                              <w:szCs w:val="18"/>
                              <w:u w:val="single"/>
                            </w:rPr>
                            <w:t>128-4637</w:t>
                          </w:r>
                        </w:hyperlink>
                        <w:r>
                          <w:rPr>
                            <w:sz w:val="18"/>
                            <w:szCs w:val="18"/>
                          </w:rPr>
                          <w:t xml:space="preserve">; 2008, Nr. </w:t>
                        </w:r>
                        <w:hyperlink r:id="rId77"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11. Miško ruošos darbai (stačiojo miško kirtimas, vėjavartų, vėjalaužų likvidavimas)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otorinolaringeologas,</w:t>
                        </w:r>
                      </w:p>
                      <w:p>
                        <w:pPr>
                          <w:rPr>
                            <w:sz w:val="18"/>
                            <w:szCs w:val="18"/>
                          </w:rPr>
                        </w:pPr>
                        <w:r>
                          <w:rPr>
                            <w:sz w:val="18"/>
                            <w:szCs w:val="18"/>
                          </w:rPr>
                          <w:t>neurologas</w:t>
                        </w:r>
                      </w:p>
                    </w:tc>
                    <w:tc>
                      <w:tcPr>
                        <w:tcW w:w="1587" w:type="dxa"/>
                        <w:gridSpan w:val="2"/>
                      </w:tcPr>
                      <w:p>
                        <w:pPr>
                          <w:rPr>
                            <w:sz w:val="18"/>
                            <w:szCs w:val="18"/>
                          </w:rPr>
                        </w:pPr>
                        <w:r>
                          <w:rPr>
                            <w:sz w:val="18"/>
                            <w:szCs w:val="18"/>
                          </w:rPr>
                          <w:t>Regėjimo aštrumo, vestibulinės funkcijos ištyrimas,</w:t>
                        </w:r>
                      </w:p>
                      <w:p>
                        <w:pPr>
                          <w:rPr>
                            <w:sz w:val="18"/>
                            <w:szCs w:val="18"/>
                          </w:rPr>
                        </w:pPr>
                        <w:r>
                          <w:rPr>
                            <w:sz w:val="18"/>
                            <w:szCs w:val="18"/>
                            <w:lang w:val="en-AU"/>
                          </w:rPr>
                          <w:t>esant indikacijų – audiograma</w:t>
                        </w:r>
                        <w:r>
                          <w:rPr>
                            <w:sz w:val="18"/>
                            <w:szCs w:val="18"/>
                          </w:rPr>
                          <w:t xml:space="preserve"> </w:t>
                        </w:r>
                      </w:p>
                    </w:tc>
                    <w:tc>
                      <w:tcPr>
                        <w:tcW w:w="6548" w:type="dxa"/>
                      </w:tcPr>
                      <w:p>
                        <w:pPr>
                          <w:rPr>
                            <w:sz w:val="18"/>
                            <w:szCs w:val="18"/>
                          </w:rPr>
                        </w:pPr>
                        <w:r>
                          <w:rPr>
                            <w:sz w:val="18"/>
                            <w:szCs w:val="18"/>
                          </w:rPr>
                          <w:t xml:space="preserve">1. Regėjimo aštrumas su korekcija mažesnis kaip 0,5 viena ir 0,2 – kita akimi </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ind w:hanging="33"/>
                          <w:rPr>
                            <w:sz w:val="18"/>
                            <w:szCs w:val="18"/>
                          </w:rPr>
                        </w:pPr>
                        <w:r>
                          <w:rPr>
                            <w:sz w:val="18"/>
                            <w:szCs w:val="18"/>
                          </w:rPr>
                          <w:t>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hanging="33"/>
                          <w:rPr>
                            <w:sz w:val="18"/>
                            <w:szCs w:val="18"/>
                          </w:rPr>
                        </w:pPr>
                        <w:r>
                          <w:rPr>
                            <w:sz w:val="18"/>
                            <w:szCs w:val="18"/>
                          </w:rPr>
                          <w:t>4. Vestibulinės funkcijos sutrikimai H81; H82</w:t>
                        </w:r>
                      </w:p>
                      <w:p>
                        <w:pPr>
                          <w:rPr>
                            <w:sz w:val="18"/>
                            <w:szCs w:val="18"/>
                          </w:rPr>
                        </w:pPr>
                        <w:r>
                          <w:rPr>
                            <w:sz w:val="18"/>
                            <w:szCs w:val="18"/>
                          </w:rPr>
                          <w:t>5. Venų ligos: žymus ar komplikuotas kojų venų išsiplėtimas, hemorojus su dažnais paūmėjimais ar komplikacijomis (kraujavimu, tromboze) I83.0, I83.1, I83.2, I84</w:t>
                        </w:r>
                      </w:p>
                      <w:p>
                        <w:pPr>
                          <w:rPr>
                            <w:sz w:val="18"/>
                            <w:szCs w:val="18"/>
                          </w:rPr>
                        </w:pPr>
                        <w:r>
                          <w:rPr>
                            <w:sz w:val="18"/>
                            <w:szCs w:val="18"/>
                          </w:rPr>
                          <w:t>6. Obliteruojantis endarteritas su komplikacijomis I77.6.</w:t>
                        </w:r>
                      </w:p>
                      <w:p>
                        <w:pPr>
                          <w:rPr>
                            <w:sz w:val="18"/>
                            <w:szCs w:val="18"/>
                          </w:rPr>
                        </w:pPr>
                        <w:r>
                          <w:rPr>
                            <w:sz w:val="18"/>
                            <w:szCs w:val="18"/>
                          </w:rPr>
                          <w:t xml:space="preserve">7. Jungiamojo audinio ir skeleto–raumenų ligos su funkcijos, tarp jų plaštakos, sutrikimu (stuburo pakenkimai – darbui, susijusiam su jo apkrovimu) </w:t>
                        </w:r>
                      </w:p>
                      <w:p>
                        <w:pPr>
                          <w:rPr>
                            <w:sz w:val="18"/>
                            <w:szCs w:val="18"/>
                          </w:rPr>
                        </w:pPr>
                        <w:r>
                          <w:rPr>
                            <w:sz w:val="18"/>
                            <w:szCs w:val="18"/>
                          </w:rPr>
                          <w:t>8. Išvaržos K40–K46</w:t>
                        </w:r>
                      </w:p>
                      <w:p>
                        <w:pPr>
                          <w:rPr>
                            <w:sz w:val="18"/>
                            <w:szCs w:val="18"/>
                          </w:rPr>
                        </w:pPr>
                        <w:r>
                          <w:rPr>
                            <w:sz w:val="18"/>
                            <w:szCs w:val="18"/>
                          </w:rPr>
                          <w:t>9. Cukrinis diabetas E10–E14</w:t>
                        </w:r>
                      </w:p>
                    </w:tc>
                  </w:tr>
                  <w:tr>
                    <w:trPr>
                      <w:cantSplit/>
                      <w:trHeight w:val="20"/>
                    </w:trPr>
                    <w:tc>
                      <w:tcPr>
                        <w:tcW w:w="2470" w:type="dxa"/>
                      </w:tcPr>
                      <w:p>
                        <w:pPr>
                          <w:rPr>
                            <w:sz w:val="18"/>
                            <w:szCs w:val="18"/>
                          </w:rPr>
                        </w:pPr>
                        <w:r>
                          <w:rPr>
                            <w:sz w:val="18"/>
                            <w:szCs w:val="18"/>
                          </w:rPr>
                          <w:t>12. Gręžimo darbai, išgaunant naudingąsias iškasenas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Regėjimo aštrumo, vestibulinės funkcijos ištyrimas,</w:t>
                        </w:r>
                      </w:p>
                      <w:p>
                        <w:pPr>
                          <w:rPr>
                            <w:sz w:val="18"/>
                            <w:szCs w:val="18"/>
                          </w:rPr>
                        </w:pPr>
                        <w:r>
                          <w:rPr>
                            <w:sz w:val="18"/>
                            <w:szCs w:val="18"/>
                          </w:rPr>
                          <w:t xml:space="preserve">esant indikacijų – audiograma </w:t>
                        </w:r>
                      </w:p>
                    </w:tc>
                    <w:tc>
                      <w:tcPr>
                        <w:tcW w:w="6564" w:type="dxa"/>
                        <w:gridSpan w:val="2"/>
                      </w:tcPr>
                      <w:p>
                        <w:pPr>
                          <w:tabs>
                            <w:tab w:val="center" w:pos="33"/>
                          </w:tabs>
                          <w:ind w:left="33" w:hanging="33"/>
                          <w:rPr>
                            <w:sz w:val="18"/>
                            <w:szCs w:val="18"/>
                          </w:rPr>
                        </w:pPr>
                        <w:r>
                          <w:rPr>
                            <w:sz w:val="18"/>
                            <w:szCs w:val="18"/>
                          </w:rPr>
                          <w:t xml:space="preserve">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 xml:space="preserve">2. Vestibulinės funkcijos sutrikimai H81; H82 </w:t>
                        </w:r>
                      </w:p>
                      <w:p>
                        <w:pPr>
                          <w:rPr>
                            <w:i/>
                            <w:sz w:val="18"/>
                            <w:szCs w:val="18"/>
                          </w:rPr>
                        </w:pPr>
                        <w:r>
                          <w:rPr>
                            <w:sz w:val="18"/>
                            <w:szCs w:val="18"/>
                          </w:rPr>
                          <w:t>3. Regėjimo aštrumas su korekcija mažesnis kaip 0,5 viena ir 0,2 kita akimi</w:t>
                        </w:r>
                      </w:p>
                    </w:tc>
                  </w:tr>
                  <w:tr>
                    <w:trPr>
                      <w:cantSplit/>
                      <w:trHeight w:val="20"/>
                    </w:trPr>
                    <w:tc>
                      <w:tcPr>
                        <w:tcW w:w="2470" w:type="dxa"/>
                      </w:tcPr>
                      <w:p>
                        <w:pPr>
                          <w:rPr>
                            <w:sz w:val="18"/>
                            <w:szCs w:val="18"/>
                          </w:rPr>
                        </w:pPr>
                        <w:r>
                          <w:rPr>
                            <w:sz w:val="18"/>
                            <w:szCs w:val="18"/>
                          </w:rPr>
                          <w:t>13. Elektros, ryšių bei laidinio radijo oro ir požeminių linijų, dujotiekių, naftotiekių ar kitų produktotiekių vamzdynų įrengimo, išmontavimo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2. Vestibulinės funkcijos sutrikimai H81; H82 3. </w:t>
                        </w:r>
                      </w:p>
                      <w:p>
                        <w:pPr>
                          <w:rPr>
                            <w:sz w:val="18"/>
                            <w:szCs w:val="18"/>
                          </w:rPr>
                        </w:pPr>
                        <w:r>
                          <w:rPr>
                            <w:sz w:val="18"/>
                            <w:szCs w:val="18"/>
                          </w:rPr>
                          <w:t>3. Epilepsija G40</w:t>
                        </w:r>
                      </w:p>
                      <w:p>
                        <w:pPr>
                          <w:rPr>
                            <w:sz w:val="18"/>
                            <w:szCs w:val="18"/>
                          </w:rPr>
                        </w:pPr>
                        <w:r>
                          <w:rPr>
                            <w:sz w:val="18"/>
                            <w:szCs w:val="18"/>
                          </w:rPr>
                          <w:t xml:space="preserve">4. Pagal konkrečius profesinės rizikos veiksnius </w:t>
                        </w:r>
                      </w:p>
                    </w:tc>
                  </w:tr>
                  <w:tr>
                    <w:trPr>
                      <w:cantSplit/>
                      <w:trHeight w:val="20"/>
                    </w:trPr>
                    <w:tc>
                      <w:tcPr>
                        <w:tcW w:w="2470" w:type="dxa"/>
                      </w:tcPr>
                      <w:p>
                        <w:pPr>
                          <w:rPr>
                            <w:sz w:val="18"/>
                            <w:szCs w:val="18"/>
                          </w:rPr>
                        </w:pPr>
                        <w:r>
                          <w:rPr>
                            <w:sz w:val="18"/>
                            <w:szCs w:val="18"/>
                          </w:rPr>
                          <w:t>14. Grunto kasyba ir tvirtinimas, kiti darbai prie aukštesnių kaip 1,5 metro šlaitų ir gilesnėse kaip 1,5 metro iškasose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r>
                          <w:rPr>
                            <w:sz w:val="18"/>
                            <w:szCs w:val="18"/>
                          </w:rPr>
                          <w:t>2. Epilepsija G40</w:t>
                        </w:r>
                      </w:p>
                      <w:p>
                        <w:pPr>
                          <w:rPr>
                            <w:sz w:val="18"/>
                            <w:szCs w:val="18"/>
                          </w:rPr>
                        </w:pPr>
                        <w:r>
                          <w:rPr>
                            <w:sz w:val="18"/>
                            <w:szCs w:val="18"/>
                          </w:rPr>
                          <w:t>3. Obliteruojantis endarteritas su komplikacijomis I70.</w:t>
                        </w:r>
                      </w:p>
                      <w:p>
                        <w:pPr>
                          <w:rPr>
                            <w:sz w:val="18"/>
                            <w:szCs w:val="18"/>
                          </w:rPr>
                        </w:pPr>
                        <w:r>
                          <w:rPr>
                            <w:sz w:val="18"/>
                            <w:szCs w:val="18"/>
                          </w:rPr>
                          <w:t xml:space="preserve">4. Jungiamojo audinio ir skeleto-raumenų ligos su funkcijos, tarp jų plaštakos, sutrikimu (stuburo pakenkimai – darbui, susijusiam su jo apkrovimu) </w:t>
                        </w:r>
                      </w:p>
                      <w:p>
                        <w:pPr>
                          <w:rPr>
                            <w:sz w:val="18"/>
                            <w:szCs w:val="18"/>
                          </w:rPr>
                        </w:pPr>
                        <w:r>
                          <w:rPr>
                            <w:sz w:val="18"/>
                            <w:szCs w:val="18"/>
                          </w:rPr>
                          <w:t>5. Išvarža K40–K46</w:t>
                        </w:r>
                      </w:p>
                      <w:p>
                        <w:pPr>
                          <w:rPr>
                            <w:sz w:val="18"/>
                            <w:szCs w:val="18"/>
                          </w:rPr>
                        </w:pPr>
                        <w:r>
                          <w:rPr>
                            <w:sz w:val="18"/>
                            <w:szCs w:val="18"/>
                          </w:rPr>
                          <w:t>6. Cukrinis diabetas E10–E14</w:t>
                        </w:r>
                      </w:p>
                    </w:tc>
                  </w:tr>
                  <w:tr>
                    <w:trPr>
                      <w:cantSplit/>
                      <w:trHeight w:val="20"/>
                    </w:trPr>
                    <w:tc>
                      <w:tcPr>
                        <w:tcW w:w="2470" w:type="dxa"/>
                      </w:tcPr>
                      <w:p>
                        <w:pPr>
                          <w:rPr>
                            <w:sz w:val="18"/>
                            <w:szCs w:val="18"/>
                          </w:rPr>
                        </w:pPr>
                        <w:r>
                          <w:rPr>
                            <w:sz w:val="18"/>
                            <w:szCs w:val="18"/>
                          </w:rPr>
                          <w:t>15. Žemės darbai patogeniškai užterštame dirvožemyje, požeminių elektros tinklų, dujotiekio ir kitų požeminių komunikacijų (13 punktas) apsauginėse zonose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p>
                    </w:tc>
                  </w:tr>
                  <w:tr>
                    <w:trPr>
                      <w:cantSplit/>
                      <w:trHeight w:val="20"/>
                    </w:trPr>
                    <w:tc>
                      <w:tcPr>
                        <w:tcW w:w="2470" w:type="dxa"/>
                      </w:tcPr>
                      <w:p>
                        <w:pPr>
                          <w:rPr>
                            <w:sz w:val="18"/>
                            <w:szCs w:val="18"/>
                          </w:rPr>
                        </w:pPr>
                        <w:r>
                          <w:rPr>
                            <w:sz w:val="18"/>
                            <w:szCs w:val="18"/>
                          </w:rPr>
                          <w:t>16. Darbai potencialiai sprogioje aplinkoje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r>
                          <w:rPr>
                            <w:bCs/>
                            <w:sz w:val="18"/>
                            <w:szCs w:val="18"/>
                          </w:rPr>
                          <w:t xml:space="preserve"> psichiatras</w:t>
                        </w:r>
                      </w:p>
                    </w:tc>
                    <w:tc>
                      <w:tcPr>
                        <w:tcW w:w="1587" w:type="dxa"/>
                        <w:gridSpan w:val="2"/>
                      </w:tcPr>
                      <w:p>
                        <w:pPr>
                          <w:rPr>
                            <w:sz w:val="18"/>
                            <w:szCs w:val="18"/>
                          </w:rPr>
                        </w:pPr>
                        <w:r>
                          <w:rPr>
                            <w:sz w:val="18"/>
                            <w:szCs w:val="18"/>
                          </w:rPr>
                          <w:t>Regėjimo aštrumo ištyrimas, audiograma</w:t>
                        </w:r>
                      </w:p>
                    </w:tc>
                    <w:tc>
                      <w:tcPr>
                        <w:tcW w:w="6548" w:type="dxa"/>
                      </w:tcPr>
                      <w:p>
                        <w:pPr>
                          <w:rPr>
                            <w:sz w:val="18"/>
                            <w:szCs w:val="18"/>
                          </w:rPr>
                        </w:pPr>
                        <w:r>
                          <w:rPr>
                            <w:sz w:val="18"/>
                            <w:szCs w:val="18"/>
                          </w:rPr>
                          <w:t>1. Regėjimas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Alkoholizmas, narkomanija, toksikomanija F10–F19. Individualiu atveju dėl galimybės dirbti sprendžia gydytojas psichiatras.</w:t>
                        </w:r>
                      </w:p>
                    </w:tc>
                  </w:tr>
                  <w:tr>
                    <w:trPr>
                      <w:cantSplit/>
                      <w:trHeight w:val="20"/>
                    </w:trPr>
                    <w:tc>
                      <w:tcPr>
                        <w:tcW w:w="2470" w:type="dxa"/>
                      </w:tcPr>
                      <w:p>
                        <w:pPr>
                          <w:rPr>
                            <w:sz w:val="18"/>
                            <w:szCs w:val="18"/>
                          </w:rPr>
                        </w:pPr>
                        <w:r>
                          <w:rPr>
                            <w:sz w:val="18"/>
                            <w:szCs w:val="18"/>
                            <w:lang w:val="pt-BR"/>
                          </w:rPr>
                          <w:t>17. Remonto ar demontavimo darbai avariniuose statiniuose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audiograma</w:t>
                        </w:r>
                      </w:p>
                    </w:tc>
                    <w:tc>
                      <w:tcPr>
                        <w:tcW w:w="6564" w:type="dxa"/>
                        <w:gridSpan w:val="2"/>
                      </w:tcPr>
                      <w:p>
                        <w:pPr>
                          <w:rPr>
                            <w:sz w:val="18"/>
                            <w:szCs w:val="18"/>
                          </w:rPr>
                        </w:pPr>
                        <w:r>
                          <w:rPr>
                            <w:sz w:val="18"/>
                            <w:szCs w:val="18"/>
                          </w:rPr>
                          <w:t>1. Vestibulinės funkcijos sutrikimai H81; H82</w:t>
                        </w:r>
                      </w:p>
                      <w:p>
                        <w:pPr>
                          <w:tabs>
                            <w:tab w:val="center" w:pos="33"/>
                          </w:tabs>
                          <w:ind w:left="33" w:hanging="33"/>
                          <w:rPr>
                            <w:bCs/>
                            <w:sz w:val="18"/>
                            <w:szCs w:val="18"/>
                          </w:rPr>
                        </w:pPr>
                        <w:r>
                          <w:rPr>
                            <w:sz w:val="18"/>
                            <w:szCs w:val="18"/>
                          </w:rPr>
                          <w:t>2.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tc>
                  </w:tr>
                  <w:tr>
                    <w:trPr>
                      <w:cantSplit/>
                      <w:trHeight w:val="20"/>
                    </w:trPr>
                    <w:tc>
                      <w:tcPr>
                        <w:tcW w:w="2470" w:type="dxa"/>
                      </w:tcPr>
                      <w:p>
                        <w:pPr>
                          <w:rPr>
                            <w:sz w:val="18"/>
                            <w:szCs w:val="18"/>
                          </w:rPr>
                        </w:pPr>
                        <w:r>
                          <w:rPr>
                            <w:sz w:val="18"/>
                            <w:szCs w:val="18"/>
                          </w:rPr>
                          <w:t>18. Traukinių sąstatų formavimas (išformavimas), traukinių techninė apžiūra jų stovėjimo vietose ir darbai eksploatuojamuose geležinkelio ruožuose, automobilių kelių važiuojamosiose juostose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bCs/>
                            <w:sz w:val="18"/>
                            <w:szCs w:val="18"/>
                          </w:rPr>
                        </w:pPr>
                      </w:p>
                    </w:tc>
                    <w:tc>
                      <w:tcPr>
                        <w:tcW w:w="6548" w:type="dxa"/>
                      </w:tcPr>
                      <w:p>
                        <w:pPr>
                          <w:rPr>
                            <w:sz w:val="18"/>
                            <w:szCs w:val="18"/>
                          </w:rPr>
                        </w:pPr>
                        <w:r>
                          <w:rPr>
                            <w:sz w:val="18"/>
                            <w:szCs w:val="18"/>
                          </w:rPr>
                          <w:t xml:space="preserve">Vadovaujamasi Geležinkelio darbuotojų sveikatos tikrinimo tvarka, patvirtinta Lietuvos Respublikos sveikatos apsaugos ministro 2000 m. gegužės 31 d. įsakymu Nr. 301 „Dėl profilaktinių sveikatos tikrinimų sveikatos priežiūros įstaigose“ (Žin., 2000, Nr. </w:t>
                        </w:r>
                        <w:hyperlink r:id="rId78" w:tgtFrame="_blank" w:history="1">
                          <w:r>
                            <w:rPr>
                              <w:color w:val="0000FF" w:themeColor="hyperlink"/>
                              <w:sz w:val="18"/>
                              <w:szCs w:val="18"/>
                              <w:u w:val="single"/>
                            </w:rPr>
                            <w:t>47-1365</w:t>
                          </w:r>
                        </w:hyperlink>
                        <w:r>
                          <w:rPr>
                            <w:sz w:val="18"/>
                            <w:szCs w:val="18"/>
                          </w:rPr>
                          <w:t xml:space="preserve">; 2005, Nr. </w:t>
                        </w:r>
                        <w:hyperlink r:id="rId79" w:tgtFrame="_blank" w:history="1">
                          <w:r>
                            <w:rPr>
                              <w:color w:val="0000FF" w:themeColor="hyperlink"/>
                              <w:sz w:val="18"/>
                              <w:szCs w:val="18"/>
                              <w:u w:val="single"/>
                            </w:rPr>
                            <w:t>128-4637</w:t>
                          </w:r>
                        </w:hyperlink>
                        <w:r>
                          <w:rPr>
                            <w:sz w:val="18"/>
                            <w:szCs w:val="18"/>
                          </w:rPr>
                          <w:t xml:space="preserve">; 2008, Nr. </w:t>
                        </w:r>
                        <w:hyperlink r:id="rId80"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19. Psichikos ligonių gydymas ir priežiūra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bCs/>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bCs/>
                            <w:sz w:val="18"/>
                            <w:szCs w:val="18"/>
                          </w:rPr>
                        </w:pPr>
                        <w:r>
                          <w:rPr>
                            <w:sz w:val="18"/>
                            <w:szCs w:val="18"/>
                          </w:rPr>
                          <w:t>2. Vestibulinės funkcijos sutrikimai: H81; H82</w:t>
                        </w:r>
                      </w:p>
                    </w:tc>
                  </w:tr>
                  <w:tr>
                    <w:trPr>
                      <w:cantSplit/>
                      <w:trHeight w:val="20"/>
                    </w:trPr>
                    <w:tc>
                      <w:tcPr>
                        <w:tcW w:w="2470" w:type="dxa"/>
                      </w:tcPr>
                      <w:p>
                        <w:pPr>
                          <w:rPr>
                            <w:sz w:val="18"/>
                            <w:szCs w:val="18"/>
                          </w:rPr>
                        </w:pPr>
                        <w:r>
                          <w:rPr>
                            <w:sz w:val="18"/>
                            <w:szCs w:val="18"/>
                          </w:rPr>
                          <w:t>20. Valstybinių veterinarijos inspektorių pareigų vykdymas, veterinarijos gydytojų bei felčerių paslaugos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Oftalmologas, </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sz w:val="18"/>
                            <w:szCs w:val="18"/>
                          </w:rPr>
                        </w:pPr>
                        <w:r>
                          <w:rPr>
                            <w:sz w:val="18"/>
                            <w:szCs w:val="18"/>
                          </w:rPr>
                          <w:t>2. Aklumas H53.0</w:t>
                        </w:r>
                      </w:p>
                    </w:tc>
                  </w:tr>
                  <w:tr>
                    <w:trPr>
                      <w:cantSplit/>
                      <w:trHeight w:val="20"/>
                    </w:trPr>
                    <w:tc>
                      <w:tcPr>
                        <w:tcW w:w="2470" w:type="dxa"/>
                      </w:tcPr>
                      <w:p>
                        <w:pPr>
                          <w:rPr>
                            <w:sz w:val="18"/>
                            <w:szCs w:val="18"/>
                          </w:rPr>
                        </w:pPr>
                        <w:r>
                          <w:rPr>
                            <w:sz w:val="18"/>
                            <w:szCs w:val="18"/>
                          </w:rPr>
                          <w:t>21. Potencialiai pavojingų įrenginių montavimo darbai, potencialiai pavojingų įrenginių naudojimas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Regėjimo aštrumo ir regėjimo lauko tyrimas </w:t>
                        </w:r>
                      </w:p>
                      <w:p>
                        <w:pPr>
                          <w:rPr>
                            <w:sz w:val="18"/>
                            <w:szCs w:val="18"/>
                          </w:rPr>
                        </w:pPr>
                        <w:r>
                          <w:rPr>
                            <w:sz w:val="18"/>
                            <w:szCs w:val="18"/>
                          </w:rPr>
                          <w:t xml:space="preserve">vestibulinės funkcijos ištyrimas, esant indikacijų – audiograma </w:t>
                        </w:r>
                      </w:p>
                    </w:tc>
                    <w:tc>
                      <w:tcPr>
                        <w:tcW w:w="6548" w:type="dxa"/>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4. Vestibulinės funkcijos sutrikimai: H81; H82</w:t>
                        </w:r>
                      </w:p>
                      <w:p>
                        <w:pPr>
                          <w:rPr>
                            <w:sz w:val="18"/>
                            <w:szCs w:val="18"/>
                          </w:rPr>
                        </w:pPr>
                        <w:r>
                          <w:rPr>
                            <w:sz w:val="18"/>
                            <w:szCs w:val="18"/>
                          </w:rPr>
                          <w:t xml:space="preserve">5.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 </w:t>
                        </w:r>
                      </w:p>
                      <w:p>
                        <w:pPr>
                          <w:rPr>
                            <w:sz w:val="18"/>
                            <w:szCs w:val="18"/>
                          </w:rPr>
                        </w:pPr>
                        <w:r>
                          <w:rPr>
                            <w:sz w:val="18"/>
                            <w:szCs w:val="18"/>
                          </w:rPr>
                          <w:t>6. Epilepsija G40</w:t>
                        </w:r>
                      </w:p>
                    </w:tc>
                  </w:tr>
                  <w:tr>
                    <w:trPr>
                      <w:cantSplit/>
                      <w:trHeight w:val="20"/>
                    </w:trPr>
                    <w:tc>
                      <w:tcPr>
                        <w:tcW w:w="2470" w:type="dxa"/>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22. Inkasatorių, apsaugos darbuotojų, apsaugininkų, apsaugos vadovų ar budėtojų, saugančių pastatus, patalpas ar kitus objektus, darbas</w:t>
                        </w:r>
                      </w:p>
                    </w:tc>
                    <w:tc>
                      <w:tcPr>
                        <w:tcW w:w="1167" w:type="dxa"/>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1 kartą per 2 metus</w:t>
                        </w:r>
                      </w:p>
                    </w:tc>
                    <w:tc>
                      <w:tcPr>
                        <w:tcW w:w="1571" w:type="dxa"/>
                        <w:tcBorders>
                          <w:top w:val="single" w:sz="4" w:space="0" w:color="auto"/>
                        </w:tcBorders>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Šeimos medicinos paslaugas teikiantys gydytojai arba darbo medicinos gydytojas</w:t>
                        </w:r>
                      </w:p>
                    </w:tc>
                    <w:tc>
                      <w:tcPr>
                        <w:tcW w:w="1397" w:type="dxa"/>
                      </w:tcPr>
                      <w:p>
                        <w:pPr>
                          <w:rPr>
                            <w:sz w:val="18"/>
                            <w:szCs w:val="18"/>
                            <w:lang w:eastAsia="lt-LT"/>
                          </w:rPr>
                        </w:pPr>
                        <w:r>
                          <w:rPr>
                            <w:sz w:val="18"/>
                            <w:szCs w:val="18"/>
                            <w:lang w:eastAsia="lt-LT"/>
                          </w:rPr>
                          <w:t>Oftalmologas,</w:t>
                        </w:r>
                      </w:p>
                      <w:p>
                        <w:pPr>
                          <w:rPr>
                            <w:sz w:val="18"/>
                            <w:szCs w:val="18"/>
                            <w:lang w:eastAsia="lt-LT"/>
                          </w:rPr>
                        </w:pPr>
                        <w:r>
                          <w:rPr>
                            <w:sz w:val="18"/>
                            <w:szCs w:val="18"/>
                            <w:lang w:eastAsia="lt-LT"/>
                          </w:rPr>
                          <w:t>neurologas,</w:t>
                        </w:r>
                      </w:p>
                      <w:p>
                        <w:pPr>
                          <w:rPr>
                            <w:sz w:val="18"/>
                            <w:szCs w:val="18"/>
                            <w:lang w:eastAsia="lt-LT"/>
                          </w:rPr>
                        </w:pPr>
                        <w:r>
                          <w:rPr>
                            <w:sz w:val="18"/>
                            <w:szCs w:val="18"/>
                            <w:lang w:eastAsia="lt-LT"/>
                          </w:rPr>
                          <w:t>otorinolaringologas,</w:t>
                        </w:r>
                      </w:p>
                      <w:p>
                        <w:pPr>
                          <w:rPr>
                            <w:sz w:val="18"/>
                            <w:szCs w:val="18"/>
                            <w:lang w:eastAsia="lt-LT"/>
                          </w:rPr>
                        </w:pPr>
                        <w:r>
                          <w:rPr>
                            <w:sz w:val="18"/>
                            <w:szCs w:val="18"/>
                            <w:lang w:eastAsia="lt-LT"/>
                          </w:rPr>
                          <w:t xml:space="preserve">psichiatras, </w:t>
                        </w:r>
                      </w:p>
                      <w:p>
                        <w:pPr>
                          <w:rPr>
                            <w:sz w:val="18"/>
                            <w:szCs w:val="18"/>
                          </w:rPr>
                        </w:pPr>
                        <w:r>
                          <w:rPr>
                            <w:sz w:val="18"/>
                            <w:szCs w:val="18"/>
                            <w:lang w:eastAsia="lt-LT"/>
                          </w:rPr>
                          <w:t>esant indikacijų – kitų profesinių kvalifikacijų gydytojai</w:t>
                        </w:r>
                      </w:p>
                    </w:tc>
                    <w:tc>
                      <w:tcPr>
                        <w:tcW w:w="1587" w:type="dxa"/>
                        <w:gridSpan w:val="2"/>
                      </w:tcPr>
                      <w:p>
                        <w:pPr>
                          <w:rPr>
                            <w:sz w:val="18"/>
                            <w:szCs w:val="18"/>
                            <w:lang w:eastAsia="lt-LT"/>
                          </w:rPr>
                        </w:pPr>
                        <w:r>
                          <w:rPr>
                            <w:sz w:val="18"/>
                            <w:szCs w:val="18"/>
                            <w:lang w:eastAsia="lt-LT"/>
                          </w:rPr>
                          <w:t xml:space="preserve">Regėjimo aštrumo, refrakcijos, </w:t>
                        </w:r>
                      </w:p>
                      <w:p>
                        <w:pPr>
                          <w:rPr>
                            <w:sz w:val="18"/>
                            <w:szCs w:val="18"/>
                            <w:lang w:eastAsia="lt-LT"/>
                          </w:rPr>
                        </w:pPr>
                        <w:r>
                          <w:rPr>
                            <w:sz w:val="18"/>
                            <w:szCs w:val="18"/>
                            <w:lang w:eastAsia="lt-LT"/>
                          </w:rPr>
                          <w:t xml:space="preserve">vestibulinės funkcijos ištyrimas, </w:t>
                        </w:r>
                      </w:p>
                      <w:p>
                        <w:pPr>
                          <w:rPr>
                            <w:sz w:val="18"/>
                            <w:szCs w:val="18"/>
                          </w:rPr>
                        </w:pPr>
                        <w:r>
                          <w:rPr>
                            <w:sz w:val="18"/>
                            <w:szCs w:val="18"/>
                            <w:lang w:eastAsia="lt-LT"/>
                          </w:rPr>
                          <w:t>esant indikacijų – audiograma</w:t>
                        </w:r>
                      </w:p>
                    </w:tc>
                    <w:tc>
                      <w:tcPr>
                        <w:tcW w:w="6548" w:type="dxa"/>
                      </w:tcPr>
                      <w:p>
                        <w:pPr>
                          <w:rPr>
                            <w:sz w:val="18"/>
                            <w:szCs w:val="18"/>
                            <w:lang w:eastAsia="lt-LT"/>
                          </w:rPr>
                        </w:pPr>
                        <w:r>
                          <w:rPr>
                            <w:sz w:val="18"/>
                            <w:szCs w:val="18"/>
                            <w:lang w:eastAsia="lt-LT"/>
                          </w:rPr>
                          <w:t>1. Regėjimas su korekcija silpnesnis nei 0,8 viena ir 0,5 – kita akimi.</w:t>
                        </w:r>
                      </w:p>
                      <w:p>
                        <w:pPr>
                          <w:rPr>
                            <w:sz w:val="18"/>
                            <w:szCs w:val="18"/>
                            <w:lang w:eastAsia="lt-LT"/>
                          </w:rPr>
                        </w:pPr>
                        <w:r>
                          <w:rPr>
                            <w:sz w:val="18"/>
                            <w:szCs w:val="18"/>
                            <w:lang w:eastAsia="lt-LT"/>
                          </w:rPr>
                          <w:t>2. Refrakcijos anomalijos: trumparegiškumas</w:t>
                        </w:r>
                      </w:p>
                      <w:p>
                        <w:pPr>
                          <w:rPr>
                            <w:sz w:val="18"/>
                            <w:szCs w:val="18"/>
                            <w:lang w:eastAsia="lt-LT"/>
                          </w:rPr>
                        </w:pPr>
                        <w:r>
                          <w:rPr>
                            <w:sz w:val="18"/>
                            <w:szCs w:val="18"/>
                            <w:lang w:eastAsia="lt-LT"/>
                          </w:rPr>
                          <w:t>(daugiau kaip 4,0D), progresuojantis trumparegiškumas su pakitimais akių dugne, hipermetropija – daugiau kaip 4,0D, hipermetropinis astigmatizmas – daugiau kaip 1,0D, miopinis astigmatizmas – daugiau kaip 1D.</w:t>
                        </w:r>
                      </w:p>
                      <w:p>
                        <w:pPr>
                          <w:rPr>
                            <w:sz w:val="18"/>
                            <w:szCs w:val="18"/>
                            <w:lang w:eastAsia="lt-LT"/>
                          </w:rPr>
                        </w:pPr>
                        <w:r>
                          <w:rPr>
                            <w:sz w:val="18"/>
                            <w:szCs w:val="18"/>
                            <w:lang w:eastAsia="lt-LT"/>
                          </w:rPr>
                          <w:t>3. Vestibulinės funkcijos sutrikimai: H81; H82.</w:t>
                        </w:r>
                      </w:p>
                      <w:p>
                        <w:pPr>
                          <w:ind w:left="33" w:hanging="33"/>
                          <w:rPr>
                            <w:sz w:val="18"/>
                            <w:szCs w:val="18"/>
                            <w:lang w:eastAsia="lt-LT"/>
                          </w:rPr>
                        </w:pPr>
                        <w:r>
                          <w:rPr>
                            <w:sz w:val="18"/>
                            <w:szCs w:val="18"/>
                            <w:lang w:eastAsia="lt-LT"/>
                          </w:rPr>
                          <w:t>4.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lang w:eastAsia="lt-LT"/>
                          </w:rPr>
                        </w:pPr>
                        <w:r>
                          <w:rPr>
                            <w:sz w:val="18"/>
                            <w:szCs w:val="18"/>
                            <w:lang w:eastAsia="lt-LT"/>
                          </w:rPr>
                          <w:t>5. Galūnės, plaštakos, pėdos trūkumas.</w:t>
                        </w:r>
                      </w:p>
                      <w:p>
                        <w:pPr>
                          <w:rPr>
                            <w:sz w:val="18"/>
                            <w:szCs w:val="18"/>
                            <w:lang w:eastAsia="lt-LT"/>
                          </w:rPr>
                        </w:pPr>
                        <w:r>
                          <w:rPr>
                            <w:sz w:val="18"/>
                            <w:szCs w:val="18"/>
                            <w:lang w:eastAsia="lt-LT"/>
                          </w:rPr>
                          <w:t>6. Periferinių kraujagyslių ligos (obliteruojantis endarteritas, Raynaud sindromas, varikozinis venų išsiplėtimas ir kitos): I70-I73.0, I77.6, I83.0, I83.1, I83.2.</w:t>
                        </w:r>
                      </w:p>
                      <w:p>
                        <w:pPr>
                          <w:ind w:left="33" w:hanging="33"/>
                          <w:rPr>
                            <w:sz w:val="18"/>
                            <w:szCs w:val="18"/>
                            <w:lang w:eastAsia="lt-LT"/>
                          </w:rPr>
                        </w:pPr>
                        <w:r>
                          <w:rPr>
                            <w:sz w:val="18"/>
                            <w:szCs w:val="18"/>
                            <w:lang w:eastAsia="lt-LT"/>
                          </w:rPr>
                          <w:t>7. Lėtinės, dažnai paūmėjančios, odos ligos: L23-L24, L50, L53. Individualiu atveju dėl galimybės dirbti sprendžia gydytojas dermatovenerologas.</w:t>
                        </w:r>
                      </w:p>
                      <w:p>
                        <w:pPr>
                          <w:rPr>
                            <w:sz w:val="18"/>
                            <w:szCs w:val="18"/>
                            <w:lang w:eastAsia="lt-LT"/>
                          </w:rPr>
                        </w:pPr>
                        <w:r>
                          <w:rPr>
                            <w:sz w:val="18"/>
                            <w:szCs w:val="18"/>
                            <w:lang w:eastAsia="lt-LT"/>
                          </w:rPr>
                          <w:t>8. Epilepsija: G40.</w:t>
                        </w:r>
                      </w:p>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9. Alkoholizmas, narkomanija, toksikomanija: F10–F19. Individualiu atveju dėl galimybės dirbti sprendžia gydytojas psichiatras.</w:t>
                        </w:r>
                      </w:p>
                    </w:tc>
                  </w:tr>
                  <w:tr>
                    <w:trPr>
                      <w:cantSplit/>
                      <w:trHeight w:val="20"/>
                    </w:trPr>
                    <w:tc>
                      <w:tcPr>
                        <w:tcW w:w="2470" w:type="dxa"/>
                      </w:tcPr>
                      <w:p>
                        <w:pPr>
                          <w:rPr>
                            <w:strike/>
                            <w:sz w:val="18"/>
                            <w:szCs w:val="18"/>
                          </w:rPr>
                        </w:pPr>
                        <w:r>
                          <w:rPr>
                            <w:sz w:val="18"/>
                            <w:szCs w:val="18"/>
                          </w:rPr>
                          <w:t>23. Gaisrų gesinimas, gelbėjimo darbai pramoninių ir transporto avarijų vietose, gaivalinių nelaimių padarinių, cheminių ir radiacinių incidentų likvidavimas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kitų profesinių kvalifikacijų gydytojai</w:t>
                        </w:r>
                      </w:p>
                    </w:tc>
                    <w:tc>
                      <w:tcPr>
                        <w:tcW w:w="1587" w:type="dxa"/>
                        <w:gridSpan w:val="2"/>
                      </w:tcPr>
                      <w:p>
                        <w:pPr>
                          <w:ind w:left="-5" w:right="-108"/>
                          <w:rPr>
                            <w:sz w:val="18"/>
                            <w:szCs w:val="18"/>
                          </w:rPr>
                        </w:pPr>
                        <w:r>
                          <w:rPr>
                            <w:sz w:val="18"/>
                            <w:szCs w:val="18"/>
                          </w:rPr>
                          <w:t>Regėjimo aštrumo,</w:t>
                        </w:r>
                      </w:p>
                      <w:p>
                        <w:pPr>
                          <w:ind w:left="-5" w:right="-108"/>
                          <w:rPr>
                            <w:sz w:val="18"/>
                            <w:szCs w:val="18"/>
                          </w:rPr>
                        </w:pPr>
                        <w:r>
                          <w:rPr>
                            <w:sz w:val="18"/>
                            <w:szCs w:val="18"/>
                          </w:rPr>
                          <w:t>akipločio,</w:t>
                        </w:r>
                      </w:p>
                      <w:p>
                        <w:pPr>
                          <w:ind w:left="-5" w:right="-108"/>
                          <w:rPr>
                            <w:sz w:val="18"/>
                            <w:szCs w:val="18"/>
                          </w:rPr>
                        </w:pPr>
                        <w:r>
                          <w:rPr>
                            <w:sz w:val="18"/>
                            <w:szCs w:val="18"/>
                          </w:rPr>
                          <w:t xml:space="preserve">vestibulinės funkcijos ištyrimas, </w:t>
                        </w:r>
                      </w:p>
                      <w:p>
                        <w:pPr>
                          <w:ind w:left="-5" w:right="-108"/>
                          <w:rPr>
                            <w:sz w:val="18"/>
                            <w:szCs w:val="18"/>
                          </w:rPr>
                        </w:pPr>
                        <w:r>
                          <w:rPr>
                            <w:sz w:val="18"/>
                            <w:szCs w:val="18"/>
                          </w:rPr>
                          <w:t>KLR1,</w:t>
                        </w:r>
                      </w:p>
                      <w:p>
                        <w:pPr>
                          <w:ind w:left="-5" w:right="-108"/>
                          <w:rPr>
                            <w:sz w:val="18"/>
                            <w:szCs w:val="18"/>
                          </w:rPr>
                        </w:pPr>
                        <w:r>
                          <w:rPr>
                            <w:sz w:val="18"/>
                            <w:szCs w:val="18"/>
                          </w:rPr>
                          <w:t>EKG1,</w:t>
                        </w:r>
                      </w:p>
                      <w:p>
                        <w:pPr>
                          <w:ind w:left="-5" w:right="-108"/>
                          <w:rPr>
                            <w:sz w:val="18"/>
                            <w:szCs w:val="18"/>
                          </w:rPr>
                        </w:pPr>
                        <w:r>
                          <w:rPr>
                            <w:sz w:val="18"/>
                            <w:szCs w:val="18"/>
                          </w:rPr>
                          <w:t>esant indikacijų – audiograma</w:t>
                        </w:r>
                      </w:p>
                    </w:tc>
                    <w:tc>
                      <w:tcPr>
                        <w:tcW w:w="6548" w:type="dxa"/>
                      </w:tcPr>
                      <w:p>
                        <w:pPr>
                          <w:rPr>
                            <w:sz w:val="18"/>
                            <w:szCs w:val="18"/>
                          </w:rPr>
                        </w:pPr>
                        <w:r>
                          <w:rPr>
                            <w:sz w:val="18"/>
                            <w:szCs w:val="18"/>
                          </w:rPr>
                          <w:t>1. Regėjimo organų ligos:</w:t>
                        </w:r>
                      </w:p>
                      <w:p>
                        <w:pPr>
                          <w:rPr>
                            <w:sz w:val="18"/>
                            <w:szCs w:val="18"/>
                          </w:rPr>
                        </w:pPr>
                        <w:r>
                          <w:rPr>
                            <w:sz w:val="18"/>
                            <w:szCs w:val="18"/>
                          </w:rPr>
                          <w:t>1.1. Regėjimo aštrumo susilpnėjimas. Regėjimas silpnesnis kaip 0,8 viena ir 0,5 – kita akimi (be korekcijos)</w:t>
                        </w:r>
                      </w:p>
                      <w:p>
                        <w:pPr>
                          <w:rPr>
                            <w:sz w:val="18"/>
                            <w:szCs w:val="18"/>
                          </w:rPr>
                        </w:pPr>
                        <w:r>
                          <w:rPr>
                            <w:sz w:val="18"/>
                            <w:szCs w:val="18"/>
                          </w:rPr>
                          <w:t>1.2. Lėtinės ašarų takų, vokų ligos, organiniai vokų trūkumai H02, H04.2–H04.3</w:t>
                        </w:r>
                      </w:p>
                      <w:p>
                        <w:pPr>
                          <w:rPr>
                            <w:sz w:val="18"/>
                            <w:szCs w:val="18"/>
                          </w:rPr>
                        </w:pPr>
                        <w:r>
                          <w:rPr>
                            <w:sz w:val="18"/>
                            <w:szCs w:val="18"/>
                          </w:rPr>
                          <w:t>1.3. Akipločio defektai. Regėjimo lauko susiaurėjimas daugiau kaip 10</w:t>
                        </w:r>
                        <w:r>
                          <w:rPr>
                            <w:sz w:val="18"/>
                            <w:szCs w:val="18"/>
                            <w:vertAlign w:val="superscript"/>
                          </w:rPr>
                          <w:t xml:space="preserve">0  </w:t>
                        </w:r>
                        <w:r>
                          <w:rPr>
                            <w:sz w:val="18"/>
                            <w:szCs w:val="18"/>
                          </w:rPr>
                          <w:t>H53.4</w:t>
                        </w:r>
                      </w:p>
                      <w:p>
                        <w:pPr>
                          <w:rPr>
                            <w:sz w:val="18"/>
                            <w:szCs w:val="18"/>
                          </w:rPr>
                        </w:pPr>
                        <w:r>
                          <w:rPr>
                            <w:sz w:val="18"/>
                            <w:szCs w:val="18"/>
                          </w:rPr>
                          <w:t>2. Vestibulinės funkcijos sutrikimai H81; H82</w:t>
                        </w:r>
                      </w:p>
                      <w:p>
                        <w:pPr>
                          <w:rPr>
                            <w:sz w:val="18"/>
                            <w:szCs w:val="18"/>
                          </w:rPr>
                        </w:pPr>
                        <w:r>
                          <w:rPr>
                            <w:sz w:val="18"/>
                            <w:szCs w:val="18"/>
                          </w:rPr>
                          <w:t xml:space="preserve">3.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4. Lėtinės periferinės nervų sistemos ligos G62–G64 </w:t>
                        </w:r>
                      </w:p>
                      <w:p>
                        <w:pPr>
                          <w:rPr>
                            <w:sz w:val="18"/>
                            <w:szCs w:val="18"/>
                          </w:rPr>
                        </w:pPr>
                        <w:r>
                          <w:rPr>
                            <w:sz w:val="18"/>
                            <w:szCs w:val="18"/>
                          </w:rPr>
                          <w:t>5. Širdies ir kraujagyslių sistemos ligos (ir esant kompensacijai) I05–I09, I10–I15, I20–I28, I30–I52</w:t>
                        </w:r>
                      </w:p>
                      <w:p>
                        <w:pPr>
                          <w:rPr>
                            <w:sz w:val="18"/>
                            <w:szCs w:val="18"/>
                          </w:rPr>
                        </w:pPr>
                        <w:r>
                          <w:rPr>
                            <w:sz w:val="18"/>
                            <w:szCs w:val="18"/>
                          </w:rPr>
                          <w:t>6. Lėtinės kvėpavimo organų ligos su funkcijos sutrikimu J44–J47, J45, J96.1</w:t>
                        </w:r>
                      </w:p>
                      <w:p>
                        <w:pPr>
                          <w:rPr>
                            <w:sz w:val="18"/>
                            <w:szCs w:val="18"/>
                          </w:rPr>
                        </w:pPr>
                        <w:r>
                          <w:rPr>
                            <w:sz w:val="18"/>
                            <w:szCs w:val="18"/>
                          </w:rPr>
                          <w:t>7. Burnos ertmės ir dantų ligos, dantų nebuvimas, jeigu tai trukdo naudotis kvėpavimo aparatais, uždedamų protezų turėjimas, alveolinė piorėja, stomatitas, periodontitas, apatinio žandikaulio kontraktūra ir ankilozė, artritas K05.1, K05.3, K12</w:t>
                        </w:r>
                      </w:p>
                      <w:p>
                        <w:pPr>
                          <w:rPr>
                            <w:sz w:val="18"/>
                            <w:szCs w:val="18"/>
                          </w:rPr>
                        </w:pPr>
                        <w:r>
                          <w:rPr>
                            <w:sz w:val="18"/>
                            <w:szCs w:val="18"/>
                          </w:rPr>
                          <w:t>8. Krūtinės ląstos deformacija, trikdanti kvėpavimą ir apsunkinanti darbą su dujokauke</w:t>
                        </w:r>
                      </w:p>
                      <w:p>
                        <w:pPr>
                          <w:rPr>
                            <w:sz w:val="18"/>
                            <w:szCs w:val="18"/>
                          </w:rPr>
                        </w:pPr>
                        <w:r>
                          <w:rPr>
                            <w:sz w:val="18"/>
                            <w:szCs w:val="18"/>
                          </w:rPr>
                          <w:t>9. Gerybiniai navikai, trukdantys dirbti su dujokauke</w:t>
                        </w:r>
                      </w:p>
                      <w:p>
                        <w:pPr>
                          <w:rPr>
                            <w:sz w:val="18"/>
                            <w:szCs w:val="18"/>
                          </w:rPr>
                        </w:pPr>
                        <w:r>
                          <w:rPr>
                            <w:sz w:val="18"/>
                            <w:szCs w:val="18"/>
                          </w:rPr>
                          <w:t>10. Visų rūšių išvaržos K40–K46</w:t>
                        </w:r>
                      </w:p>
                      <w:p>
                        <w:pPr>
                          <w:rPr>
                            <w:sz w:val="18"/>
                            <w:szCs w:val="18"/>
                          </w:rPr>
                        </w:pPr>
                        <w:r>
                          <w:rPr>
                            <w:sz w:val="18"/>
                            <w:szCs w:val="18"/>
                          </w:rPr>
                          <w:t>11. Obliteruojantis endarteritas, kojų venų varikozinis išsiplėtimas, trofinės opos, tromboflebitas, hemorojus I70, I77.6, I83.0, I83.1, I83.2. I84</w:t>
                        </w:r>
                      </w:p>
                      <w:p>
                        <w:pPr>
                          <w:rPr>
                            <w:sz w:val="18"/>
                            <w:szCs w:val="18"/>
                          </w:rPr>
                        </w:pPr>
                        <w:r>
                          <w:rPr>
                            <w:sz w:val="18"/>
                            <w:szCs w:val="18"/>
                          </w:rPr>
                          <w:t>12. Nosies polipai, pertvaros iškrypimai, žymiai trikdantys kvėpavimą pro nosį J33; J34,2</w:t>
                        </w:r>
                      </w:p>
                      <w:p>
                        <w:pPr>
                          <w:rPr>
                            <w:sz w:val="18"/>
                            <w:szCs w:val="18"/>
                          </w:rPr>
                        </w:pPr>
                        <w:r>
                          <w:rPr>
                            <w:sz w:val="18"/>
                            <w:szCs w:val="18"/>
                          </w:rPr>
                          <w:t>13. Išplitę viršutinių kvėpavimo takų atrofiniai ar hipertrofiniai pakitimai J30; J31; J37; J38; J39</w:t>
                        </w:r>
                      </w:p>
                      <w:p>
                        <w:pPr>
                          <w:rPr>
                            <w:sz w:val="18"/>
                            <w:szCs w:val="18"/>
                          </w:rPr>
                        </w:pPr>
                        <w:r>
                          <w:rPr>
                            <w:sz w:val="18"/>
                            <w:szCs w:val="18"/>
                          </w:rPr>
                          <w:t>14. Cukrinis diabetas E10–E14</w:t>
                        </w:r>
                      </w:p>
                      <w:p>
                        <w:pPr>
                          <w:rPr>
                            <w:sz w:val="18"/>
                            <w:szCs w:val="18"/>
                          </w:rPr>
                        </w:pPr>
                        <w:r>
                          <w:rPr>
                            <w:sz w:val="18"/>
                            <w:szCs w:val="18"/>
                          </w:rPr>
                          <w:t>15. Epilepsija G40</w:t>
                        </w:r>
                      </w:p>
                    </w:tc>
                  </w:tr>
                  <w:tr>
                    <w:trPr>
                      <w:cantSplit/>
                      <w:trHeight w:val="20"/>
                    </w:trPr>
                    <w:tc>
                      <w:tcPr>
                        <w:tcW w:w="2470" w:type="dxa"/>
                      </w:tcPr>
                      <w:p>
                        <w:pPr>
                          <w:rPr>
                            <w:sz w:val="18"/>
                            <w:szCs w:val="18"/>
                          </w:rPr>
                        </w:pPr>
                        <w:r>
                          <w:rPr>
                            <w:sz w:val="18"/>
                            <w:szCs w:val="18"/>
                          </w:rPr>
                          <w:t>24. Savivaldybių seniūnijų, savivaldybių administracijos vaiko teisių apsaugos, socialinės paramos padalinių darbuotojų, socialinių paslaugų įstaigų socialinių darbuotojų, socialinių pedagogų, socialinių darbuotojų padėjėjų, dirbančių su socialinės rizikos šeimomis, socialinės rizikos asmenimis ar asmenimis, turinčiais psichinių sutrikimų, darbas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rPr>
                            <w:sz w:val="18"/>
                            <w:szCs w:val="18"/>
                          </w:rPr>
                        </w:pPr>
                        <w:r>
                          <w:rPr>
                            <w:sz w:val="18"/>
                            <w:szCs w:val="18"/>
                          </w:rPr>
                          <w:t>Tyrimai ir konsultacijos – atliekama vadovaujantis Darbuotojų, kuriems leidžiama dirbti tik iš anksto pasitikrinusiems ir vėliau periodiškai besitikrinantiems, ar neserga užkrečiamosiomis ligomis, sveikatos tikrinimosi tvarka, patvirtinta Lietuvos Respublikos Vyriausybės 2002 m. liepos 16 d. nutarimu Nr. 1145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tc>
                  </w:tr>
                  <w:tr>
                    <w:trPr>
                      <w:cantSplit/>
                      <w:trHeight w:val="20"/>
                    </w:trPr>
                    <w:tc>
                      <w:tcPr>
                        <w:tcW w:w="2470" w:type="dxa"/>
                      </w:tcPr>
                      <w:p>
                        <w:pPr>
                          <w:rPr>
                            <w:sz w:val="18"/>
                            <w:szCs w:val="18"/>
                          </w:rPr>
                        </w:pPr>
                        <w:r>
                          <w:rPr>
                            <w:sz w:val="18"/>
                            <w:szCs w:val="18"/>
                          </w:rPr>
                          <w:t>25. Kiti darbai, atliekami pavojingų darbų atlikimo vietose (zonose), išskyrus nurodytus 22 punkte.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888"/>
                          <w:rPr>
                            <w:sz w:val="18"/>
                            <w:szCs w:val="18"/>
                          </w:rPr>
                        </w:pPr>
                        <w:r>
                          <w:rPr>
                            <w:sz w:val="18"/>
                            <w:szCs w:val="18"/>
                          </w:rPr>
                          <w:t>Pagal konkrečius profesines rizikos veiksnius</w:t>
                        </w:r>
                      </w:p>
                    </w:tc>
                  </w:tr>
                </w:tbl>
                <w:p>
                  <w:pPr>
                    <w:jc w:val="center"/>
                    <w:rPr>
                      <w:b/>
                      <w:sz w:val="20"/>
                    </w:rPr>
                  </w:pPr>
                </w:p>
                <w:p>
                  <w:pPr>
                    <w:jc w:val="center"/>
                    <w:rPr>
                      <w:b/>
                      <w:sz w:val="20"/>
                    </w:rPr>
                  </w:pPr>
                  <w:r>
                    <w:rPr>
                      <w:b/>
                      <w:sz w:val="20"/>
                    </w:rPr>
                    <w:t>_________________</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06cda0e0df11e89acab3ff12d77081">
                    <w:r w:rsidRPr="00532B9F">
                      <w:rPr>
                        <w:rFonts w:ascii="Times New Roman" w:eastAsia="MS Mincho" w:hAnsi="Times New Roman"/>
                        <w:sz w:val="20"/>
                        <w:i/>
                        <w:iCs/>
                        <w:color w:val="0000FF" w:themeColor="hyperlink"/>
                        <w:u w:val="single"/>
                      </w:rPr>
                      <w:t>V-1210</w:t>
                    </w:r>
                  </w:fldSimple>
                  <w:r>
                    <w:rPr>
                      <w:rFonts w:ascii="Times New Roman" w:eastAsia="MS Mincho" w:hAnsi="Times New Roman"/>
                      <w:sz w:val="20"/>
                      <w:i/>
                      <w:iCs/>
                    </w:rPr>
                    <w:t>,
2018-11-02,
paskelbta TAR 2018-11-05, i. k. 2018-17813            </w:t>
                  </w:r>
                </w:p>
                <w:p/>
              </w:sdtContent>
            </w:sdt>
            <w:sdt>
              <w:sdtPr>
                <w:alias w:val="lentele"/>
                <w:tag w:val="part_c12415770c504feaa9af4b3be98e5e12"/>
                <w:lock w:val="sdtLocked"/>
                <w:richText/>
              </w:sdtPr>
              <w:sdtContent>
                <w:p>
                  <w:pPr>
                    <w:jc w:val="center"/>
                    <w:rPr>
                      <w:b/>
                      <w:sz w:val="20"/>
                    </w:rPr>
                  </w:pPr>
                </w:p>
                <w:p>
                  <w:pPr>
                    <w:jc w:val="center"/>
                    <w:rPr>
                      <w:b/>
                      <w:sz w:val="2"/>
                      <w:szCs w:val="2"/>
                    </w:rPr>
                  </w:pPr>
                  <w:r>
                    <w:rPr>
                      <w:b/>
                      <w:sz w:val="20"/>
                    </w:rPr>
                    <w:br w:type="page"/>
                  </w:r>
                </w:p>
                <w:p>
                  <w:pPr>
                    <w:jc w:val="right"/>
                    <w:rPr>
                      <w:sz w:val="20"/>
                    </w:rPr>
                  </w:pPr>
                  <w:r>
                    <w:rPr>
                      <w:sz w:val="20"/>
                    </w:rPr>
                    <w:t>2 lentelė</w:t>
                  </w:r>
                </w:p>
                <w:p>
                  <w:pPr>
                    <w:jc w:val="center"/>
                    <w:rPr>
                      <w:sz w:val="20"/>
                    </w:rPr>
                  </w:pPr>
                </w:p>
                <w:p>
                  <w:pPr>
                    <w:jc w:val="center"/>
                    <w:rPr>
                      <w:b/>
                      <w:sz w:val="20"/>
                    </w:rPr>
                  </w:pPr>
                  <w:r>
                    <w:rPr>
                      <w:b/>
                      <w:sz w:val="20"/>
                    </w:rPr>
                    <w:t xml:space="preserve">PRIVALOMŲ SVEIKATOS TIKRINIMŲ TVARKA PRIIMANT Į DARBĄ IR (AR) DIRBANT KENKSMINGŲ RIZIKOS VEIKSNIŲ POVEIKYJE </w:t>
                  </w:r>
                </w:p>
                <w:p>
                  <w:pPr>
                    <w:jc w:val="center"/>
                    <w:rPr>
                      <w:b/>
                      <w:sz w:val="20"/>
                    </w:rPr>
                  </w:pPr>
                  <w:r>
                    <w:rPr>
                      <w:b/>
                      <w:bCs/>
                      <w:sz w:val="20"/>
                    </w:rPr>
                    <w:t>(</w:t>
                  </w:r>
                  <w:r>
                    <w:rPr>
                      <w:b/>
                      <w:sz w:val="20"/>
                    </w:rPr>
                    <w:t>KAI KURIAIS ATVEJAIS – PAKEITUS DARBĄ AR DARBOVIETĘ)</w:t>
                  </w:r>
                </w:p>
                <w:p>
                  <w:pPr>
                    <w:jc w:val="center"/>
                    <w:rPr>
                      <w:b/>
                      <w:sz w:val="20"/>
                    </w:rPr>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9"/>
                    <w:gridCol w:w="1644"/>
                    <w:gridCol w:w="1402"/>
                    <w:gridCol w:w="1877"/>
                    <w:gridCol w:w="217"/>
                    <w:gridCol w:w="1948"/>
                    <w:gridCol w:w="2726"/>
                    <w:gridCol w:w="2437"/>
                  </w:tblGrid>
                  <w:tr>
                    <w:tc>
                      <w:tcPr>
                        <w:tcW w:w="2456" w:type="dxa"/>
                        <w:gridSpan w:val="2"/>
                        <w:vMerge w:val="restart"/>
                      </w:tcPr>
                      <w:p>
                        <w:pPr>
                          <w:jc w:val="center"/>
                          <w:rPr>
                            <w:strike/>
                            <w:sz w:val="18"/>
                            <w:szCs w:val="18"/>
                          </w:rPr>
                        </w:pPr>
                        <w:r>
                          <w:rPr>
                            <w:sz w:val="18"/>
                            <w:szCs w:val="18"/>
                          </w:rPr>
                          <w:t>Kenksmingi rizikos veiksniai ir medžiagos</w:t>
                        </w:r>
                      </w:p>
                    </w:tc>
                    <w:tc>
                      <w:tcPr>
                        <w:tcW w:w="1644" w:type="dxa"/>
                        <w:vMerge w:val="restart"/>
                      </w:tcPr>
                      <w:p>
                        <w:pPr>
                          <w:jc w:val="center"/>
                          <w:outlineLvl w:val="4"/>
                          <w:rPr>
                            <w:rFonts w:eastAsia="MS Mincho"/>
                            <w:bCs/>
                            <w:iCs/>
                            <w:sz w:val="18"/>
                            <w:szCs w:val="18"/>
                          </w:rPr>
                        </w:pPr>
                        <w:r>
                          <w:rPr>
                            <w:rFonts w:eastAsia="MS Mincho"/>
                            <w:bCs/>
                            <w:iCs/>
                            <w:sz w:val="18"/>
                            <w:szCs w:val="18"/>
                          </w:rPr>
                          <w:t>Darbo pobūdis</w:t>
                        </w:r>
                      </w:p>
                    </w:tc>
                    <w:tc>
                      <w:tcPr>
                        <w:tcW w:w="1402" w:type="dxa"/>
                        <w:vMerge w:val="restart"/>
                      </w:tcPr>
                      <w:p>
                        <w:pPr>
                          <w:jc w:val="center"/>
                          <w:rPr>
                            <w:sz w:val="18"/>
                            <w:szCs w:val="18"/>
                          </w:rPr>
                        </w:pPr>
                        <w:r>
                          <w:rPr>
                            <w:sz w:val="18"/>
                            <w:szCs w:val="18"/>
                          </w:rPr>
                          <w:t>Tikrinimų periodiškumas</w:t>
                        </w:r>
                      </w:p>
                    </w:tc>
                    <w:tc>
                      <w:tcPr>
                        <w:tcW w:w="4042" w:type="dxa"/>
                        <w:gridSpan w:val="3"/>
                      </w:tcPr>
                      <w:p>
                        <w:pPr>
                          <w:keepNext/>
                          <w:jc w:val="center"/>
                          <w:outlineLvl w:val="3"/>
                          <w:rPr>
                            <w:sz w:val="18"/>
                            <w:szCs w:val="18"/>
                          </w:rPr>
                        </w:pPr>
                        <w:r>
                          <w:rPr>
                            <w:sz w:val="18"/>
                            <w:szCs w:val="18"/>
                          </w:rPr>
                          <w:t>Sveikatos tikrintojai</w:t>
                        </w:r>
                      </w:p>
                    </w:tc>
                    <w:tc>
                      <w:tcPr>
                        <w:tcW w:w="2726" w:type="dxa"/>
                        <w:vMerge w:val="restart"/>
                      </w:tcPr>
                      <w:p>
                        <w:pPr>
                          <w:jc w:val="center"/>
                          <w:rPr>
                            <w:sz w:val="18"/>
                            <w:szCs w:val="18"/>
                          </w:rPr>
                        </w:pPr>
                        <w:r>
                          <w:rPr>
                            <w:sz w:val="18"/>
                            <w:szCs w:val="18"/>
                          </w:rPr>
                          <w:t>Privalomi tyrimai</w:t>
                        </w:r>
                      </w:p>
                    </w:tc>
                    <w:tc>
                      <w:tcPr>
                        <w:tcW w:w="2437" w:type="dxa"/>
                        <w:vMerge w:val="restart"/>
                      </w:tcPr>
                      <w:p>
                        <w:pPr>
                          <w:jc w:val="center"/>
                          <w:rPr>
                            <w:sz w:val="18"/>
                            <w:szCs w:val="18"/>
                          </w:rPr>
                        </w:pPr>
                        <w:r>
                          <w:rPr>
                            <w:sz w:val="18"/>
                            <w:szCs w:val="18"/>
                          </w:rPr>
                          <w:t>Papildomos kontraindikacijos</w:t>
                        </w:r>
                      </w:p>
                    </w:tc>
                  </w:tr>
                  <w:tr>
                    <w:tc>
                      <w:tcPr>
                        <w:tcW w:w="2456" w:type="dxa"/>
                        <w:gridSpan w:val="2"/>
                        <w:vMerge/>
                      </w:tcPr>
                      <w:p>
                        <w:pPr>
                          <w:rPr>
                            <w:sz w:val="18"/>
                            <w:szCs w:val="18"/>
                          </w:rPr>
                        </w:pPr>
                      </w:p>
                    </w:tc>
                    <w:tc>
                      <w:tcPr>
                        <w:tcW w:w="1644" w:type="dxa"/>
                        <w:vMerge/>
                      </w:tcPr>
                      <w:p>
                        <w:pPr>
                          <w:rPr>
                            <w:sz w:val="18"/>
                            <w:szCs w:val="18"/>
                          </w:rPr>
                        </w:pPr>
                      </w:p>
                    </w:tc>
                    <w:tc>
                      <w:tcPr>
                        <w:tcW w:w="1402" w:type="dxa"/>
                        <w:vMerge/>
                      </w:tcPr>
                      <w:p>
                        <w:pPr>
                          <w:jc w:val="center"/>
                          <w:rPr>
                            <w:sz w:val="18"/>
                            <w:szCs w:val="18"/>
                          </w:rPr>
                        </w:pPr>
                      </w:p>
                    </w:tc>
                    <w:tc>
                      <w:tcPr>
                        <w:tcW w:w="2094" w:type="dxa"/>
                        <w:gridSpan w:val="2"/>
                      </w:tcPr>
                      <w:p>
                        <w:pPr>
                          <w:jc w:val="center"/>
                          <w:rPr>
                            <w:sz w:val="18"/>
                            <w:szCs w:val="18"/>
                          </w:rPr>
                        </w:pPr>
                        <w:r>
                          <w:rPr>
                            <w:sz w:val="18"/>
                            <w:szCs w:val="18"/>
                          </w:rPr>
                          <w:t>Pirminio lygio</w:t>
                        </w:r>
                      </w:p>
                    </w:tc>
                    <w:tc>
                      <w:tcPr>
                        <w:tcW w:w="1948" w:type="dxa"/>
                      </w:tcPr>
                      <w:p>
                        <w:pPr>
                          <w:jc w:val="center"/>
                          <w:rPr>
                            <w:sz w:val="18"/>
                            <w:szCs w:val="18"/>
                          </w:rPr>
                        </w:pPr>
                        <w:r>
                          <w:rPr>
                            <w:sz w:val="18"/>
                            <w:szCs w:val="18"/>
                          </w:rPr>
                          <w:t>Antrinio lygio</w:t>
                        </w:r>
                      </w:p>
                    </w:tc>
                    <w:tc>
                      <w:tcPr>
                        <w:tcW w:w="2726" w:type="dxa"/>
                        <w:vMerge/>
                      </w:tcPr>
                      <w:p>
                        <w:pPr>
                          <w:rPr>
                            <w:sz w:val="18"/>
                            <w:szCs w:val="18"/>
                          </w:rPr>
                        </w:pPr>
                      </w:p>
                    </w:tc>
                    <w:tc>
                      <w:tcPr>
                        <w:tcW w:w="2437" w:type="dxa"/>
                        <w:vMerge/>
                      </w:tcPr>
                      <w:p>
                        <w:pPr>
                          <w:rPr>
                            <w:sz w:val="18"/>
                            <w:szCs w:val="18"/>
                          </w:rPr>
                        </w:pPr>
                      </w:p>
                    </w:tc>
                  </w:tr>
                  <w:tr>
                    <w:tc>
                      <w:tcPr>
                        <w:tcW w:w="2456" w:type="dxa"/>
                        <w:gridSpan w:val="2"/>
                      </w:tcPr>
                      <w:p>
                        <w:pPr>
                          <w:jc w:val="center"/>
                          <w:rPr>
                            <w:sz w:val="18"/>
                            <w:szCs w:val="18"/>
                          </w:rPr>
                        </w:pPr>
                        <w:r>
                          <w:rPr>
                            <w:sz w:val="18"/>
                            <w:szCs w:val="18"/>
                          </w:rPr>
                          <w:t>1</w:t>
                        </w:r>
                      </w:p>
                    </w:tc>
                    <w:tc>
                      <w:tcPr>
                        <w:tcW w:w="1644" w:type="dxa"/>
                      </w:tcPr>
                      <w:p>
                        <w:pPr>
                          <w:jc w:val="center"/>
                          <w:rPr>
                            <w:sz w:val="18"/>
                            <w:szCs w:val="18"/>
                          </w:rPr>
                        </w:pPr>
                        <w:r>
                          <w:rPr>
                            <w:sz w:val="18"/>
                            <w:szCs w:val="18"/>
                          </w:rPr>
                          <w:t>2</w:t>
                        </w:r>
                      </w:p>
                    </w:tc>
                    <w:tc>
                      <w:tcPr>
                        <w:tcW w:w="1402" w:type="dxa"/>
                      </w:tcPr>
                      <w:p>
                        <w:pPr>
                          <w:jc w:val="center"/>
                          <w:rPr>
                            <w:sz w:val="18"/>
                            <w:szCs w:val="18"/>
                          </w:rPr>
                        </w:pPr>
                        <w:r>
                          <w:rPr>
                            <w:sz w:val="18"/>
                            <w:szCs w:val="18"/>
                          </w:rPr>
                          <w:t>3</w:t>
                        </w:r>
                      </w:p>
                    </w:tc>
                    <w:tc>
                      <w:tcPr>
                        <w:tcW w:w="2094" w:type="dxa"/>
                        <w:gridSpan w:val="2"/>
                      </w:tcPr>
                      <w:p>
                        <w:pPr>
                          <w:jc w:val="center"/>
                          <w:rPr>
                            <w:sz w:val="18"/>
                            <w:szCs w:val="18"/>
                          </w:rPr>
                        </w:pPr>
                        <w:r>
                          <w:rPr>
                            <w:sz w:val="18"/>
                            <w:szCs w:val="18"/>
                          </w:rPr>
                          <w:t>4</w:t>
                        </w:r>
                      </w:p>
                    </w:tc>
                    <w:tc>
                      <w:tcPr>
                        <w:tcW w:w="1948" w:type="dxa"/>
                      </w:tcPr>
                      <w:p>
                        <w:pPr>
                          <w:jc w:val="center"/>
                          <w:rPr>
                            <w:sz w:val="18"/>
                            <w:szCs w:val="18"/>
                          </w:rPr>
                        </w:pPr>
                        <w:r>
                          <w:rPr>
                            <w:sz w:val="18"/>
                            <w:szCs w:val="18"/>
                          </w:rPr>
                          <w:t>5</w:t>
                        </w:r>
                      </w:p>
                    </w:tc>
                    <w:tc>
                      <w:tcPr>
                        <w:tcW w:w="2726" w:type="dxa"/>
                      </w:tcPr>
                      <w:p>
                        <w:pPr>
                          <w:jc w:val="center"/>
                          <w:rPr>
                            <w:sz w:val="18"/>
                            <w:szCs w:val="18"/>
                          </w:rPr>
                        </w:pPr>
                        <w:r>
                          <w:rPr>
                            <w:sz w:val="18"/>
                            <w:szCs w:val="18"/>
                          </w:rPr>
                          <w:t>6</w:t>
                        </w:r>
                      </w:p>
                    </w:tc>
                    <w:tc>
                      <w:tcPr>
                        <w:tcW w:w="2437" w:type="dxa"/>
                      </w:tcPr>
                      <w:p>
                        <w:pPr>
                          <w:jc w:val="center"/>
                          <w:rPr>
                            <w:sz w:val="18"/>
                            <w:szCs w:val="18"/>
                          </w:rPr>
                        </w:pPr>
                        <w:r>
                          <w:rPr>
                            <w:sz w:val="18"/>
                            <w:szCs w:val="18"/>
                          </w:rPr>
                          <w:t>7</w:t>
                        </w:r>
                      </w:p>
                    </w:tc>
                  </w:tr>
                  <w:tr>
                    <w:trPr>
                      <w:trHeight w:val="217"/>
                    </w:trPr>
                    <w:tc>
                      <w:tcPr>
                        <w:tcW w:w="14707" w:type="dxa"/>
                        <w:gridSpan w:val="9"/>
                      </w:tcPr>
                      <w:p>
                        <w:pPr>
                          <w:jc w:val="center"/>
                          <w:rPr>
                            <w:sz w:val="18"/>
                            <w:szCs w:val="18"/>
                          </w:rPr>
                        </w:pPr>
                        <w:r>
                          <w:rPr>
                            <w:sz w:val="18"/>
                            <w:szCs w:val="18"/>
                          </w:rPr>
                          <w:t>1. CHEMINIAI VEIKSNIAI</w:t>
                        </w:r>
                      </w:p>
                    </w:tc>
                  </w:tr>
                  <w:tr>
                    <w:trPr>
                      <w:trHeight w:val="907"/>
                    </w:trPr>
                    <w:tc>
                      <w:tcPr>
                        <w:tcW w:w="2447" w:type="dxa"/>
                        <w:vMerge w:val="restart"/>
                      </w:tcPr>
                      <w:p>
                        <w:pPr>
                          <w:rPr>
                            <w:sz w:val="18"/>
                            <w:szCs w:val="18"/>
                          </w:rPr>
                        </w:pPr>
                        <w:r>
                          <w:rPr>
                            <w:sz w:val="18"/>
                            <w:szCs w:val="18"/>
                          </w:rPr>
                          <w:t xml:space="preserve">1.1. Akrilonitrilas </w:t>
                        </w:r>
                      </w:p>
                      <w:p>
                        <w:pPr>
                          <w:rPr>
                            <w:sz w:val="18"/>
                            <w:szCs w:val="18"/>
                          </w:rPr>
                        </w:pPr>
                        <w:r>
                          <w:rPr>
                            <w:sz w:val="18"/>
                            <w:szCs w:val="18"/>
                          </w:rPr>
                          <w:t>(K, R, O) *</w:t>
                        </w:r>
                      </w:p>
                    </w:tc>
                    <w:tc>
                      <w:tcPr>
                        <w:tcW w:w="1653" w:type="dxa"/>
                        <w:gridSpan w:val="2"/>
                        <w:vMerge w:val="restart"/>
                      </w:tcPr>
                      <w:p>
                        <w:pPr>
                          <w:rPr>
                            <w:sz w:val="18"/>
                            <w:szCs w:val="18"/>
                          </w:rPr>
                        </w:pPr>
                        <w:r>
                          <w:rPr>
                            <w:sz w:val="18"/>
                            <w:szCs w:val="18"/>
                          </w:rPr>
                          <w:t>Naudojimas, procesai, susiję su akrilonitrilo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nefrologas, gastroenterologas, dermatovenerologas, pulmonologas, onkologas radioterapeutas, onkologas chemoterapeutas </w:t>
                        </w:r>
                      </w:p>
                    </w:tc>
                    <w:tc>
                      <w:tcPr>
                        <w:tcW w:w="2726" w:type="dxa"/>
                      </w:tcPr>
                      <w:p>
                        <w:pPr>
                          <w:rPr>
                            <w:sz w:val="18"/>
                            <w:szCs w:val="18"/>
                          </w:rPr>
                        </w:pPr>
                        <w:r>
                          <w:rPr>
                            <w:sz w:val="18"/>
                            <w:szCs w:val="18"/>
                          </w:rPr>
                          <w:t xml:space="preserve">Esant indikacijų – plaučių funkciniai mėginiai, šlapimo nuosėdų mikroskopija, forminių elementų kiekio nustatymas šlapime </w:t>
                        </w: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 xml:space="preserve">1.2. Alifatiniai aminai (etanolaminas, dietanolaminas, metilaminas ir kiti) </w:t>
                        </w:r>
                      </w:p>
                      <w:p>
                        <w:pPr>
                          <w:rPr>
                            <w:sz w:val="18"/>
                            <w:szCs w:val="18"/>
                          </w:rPr>
                        </w:pPr>
                        <w:r>
                          <w:rPr>
                            <w:sz w:val="18"/>
                            <w:szCs w:val="18"/>
                          </w:rPr>
                          <w:t>(O)</w:t>
                        </w:r>
                      </w:p>
                    </w:tc>
                    <w:tc>
                      <w:tcPr>
                        <w:tcW w:w="1653" w:type="dxa"/>
                        <w:gridSpan w:val="2"/>
                        <w:vMerge w:val="restart"/>
                      </w:tcPr>
                      <w:p>
                        <w:pPr>
                          <w:rPr>
                            <w:sz w:val="18"/>
                            <w:szCs w:val="18"/>
                          </w:rPr>
                        </w:pPr>
                        <w:r>
                          <w:rPr>
                            <w:sz w:val="18"/>
                            <w:szCs w:val="18"/>
                          </w:rPr>
                          <w:t>Naudojimas, procesai, susiję su alifatinių aminų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Otorinolaringologas, nefrologas, gastroenterologas, dermatovenerologas, pulmonologas</w:t>
                        </w:r>
                      </w:p>
                    </w:tc>
                    <w:tc>
                      <w:tcPr>
                        <w:tcW w:w="2726" w:type="dxa"/>
                      </w:tcPr>
                      <w:p>
                        <w:pPr>
                          <w:rPr>
                            <w:sz w:val="18"/>
                            <w:szCs w:val="18"/>
                          </w:rPr>
                        </w:pP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1.3. Alifatinių angliavandenilių halogeniniai dariniai (dichloretanas, anglies tetrachloridas, chloroformas) (O, K)</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 psichiatras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Galūnių polineuropatijos G60–G64</w:t>
                        </w:r>
                      </w:p>
                      <w:p>
                        <w:pPr>
                          <w:tabs>
                            <w:tab w:val="num" w:pos="316"/>
                          </w:tabs>
                          <w:rPr>
                            <w:sz w:val="18"/>
                            <w:szCs w:val="18"/>
                          </w:rPr>
                        </w:pPr>
                        <w:r>
                          <w:rPr>
                            <w:sz w:val="18"/>
                            <w:szCs w:val="18"/>
                          </w:rPr>
                          <w:t>2. Lėtinės kepenų ligos K70–K77</w:t>
                        </w:r>
                      </w:p>
                      <w:p>
                        <w:pPr>
                          <w:tabs>
                            <w:tab w:val="left" w:pos="405"/>
                          </w:tabs>
                          <w:rPr>
                            <w:sz w:val="18"/>
                            <w:szCs w:val="18"/>
                          </w:rPr>
                        </w:pPr>
                        <w:r>
                          <w:rPr>
                            <w:sz w:val="18"/>
                            <w:szCs w:val="18"/>
                          </w:rPr>
                          <w:t>3. Lėtinės obstrukcinės plaučių ligos J44–J47 J96.1</w:t>
                        </w:r>
                      </w:p>
                      <w:p>
                        <w:pPr>
                          <w:tabs>
                            <w:tab w:val="num" w:pos="316"/>
                          </w:tabs>
                          <w:rPr>
                            <w:sz w:val="18"/>
                            <w:szCs w:val="18"/>
                          </w:rPr>
                        </w:pPr>
                        <w:r>
                          <w:rPr>
                            <w:sz w:val="18"/>
                            <w:szCs w:val="18"/>
                          </w:rPr>
                          <w:t>4. Lėtinės priekinės akių ligos (vokų, junginės, ragenos) H00–H06, H10–H13, H15–H20</w:t>
                        </w:r>
                      </w:p>
                      <w:p>
                        <w:pPr>
                          <w:tabs>
                            <w:tab w:val="num" w:pos="316"/>
                          </w:tabs>
                          <w:rPr>
                            <w:sz w:val="18"/>
                            <w:szCs w:val="18"/>
                          </w:rPr>
                        </w:pPr>
                        <w:r>
                          <w:rPr>
                            <w:sz w:val="18"/>
                            <w:szCs w:val="18"/>
                          </w:rPr>
                          <w:t>5. Riebioji seborėja, odos folikulinio aparato ligos L00–L08, L10–L14, L21</w:t>
                        </w:r>
                      </w:p>
                      <w:p>
                        <w:pPr>
                          <w:tabs>
                            <w:tab w:val="num" w:pos="316"/>
                          </w:tabs>
                          <w:rPr>
                            <w:sz w:val="18"/>
                            <w:szCs w:val="18"/>
                          </w:rPr>
                        </w:pPr>
                        <w:r>
                          <w:rPr>
                            <w:sz w:val="18"/>
                            <w:szCs w:val="18"/>
                          </w:rPr>
                          <w:t>6. Toksikomanija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–oftalmologas,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 Anglies disulfidas</w:t>
                        </w:r>
                      </w:p>
                      <w:p>
                        <w:pPr>
                          <w:rPr>
                            <w:sz w:val="18"/>
                            <w:szCs w:val="18"/>
                          </w:rPr>
                        </w:pPr>
                        <w:r>
                          <w:rPr>
                            <w:sz w:val="18"/>
                            <w:szCs w:val="18"/>
                          </w:rPr>
                          <w:t>(K, R,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tabs>
                            <w:tab w:val="left" w:pos="286"/>
                          </w:tabs>
                          <w:rPr>
                            <w:sz w:val="18"/>
                            <w:szCs w:val="18"/>
                          </w:rPr>
                        </w:pPr>
                        <w:r>
                          <w:rPr>
                            <w:sz w:val="18"/>
                            <w:szCs w:val="18"/>
                          </w:rPr>
                          <w:t>1. Galūnių polineuropatijos G60–G64</w:t>
                        </w:r>
                      </w:p>
                      <w:p>
                        <w:pPr>
                          <w:tabs>
                            <w:tab w:val="left" w:pos="405"/>
                          </w:tabs>
                          <w:rPr>
                            <w:sz w:val="18"/>
                            <w:szCs w:val="18"/>
                          </w:rPr>
                        </w:pPr>
                        <w:r>
                          <w:rPr>
                            <w:sz w:val="18"/>
                            <w:szCs w:val="18"/>
                          </w:rPr>
                          <w:t xml:space="preserve">2. Lėtinės obstrukcinės plaučių ligos J44–J47 </w:t>
                        </w:r>
                      </w:p>
                      <w:p>
                        <w:pPr>
                          <w:tabs>
                            <w:tab w:val="left" w:pos="286"/>
                          </w:tabs>
                          <w:rPr>
                            <w:sz w:val="18"/>
                            <w:szCs w:val="18"/>
                          </w:rPr>
                        </w:pPr>
                        <w:r>
                          <w:rPr>
                            <w:sz w:val="18"/>
                            <w:szCs w:val="18"/>
                          </w:rPr>
                          <w:t>3. Astma J45</w:t>
                        </w:r>
                      </w:p>
                      <w:p>
                        <w:pPr>
                          <w:tabs>
                            <w:tab w:val="left" w:pos="286"/>
                          </w:tabs>
                          <w:rPr>
                            <w:sz w:val="18"/>
                            <w:szCs w:val="18"/>
                          </w:rPr>
                        </w:pPr>
                        <w:r>
                          <w:rPr>
                            <w:sz w:val="18"/>
                            <w:szCs w:val="18"/>
                          </w:rPr>
                          <w:t>4. Lėtinis kvėpavimo nepakankamumas I–II</w:t>
                          <w:sym w:font="Symbol" w:char="F0B0"/>
                          <w:t xml:space="preserve"> J96.1</w:t>
                        </w:r>
                      </w:p>
                      <w:p>
                        <w:pPr>
                          <w:tabs>
                            <w:tab w:val="left" w:pos="286"/>
                          </w:tabs>
                          <w:rPr>
                            <w:sz w:val="18"/>
                            <w:szCs w:val="18"/>
                          </w:rPr>
                        </w:pPr>
                        <w:r>
                          <w:rPr>
                            <w:sz w:val="18"/>
                            <w:szCs w:val="18"/>
                          </w:rPr>
                          <w:t>5. Lėtinės akių ligos (vokų, junginės, ragenos) H00–H06, H10–H13, H15–H20</w:t>
                        </w:r>
                      </w:p>
                      <w:p>
                        <w:pPr>
                          <w:tabs>
                            <w:tab w:val="left" w:pos="286"/>
                          </w:tabs>
                          <w:rPr>
                            <w:sz w:val="18"/>
                            <w:szCs w:val="18"/>
                          </w:rPr>
                        </w:pPr>
                        <w:r>
                          <w:rPr>
                            <w:sz w:val="18"/>
                            <w:szCs w:val="18"/>
                          </w:rPr>
                          <w:t>6. Lėtinės odos ligos L02, L08, L10–L14, L20–L30, L40, L50–L54</w:t>
                        </w:r>
                      </w:p>
                      <w:p>
                        <w:pPr>
                          <w:tabs>
                            <w:tab w:val="left" w:pos="286"/>
                          </w:tabs>
                          <w:rPr>
                            <w:sz w:val="18"/>
                            <w:szCs w:val="18"/>
                          </w:rPr>
                        </w:pPr>
                        <w:r>
                          <w:rPr>
                            <w:sz w:val="18"/>
                            <w:szCs w:val="18"/>
                          </w:rPr>
                          <w:t>7. Lėtinės kepenų ligos K70–K77</w:t>
                        </w:r>
                      </w:p>
                      <w:p>
                        <w:pPr>
                          <w:tabs>
                            <w:tab w:val="left" w:pos="286"/>
                          </w:tabs>
                          <w:rPr>
                            <w:sz w:val="18"/>
                            <w:szCs w:val="18"/>
                          </w:rPr>
                        </w:pPr>
                        <w:r>
                          <w:rPr>
                            <w:sz w:val="18"/>
                            <w:szCs w:val="18"/>
                          </w:rPr>
                          <w:t>8. Lėtinės inkstų ligos N00–N08, N10–N16, N17–N19, N20–N23</w:t>
                        </w:r>
                      </w:p>
                      <w:p>
                        <w:pPr>
                          <w:tabs>
                            <w:tab w:val="left" w:pos="286"/>
                          </w:tabs>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w:t>
                        </w:r>
                      </w:p>
                      <w:p>
                        <w:pPr>
                          <w:rPr>
                            <w:sz w:val="18"/>
                            <w:szCs w:val="18"/>
                          </w:rPr>
                        </w:pPr>
                        <w:r>
                          <w:rPr>
                            <w:sz w:val="18"/>
                            <w:szCs w:val="18"/>
                          </w:rPr>
                          <w:t>oftalmologas, pulmonologas, gastroenterologas, nefrologas,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 Aromatinių angliavandenilių halogeniniai dariniai (bifenilai, benzilchloridas, chlorbenzenas, </w:t>
                        </w:r>
                      </w:p>
                      <w:p>
                        <w:pPr>
                          <w:rPr>
                            <w:sz w:val="18"/>
                            <w:szCs w:val="18"/>
                          </w:rPr>
                        </w:pPr>
                        <w:r>
                          <w:rPr>
                            <w:sz w:val="18"/>
                            <w:szCs w:val="18"/>
                          </w:rPr>
                          <w:t>halogeniniai benzilai)</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hematologas, dermatovenerologas </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 Aromatinių angliavandenilių nitro dariniai (dinitrofenolis dinitrobenzenas, trinitrotoluenas)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 oftalmologas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Lėtinės kepenų ligos K70–K77</w:t>
                        </w:r>
                      </w:p>
                      <w:p>
                        <w:pPr>
                          <w:rPr>
                            <w:sz w:val="18"/>
                            <w:szCs w:val="18"/>
                          </w:rPr>
                        </w:pPr>
                        <w:r>
                          <w:rPr>
                            <w:sz w:val="18"/>
                            <w:szCs w:val="18"/>
                          </w:rPr>
                          <w:t>3. Katarakta (kontaktuojant su tolueno nitrojunginiais) H25–H26, H28</w:t>
                        </w:r>
                      </w:p>
                      <w:p>
                        <w:pPr>
                          <w:rPr>
                            <w:sz w:val="18"/>
                            <w:szCs w:val="18"/>
                          </w:rPr>
                        </w:pPr>
                        <w:r>
                          <w:rPr>
                            <w:sz w:val="18"/>
                            <w:szCs w:val="18"/>
                          </w:rPr>
                          <w:t>4. Priekinės akies dalies lėtinės ligos (vokų, junginės, ragenos, ašarų takų) H00–H06, H10–H13, H15–H20</w:t>
                        </w:r>
                      </w:p>
                      <w:p>
                        <w:pPr>
                          <w:rPr>
                            <w:sz w:val="18"/>
                            <w:szCs w:val="18"/>
                          </w:rPr>
                        </w:pPr>
                        <w:r>
                          <w:rPr>
                            <w:sz w:val="18"/>
                            <w:szCs w:val="18"/>
                          </w:rPr>
                          <w:t>5. Astma J45</w:t>
                        </w:r>
                      </w:p>
                      <w:p>
                        <w:pPr>
                          <w:rPr>
                            <w:sz w:val="18"/>
                            <w:szCs w:val="18"/>
                          </w:rPr>
                        </w:pPr>
                        <w:r>
                          <w:rPr>
                            <w:sz w:val="18"/>
                            <w:szCs w:val="18"/>
                          </w:rPr>
                          <w:t>6. Lėtinės uždegiminės šlapimo pūslės ligos (dirbant su anilino dažais) N30</w:t>
                        </w:r>
                      </w:p>
                      <w:p>
                        <w:pPr>
                          <w:rPr>
                            <w:sz w:val="18"/>
                            <w:szCs w:val="18"/>
                          </w:rPr>
                        </w:pPr>
                        <w:r>
                          <w:rPr>
                            <w:sz w:val="18"/>
                            <w:szCs w:val="18"/>
                          </w:rPr>
                          <w:t>7. Lėtinės inkstų ligos N00–N08, N10–N16, N17–N19, N20–N23</w:t>
                        </w:r>
                      </w:p>
                      <w:p>
                        <w:pPr>
                          <w:rPr>
                            <w:sz w:val="18"/>
                            <w:szCs w:val="18"/>
                          </w:rPr>
                        </w:pPr>
                        <w:r>
                          <w:rPr>
                            <w:sz w:val="18"/>
                            <w:szCs w:val="18"/>
                          </w:rPr>
                          <w:t>8. Lėtinės odos ligos L02, L08, L10–L14, L20–L30, L40, L50–L54</w:t>
                        </w:r>
                      </w:p>
                      <w:p>
                        <w:pPr>
                          <w:rPr>
                            <w:sz w:val="18"/>
                            <w:szCs w:val="18"/>
                          </w:rPr>
                        </w:pPr>
                        <w:r>
                          <w:rPr>
                            <w:sz w:val="18"/>
                            <w:szCs w:val="18"/>
                          </w:rPr>
                          <w:t>9. Toksikomanija, narkomanija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 gastroenterologas, nefrologas, urologas, dermatovenerologas, hematologas,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1.7. Aromatiniai aminai (benzidinas, fenilendiaminas dianizidinas, toluidinas, naftilaminai) (J)</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Lėtinės šlapimo takų ir inkstų ligos N00–N08, N10–N16, N17–N19, N20–N23, N25–N29</w:t>
                        </w:r>
                      </w:p>
                      <w:p>
                        <w:pPr>
                          <w:rPr>
                            <w:sz w:val="18"/>
                            <w:szCs w:val="18"/>
                          </w:rPr>
                        </w:pPr>
                        <w:r>
                          <w:rPr>
                            <w:sz w:val="18"/>
                            <w:szCs w:val="18"/>
                          </w:rPr>
                          <w:t>2. Lėtinės obstrukcinės plaučių ligos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p>
                        <w:pPr>
                          <w:rPr>
                            <w:sz w:val="18"/>
                            <w:szCs w:val="18"/>
                          </w:rPr>
                        </w:pPr>
                        <w:r>
                          <w:rPr>
                            <w:sz w:val="18"/>
                            <w:szCs w:val="18"/>
                          </w:rPr>
                          <w:t>6. Lėtinės odos ligos L02, L08, L10–L14, L20–L30, L40, L50–L54</w:t>
                        </w:r>
                      </w:p>
                      <w:p>
                        <w:pPr>
                          <w:rPr>
                            <w:sz w:val="18"/>
                            <w:szCs w:val="18"/>
                          </w:rPr>
                        </w:pPr>
                        <w:r>
                          <w:rPr>
                            <w:sz w:val="18"/>
                            <w:szCs w:val="18"/>
                          </w:rPr>
                          <w:t>7. Lėtinės kepenų ligos K70–K77</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–urologas, </w:t>
                        </w:r>
                      </w:p>
                      <w:p>
                        <w:pPr>
                          <w:rPr>
                            <w:sz w:val="18"/>
                            <w:szCs w:val="18"/>
                          </w:rPr>
                        </w:pPr>
                        <w:r>
                          <w:rPr>
                            <w:sz w:val="18"/>
                            <w:szCs w:val="18"/>
                          </w:rPr>
                          <w:t>nefrologas, hematologas, pulmonologas,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1.8. Asbestas ir (ar) asbesto turintys produktai:</w:t>
                        </w:r>
                      </w:p>
                      <w:p>
                        <w:pPr>
                          <w:tabs>
                            <w:tab w:val="left" w:pos="1080"/>
                          </w:tabs>
                          <w:rPr>
                            <w:sz w:val="18"/>
                            <w:szCs w:val="18"/>
                          </w:rPr>
                        </w:pPr>
                        <w:r>
                          <w:rPr>
                            <w:sz w:val="18"/>
                            <w:szCs w:val="18"/>
                          </w:rPr>
                          <w:t>Sąvoka „asbestas“ šiame įsakyme reiškia šiuos pluoštinius silikatus:</w:t>
                        </w:r>
                      </w:p>
                      <w:p>
                        <w:pPr>
                          <w:tabs>
                            <w:tab w:val="left" w:pos="1080"/>
                          </w:tabs>
                          <w:rPr>
                            <w:sz w:val="18"/>
                            <w:szCs w:val="18"/>
                          </w:rPr>
                        </w:pPr>
                        <w:r>
                          <w:rPr>
                            <w:sz w:val="18"/>
                            <w:szCs w:val="18"/>
                          </w:rPr>
                          <w:t>1.8.1. asbesto aktinolitas, CAS Nr. 77536-66-4 (*),</w:t>
                        </w:r>
                      </w:p>
                      <w:p>
                        <w:pPr>
                          <w:tabs>
                            <w:tab w:val="left" w:pos="1080"/>
                          </w:tabs>
                          <w:rPr>
                            <w:sz w:val="18"/>
                            <w:szCs w:val="18"/>
                          </w:rPr>
                        </w:pPr>
                        <w:r>
                          <w:rPr>
                            <w:sz w:val="18"/>
                            <w:szCs w:val="18"/>
                          </w:rPr>
                          <w:t>1.8.2. asbestas griuneritas (amozitas) CAS Nr. 12172-73-5 (*),</w:t>
                        </w:r>
                      </w:p>
                      <w:p>
                        <w:pPr>
                          <w:tabs>
                            <w:tab w:val="left" w:pos="1080"/>
                          </w:tabs>
                          <w:rPr>
                            <w:sz w:val="18"/>
                            <w:szCs w:val="18"/>
                          </w:rPr>
                        </w:pPr>
                        <w:r>
                          <w:rPr>
                            <w:sz w:val="18"/>
                            <w:szCs w:val="18"/>
                          </w:rPr>
                          <w:t>1.8.3. antofilitas, CAS Nr. 77536-67-5 (*),</w:t>
                        </w:r>
                      </w:p>
                      <w:p>
                        <w:pPr>
                          <w:tabs>
                            <w:tab w:val="left" w:pos="1080"/>
                          </w:tabs>
                          <w:rPr>
                            <w:sz w:val="18"/>
                            <w:szCs w:val="18"/>
                          </w:rPr>
                        </w:pPr>
                        <w:r>
                          <w:rPr>
                            <w:sz w:val="18"/>
                            <w:szCs w:val="18"/>
                          </w:rPr>
                          <w:t xml:space="preserve">1.8.4. chrizotilas, CAS Nr. 12001-29-5 (*), </w:t>
                        </w:r>
                      </w:p>
                      <w:p>
                        <w:pPr>
                          <w:tabs>
                            <w:tab w:val="left" w:pos="1080"/>
                          </w:tabs>
                          <w:rPr>
                            <w:sz w:val="18"/>
                            <w:szCs w:val="18"/>
                          </w:rPr>
                        </w:pPr>
                        <w:r>
                          <w:rPr>
                            <w:sz w:val="18"/>
                            <w:szCs w:val="18"/>
                          </w:rPr>
                          <w:t>1.8.5. krokidolitas, CAS Nr. 12001-28-4 (*),</w:t>
                        </w:r>
                      </w:p>
                      <w:p>
                        <w:pPr>
                          <w:tabs>
                            <w:tab w:val="left" w:pos="1080"/>
                          </w:tabs>
                          <w:rPr>
                            <w:sz w:val="18"/>
                            <w:szCs w:val="18"/>
                          </w:rPr>
                        </w:pPr>
                        <w:r>
                          <w:rPr>
                            <w:sz w:val="18"/>
                            <w:szCs w:val="18"/>
                          </w:rPr>
                          <w:t>1.8.6. tremolitas, CAS Nr. 77536-68-6 (*),</w:t>
                        </w:r>
                      </w:p>
                      <w:p>
                        <w:pPr>
                          <w:rPr>
                            <w:sz w:val="18"/>
                            <w:szCs w:val="18"/>
                          </w:rPr>
                        </w:pPr>
                        <w:r>
                          <w:rPr>
                            <w:sz w:val="18"/>
                            <w:szCs w:val="18"/>
                          </w:rPr>
                          <w:t>(*) Cheminių medžiagų santrumpų registravimo tarnybos (CAS) suteikiamas numeris</w:t>
                        </w:r>
                      </w:p>
                    </w:tc>
                    <w:tc>
                      <w:tcPr>
                        <w:tcW w:w="1653" w:type="dxa"/>
                        <w:gridSpan w:val="2"/>
                        <w:vMerge w:val="restart"/>
                      </w:tcPr>
                      <w:p>
                        <w:pPr>
                          <w:rPr>
                            <w:sz w:val="18"/>
                            <w:szCs w:val="18"/>
                          </w:rPr>
                        </w:pPr>
                        <w:r>
                          <w:rPr>
                            <w:sz w:val="18"/>
                            <w:szCs w:val="18"/>
                          </w:rPr>
                          <w:t>Procesai, susiję su asbesto plaušelių išsiskyrimu</w:t>
                        </w:r>
                      </w:p>
                    </w:tc>
                    <w:tc>
                      <w:tcPr>
                        <w:tcW w:w="1402" w:type="dxa"/>
                        <w:vMerge w:val="restart"/>
                      </w:tcPr>
                      <w:p>
                        <w:pPr>
                          <w:rPr>
                            <w:sz w:val="18"/>
                            <w:szCs w:val="18"/>
                          </w:rPr>
                        </w:pPr>
                        <w:r>
                          <w:rPr>
                            <w:sz w:val="18"/>
                            <w:szCs w:val="18"/>
                          </w:rPr>
                          <w:t xml:space="preserve">Ne rečiau kaip 1 kartą per 3 metus. </w:t>
                        </w:r>
                      </w:p>
                      <w:p>
                        <w:pPr>
                          <w:rPr>
                            <w:sz w:val="18"/>
                            <w:szCs w:val="18"/>
                          </w:rPr>
                        </w:pPr>
                        <w:r>
                          <w:rPr>
                            <w:sz w:val="18"/>
                            <w:szCs w:val="18"/>
                          </w:rPr>
                          <w:t>Nebedirbantiems su asbestu, bet galėjusiems patirti jo poveikį praeityje – 1 kartą per 5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pulmonologas</w:t>
                        </w:r>
                      </w:p>
                      <w:p>
                        <w:pPr>
                          <w:rPr>
                            <w:sz w:val="18"/>
                            <w:szCs w:val="18"/>
                          </w:rPr>
                        </w:pPr>
                        <w:r>
                          <w:rPr>
                            <w:sz w:val="18"/>
                            <w:szCs w:val="18"/>
                          </w:rPr>
                          <w:t>(privaloma)</w:t>
                        </w:r>
                      </w:p>
                    </w:tc>
                    <w:tc>
                      <w:tcPr>
                        <w:tcW w:w="2726" w:type="dxa"/>
                      </w:tcPr>
                      <w:p>
                        <w:pPr>
                          <w:rPr>
                            <w:sz w:val="18"/>
                            <w:szCs w:val="18"/>
                          </w:rPr>
                        </w:pPr>
                        <w:r>
                          <w:rPr>
                            <w:sz w:val="18"/>
                            <w:szCs w:val="18"/>
                          </w:rPr>
                          <w:t xml:space="preserve">Pokalbis su asmeniu, </w:t>
                        </w:r>
                      </w:p>
                      <w:p>
                        <w:pPr>
                          <w:rPr>
                            <w:sz w:val="18"/>
                            <w:szCs w:val="18"/>
                          </w:rPr>
                        </w:pPr>
                        <w:r>
                          <w:rPr>
                            <w:sz w:val="18"/>
                            <w:szCs w:val="18"/>
                          </w:rPr>
                          <w:t xml:space="preserve">kraujo tyrimas hematologiniu analizatoriumi (eritrocitai, hemoglobinas, leukocitai, trombocitai), ENG, šlapimo tyrimas  analizatoriumi, krūtinės ląstos klinikinis patikrinimas, IKFT </w:t>
                        </w:r>
                      </w:p>
                    </w:tc>
                    <w:tc>
                      <w:tcPr>
                        <w:tcW w:w="2437" w:type="dxa"/>
                        <w:vMerge w:val="restart"/>
                      </w:tcPr>
                      <w:p>
                        <w:pPr>
                          <w:rPr>
                            <w:sz w:val="18"/>
                            <w:szCs w:val="18"/>
                          </w:rPr>
                        </w:pPr>
                        <w:r>
                          <w:rPr>
                            <w:sz w:val="18"/>
                            <w:szCs w:val="18"/>
                          </w:rPr>
                          <w:t>1. Viršutinių kvėpavimo takų atrofiniai pakitimai. Nosies pertvaros iškrypimas, trukdantis kvėpuoti per nosį J30–J39, J34.2</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priekinės akių dalies ligos (vokų, junginės, ragenos, ašarų takų) H00–H06, H10–H13, H15–H20</w:t>
                        </w:r>
                      </w:p>
                      <w:p>
                        <w:pPr>
                          <w:rPr>
                            <w:sz w:val="18"/>
                            <w:szCs w:val="18"/>
                          </w:rPr>
                        </w:pPr>
                        <w:r>
                          <w:rPr>
                            <w:sz w:val="18"/>
                            <w:szCs w:val="18"/>
                          </w:rPr>
                          <w:t>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oftalmologas, dermatovenerologas, </w:t>
                        </w:r>
                      </w:p>
                      <w:p>
                        <w:pPr>
                          <w:rPr>
                            <w:sz w:val="18"/>
                            <w:szCs w:val="18"/>
                          </w:rPr>
                        </w:pPr>
                        <w:r>
                          <w:rPr>
                            <w:sz w:val="18"/>
                            <w:szCs w:val="18"/>
                          </w:rPr>
                          <w:t>pulmonologas,</w:t>
                        </w:r>
                      </w:p>
                      <w:p>
                        <w:pPr>
                          <w:rPr>
                            <w:sz w:val="18"/>
                            <w:szCs w:val="18"/>
                          </w:rPr>
                        </w:pPr>
                        <w:r>
                          <w:rPr>
                            <w:sz w:val="18"/>
                            <w:szCs w:val="18"/>
                          </w:rPr>
                          <w:t>onkologas radioterapeutas, onkologas chemoterapeutas</w:t>
                        </w:r>
                      </w:p>
                    </w:tc>
                    <w:tc>
                      <w:tcPr>
                        <w:tcW w:w="2726" w:type="dxa"/>
                      </w:tcPr>
                      <w:p>
                        <w:pPr>
                          <w:rPr>
                            <w:sz w:val="18"/>
                            <w:szCs w:val="18"/>
                          </w:rPr>
                        </w:pPr>
                        <w:r>
                          <w:rPr>
                            <w:sz w:val="18"/>
                            <w:szCs w:val="18"/>
                          </w:rPr>
                          <w:t>Esant indikacijų – skreplių citologinis tyrimas arba KLR arba tomodensitometrija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1.9. Arsenas: </w:t>
                        </w:r>
                      </w:p>
                      <w:p>
                        <w:pPr>
                          <w:rPr>
                            <w:sz w:val="18"/>
                            <w:szCs w:val="18"/>
                          </w:rPr>
                        </w:pPr>
                        <w:r>
                          <w:rPr>
                            <w:sz w:val="18"/>
                            <w:szCs w:val="18"/>
                          </w:rPr>
                          <w:t>1.9.1. neorganiniai junginiai (arseno hidridas, arseno sulfidas, arseno oksidas, arseno chloridas, arsenatai);</w:t>
                        </w:r>
                      </w:p>
                      <w:p>
                        <w:pPr>
                          <w:rPr>
                            <w:sz w:val="18"/>
                            <w:szCs w:val="18"/>
                          </w:rPr>
                        </w:pPr>
                        <w:r>
                          <w:rPr>
                            <w:sz w:val="18"/>
                            <w:szCs w:val="18"/>
                          </w:rPr>
                          <w:t>1.9.2. organiniai junginiai (arsenazai ir kt.) (K)</w:t>
                        </w:r>
                      </w:p>
                    </w:tc>
                    <w:tc>
                      <w:tcPr>
                        <w:tcW w:w="1653" w:type="dxa"/>
                        <w:gridSpan w:val="2"/>
                        <w:vMerge w:val="restart"/>
                      </w:tcPr>
                      <w:p>
                        <w:pPr>
                          <w:rPr>
                            <w:sz w:val="18"/>
                            <w:szCs w:val="18"/>
                          </w:rPr>
                        </w:pPr>
                        <w:r>
                          <w:rPr>
                            <w:sz w:val="18"/>
                            <w:szCs w:val="18"/>
                          </w:rPr>
                          <w:t>Naudojimas; procesai, susiję su jo išsiskyrimu</w:t>
                        </w:r>
                      </w:p>
                    </w:tc>
                    <w:tc>
                      <w:tcPr>
                        <w:tcW w:w="1402" w:type="dxa"/>
                        <w:vMerge w:val="restart"/>
                      </w:tcPr>
                      <w:p>
                        <w:pPr>
                          <w:rPr>
                            <w:sz w:val="18"/>
                            <w:szCs w:val="18"/>
                          </w:rPr>
                        </w:pPr>
                        <w:r>
                          <w:rPr>
                            <w:sz w:val="18"/>
                            <w:szCs w:val="18"/>
                          </w:rPr>
                          <w:t>1 kartą per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Galūnių polineuropatijos G60–G64</w:t>
                        </w:r>
                      </w:p>
                      <w:p>
                        <w:pPr>
                          <w:rPr>
                            <w:sz w:val="18"/>
                            <w:szCs w:val="18"/>
                          </w:rPr>
                        </w:pPr>
                        <w:r>
                          <w:rPr>
                            <w:sz w:val="18"/>
                            <w:szCs w:val="18"/>
                          </w:rPr>
                          <w:t>6. Lėtinės odos ligos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Lėtinės inkstų ir šlapimo pūslės ligos  N00–N08, N10–N16, N17–N19, N20–N23,  N30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w:t>
                        </w:r>
                      </w:p>
                      <w:p>
                        <w:pPr>
                          <w:rPr>
                            <w:sz w:val="18"/>
                            <w:szCs w:val="18"/>
                          </w:rPr>
                        </w:pPr>
                        <w:r>
                          <w:rPr>
                            <w:sz w:val="18"/>
                            <w:szCs w:val="18"/>
                          </w:rPr>
                          <w:t>otorinolaringologas, onkologas radioterapeutas, onkologas chemoterapeutas, pulmonologas, dermatovenerologas, gastroenterologas</w:t>
                        </w:r>
                      </w:p>
                    </w:tc>
                    <w:tc>
                      <w:tcPr>
                        <w:tcW w:w="2726"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 xml:space="preserve">1.10. Azodažikliai </w:t>
                        </w:r>
                      </w:p>
                      <w:p>
                        <w:pPr>
                          <w:rPr>
                            <w:sz w:val="18"/>
                            <w:szCs w:val="18"/>
                          </w:rPr>
                        </w:pPr>
                        <w:r>
                          <w:rPr>
                            <w:sz w:val="18"/>
                            <w:szCs w:val="18"/>
                          </w:rPr>
                          <w:t>(antrachinoniniai, ftalocianiliniai)</w:t>
                        </w:r>
                      </w:p>
                    </w:tc>
                    <w:tc>
                      <w:tcPr>
                        <w:tcW w:w="1653" w:type="dxa"/>
                        <w:gridSpan w:val="2"/>
                        <w:vMerge w:val="restart"/>
                      </w:tcPr>
                      <w:p>
                        <w:pPr>
                          <w:rPr>
                            <w:sz w:val="18"/>
                            <w:szCs w:val="18"/>
                          </w:rPr>
                        </w:pPr>
                        <w:r>
                          <w:rPr>
                            <w:sz w:val="18"/>
                            <w:szCs w:val="18"/>
                          </w:rPr>
                          <w:t xml:space="preserve">Naudojimas </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odos ligos L02, L08, L10–L14, L20–L30, L40, L50–L54</w:t>
                        </w:r>
                      </w:p>
                      <w:p>
                        <w:pPr>
                          <w:tabs>
                            <w:tab w:val="num" w:pos="286"/>
                          </w:tabs>
                          <w:rPr>
                            <w:sz w:val="18"/>
                            <w:szCs w:val="18"/>
                          </w:rPr>
                        </w:pPr>
                        <w:r>
                          <w:rPr>
                            <w:sz w:val="18"/>
                            <w:szCs w:val="18"/>
                          </w:rPr>
                          <w:t xml:space="preserve">2. Lėtinės kepenų ligos  K70–K77 </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gastroenterologas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1.11. Azoto rūgštis, amoniakas, azoto oksidai (Ū)</w:t>
                        </w:r>
                      </w:p>
                    </w:tc>
                    <w:tc>
                      <w:tcPr>
                        <w:tcW w:w="1653" w:type="dxa"/>
                        <w:gridSpan w:val="2"/>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1.12. Baris ir jo junginiai (bario karbonatas, bario hidrofosfatas, bario feritas)</w:t>
                        </w:r>
                      </w:p>
                    </w:tc>
                    <w:tc>
                      <w:tcPr>
                        <w:tcW w:w="1653" w:type="dxa"/>
                        <w:gridSpan w:val="2"/>
                        <w:vMerge w:val="restart"/>
                      </w:tcPr>
                      <w:p>
                        <w:pPr>
                          <w:rPr>
                            <w:sz w:val="18"/>
                            <w:szCs w:val="18"/>
                          </w:rPr>
                        </w:pPr>
                        <w:r>
                          <w:rPr>
                            <w:sz w:val="18"/>
                            <w:szCs w:val="18"/>
                          </w:rPr>
                          <w:t>Tirpių ir netirpių bario junginių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EKG</w:t>
                        </w:r>
                      </w:p>
                    </w:tc>
                    <w:tc>
                      <w:tcPr>
                        <w:tcW w:w="2437" w:type="dxa"/>
                        <w:vMerge w:val="restart"/>
                      </w:tcPr>
                      <w:p>
                        <w:pPr>
                          <w:tabs>
                            <w:tab w:val="left" w:pos="286"/>
                          </w:tabs>
                          <w:rPr>
                            <w:sz w:val="18"/>
                            <w:szCs w:val="18"/>
                          </w:rPr>
                        </w:pPr>
                        <w:r>
                          <w:rPr>
                            <w:sz w:val="18"/>
                            <w:szCs w:val="18"/>
                          </w:rPr>
                          <w:t>1. Lėtinės obstrukcinės plaučių ligos J44–J47</w:t>
                        </w:r>
                      </w:p>
                      <w:p>
                        <w:pPr>
                          <w:tabs>
                            <w:tab w:val="left" w:pos="286"/>
                          </w:tabs>
                          <w:rPr>
                            <w:sz w:val="18"/>
                            <w:szCs w:val="18"/>
                          </w:rPr>
                        </w:pPr>
                        <w:r>
                          <w:rPr>
                            <w:sz w:val="18"/>
                            <w:szCs w:val="18"/>
                          </w:rPr>
                          <w:t xml:space="preserve">2. Astma J45 </w:t>
                        </w:r>
                      </w:p>
                      <w:p>
                        <w:pPr>
                          <w:tabs>
                            <w:tab w:val="left" w:pos="286"/>
                          </w:tabs>
                          <w:rPr>
                            <w:sz w:val="18"/>
                            <w:szCs w:val="18"/>
                          </w:rPr>
                        </w:pPr>
                        <w:r>
                          <w:rPr>
                            <w:sz w:val="18"/>
                            <w:szCs w:val="18"/>
                          </w:rPr>
                          <w:t>3. Lėtinis kvėpavimo nepakankamumas I–II</w:t>
                          <w:sym w:font="Symbol" w:char="F0B0"/>
                          <w:t xml:space="preserve"> J96.1</w:t>
                        </w:r>
                      </w:p>
                      <w:p>
                        <w:pPr>
                          <w:tabs>
                            <w:tab w:val="left" w:pos="286"/>
                          </w:tabs>
                          <w:rPr>
                            <w:sz w:val="18"/>
                            <w:szCs w:val="18"/>
                          </w:rPr>
                        </w:pPr>
                        <w:r>
                          <w:rPr>
                            <w:sz w:val="18"/>
                            <w:szCs w:val="18"/>
                          </w:rPr>
                          <w:t>4. Širdies ritmo sutrikimai I47–I49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–pulmonologas, kardiologas</w:t>
                        </w:r>
                      </w:p>
                    </w:tc>
                    <w:tc>
                      <w:tcPr>
                        <w:tcW w:w="2726" w:type="dxa"/>
                      </w:tcPr>
                      <w:p>
                        <w:pPr>
                          <w:rPr>
                            <w:sz w:val="18"/>
                            <w:szCs w:val="18"/>
                          </w:rPr>
                        </w:pPr>
                        <w:r>
                          <w:rPr>
                            <w:sz w:val="18"/>
                            <w:szCs w:val="18"/>
                          </w:rPr>
                          <w:t>Esant indikacijų –kalis, natris, cholesterolis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1.13. Benzenas </w:t>
                        </w:r>
                      </w:p>
                      <w:p>
                        <w:pPr>
                          <w:rPr>
                            <w:sz w:val="18"/>
                            <w:szCs w:val="18"/>
                          </w:rPr>
                        </w:pPr>
                        <w:r>
                          <w:rPr>
                            <w:sz w:val="18"/>
                            <w:szCs w:val="18"/>
                          </w:rPr>
                          <w:t>(K, O) ir jo homologai (ksilenas, toluenas, stirenas, izopropilbenzenas)</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Hematologas,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leukograma, ENG, šlapimo tyrimas analizatoriumi, </w:t>
                        </w:r>
                      </w:p>
                    </w:tc>
                    <w:tc>
                      <w:tcPr>
                        <w:tcW w:w="2437" w:type="dxa"/>
                        <w:vMerge w:val="restart"/>
                      </w:tcPr>
                      <w:p>
                        <w:pPr>
                          <w:rPr>
                            <w:sz w:val="18"/>
                            <w:szCs w:val="18"/>
                          </w:rPr>
                        </w:pPr>
                        <w:r>
                          <w:rPr>
                            <w:sz w:val="18"/>
                            <w:szCs w:val="18"/>
                          </w:rPr>
                          <w:t xml:space="preserve">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1.14. 1,2-benzendikarboksirūgštis (ftalio rūgštis, ftalio rūgšties anhidridas (Ū, J)</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1.15. Berilis ir jo junginiai (berilio oksidas, berilio sulfatas, berilio nitratas, berilio chloridas)</w:t>
                        </w:r>
                      </w:p>
                      <w:p>
                        <w:pPr>
                          <w:rPr>
                            <w:sz w:val="18"/>
                            <w:szCs w:val="18"/>
                          </w:rPr>
                        </w:pPr>
                        <w:r>
                          <w:rPr>
                            <w:sz w:val="18"/>
                            <w:szCs w:val="18"/>
                          </w:rPr>
                          <w:t>(J, K)</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p>
                        <w:pPr>
                          <w:rPr>
                            <w:sz w:val="18"/>
                            <w:szCs w:val="18"/>
                          </w:rPr>
                        </w:pPr>
                        <w:r>
                          <w:rPr>
                            <w:sz w:val="18"/>
                            <w:szCs w:val="18"/>
                          </w:rPr>
                          <w:t>5. Viršutinių kvėpavimo takų atrofiniai pakitimai. Hipertrofinis laringitas J30–J31, J37–J39</w:t>
                        </w:r>
                      </w:p>
                      <w:p>
                        <w:pPr>
                          <w:rPr>
                            <w:sz w:val="18"/>
                            <w:szCs w:val="18"/>
                          </w:rPr>
                        </w:pPr>
                        <w:r>
                          <w:rPr>
                            <w:sz w:val="18"/>
                            <w:szCs w:val="18"/>
                          </w:rPr>
                          <w:t>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w:t>
                        </w:r>
                      </w:p>
                      <w:p>
                        <w:pPr>
                          <w:rPr>
                            <w:sz w:val="18"/>
                            <w:szCs w:val="18"/>
                          </w:rPr>
                        </w:pPr>
                        <w:r>
                          <w:rPr>
                            <w:sz w:val="18"/>
                            <w:szCs w:val="18"/>
                          </w:rPr>
                          <w:t>oftalmologas – dirbant su tirpiais berilio junginiais,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1.16. Bromas ir jo junginiai (brombenzenas</w:t>
                        </w:r>
                      </w:p>
                      <w:p>
                        <w:pPr>
                          <w:rPr>
                            <w:sz w:val="18"/>
                            <w:szCs w:val="18"/>
                          </w:rPr>
                        </w:pPr>
                        <w:r>
                          <w:rPr>
                            <w:sz w:val="18"/>
                            <w:szCs w:val="18"/>
                          </w:rPr>
                          <w:t>bromfenolis ir kt.)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odos ligos L02, L08, L10–L14, L20–L30, L40, L50–L54</w:t>
                        </w:r>
                      </w:p>
                      <w:p>
                        <w:pPr>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 dermatovenerologas,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1.17. Chloras ir jo junginiai (chloro vandenilis), chloro turintys mišiniai (chlorbutanas, chlorfenolis ir jo druskos ir kt.)</w:t>
                        </w:r>
                      </w:p>
                      <w:p>
                        <w:pPr>
                          <w:rPr>
                            <w:sz w:val="18"/>
                            <w:szCs w:val="18"/>
                          </w:rPr>
                        </w:pPr>
                        <w:r>
                          <w:rPr>
                            <w:sz w:val="18"/>
                            <w:szCs w:val="18"/>
                          </w:rPr>
                          <w:t>(Ū)</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dermatovenerologas</w:t>
                        </w:r>
                      </w:p>
                    </w:tc>
                    <w:tc>
                      <w:tcPr>
                        <w:tcW w:w="2726"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1.18. Chromas,</w:t>
                        </w:r>
                      </w:p>
                      <w:p>
                        <w:pPr>
                          <w:rPr>
                            <w:sz w:val="18"/>
                            <w:szCs w:val="18"/>
                          </w:rPr>
                        </w:pPr>
                        <w:r>
                          <w:rPr>
                            <w:sz w:val="18"/>
                            <w:szCs w:val="18"/>
                          </w:rPr>
                          <w:t>chromo rūgštis (J, K), jų junginiai ir lydiniai</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iškrypimai ir nosies kvėpavimo funkcijos sutrikimas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onkologas radioterapeutas, onkologas chemoterapeutas, hematologas, dermatovenerologas</w:t>
                        </w:r>
                      </w:p>
                    </w:tc>
                    <w:tc>
                      <w:tcPr>
                        <w:tcW w:w="2726"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1.19. Ciano vandenilio rūgštis ir jos junginiai, cianamidai ir kt. (Ū, O)</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 xml:space="preserve">Neurologas </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p>
                        <w:pPr>
                          <w:rPr>
                            <w:sz w:val="18"/>
                            <w:szCs w:val="18"/>
                          </w:rPr>
                        </w:pPr>
                        <w:r>
                          <w:rPr>
                            <w:sz w:val="18"/>
                            <w:szCs w:val="18"/>
                          </w:rPr>
                          <w:t>5. CNS ligos G00–G09, G10–G13, G30–G32</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1.20. Dibutilftalatas (R)</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3,4-dichloroanilinas (O, J)</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Diizodecilftalatas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1.22. Diizononilftalatas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cantSplit/>
                    </w:trPr>
                    <w:tc>
                      <w:tcPr>
                        <w:tcW w:w="2447" w:type="dxa"/>
                        <w:vMerge w:val="restart"/>
                      </w:tcPr>
                      <w:p>
                        <w:pPr>
                          <w:rPr>
                            <w:sz w:val="18"/>
                            <w:szCs w:val="18"/>
                          </w:rPr>
                        </w:pPr>
                        <w:r>
                          <w:rPr>
                            <w:sz w:val="18"/>
                            <w:szCs w:val="18"/>
                          </w:rPr>
                          <w:t>1.23. Dimetilformamidas, dietilacetamidas ir kt. riebiųjų rūgščių amidai (R,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Neurologas,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odos ligos  L02, L08, L10–L14, L20–L30, L40, L50–L54</w:t>
                        </w:r>
                      </w:p>
                      <w:p>
                        <w:pPr>
                          <w:rPr>
                            <w:sz w:val="18"/>
                            <w:szCs w:val="18"/>
                          </w:rPr>
                        </w:pPr>
                        <w:r>
                          <w:rPr>
                            <w:sz w:val="18"/>
                            <w:szCs w:val="18"/>
                          </w:rPr>
                          <w:t xml:space="preserve">3. Lėtinės kepenų ligos  K70–K77 </w:t>
                        </w:r>
                      </w:p>
                      <w:p>
                        <w:pPr>
                          <w:rPr>
                            <w:sz w:val="18"/>
                            <w:szCs w:val="18"/>
                          </w:rPr>
                        </w:pPr>
                        <w:r>
                          <w:rPr>
                            <w:sz w:val="18"/>
                            <w:szCs w:val="18"/>
                          </w:rPr>
                          <w:t>4. Psichikos ligos F00–F09, F20–F29, F70–F79, F80–F89, F99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1.24. Dirbtinis ir sintetinis pluoštas (J)</w:t>
                        </w:r>
                      </w:p>
                    </w:tc>
                    <w:tc>
                      <w:tcPr>
                        <w:tcW w:w="1653" w:type="dxa"/>
                        <w:gridSpan w:val="2"/>
                        <w:vMerge w:val="restart"/>
                      </w:tcPr>
                      <w:p>
                        <w:pPr>
                          <w:rPr>
                            <w:sz w:val="18"/>
                            <w:szCs w:val="18"/>
                          </w:rPr>
                        </w:pPr>
                        <w:r>
                          <w:rPr>
                            <w:sz w:val="18"/>
                            <w:szCs w:val="18"/>
                          </w:rPr>
                          <w:t>Gamyba, perdirbimas,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neurologas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1.25. Di-C</w:t>
                        </w:r>
                        <w:r>
                          <w:rPr>
                            <w:sz w:val="18"/>
                            <w:szCs w:val="18"/>
                            <w:vertAlign w:val="subscript"/>
                          </w:rPr>
                          <w:t>9–11</w:t>
                        </w:r>
                        <w:r>
                          <w:rPr>
                            <w:sz w:val="18"/>
                            <w:szCs w:val="18"/>
                          </w:rPr>
                          <w:t xml:space="preserve"> šakotieji alkilesteriai, turintys daug C</w:t>
                        </w:r>
                        <w:r>
                          <w:rPr>
                            <w:sz w:val="18"/>
                            <w:szCs w:val="18"/>
                            <w:vertAlign w:val="subscript"/>
                          </w:rPr>
                          <w:t>10</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 </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1.26. Di-C</w:t>
                        </w:r>
                        <w:r>
                          <w:rPr>
                            <w:sz w:val="18"/>
                            <w:szCs w:val="18"/>
                            <w:vertAlign w:val="subscript"/>
                          </w:rPr>
                          <w:t xml:space="preserve">8–10 </w:t>
                        </w:r>
                        <w:r>
                          <w:rPr>
                            <w:sz w:val="18"/>
                            <w:szCs w:val="18"/>
                          </w:rPr>
                          <w:t>šakotieji alkilesteriai, turintys daug C</w:t>
                        </w:r>
                        <w:r>
                          <w:rPr>
                            <w:sz w:val="18"/>
                            <w:szCs w:val="18"/>
                            <w:vertAlign w:val="subscript"/>
                          </w:rPr>
                          <w:t>9</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1.27. Dulkės:</w:t>
                        </w:r>
                      </w:p>
                    </w:tc>
                  </w:tr>
                  <w:tr>
                    <w:trPr>
                      <w:trHeight w:val="142"/>
                    </w:trPr>
                    <w:tc>
                      <w:tcPr>
                        <w:tcW w:w="2447" w:type="dxa"/>
                        <w:vMerge w:val="restart"/>
                      </w:tcPr>
                      <w:p>
                        <w:pPr>
                          <w:rPr>
                            <w:sz w:val="18"/>
                            <w:szCs w:val="18"/>
                          </w:rPr>
                        </w:pPr>
                        <w:r>
                          <w:rPr>
                            <w:sz w:val="18"/>
                            <w:szCs w:val="18"/>
                          </w:rPr>
                          <w:t>1.27.1. abrazyvinės ir turinčios abrazyvinių medžiagų (elektrokorundų, karbido, boro, elboro, silicio ir kt.);</w:t>
                        </w:r>
                      </w:p>
                    </w:tc>
                    <w:tc>
                      <w:tcPr>
                        <w:tcW w:w="1653" w:type="dxa"/>
                        <w:vMerge w:val="restart"/>
                      </w:tcPr>
                      <w:p>
                        <w:pPr>
                          <w:rPr>
                            <w:sz w:val="18"/>
                            <w:szCs w:val="18"/>
                          </w:rPr>
                        </w:pPr>
                        <w:r>
                          <w:rPr>
                            <w:sz w:val="18"/>
                            <w:szCs w:val="18"/>
                          </w:rPr>
                          <w:t>Apdirbimas,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tabs>
                            <w:tab w:val="num" w:pos="286"/>
                          </w:tabs>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1.27.2. anglies (juodųjų suodžių, grafito, kokso, dirbtinių deimantų);</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1.27.3. augalinės ir gyvulinės kilmės (medvilnės, linų, kanapių, vilnos, džiuto, grūdų, tabako, medienos, durpių, popieriaus) (J)</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1.27.4. metalų ir jų lydinių dulkės</w:t>
                        </w:r>
                      </w:p>
                    </w:tc>
                    <w:tc>
                      <w:tcPr>
                        <w:tcW w:w="1653" w:type="dxa"/>
                        <w:vMerge w:val="restart"/>
                      </w:tcPr>
                      <w:p>
                        <w:pPr>
                          <w:rPr>
                            <w:sz w:val="18"/>
                            <w:szCs w:val="18"/>
                          </w:rPr>
                        </w:pPr>
                        <w:r>
                          <w:rPr>
                            <w:sz w:val="18"/>
                            <w:szCs w:val="18"/>
                          </w:rPr>
                          <w:t>Apdirbimas, padengimo procesai naudojant metalų aerozolius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1.27.5. neorganinių liuminoforų, (taip pat su mažiau kaip 5 % kadmio kiekiu)</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1.27.6. turinčios silicio (laisvas ir amorfinis silicio dioksidas)</w:t>
                        </w:r>
                      </w:p>
                    </w:tc>
                    <w:tc>
                      <w:tcPr>
                        <w:tcW w:w="1653" w:type="dxa"/>
                        <w:vMerge w:val="restart"/>
                      </w:tcPr>
                      <w:p>
                        <w:pPr>
                          <w:rPr>
                            <w:sz w:val="18"/>
                            <w:szCs w:val="18"/>
                          </w:rPr>
                        </w:pPr>
                        <w:r>
                          <w:rPr>
                            <w:sz w:val="18"/>
                            <w:szCs w:val="18"/>
                          </w:rPr>
                          <w:t>Liejimo darbai, paviršių, pastatų valymo smėliu darbai</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1.28. Etilendiamintetraacetatas (J)</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1.29. Farmakologinės priemonės (narkotiniai preparatai, vitaminai, hormonai, antibiotikai, citostatikai)</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psichiatras, otorinolaringologas, neurologas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leukograma,  bendras baltymas kraujo serume, ALT, AST,  šlapimo tyrimas  analizatoriumi, </w:t>
                        </w:r>
                      </w:p>
                      <w:p>
                        <w:pPr>
                          <w:rPr>
                            <w:sz w:val="18"/>
                            <w:szCs w:val="18"/>
                          </w:rPr>
                        </w:pPr>
                        <w:r>
                          <w:rPr>
                            <w:sz w:val="18"/>
                            <w:szCs w:val="18"/>
                          </w:rPr>
                          <w:t>KLR, IKFT</w:t>
                        </w:r>
                      </w:p>
                    </w:tc>
                    <w:tc>
                      <w:tcPr>
                        <w:tcW w:w="2437" w:type="dxa"/>
                        <w:vMerge w:val="restart"/>
                      </w:tcPr>
                      <w:p>
                        <w:pPr>
                          <w:rPr>
                            <w:sz w:val="18"/>
                            <w:szCs w:val="18"/>
                          </w:rPr>
                        </w:pPr>
                        <w:r>
                          <w:rPr>
                            <w:sz w:val="18"/>
                            <w:szCs w:val="18"/>
                          </w:rPr>
                          <w:t>1. Uoslės funkcijos sutrikimas R43.0, R43.1</w:t>
                        </w:r>
                      </w:p>
                      <w:p>
                        <w:pPr>
                          <w:rPr>
                            <w:sz w:val="18"/>
                            <w:szCs w:val="18"/>
                          </w:rPr>
                        </w:pPr>
                        <w:r>
                          <w:rPr>
                            <w:sz w:val="18"/>
                            <w:szCs w:val="18"/>
                          </w:rPr>
                          <w:t>2. Vestibulinės funkcijos sutrikimai, Menjero liga H81, H81.0</w:t>
                        </w:r>
                      </w:p>
                      <w:p>
                        <w:pPr>
                          <w:rPr>
                            <w:sz w:val="18"/>
                            <w:szCs w:val="18"/>
                          </w:rPr>
                        </w:pPr>
                        <w:r>
                          <w:rPr>
                            <w:sz w:val="18"/>
                            <w:szCs w:val="18"/>
                          </w:rPr>
                          <w:t xml:space="preserve">3. Akių ligos (vokų, junginės, ragenos, ašarų takų)  H00–H06, H10–H13, H15–H20</w:t>
                        </w:r>
                      </w:p>
                      <w:p>
                        <w:pPr>
                          <w:rPr>
                            <w:sz w:val="18"/>
                            <w:szCs w:val="18"/>
                          </w:rPr>
                        </w:pPr>
                        <w:r>
                          <w:rPr>
                            <w:sz w:val="18"/>
                            <w:szCs w:val="18"/>
                          </w:rPr>
                          <w:t xml:space="preserve">4. Alkoholizmas, narkomanija, toksikomanija  F10–F19</w:t>
                        </w:r>
                      </w:p>
                      <w:p>
                        <w:pPr>
                          <w:rPr>
                            <w:sz w:val="18"/>
                            <w:szCs w:val="18"/>
                          </w:rPr>
                        </w:pPr>
                        <w:r>
                          <w:rPr>
                            <w:sz w:val="18"/>
                            <w:szCs w:val="18"/>
                          </w:rPr>
                          <w:t>5. Alerginės odos ligos L23</w:t>
                        </w:r>
                      </w:p>
                      <w:p>
                        <w:pPr>
                          <w:rPr>
                            <w:sz w:val="18"/>
                            <w:szCs w:val="18"/>
                          </w:rPr>
                        </w:pPr>
                        <w:r>
                          <w:rPr>
                            <w:sz w:val="18"/>
                            <w:szCs w:val="18"/>
                          </w:rPr>
                          <w:t>6. Lėtinės obstrukcinės plaučių ligos J44–J47</w:t>
                        </w:r>
                      </w:p>
                      <w:p>
                        <w:pPr>
                          <w:rPr>
                            <w:sz w:val="18"/>
                            <w:szCs w:val="18"/>
                          </w:rPr>
                        </w:pPr>
                        <w:r>
                          <w:rPr>
                            <w:sz w:val="18"/>
                            <w:szCs w:val="18"/>
                          </w:rPr>
                          <w:t>7. Astma J45</w:t>
                        </w:r>
                      </w:p>
                      <w:p>
                        <w:pPr>
                          <w:rPr>
                            <w:sz w:val="18"/>
                            <w:szCs w:val="18"/>
                          </w:rPr>
                        </w:pPr>
                        <w:r>
                          <w:rPr>
                            <w:sz w:val="18"/>
                            <w:szCs w:val="18"/>
                          </w:rPr>
                          <w:t>8. Lėtinis kvėpavimo nepakankamumas I–II</w:t>
                          <w:sym w:font="Symbol" w:char="F0B0"/>
                          <w:t xml:space="preserve"> J96.1</w:t>
                        </w:r>
                      </w:p>
                      <w:p>
                        <w:pPr>
                          <w:rPr>
                            <w:sz w:val="18"/>
                            <w:szCs w:val="18"/>
                          </w:rPr>
                        </w:pPr>
                        <w:r>
                          <w:rPr>
                            <w:sz w:val="18"/>
                            <w:szCs w:val="18"/>
                          </w:rPr>
                          <w:t xml:space="preserve">9. Lėtinės kepenų ligos  K70–K77</w:t>
                        </w:r>
                      </w:p>
                      <w:p>
                        <w:pPr>
                          <w:tabs>
                            <w:tab w:val="left" w:pos="225"/>
                          </w:tabs>
                          <w:rPr>
                            <w:sz w:val="18"/>
                            <w:szCs w:val="18"/>
                          </w:rPr>
                        </w:pPr>
                        <w:r>
                          <w:rPr>
                            <w:sz w:val="18"/>
                            <w:szCs w:val="18"/>
                          </w:rPr>
                          <w:t xml:space="preserve">10. Lėtinės inkstų ligos  N00–N08, N10–N16, N17–N19, N20–N23</w:t>
                        </w:r>
                      </w:p>
                      <w:p>
                        <w:pPr>
                          <w:rPr>
                            <w:sz w:val="18"/>
                            <w:szCs w:val="18"/>
                          </w:rPr>
                        </w:pPr>
                        <w:r>
                          <w:rPr>
                            <w:sz w:val="18"/>
                            <w:szCs w:val="18"/>
                          </w:rPr>
                          <w:t>11. Psichikos ligos F00–F09, F20–F29, F70–F79, F80–F89, F99</w:t>
                        </w:r>
                      </w:p>
                      <w:p>
                        <w:pPr>
                          <w:rPr>
                            <w:sz w:val="18"/>
                            <w:szCs w:val="18"/>
                          </w:rPr>
                        </w:pPr>
                        <w:r>
                          <w:rPr>
                            <w:sz w:val="18"/>
                            <w:szCs w:val="18"/>
                          </w:rPr>
                          <w:t xml:space="preserve">12. Kraujo ir kraujodaros organų ligos  D50–D53, D55–D59, D60–D64, D65–D69, D70–D77</w:t>
                        </w:r>
                      </w:p>
                      <w:p>
                        <w:pPr>
                          <w:rPr>
                            <w:sz w:val="18"/>
                            <w:szCs w:val="18"/>
                          </w:rPr>
                        </w:pPr>
                        <w:r>
                          <w:rPr>
                            <w:sz w:val="18"/>
                            <w:szCs w:val="18"/>
                          </w:rPr>
                          <w:t>13. Nėštumas Z32, Z33, Z34, Z35</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pulmonologas, dermatovenerologas, gastroenterologas, nefrologas, hematologas</w:t>
                        </w:r>
                      </w:p>
                    </w:tc>
                    <w:tc>
                      <w:tcPr>
                        <w:tcW w:w="2755" w:type="dxa"/>
                      </w:tcPr>
                      <w:p>
                        <w:pPr>
                          <w:rPr>
                            <w:sz w:val="18"/>
                            <w:szCs w:val="18"/>
                          </w:rPr>
                        </w:pPr>
                        <w:r>
                          <w:rPr>
                            <w:sz w:val="18"/>
                            <w:szCs w:val="18"/>
                          </w:rPr>
                          <w:t>Klinikinis kraujo tyrimas</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1.30. Fenoliai ir jų dariniai (chlorfenoliai, krezoliai, butilfenoliai ir kt.) (O)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Priekinės akių dalies ligos (vokų, junginės, ragenos, ašarų takų)  H00–H06, H10–H13, H15–H20</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1.31. Fluoras ir jo junginiai (vandenilio fluoridas, fluoridai, fluoritai ir kt.) (Ū)</w:t>
                        </w:r>
                      </w:p>
                    </w:tc>
                    <w:tc>
                      <w:tcPr>
                        <w:tcW w:w="1653" w:type="dxa"/>
                        <w:vMerge w:val="restart"/>
                      </w:tcPr>
                      <w:p>
                        <w:pPr>
                          <w:rPr>
                            <w:sz w:val="18"/>
                            <w:szCs w:val="18"/>
                          </w:rPr>
                        </w:pPr>
                        <w:r>
                          <w:rPr>
                            <w:sz w:val="18"/>
                            <w:szCs w:val="18"/>
                          </w:rPr>
                          <w:t>Gamyba, naudojimas, procesai, susiję su jo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Nosies pertvaros iškrypimai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Burnos ertmės ligos (lėtinis gingivitas, stomatitas, parodontitas) K05.1,  K12, K05.3</w:t>
                        </w:r>
                      </w:p>
                      <w:p>
                        <w:pPr>
                          <w:rPr>
                            <w:sz w:val="18"/>
                            <w:szCs w:val="18"/>
                          </w:rPr>
                        </w:pPr>
                        <w:r>
                          <w:rPr>
                            <w:sz w:val="18"/>
                            <w:szCs w:val="18"/>
                          </w:rPr>
                          <w:t xml:space="preserve">7. Lėtinės odos ligos  L02, L08, L10–L14, L20–L30, L40, L50–L54 </w:t>
                        </w:r>
                      </w:p>
                      <w:p>
                        <w:pPr>
                          <w:rPr>
                            <w:sz w:val="18"/>
                            <w:szCs w:val="18"/>
                          </w:rPr>
                        </w:pPr>
                        <w:r>
                          <w:rPr>
                            <w:sz w:val="18"/>
                            <w:szCs w:val="18"/>
                          </w:rPr>
                          <w:t xml:space="preserve">8.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pulmonologas, odontologas,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1.32. Formaldehidas (Ū, J, K) ir kiti alifatiniai aldehidai</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ligos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oftalmologas,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1.33. Fosforas ir jo junginiai (geltonasis fosforas (K), fosforo pentoksidas, fosforo chloroksidas (Ū, O), fosforo trichloridas, fosforo rūgštis, fosfatai ir kt.)</w:t>
                        </w:r>
                      </w:p>
                    </w:tc>
                    <w:tc>
                      <w:tcPr>
                        <w:tcW w:w="1653" w:type="dxa"/>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Galūnių polineuropatijos G60–G64</w:t>
                        </w:r>
                      </w:p>
                      <w:p>
                        <w:pPr>
                          <w:rPr>
                            <w:sz w:val="18"/>
                            <w:szCs w:val="18"/>
                          </w:rPr>
                        </w:pPr>
                        <w:r>
                          <w:rPr>
                            <w:sz w:val="18"/>
                            <w:szCs w:val="18"/>
                          </w:rPr>
                          <w:t xml:space="preserve">7. Lėtinės kepenų ligos  K70–K77  </w:t>
                        </w:r>
                      </w:p>
                      <w:p>
                        <w:pPr>
                          <w:rPr>
                            <w:sz w:val="18"/>
                            <w:szCs w:val="18"/>
                          </w:rPr>
                        </w:pPr>
                        <w:r>
                          <w:rPr>
                            <w:sz w:val="18"/>
                            <w:szCs w:val="18"/>
                          </w:rPr>
                          <w:t xml:space="preserve">8.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neurologas, gastroenterologas,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1.34. Furanas ir jo dariniai (furfurolas, tetrahidrofuranas ir kt.)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Hiperplastinis laringitas  J37.0 </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pageBreakBefore/>
                          <w:rPr>
                            <w:sz w:val="18"/>
                            <w:szCs w:val="18"/>
                          </w:rPr>
                        </w:pPr>
                        <w:r>
                          <w:rPr>
                            <w:sz w:val="18"/>
                            <w:szCs w:val="18"/>
                          </w:rPr>
                          <w:t xml:space="preserve">1.35. Gyvsidabris ir jo junginiai (K, O), gyvsidabrio garai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pageBreakBefore/>
                          <w:rPr>
                            <w:sz w:val="18"/>
                            <w:szCs w:val="18"/>
                          </w:rPr>
                        </w:pPr>
                        <w:r>
                          <w:rPr>
                            <w:sz w:val="18"/>
                            <w:szCs w:val="18"/>
                          </w:rPr>
                          <w:t>Neurologas, odontologas</w:t>
                        </w:r>
                      </w:p>
                      <w:p>
                        <w:pPr>
                          <w:pageBreakBefore/>
                          <w:rPr>
                            <w:sz w:val="18"/>
                            <w:szCs w:val="18"/>
                          </w:rPr>
                        </w:pPr>
                        <w:r>
                          <w:rPr>
                            <w:sz w:val="18"/>
                            <w:szCs w:val="18"/>
                          </w:rPr>
                          <w:t>(privaloma)</w:t>
                        </w:r>
                      </w:p>
                    </w:tc>
                    <w:tc>
                      <w:tcPr>
                        <w:tcW w:w="2755" w:type="dxa"/>
                      </w:tcPr>
                      <w:p>
                        <w:pPr>
                          <w:pageBreakBefore/>
                          <w:rPr>
                            <w:sz w:val="18"/>
                            <w:szCs w:val="18"/>
                          </w:rPr>
                        </w:pPr>
                        <w:r>
                          <w:rPr>
                            <w:sz w:val="18"/>
                            <w:szCs w:val="18"/>
                          </w:rPr>
                          <w:t xml:space="preserve">Kraujo tyrimas hematologiniu analizatoriumi (eritrocitai, hemoglobinas, leukocitai, trombocitai), ENG, šlapimo tyrimas  analizatoriumi, gyvsidabris šlapime </w:t>
                        </w:r>
                      </w:p>
                    </w:tc>
                    <w:tc>
                      <w:tcPr>
                        <w:tcW w:w="2437" w:type="dxa"/>
                        <w:vMerge w:val="restart"/>
                      </w:tcPr>
                      <w:p>
                        <w:pPr>
                          <w:pageBreakBefore/>
                          <w:rPr>
                            <w:sz w:val="18"/>
                            <w:szCs w:val="18"/>
                          </w:rPr>
                        </w:pPr>
                        <w:r>
                          <w:rPr>
                            <w:sz w:val="18"/>
                            <w:szCs w:val="18"/>
                          </w:rPr>
                          <w:t>1. Galūnių polineuropatijos G60–G64</w:t>
                        </w:r>
                      </w:p>
                      <w:p>
                        <w:pPr>
                          <w:pageBreakBefore/>
                          <w:rPr>
                            <w:sz w:val="18"/>
                            <w:szCs w:val="18"/>
                          </w:rPr>
                        </w:pPr>
                        <w:r>
                          <w:rPr>
                            <w:sz w:val="18"/>
                            <w:szCs w:val="18"/>
                          </w:rPr>
                          <w:t xml:space="preserve">2. Žandikaulių ir dantų ligos (lėtinis gingivitas, stomatitas, parodontitas)  K05.1,  K12, K05.3</w:t>
                        </w:r>
                      </w:p>
                      <w:p>
                        <w:pPr>
                          <w:pageBreakBefore/>
                          <w:rPr>
                            <w:sz w:val="18"/>
                            <w:szCs w:val="18"/>
                          </w:rPr>
                        </w:pPr>
                        <w:r>
                          <w:rPr>
                            <w:sz w:val="18"/>
                            <w:szCs w:val="18"/>
                          </w:rPr>
                          <w:t xml:space="preserve">3. Lėtinės odos ligos  L02, L08, L10–L14, L20–L30, L40, L50–L54</w:t>
                        </w:r>
                      </w:p>
                      <w:p>
                        <w:pPr>
                          <w:pageBreakBefore/>
                          <w:rPr>
                            <w:sz w:val="18"/>
                            <w:szCs w:val="18"/>
                          </w:rPr>
                        </w:pPr>
                        <w:r>
                          <w:rPr>
                            <w:sz w:val="18"/>
                            <w:szCs w:val="18"/>
                          </w:rPr>
                          <w:t xml:space="preserve">4. Lėtinės inkstų ligos  N00–N08, N10–N16, N17–N19, N20–N23</w:t>
                        </w:r>
                      </w:p>
                      <w:p>
                        <w:pPr>
                          <w:pageBreakBefore/>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w:t>
                        </w:r>
                      </w:p>
                      <w:p>
                        <w:pPr>
                          <w:rPr>
                            <w:sz w:val="18"/>
                            <w:szCs w:val="18"/>
                          </w:rPr>
                        </w:pPr>
                        <w:r>
                          <w:rPr>
                            <w:sz w:val="18"/>
                            <w:szCs w:val="18"/>
                          </w:rPr>
                          <w:t>nefrologas,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1.36. Hidrazinas ir jo junginiai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kardiologas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 bendras baltymas kraujo serume, ALT, AST, cholesterolis kraujo serume</w:t>
                        </w:r>
                      </w:p>
                    </w:tc>
                    <w:tc>
                      <w:tcPr>
                        <w:tcW w:w="2437" w:type="dxa"/>
                        <w:vMerge w:val="restart"/>
                      </w:tcPr>
                      <w:p>
                        <w:pPr>
                          <w:rPr>
                            <w:sz w:val="18"/>
                            <w:szCs w:val="18"/>
                          </w:rPr>
                        </w:pPr>
                        <w:r>
                          <w:rPr>
                            <w:sz w:val="18"/>
                            <w:szCs w:val="18"/>
                          </w:rPr>
                          <w:t xml:space="preserve">1. Lėtinės kepenų ligos  K70–K77  </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6. Kraujotakos sistemos ligos I00–I99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gastroenterologas,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1.37. Izocianatai</w:t>
                        </w:r>
                      </w:p>
                      <w:p>
                        <w:pPr>
                          <w:rPr>
                            <w:sz w:val="18"/>
                            <w:szCs w:val="18"/>
                          </w:rPr>
                        </w:pPr>
                        <w:r>
                          <w:rPr>
                            <w:sz w:val="18"/>
                            <w:szCs w:val="18"/>
                          </w:rPr>
                          <w:t xml:space="preserve">(Ū J)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p>
                        <w:pPr>
                          <w:rPr>
                            <w:sz w:val="18"/>
                            <w:szCs w:val="18"/>
                          </w:rPr>
                        </w:pPr>
                      </w:p>
                      <w:p>
                        <w:pPr>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1.38. Kadmis ir jo junginiai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su kvėpavimo funkcijos sutrikimu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Gerybinė prostatos hiperplazija N40</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nefrologas, hematologas, onkologas radioterapeutas, onkologas chemoterapeutas </w:t>
                        </w:r>
                      </w:p>
                    </w:tc>
                    <w:tc>
                      <w:tcPr>
                        <w:tcW w:w="2755" w:type="dxa"/>
                      </w:tcPr>
                      <w:p>
                        <w:pPr>
                          <w:rPr>
                            <w:sz w:val="18"/>
                            <w:szCs w:val="18"/>
                          </w:rPr>
                        </w:pPr>
                        <w:r>
                          <w:rPr>
                            <w:sz w:val="18"/>
                            <w:szCs w:val="18"/>
                          </w:rPr>
                          <w:t>Esant indikacijų –leukograma</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1.39. Koksavimo dujos ir kiti koksavimo produktai</w:t>
                        </w:r>
                      </w:p>
                    </w:tc>
                    <w:tc>
                      <w:tcPr>
                        <w:tcW w:w="1653" w:type="dxa"/>
                        <w:vMerge w:val="restart"/>
                      </w:tcPr>
                      <w:p>
                        <w:pPr>
                          <w:rPr>
                            <w:sz w:val="18"/>
                            <w:szCs w:val="18"/>
                          </w:rPr>
                        </w:pPr>
                        <w:r>
                          <w:rPr>
                            <w:sz w:val="18"/>
                            <w:szCs w:val="18"/>
                          </w:rPr>
                          <w:t>Naudojimas, procesai, susiję su jų išsiskyrivmu, asfaltbetoninių dangų paruošimas ir klojimas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hematologas, pulmonologas</w:t>
                        </w:r>
                      </w:p>
                    </w:tc>
                    <w:tc>
                      <w:tcPr>
                        <w:tcW w:w="2755" w:type="dxa"/>
                      </w:tcPr>
                      <w:p>
                        <w:pPr>
                          <w:rPr>
                            <w:sz w:val="18"/>
                            <w:szCs w:val="18"/>
                          </w:rPr>
                        </w:pPr>
                        <w:r>
                          <w:rPr>
                            <w:sz w:val="18"/>
                            <w:szCs w:val="18"/>
                          </w:rPr>
                          <w:t xml:space="preserve">Esant indikacijų – leukograma </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1.40. Litis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Neurologas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Lėtinės odos ligos  L02, L08, L10–L14, L20–L30, L40, L50–L54</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CNS ligos  G00–G09, G10–G13, G30–G32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dermatovenerologas</w:t>
                        </w:r>
                      </w:p>
                    </w:tc>
                    <w:tc>
                      <w:tcPr>
                        <w:tcW w:w="2755" w:type="dxa"/>
                      </w:tcPr>
                      <w:p>
                        <w:pPr>
                          <w:rPr>
                            <w:sz w:val="18"/>
                            <w:szCs w:val="18"/>
                          </w:rPr>
                        </w:pPr>
                        <w:r>
                          <w:rPr>
                            <w:sz w:val="18"/>
                            <w:szCs w:val="18"/>
                          </w:rPr>
                          <w:t>Esant indikacijų –</w:t>
                        </w:r>
                      </w:p>
                      <w:p>
                        <w:pPr>
                          <w:rPr>
                            <w:sz w:val="18"/>
                            <w:szCs w:val="18"/>
                          </w:rPr>
                        </w:pPr>
                        <w:r>
                          <w:rPr>
                            <w:sz w:val="18"/>
                            <w:szCs w:val="18"/>
                          </w:rPr>
                          <w:t>litis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1.41. Manganas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CNS ligos  G00–G09, G10–G13, G30–G32</w:t>
                        </w:r>
                      </w:p>
                      <w:p>
                        <w:pPr>
                          <w:rPr>
                            <w:sz w:val="18"/>
                            <w:szCs w:val="18"/>
                          </w:rPr>
                        </w:pPr>
                        <w:r>
                          <w:rPr>
                            <w:sz w:val="18"/>
                            <w:szCs w:val="18"/>
                          </w:rPr>
                          <w:t xml:space="preserve">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Lėtinės inkstų ligos  N00–N08, N10–N16, N17–N19, N20–N23</w:t>
                        </w:r>
                      </w:p>
                      <w:p>
                        <w:pPr>
                          <w:rPr>
                            <w:sz w:val="18"/>
                            <w:szCs w:val="18"/>
                          </w:rPr>
                        </w:pPr>
                        <w:r>
                          <w:rPr>
                            <w:sz w:val="18"/>
                            <w:szCs w:val="18"/>
                          </w:rPr>
                          <w:t xml:space="preserve">7. Kraujo ir kraujodaros organų ligos  D50–D53, D55–D59, D60–D64, D65–D69, D70–D77</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nefrologas,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1.42. Metalai: (kobaltas (J), vanadis, molibdenas, titanas cirkonis (F), volframas) ir jų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 xml:space="preserve">7. Alerginės odos ligos  L23</w:t>
                        </w:r>
                      </w:p>
                      <w:p>
                        <w:pPr>
                          <w:rPr>
                            <w:sz w:val="18"/>
                            <w:szCs w:val="18"/>
                          </w:rPr>
                        </w:pPr>
                        <w:r>
                          <w:rPr>
                            <w:sz w:val="18"/>
                            <w:szCs w:val="18"/>
                          </w:rPr>
                          <w:t xml:space="preserve">8. Lėtinės kepenų ligos  K70–K77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 onkologas radioterapeutas, onkologas</w:t>
                        </w:r>
                      </w:p>
                      <w:p>
                        <w:pPr>
                          <w:rPr>
                            <w:sz w:val="18"/>
                            <w:szCs w:val="18"/>
                          </w:rPr>
                        </w:pPr>
                        <w:r>
                          <w:rPr>
                            <w:sz w:val="18"/>
                            <w:szCs w:val="18"/>
                          </w:rPr>
                          <w:t>chemoterapeutas,</w:t>
                        </w:r>
                      </w:p>
                      <w:p>
                        <w:pPr>
                          <w:rPr>
                            <w:sz w:val="18"/>
                            <w:szCs w:val="18"/>
                          </w:rPr>
                        </w:pPr>
                        <w:r>
                          <w:rPr>
                            <w:sz w:val="18"/>
                            <w:szCs w:val="18"/>
                          </w:rPr>
                          <w:t>gastroenterologas</w:t>
                        </w:r>
                      </w:p>
                    </w:tc>
                    <w:tc>
                      <w:tcPr>
                        <w:tcW w:w="2755" w:type="dxa"/>
                      </w:tcPr>
                      <w:p>
                        <w:pPr>
                          <w:rPr>
                            <w:sz w:val="18"/>
                            <w:szCs w:val="18"/>
                          </w:rPr>
                        </w:pPr>
                        <w:r>
                          <w:rPr>
                            <w:sz w:val="18"/>
                            <w:szCs w:val="18"/>
                          </w:rPr>
                          <w:t xml:space="preserve">Esant indikacijų – baltymas kraujo serume, ALT, AST,  EKG</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1.43. Metanolis (O)</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Psichiatras, oftalmologas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akių dugno tyrimas</w:t>
                        </w:r>
                      </w:p>
                    </w:tc>
                    <w:tc>
                      <w:tcPr>
                        <w:tcW w:w="2437" w:type="dxa"/>
                        <w:vMerge w:val="restart"/>
                      </w:tcPr>
                      <w:p>
                        <w:pPr>
                          <w:rPr>
                            <w:sz w:val="18"/>
                            <w:szCs w:val="18"/>
                          </w:rPr>
                        </w:pPr>
                        <w:r>
                          <w:rPr>
                            <w:sz w:val="18"/>
                            <w:szCs w:val="18"/>
                          </w:rPr>
                          <w:t>1. Regos nervo ir tinklainės ligos H46–H48, H33–H25</w:t>
                        </w:r>
                      </w:p>
                      <w:p>
                        <w:pPr>
                          <w:tabs>
                            <w:tab w:val="num" w:pos="286"/>
                          </w:tabs>
                          <w:rPr>
                            <w:sz w:val="18"/>
                            <w:szCs w:val="18"/>
                          </w:rPr>
                        </w:pPr>
                        <w:r>
                          <w:rPr>
                            <w:sz w:val="18"/>
                            <w:szCs w:val="18"/>
                          </w:rPr>
                          <w:t xml:space="preserve">2. Alkoholizmas, narkomanija, toksikomanija  F10–F19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1.44. Metilacetatas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p>
                        <w:pPr>
                          <w:rPr>
                            <w:sz w:val="18"/>
                            <w:szCs w:val="18"/>
                          </w:rPr>
                        </w:pPr>
                        <w:r>
                          <w:rPr>
                            <w:sz w:val="18"/>
                            <w:szCs w:val="18"/>
                          </w:rPr>
                          <w:t>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 xml:space="preserve">6.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1.45. Monochloracto rūgštis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dermatovenerologas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1.46. Nafta, naftos perdirbimo produktai, benzinas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 psichiatras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p>
                        <w:pPr>
                          <w:rPr>
                            <w:sz w:val="18"/>
                            <w:szCs w:val="18"/>
                          </w:rPr>
                        </w:pPr>
                        <w:r>
                          <w:rPr>
                            <w:sz w:val="18"/>
                            <w:szCs w:val="18"/>
                          </w:rPr>
                          <w:t>KLR, IKFT</w:t>
                        </w:r>
                      </w:p>
                    </w:tc>
                    <w:tc>
                      <w:tcPr>
                        <w:tcW w:w="2437" w:type="dxa"/>
                        <w:vMerge w:val="restart"/>
                      </w:tcPr>
                      <w:p>
                        <w:pPr>
                          <w:rPr>
                            <w:sz w:val="18"/>
                            <w:szCs w:val="18"/>
                          </w:rPr>
                        </w:pPr>
                        <w:r>
                          <w:rPr>
                            <w:sz w:val="18"/>
                            <w:szCs w:val="18"/>
                          </w:rPr>
                          <w:t>1. Hiperplastinis laringitas J37</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Lėtinės odos ligos,  diskeratozės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Priekinės akių dalies ligos (vokų, junginės, ragenos, ašarų takų)  H00–H06, H10–H13, H15–H20</w:t>
                        </w:r>
                      </w:p>
                      <w:p>
                        <w:pPr>
                          <w:rPr>
                            <w:sz w:val="18"/>
                            <w:szCs w:val="18"/>
                          </w:rPr>
                        </w:pPr>
                        <w:r>
                          <w:rPr>
                            <w:sz w:val="18"/>
                            <w:szCs w:val="18"/>
                          </w:rPr>
                          <w:t>9. Galūnių polineuropatijos G60–G64</w:t>
                        </w:r>
                      </w:p>
                      <w:p>
                        <w:pPr>
                          <w:rPr>
                            <w:sz w:val="18"/>
                            <w:szCs w:val="18"/>
                          </w:rPr>
                        </w:pPr>
                        <w:r>
                          <w:rPr>
                            <w:sz w:val="18"/>
                            <w:szCs w:val="18"/>
                          </w:rPr>
                          <w:t xml:space="preserve">10. Narkomanija, toksikomanija  F10–F19</w:t>
                        </w:r>
                      </w:p>
                      <w:p>
                        <w:pPr>
                          <w:rPr>
                            <w:sz w:val="18"/>
                            <w:szCs w:val="18"/>
                          </w:rPr>
                        </w:pPr>
                        <w:r>
                          <w:rPr>
                            <w:sz w:val="18"/>
                            <w:szCs w:val="18"/>
                          </w:rPr>
                          <w:t xml:space="preserve">11.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pulmonologas, hematologas, nefrologas, dermatovenerologas, </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Esant indikacijų –leukograma, baltymas kraujo serume, ALT, AST</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1.47. Naftalenas (naftalinas), chloruoti naftalenai ir jų junginiai</w:t>
                        </w:r>
                      </w:p>
                      <w:p>
                        <w:pPr>
                          <w:rPr>
                            <w:sz w:val="18"/>
                            <w:szCs w:val="18"/>
                          </w:rPr>
                        </w:pPr>
                        <w:r>
                          <w:rPr>
                            <w:sz w:val="18"/>
                            <w:szCs w:val="18"/>
                          </w:rPr>
                          <w:t xml:space="preserve">(O)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w:t>
                        </w:r>
                      </w:p>
                      <w:p>
                        <w:pPr>
                          <w:rPr>
                            <w:sz w:val="18"/>
                            <w:szCs w:val="18"/>
                          </w:rPr>
                        </w:pPr>
                        <w:r>
                          <w:rPr>
                            <w:sz w:val="18"/>
                            <w:szCs w:val="18"/>
                          </w:rPr>
                          <w:t xml:space="preserve">tyrimas analizatoriumi, </w:t>
                        </w:r>
                      </w:p>
                      <w:p>
                        <w:pPr>
                          <w:rPr>
                            <w:sz w:val="18"/>
                            <w:szCs w:val="18"/>
                          </w:rPr>
                        </w:pPr>
                        <w:r>
                          <w:rPr>
                            <w:sz w:val="18"/>
                            <w:szCs w:val="18"/>
                          </w:rPr>
                          <w:t>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4. Lėtinės inkstų ligos N00–N08, N10–N16, N17–N19, N20–N23</w:t>
                        </w:r>
                      </w:p>
                      <w:p>
                        <w:pPr>
                          <w:rPr>
                            <w:sz w:val="18"/>
                            <w:szCs w:val="18"/>
                          </w:rPr>
                        </w:pPr>
                        <w:r>
                          <w:rPr>
                            <w:sz w:val="18"/>
                            <w:szCs w:val="18"/>
                          </w:rPr>
                          <w:t xml:space="preserve">5. Kraujo ir kraujodaros </w:t>
                        </w:r>
                      </w:p>
                      <w:p>
                        <w:pPr>
                          <w:rPr>
                            <w:sz w:val="18"/>
                            <w:szCs w:val="18"/>
                          </w:rPr>
                        </w:pPr>
                        <w:r>
                          <w:rPr>
                            <w:sz w:val="18"/>
                            <w:szCs w:val="18"/>
                          </w:rPr>
                          <w:t xml:space="preserve">organų ligos  D50–D53, D55–D59, D60–D64, D65–D69, D70–D77</w:t>
                        </w:r>
                      </w:p>
                      <w:p>
                        <w:pPr>
                          <w:rPr>
                            <w:sz w:val="18"/>
                            <w:szCs w:val="18"/>
                          </w:rPr>
                        </w:pPr>
                        <w:r>
                          <w:rPr>
                            <w:sz w:val="18"/>
                            <w:szCs w:val="18"/>
                          </w:rPr>
                          <w:t xml:space="preserve">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 xml:space="preserve">Esant indikacijų – leukograma, baltymas kraujo serume, ALT, AST </w:t>
                        </w: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1.48. ?</w:t>
                        </w:r>
                        <w:r>
                          <w:rPr>
                            <w:vanish/>
                            <w:sz w:val="18"/>
                            <w:szCs w:val="18"/>
                          </w:rPr>
                          <w:t>beta</w:t>
                        </w:r>
                        <w:r>
                          <w:rPr>
                            <w:sz w:val="18"/>
                            <w:szCs w:val="18"/>
                          </w:rPr>
                          <w:t>–naftomis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inkstų ligos N00–N08, N10–N16, N17–N19, N20–N23</w:t>
                        </w:r>
                      </w:p>
                      <w:p>
                        <w:pPr>
                          <w:rPr>
                            <w:sz w:val="18"/>
                            <w:szCs w:val="18"/>
                          </w:rPr>
                        </w:pPr>
                        <w:r>
                          <w:rPr>
                            <w:sz w:val="18"/>
                            <w:szCs w:val="18"/>
                          </w:rPr>
                          <w:t xml:space="preserve">2. Lėtinės odos ligos  L02, L08, L10–L14, L20–L30, L40, L50–L54</w:t>
                        </w:r>
                      </w:p>
                      <w:p>
                        <w:pPr>
                          <w:tabs>
                            <w:tab w:val="num" w:pos="286"/>
                          </w:tabs>
                          <w:rPr>
                            <w:sz w:val="18"/>
                            <w:szCs w:val="18"/>
                          </w:rPr>
                        </w:pP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–nefrologas,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1.49. Nikelis (J) ir jo junginiai (oksidas, karbonatas, chloridas, sulfatas ir kt.) (K, J, R), subsulfidas, karbonilas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w:t>
                        </w:r>
                      </w:p>
                      <w:p>
                        <w:pPr>
                          <w:rPr>
                            <w:sz w:val="18"/>
                            <w:szCs w:val="18"/>
                          </w:rPr>
                        </w:pPr>
                        <w:r>
                          <w:rPr>
                            <w:sz w:val="18"/>
                            <w:szCs w:val="18"/>
                          </w:rPr>
                          <w:t>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4. Lėtinis hiperplastinis rinitas, laringitas J31, J37</w:t>
                        </w:r>
                      </w:p>
                      <w:p>
                        <w:pPr>
                          <w:rPr>
                            <w:sz w:val="18"/>
                            <w:szCs w:val="18"/>
                          </w:rPr>
                        </w:pPr>
                        <w:r>
                          <w:rPr>
                            <w:sz w:val="18"/>
                            <w:szCs w:val="18"/>
                          </w:rPr>
                          <w:t>5. Gerybiniai navikai D10–D36</w:t>
                        </w:r>
                      </w:p>
                      <w:p>
                        <w:pPr>
                          <w:rPr>
                            <w:sz w:val="18"/>
                            <w:szCs w:val="18"/>
                          </w:rPr>
                        </w:pPr>
                        <w:r>
                          <w:rPr>
                            <w:sz w:val="18"/>
                            <w:szCs w:val="18"/>
                          </w:rPr>
                          <w:t xml:space="preserve">6. Kraujo ir kraujodaros organų ligos  D50–D53, D55–D59, D60–D64, D65–D69, D70–D77 </w:t>
                        </w:r>
                      </w:p>
                      <w:p>
                        <w:pPr>
                          <w:rPr>
                            <w:sz w:val="18"/>
                            <w:szCs w:val="18"/>
                          </w:rPr>
                        </w:pPr>
                        <w:r>
                          <w:rPr>
                            <w:sz w:val="18"/>
                            <w:szCs w:val="18"/>
                          </w:rPr>
                          <w:t xml:space="preserve">7.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onkologas radioterapeutas, onkologas chemoterapeutas, pulmonologas, hematologas</w:t>
                        </w:r>
                      </w:p>
                    </w:tc>
                    <w:tc>
                      <w:tcPr>
                        <w:tcW w:w="2755"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1.50. Ozonas (Ū)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1.51. Pentanas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Priekinės akių dalies ligos (vokų, junginės, ragenos, ašarų takų)  H00–H06, H10–H13, H15–H20</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gastroenterologas,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keepNext/>
                          <w:pageBreakBefore/>
                          <w:rPr>
                            <w:sz w:val="18"/>
                            <w:szCs w:val="18"/>
                          </w:rPr>
                        </w:pPr>
                        <w:r>
                          <w:rPr>
                            <w:sz w:val="18"/>
                            <w:szCs w:val="18"/>
                          </w:rPr>
                          <w:t>1.52. Pesticidai</w:t>
                        </w:r>
                      </w:p>
                    </w:tc>
                    <w:tc>
                      <w:tcPr>
                        <w:tcW w:w="1653" w:type="dxa"/>
                        <w:vMerge w:val="restart"/>
                      </w:tcPr>
                      <w:p>
                        <w:pPr>
                          <w:keepNext/>
                          <w:pageBreakBefore/>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keepNext/>
                          <w:pageBreakBefore/>
                          <w:rPr>
                            <w:sz w:val="18"/>
                            <w:szCs w:val="18"/>
                          </w:rPr>
                        </w:pPr>
                      </w:p>
                    </w:tc>
                    <w:tc>
                      <w:tcPr>
                        <w:tcW w:w="2755" w:type="dxa"/>
                      </w:tcPr>
                      <w:p>
                        <w:pPr>
                          <w:keepNext/>
                          <w:pageBreakBefore/>
                          <w:rPr>
                            <w:sz w:val="18"/>
                            <w:szCs w:val="18"/>
                          </w:rPr>
                        </w:pPr>
                        <w:r>
                          <w:rPr>
                            <w:sz w:val="18"/>
                            <w:szCs w:val="18"/>
                          </w:rPr>
                          <w:t xml:space="preserve">Kraujo tyrimas hematologiniu analizatoriumi (eritrocitai, hemoglobinas, leukocitai, trombocitai), ENG, audiograma, </w:t>
                        </w:r>
                      </w:p>
                      <w:p>
                        <w:pPr>
                          <w:keepNext/>
                          <w:pageBreakBefore/>
                          <w:rPr>
                            <w:sz w:val="18"/>
                            <w:szCs w:val="18"/>
                          </w:rPr>
                        </w:pPr>
                        <w:r>
                          <w:rPr>
                            <w:sz w:val="18"/>
                            <w:szCs w:val="18"/>
                          </w:rPr>
                          <w:t>baltymas kraujo serume, ALT, AST</w:t>
                        </w:r>
                      </w:p>
                    </w:tc>
                    <w:tc>
                      <w:tcPr>
                        <w:tcW w:w="2437" w:type="dxa"/>
                        <w:vMerge w:val="restart"/>
                      </w:tcPr>
                      <w:p>
                        <w:pPr>
                          <w:keepNext/>
                          <w:pageBreakBefore/>
                          <w:rPr>
                            <w:sz w:val="18"/>
                            <w:szCs w:val="18"/>
                          </w:rPr>
                        </w:pPr>
                        <w:r>
                          <w:rPr>
                            <w:sz w:val="18"/>
                            <w:szCs w:val="18"/>
                          </w:rPr>
                          <w:t>1. Galūnių polineuropatijos G60–G64</w:t>
                        </w:r>
                      </w:p>
                      <w:p>
                        <w:pPr>
                          <w:keepNext/>
                          <w:pageBreakBefore/>
                          <w:rPr>
                            <w:sz w:val="18"/>
                            <w:szCs w:val="18"/>
                          </w:rPr>
                        </w:pPr>
                        <w:r>
                          <w:rPr>
                            <w:sz w:val="18"/>
                            <w:szCs w:val="18"/>
                          </w:rPr>
                          <w:t xml:space="preserve">2. Lėtinės kepenų ligos  K70–K77  </w:t>
                        </w:r>
                      </w:p>
                      <w:p>
                        <w:pPr>
                          <w:keepNext/>
                          <w:pageBreakBefore/>
                          <w:rPr>
                            <w:sz w:val="18"/>
                            <w:szCs w:val="18"/>
                          </w:rPr>
                        </w:pPr>
                        <w:r>
                          <w:rPr>
                            <w:sz w:val="18"/>
                            <w:szCs w:val="18"/>
                          </w:rPr>
                          <w:t>3. Astma J45</w:t>
                        </w:r>
                      </w:p>
                      <w:p>
                        <w:pPr>
                          <w:keepNext/>
                          <w:pageBreakBefore/>
                          <w:rPr>
                            <w:sz w:val="18"/>
                            <w:szCs w:val="18"/>
                          </w:rPr>
                        </w:pPr>
                        <w:r>
                          <w:rPr>
                            <w:sz w:val="18"/>
                            <w:szCs w:val="18"/>
                          </w:rPr>
                          <w:t xml:space="preserve">4. Viršutinių kvėpavimo takų atrofiniai pakitimai  J30–J31, J37–J39</w:t>
                        </w:r>
                      </w:p>
                      <w:p>
                        <w:pPr>
                          <w:keepNext/>
                          <w:pageBreakBefore/>
                          <w:rPr>
                            <w:sz w:val="18"/>
                            <w:szCs w:val="18"/>
                          </w:rPr>
                        </w:pPr>
                        <w:r>
                          <w:rPr>
                            <w:sz w:val="18"/>
                            <w:szCs w:val="18"/>
                          </w:rPr>
                          <w:t>5. Klausos nervo pažeidimas H80–H83, H94</w:t>
                        </w:r>
                      </w:p>
                      <w:p>
                        <w:pPr>
                          <w:keepNext/>
                          <w:pageBreakBefore/>
                          <w:tabs>
                            <w:tab w:val="num" w:pos="286"/>
                          </w:tabs>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oftalmologas, otorinolaringologas, pulmonologas, gastroenterologas</w:t>
                        </w:r>
                      </w:p>
                    </w:tc>
                    <w:tc>
                      <w:tcPr>
                        <w:tcW w:w="2755" w:type="dxa"/>
                      </w:tcPr>
                      <w:p>
                        <w:pPr>
                          <w:rPr>
                            <w:sz w:val="18"/>
                            <w:szCs w:val="18"/>
                          </w:rPr>
                        </w:pPr>
                        <w:r>
                          <w:rPr>
                            <w:sz w:val="18"/>
                            <w:szCs w:val="18"/>
                          </w:rPr>
                          <w:t>Esant indikacijų – gyvsidabrio nustatymas šlapime arba kraujyje</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1.53. Plastmasės ir sintetinės dervos masės, kurių pagrindas:</w:t>
                        </w:r>
                      </w:p>
                    </w:tc>
                  </w:tr>
                  <w:tr>
                    <w:trPr>
                      <w:trHeight w:val="142"/>
                    </w:trPr>
                    <w:tc>
                      <w:tcPr>
                        <w:tcW w:w="2447" w:type="dxa"/>
                        <w:vMerge w:val="restart"/>
                      </w:tcPr>
                      <w:p>
                        <w:pPr>
                          <w:rPr>
                            <w:sz w:val="18"/>
                            <w:szCs w:val="18"/>
                          </w:rPr>
                        </w:pPr>
                        <w:r>
                          <w:rPr>
                            <w:sz w:val="18"/>
                            <w:szCs w:val="18"/>
                          </w:rPr>
                          <w:t xml:space="preserve">1.53.1. akrilinė ir metakrilinė rūgštys (J) </w:t>
                        </w:r>
                      </w:p>
                    </w:tc>
                    <w:tc>
                      <w:tcPr>
                        <w:tcW w:w="1653" w:type="dxa"/>
                        <w:vMerge w:val="restart"/>
                      </w:tcPr>
                      <w:p>
                        <w:pPr>
                          <w:rPr>
                            <w:sz w:val="18"/>
                            <w:szCs w:val="18"/>
                          </w:rPr>
                        </w:pPr>
                        <w:r>
                          <w:rPr>
                            <w:sz w:val="18"/>
                            <w:szCs w:val="18"/>
                          </w:rPr>
                          <w:t>Polimerų ir kopolimerų gamyba, perdirbimas, emulsijų, lakų, dažų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Viršutinių kvėpavimo takų atrofiniai pakitimai. Hipertrofinis laringitas  J30–J31, J37–J39</w:t>
                        </w:r>
                      </w:p>
                      <w:p>
                        <w:pPr>
                          <w:rPr>
                            <w:sz w:val="18"/>
                            <w:szCs w:val="18"/>
                          </w:rPr>
                        </w:pPr>
                        <w:r>
                          <w:rPr>
                            <w:sz w:val="18"/>
                            <w:szCs w:val="18"/>
                          </w:rPr>
                          <w:t>5. Galūnių polineuropatijos G60–G64</w:t>
                        </w:r>
                      </w:p>
                      <w:p>
                        <w:pPr>
                          <w:rPr>
                            <w:sz w:val="18"/>
                            <w:szCs w:val="18"/>
                          </w:rPr>
                        </w:pPr>
                        <w:r>
                          <w:rPr>
                            <w:sz w:val="18"/>
                            <w:szCs w:val="18"/>
                          </w:rPr>
                          <w:t xml:space="preserve">6. Lėtinės kepenų ligos  K70–K77  </w:t>
                        </w:r>
                      </w:p>
                      <w:p>
                        <w:pPr>
                          <w:rPr>
                            <w:sz w:val="18"/>
                            <w:szCs w:val="18"/>
                          </w:rPr>
                        </w:pPr>
                        <w:r>
                          <w:rPr>
                            <w:sz w:val="18"/>
                            <w:szCs w:val="18"/>
                          </w:rPr>
                          <w:t xml:space="preserve">7. Lėtinės inkstų ligos  N00–N08, N10–N16, N17–N19, N20–N23</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otorinolaringologas, pulmonologas, gastroenterologas, dermatovenerologas,</w:t>
                        </w:r>
                      </w:p>
                      <w:p>
                        <w:pPr>
                          <w:rPr>
                            <w:sz w:val="18"/>
                            <w:szCs w:val="18"/>
                          </w:rPr>
                        </w:pPr>
                        <w:r>
                          <w:rPr>
                            <w:sz w:val="18"/>
                            <w:szCs w:val="18"/>
                          </w:rPr>
                          <w:t>nefrologas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1.53.2. alifatiniai neprisotintieji angliavandeniliai (etilenas, propilenas ir kt.) </w:t>
                        </w:r>
                      </w:p>
                    </w:tc>
                    <w:tc>
                      <w:tcPr>
                        <w:tcW w:w="1653" w:type="dxa"/>
                        <w:vMerge w:val="restart"/>
                      </w:tcPr>
                      <w:p>
                        <w:pPr>
                          <w:rPr>
                            <w:sz w:val="18"/>
                            <w:szCs w:val="18"/>
                          </w:rPr>
                        </w:pPr>
                        <w:r>
                          <w:rPr>
                            <w:sz w:val="18"/>
                            <w:szCs w:val="18"/>
                          </w:rPr>
                          <w:t>Polimerų ir kopolimerų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pacing w:val="-6"/>
                            <w:sz w:val="18"/>
                            <w:szCs w:val="18"/>
                          </w:rPr>
                        </w:pPr>
                        <w:r>
                          <w:rPr>
                            <w:spacing w:val="-6"/>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tabs>
                            <w:tab w:val="num" w:pos="286"/>
                          </w:tabs>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gastroenterologas, dermatovenerologas, </w:t>
                        </w:r>
                      </w:p>
                      <w:p>
                        <w:pPr>
                          <w:rPr>
                            <w:sz w:val="18"/>
                            <w:szCs w:val="18"/>
                          </w:rPr>
                        </w:pPr>
                        <w:r>
                          <w:rPr>
                            <w:sz w:val="18"/>
                            <w:szCs w:val="18"/>
                          </w:rPr>
                          <w:t>nefrologas, hematologas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1.53.3. amino dvibazės rūgštys (sebacino rūgštis, ftalio rūgštis ir kt.) diaminai (diamindifeniloksidas, diaminofenolis ir kt.) (J)</w:t>
                        </w:r>
                      </w:p>
                    </w:tc>
                    <w:tc>
                      <w:tcPr>
                        <w:tcW w:w="1653" w:type="dxa"/>
                        <w:vMerge w:val="restart"/>
                      </w:tcPr>
                      <w:p>
                        <w:pPr>
                          <w:rPr>
                            <w:sz w:val="18"/>
                            <w:szCs w:val="18"/>
                          </w:rPr>
                        </w:pPr>
                        <w:r>
                          <w:rPr>
                            <w:sz w:val="18"/>
                            <w:szCs w:val="18"/>
                          </w:rPr>
                          <w:t>Poliamidų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gastroenterologas, dermatovenerologas, nefrologas, hematologas</w:t>
                        </w:r>
                      </w:p>
                    </w:tc>
                    <w:tc>
                      <w:tcPr>
                        <w:tcW w:w="2755" w:type="dxa"/>
                      </w:tcPr>
                      <w:p>
                        <w:pPr>
                          <w:rPr>
                            <w:sz w:val="18"/>
                            <w:szCs w:val="18"/>
                          </w:rPr>
                        </w:pPr>
                        <w:r>
                          <w:rPr>
                            <w:sz w:val="18"/>
                            <w:szCs w:val="18"/>
                          </w:rPr>
                          <w:t>Esant indikacijų – klinikinis kraujo tyrimas</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1.53.4. epichlorhidrinas</w:t>
                        </w:r>
                      </w:p>
                      <w:p>
                        <w:pPr>
                          <w:rPr>
                            <w:sz w:val="18"/>
                            <w:szCs w:val="18"/>
                          </w:rPr>
                        </w:pPr>
                        <w:r>
                          <w:rPr>
                            <w:sz w:val="18"/>
                            <w:szCs w:val="18"/>
                          </w:rPr>
                          <w:t xml:space="preserve">(J, K, O) </w:t>
                        </w:r>
                      </w:p>
                    </w:tc>
                    <w:tc>
                      <w:tcPr>
                        <w:tcW w:w="1653" w:type="dxa"/>
                        <w:vMerge w:val="restart"/>
                      </w:tcPr>
                      <w:p>
                        <w:pPr>
                          <w:rPr>
                            <w:sz w:val="18"/>
                            <w:szCs w:val="18"/>
                          </w:rPr>
                        </w:pPr>
                        <w:r>
                          <w:rPr>
                            <w:sz w:val="18"/>
                            <w:szCs w:val="18"/>
                          </w:rPr>
                          <w:t>Epoksidinių dervų ir plastmasių jo pagrindu gamyba ir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Alerginės odos ligos  L23</w:t>
                        </w:r>
                      </w:p>
                      <w:p>
                        <w:pPr>
                          <w:tabs>
                            <w:tab w:val="num" w:pos="286"/>
                          </w:tabs>
                          <w:rPr>
                            <w:sz w:val="18"/>
                            <w:szCs w:val="18"/>
                          </w:rPr>
                        </w:pPr>
                        <w:r>
                          <w:rPr>
                            <w:sz w:val="18"/>
                            <w:szCs w:val="18"/>
                          </w:rPr>
                          <w:t>3.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1.53.5. Fenolis (O) ir formaldehidas</w:t>
                        </w:r>
                      </w:p>
                      <w:p>
                        <w:pPr>
                          <w:rPr>
                            <w:sz w:val="18"/>
                            <w:szCs w:val="18"/>
                          </w:rPr>
                        </w:pPr>
                        <w:r>
                          <w:rPr>
                            <w:sz w:val="18"/>
                            <w:szCs w:val="18"/>
                          </w:rPr>
                          <w:t>(Ū, J, K)</w:t>
                        </w:r>
                      </w:p>
                    </w:tc>
                    <w:tc>
                      <w:tcPr>
                        <w:tcW w:w="1653" w:type="dxa"/>
                        <w:vMerge w:val="restart"/>
                      </w:tcPr>
                      <w:p>
                        <w:pPr>
                          <w:rPr>
                            <w:sz w:val="18"/>
                            <w:szCs w:val="18"/>
                          </w:rPr>
                        </w:pPr>
                        <w:r>
                          <w:rPr>
                            <w:sz w:val="18"/>
                            <w:szCs w:val="18"/>
                          </w:rPr>
                          <w:t>Polimerų 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kepenų ligos K70–K77</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p>
                        <w:pPr>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gastroenterologas, nefrologas, dermatovenerologas, hematologas, pulmonologas, onkologas radioterapeutas, onkologas chemoterapeutas</w:t>
                        </w:r>
                      </w:p>
                    </w:tc>
                    <w:tc>
                      <w:tcPr>
                        <w:tcW w:w="2755" w:type="dxa"/>
                      </w:tcPr>
                      <w:p>
                        <w:pPr>
                          <w:rPr>
                            <w:sz w:val="18"/>
                            <w:szCs w:val="18"/>
                          </w:rPr>
                        </w:pPr>
                        <w:r>
                          <w:rPr>
                            <w:sz w:val="18"/>
                            <w:szCs w:val="18"/>
                          </w:rPr>
                          <w:t>Esant indikacijų – leukograma, baltymas kraujo serume, ALT, AST</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1.53.6. Fluoro organiniai junginiai (fluorofortas, fluorotanas ir kt.) </w:t>
                        </w:r>
                      </w:p>
                    </w:tc>
                    <w:tc>
                      <w:tcPr>
                        <w:tcW w:w="1653" w:type="dxa"/>
                        <w:vMerge w:val="restart"/>
                      </w:tcPr>
                      <w:p>
                        <w:pPr>
                          <w:rPr>
                            <w:sz w:val="18"/>
                            <w:szCs w:val="18"/>
                          </w:rPr>
                        </w:pPr>
                        <w:r>
                          <w:rPr>
                            <w:sz w:val="18"/>
                            <w:szCs w:val="18"/>
                          </w:rPr>
                          <w:t>Polimerų (fluoroplastų) ir kopolimerų gamyba; fluoroplastų šiluminis ir mechaninis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hipertrofinis laringitas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 J96.1</w:t>
                        </w:r>
                      </w:p>
                      <w:p>
                        <w:pPr>
                          <w:rPr>
                            <w:sz w:val="18"/>
                            <w:szCs w:val="18"/>
                          </w:rPr>
                        </w:pPr>
                        <w:r>
                          <w:rPr>
                            <w:sz w:val="18"/>
                            <w:szCs w:val="18"/>
                          </w:rPr>
                          <w:t xml:space="preserve">6. Lėtinės odos ligos  L02, L08, L10–L14, L20–L30, L40, L50–L54</w:t>
                        </w:r>
                      </w:p>
                      <w:p>
                        <w:pPr>
                          <w:rPr>
                            <w:sz w:val="18"/>
                            <w:szCs w:val="18"/>
                          </w:rPr>
                        </w:pPr>
                        <w:r>
                          <w:rPr>
                            <w:sz w:val="18"/>
                            <w:szCs w:val="18"/>
                          </w:rPr>
                          <w:t xml:space="preserve">7.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1.53.7. Silicio organiniai junginiai</w:t>
                        </w:r>
                      </w:p>
                    </w:tc>
                    <w:tc>
                      <w:tcPr>
                        <w:tcW w:w="1653" w:type="dxa"/>
                        <w:vMerge w:val="restart"/>
                      </w:tcPr>
                      <w:p>
                        <w:pPr>
                          <w:rPr>
                            <w:sz w:val="18"/>
                            <w:szCs w:val="18"/>
                          </w:rPr>
                        </w:pPr>
                        <w:r>
                          <w:rPr>
                            <w:sz w:val="18"/>
                            <w:szCs w:val="18"/>
                          </w:rPr>
                          <w:t>Dervų, lakų, skystų silikonų gamyba; polimerų, presavimo medžiagų perdirbimas; lakų, tepalų, dervų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Viršutinių kvėpavimo takų atrofiniai pakitimai. Hipertrofinis laringitas</w:t>
                        </w:r>
                        <w:r>
                          <w:rPr>
                            <w:b/>
                            <w:sz w:val="18"/>
                            <w:szCs w:val="18"/>
                          </w:rPr>
                          <w:t xml:space="preserve"> </w:t>
                        </w:r>
                        <w:r>
                          <w:rPr>
                            <w:sz w:val="18"/>
                            <w:szCs w:val="18"/>
                          </w:rPr>
                          <w:t>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5. Lėtinės kepenų ligos K70–K77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1.53.8. Stirenas (O) </w:t>
                        </w:r>
                      </w:p>
                    </w:tc>
                    <w:tc>
                      <w:tcPr>
                        <w:tcW w:w="1653" w:type="dxa"/>
                        <w:vMerge w:val="restart"/>
                      </w:tcPr>
                      <w:p>
                        <w:pPr>
                          <w:rPr>
                            <w:sz w:val="18"/>
                            <w:szCs w:val="18"/>
                          </w:rPr>
                        </w:pPr>
                        <w:r>
                          <w:rPr>
                            <w:sz w:val="18"/>
                            <w:szCs w:val="18"/>
                          </w:rPr>
                          <w:t>Stireno polimerų ir kopolimerų, polieterinių dervų, lakų ir klijų, stikloplastikų gamyba; dervų ir plastmasių perdirbimas; dervų lakų, klijų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leukograma, IKFT</w:t>
                        </w:r>
                      </w:p>
                    </w:tc>
                    <w:tc>
                      <w:tcPr>
                        <w:tcW w:w="2437" w:type="dxa"/>
                        <w:vMerge w:val="restart"/>
                      </w:tcPr>
                      <w:p>
                        <w:pPr>
                          <w:rPr>
                            <w:sz w:val="18"/>
                            <w:szCs w:val="18"/>
                          </w:rPr>
                        </w:pPr>
                        <w:r>
                          <w:rPr>
                            <w:sz w:val="18"/>
                            <w:szCs w:val="18"/>
                          </w:rPr>
                          <w:t xml:space="preserve">1. Kraujo ir kraujodaros organų ligos  D50–D53, D55–D59, D60–D64, D65–D69, D70–D77  </w:t>
                        </w:r>
                      </w:p>
                      <w:p>
                        <w:pPr>
                          <w:rPr>
                            <w:sz w:val="18"/>
                            <w:szCs w:val="18"/>
                          </w:rPr>
                        </w:pPr>
                        <w:r>
                          <w:rPr>
                            <w:sz w:val="18"/>
                            <w:szCs w:val="18"/>
                          </w:rPr>
                          <w:t>2. Astma J45</w:t>
                        </w:r>
                      </w:p>
                      <w:p>
                        <w:pPr>
                          <w:rPr>
                            <w:sz w:val="18"/>
                            <w:szCs w:val="18"/>
                          </w:rPr>
                        </w:pPr>
                        <w:r>
                          <w:rPr>
                            <w:sz w:val="18"/>
                            <w:szCs w:val="18"/>
                          </w:rPr>
                          <w:t xml:space="preserve">3. Lėtinės kepenų ligos  K70–K77</w:t>
                        </w: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 gastroenterologas, pulmonologas, radiologas</w:t>
                        </w:r>
                      </w:p>
                    </w:tc>
                    <w:tc>
                      <w:tcPr>
                        <w:tcW w:w="2755" w:type="dxa"/>
                      </w:tcPr>
                      <w:p>
                        <w:pPr>
                          <w:rPr>
                            <w:sz w:val="18"/>
                            <w:szCs w:val="18"/>
                          </w:rPr>
                        </w:pPr>
                        <w:r>
                          <w:rPr>
                            <w:sz w:val="18"/>
                            <w:szCs w:val="18"/>
                          </w:rPr>
                          <w:t xml:space="preserve">Esant indikacijų –krūtinės ląstos rentgenograma,  baltymas kraujo serume, ALT, AST </w:t>
                        </w:r>
                      </w:p>
                    </w:tc>
                    <w:tc>
                      <w:tcPr>
                        <w:tcW w:w="2437" w:type="dxa"/>
                        <w:vMerge/>
                      </w:tcPr>
                      <w:p>
                        <w:pPr>
                          <w:rPr>
                            <w:sz w:val="18"/>
                            <w:szCs w:val="18"/>
                          </w:rPr>
                        </w:pPr>
                      </w:p>
                    </w:tc>
                  </w:tr>
                  <w:tr>
                    <w:trPr>
                      <w:trHeight w:val="5181"/>
                    </w:trPr>
                    <w:tc>
                      <w:tcPr>
                        <w:tcW w:w="2447" w:type="dxa"/>
                      </w:tcPr>
                      <w:p>
                        <w:pPr>
                          <w:rPr>
                            <w:sz w:val="18"/>
                            <w:szCs w:val="18"/>
                          </w:rPr>
                        </w:pPr>
                        <w:r>
                          <w:rPr>
                            <w:sz w:val="18"/>
                            <w:szCs w:val="18"/>
                          </w:rPr>
                          <w:t>1.53.9. Vinilchlorido monomeras (toliau – VCM) , (K, O) vinilchloridas, chloretenas, chloretilenas</w:t>
                        </w:r>
                      </w:p>
                    </w:tc>
                    <w:tc>
                      <w:tcPr>
                        <w:tcW w:w="1653" w:type="dxa"/>
                      </w:tcPr>
                      <w:p>
                        <w:pPr>
                          <w:rPr>
                            <w:sz w:val="18"/>
                            <w:szCs w:val="18"/>
                          </w:rPr>
                        </w:pPr>
                        <w:r>
                          <w:rPr>
                            <w:sz w:val="18"/>
                            <w:szCs w:val="18"/>
                          </w:rPr>
                          <w:t>Polivinilchlorido naudojimas, procesai, susiję su VCM monomero išsiskyrimu</w:t>
                        </w:r>
                      </w:p>
                    </w:tc>
                    <w:tc>
                      <w:tcPr>
                        <w:tcW w:w="1402" w:type="dxa"/>
                      </w:tcPr>
                      <w:p>
                        <w:pPr>
                          <w:rPr>
                            <w:sz w:val="18"/>
                            <w:szCs w:val="18"/>
                          </w:rPr>
                        </w:pPr>
                        <w:r>
                          <w:rPr>
                            <w:sz w:val="18"/>
                            <w:szCs w:val="18"/>
                          </w:rPr>
                          <w:t>1 kartą per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p>
                        <w:pPr>
                          <w:rPr>
                            <w:sz w:val="18"/>
                            <w:szCs w:val="18"/>
                          </w:rPr>
                        </w:pPr>
                        <w:r>
                          <w:rPr>
                            <w:sz w:val="18"/>
                            <w:szCs w:val="18"/>
                          </w:rPr>
                          <w:t>Esant indikacijų – onkologas radioterapeutas, onkologas chemoterapeutas, hematologas,</w:t>
                        </w:r>
                      </w:p>
                      <w:p>
                        <w:pPr>
                          <w:rPr>
                            <w:sz w:val="18"/>
                            <w:szCs w:val="18"/>
                          </w:rPr>
                        </w:pPr>
                        <w:r>
                          <w:rPr>
                            <w:sz w:val="18"/>
                            <w:szCs w:val="18"/>
                          </w:rPr>
                          <w:t>neurologas, dermatovenerologas, endokrinologas, psichiatras, pulmonologas</w:t>
                        </w:r>
                      </w:p>
                    </w:tc>
                    <w:tc>
                      <w:tcPr>
                        <w:tcW w:w="2755" w:type="dxa"/>
                      </w:tcPr>
                      <w:p>
                        <w:pPr>
                          <w:rPr>
                            <w:sz w:val="18"/>
                            <w:szCs w:val="18"/>
                          </w:rPr>
                        </w:pPr>
                        <w:r>
                          <w:rPr>
                            <w:sz w:val="18"/>
                            <w:szCs w:val="18"/>
                          </w:rPr>
                          <w:t>Kraujo tyrimas hematologiniu analizatoriumi (eritrocitai, hemoglobinas, leukocitai, trombocitai), ENG, leukograma, gliukozės kiekis kraujyje, KLR, IKFT, baltymas kraujo serume, ALT, AST</w:t>
                        </w:r>
                      </w:p>
                      <w:p>
                        <w:pPr>
                          <w:rPr>
                            <w:sz w:val="18"/>
                            <w:szCs w:val="18"/>
                          </w:rPr>
                        </w:pPr>
                        <w:r>
                          <w:rPr>
                            <w:sz w:val="18"/>
                            <w:szCs w:val="18"/>
                          </w:rPr>
                          <w:t>Esant indikacijų –rankų kaulų rentgenologinis tyrimas</w:t>
                        </w:r>
                      </w:p>
                    </w:tc>
                    <w:tc>
                      <w:tcPr>
                        <w:tcW w:w="2437" w:type="dxa"/>
                      </w:tcPr>
                      <w:p>
                        <w:pPr>
                          <w:rPr>
                            <w:sz w:val="18"/>
                            <w:szCs w:val="18"/>
                          </w:rPr>
                        </w:pPr>
                        <w:r>
                          <w:rPr>
                            <w:sz w:val="18"/>
                            <w:szCs w:val="18"/>
                          </w:rPr>
                          <w:t>1. Obliteruojantis endarteritas, Raynaud sindromas I70–I73.0</w:t>
                        </w:r>
                      </w:p>
                      <w:p>
                        <w:pPr>
                          <w:tabs>
                            <w:tab w:val="num" w:pos="720"/>
                          </w:tabs>
                          <w:rPr>
                            <w:sz w:val="18"/>
                            <w:szCs w:val="18"/>
                          </w:rPr>
                        </w:pPr>
                        <w:r>
                          <w:rPr>
                            <w:sz w:val="18"/>
                            <w:szCs w:val="18"/>
                          </w:rPr>
                          <w:t>2. Galūnių polineuropatijos G60–G64</w:t>
                        </w:r>
                      </w:p>
                      <w:p>
                        <w:pPr>
                          <w:tabs>
                            <w:tab w:val="num" w:pos="720"/>
                          </w:tabs>
                          <w:rPr>
                            <w:sz w:val="18"/>
                            <w:szCs w:val="18"/>
                          </w:rPr>
                        </w:pPr>
                        <w:r>
                          <w:rPr>
                            <w:sz w:val="18"/>
                            <w:szCs w:val="18"/>
                          </w:rPr>
                          <w:t>3. Lėtinės obstrukcinės plaučių ligos J44–J47</w:t>
                        </w:r>
                      </w:p>
                      <w:p>
                        <w:pPr>
                          <w:tabs>
                            <w:tab w:val="num" w:pos="720"/>
                          </w:tabs>
                          <w:rPr>
                            <w:sz w:val="18"/>
                            <w:szCs w:val="18"/>
                          </w:rPr>
                        </w:pPr>
                        <w:r>
                          <w:rPr>
                            <w:sz w:val="18"/>
                            <w:szCs w:val="18"/>
                          </w:rPr>
                          <w:t>4. Astma J45</w:t>
                        </w:r>
                      </w:p>
                      <w:p>
                        <w:pPr>
                          <w:tabs>
                            <w:tab w:val="num" w:pos="720"/>
                          </w:tabs>
                          <w:rPr>
                            <w:sz w:val="18"/>
                            <w:szCs w:val="18"/>
                          </w:rPr>
                        </w:pPr>
                        <w:r>
                          <w:rPr>
                            <w:sz w:val="18"/>
                            <w:szCs w:val="18"/>
                          </w:rPr>
                          <w:t>5. Lėtinis kvėpavimo nepakankamumas I–II° J96.1</w:t>
                        </w:r>
                      </w:p>
                      <w:p>
                        <w:pPr>
                          <w:tabs>
                            <w:tab w:val="num" w:pos="720"/>
                          </w:tabs>
                          <w:rPr>
                            <w:sz w:val="18"/>
                            <w:szCs w:val="18"/>
                          </w:rPr>
                        </w:pPr>
                        <w:r>
                          <w:rPr>
                            <w:sz w:val="18"/>
                            <w:szCs w:val="18"/>
                          </w:rPr>
                          <w:t xml:space="preserve">6.Cukrinis diabetas  E10–E14</w:t>
                        </w:r>
                      </w:p>
                      <w:p>
                        <w:pPr>
                          <w:tabs>
                            <w:tab w:val="num" w:pos="720"/>
                          </w:tabs>
                          <w:rPr>
                            <w:sz w:val="18"/>
                            <w:szCs w:val="18"/>
                          </w:rPr>
                        </w:pPr>
                        <w:r>
                          <w:rPr>
                            <w:sz w:val="18"/>
                            <w:szCs w:val="18"/>
                          </w:rPr>
                          <w:t xml:space="preserve">7. Kraujo ir kraujodaros organų ligos  D50–D53, D55–D59, D60–D64, D65–D69, D70–D77  </w:t>
                        </w:r>
                      </w:p>
                      <w:p>
                        <w:pPr>
                          <w:tabs>
                            <w:tab w:val="num" w:pos="720"/>
                          </w:tabs>
                          <w:rPr>
                            <w:sz w:val="18"/>
                            <w:szCs w:val="18"/>
                          </w:rPr>
                        </w:pPr>
                        <w:r>
                          <w:rPr>
                            <w:sz w:val="18"/>
                            <w:szCs w:val="18"/>
                          </w:rPr>
                          <w:t xml:space="preserve">8. Lėtinės odos ligos, sklerodermija  L02, L08, L10–L14, L20–L30, L40, L50–L54, M34</w:t>
                        </w:r>
                      </w:p>
                      <w:p>
                        <w:pPr>
                          <w:tabs>
                            <w:tab w:val="num" w:pos="720"/>
                          </w:tabs>
                          <w:rPr>
                            <w:sz w:val="18"/>
                            <w:szCs w:val="18"/>
                          </w:rPr>
                        </w:pPr>
                        <w:r>
                          <w:rPr>
                            <w:sz w:val="18"/>
                            <w:szCs w:val="18"/>
                          </w:rPr>
                          <w:t xml:space="preserve">9. Alkoholizmas, narkomanija, toksikomanija  F10–F19</w:t>
                        </w:r>
                      </w:p>
                      <w:p>
                        <w:pPr>
                          <w:tabs>
                            <w:tab w:val="num" w:pos="720"/>
                          </w:tabs>
                          <w:rPr>
                            <w:sz w:val="18"/>
                            <w:szCs w:val="18"/>
                          </w:rPr>
                        </w:pPr>
                        <w:r>
                          <w:rPr>
                            <w:sz w:val="18"/>
                            <w:szCs w:val="18"/>
                          </w:rPr>
                          <w:t xml:space="preserve">10. Lėtinės kepenų ligos  K70–K77</w:t>
                        </w:r>
                      </w:p>
                      <w:p>
                        <w:pPr>
                          <w:tabs>
                            <w:tab w:val="num" w:pos="720"/>
                          </w:tabs>
                          <w:rPr>
                            <w:sz w:val="18"/>
                            <w:szCs w:val="18"/>
                          </w:rPr>
                        </w:pPr>
                        <w:r>
                          <w:rPr>
                            <w:sz w:val="18"/>
                            <w:szCs w:val="18"/>
                          </w:rPr>
                          <w:t>11. Navikiniai susirgimai anamnezėje C00–D48</w:t>
                        </w:r>
                      </w:p>
                    </w:tc>
                  </w:tr>
                  <w:tr>
                    <w:trPr>
                      <w:trHeight w:val="142"/>
                    </w:trPr>
                    <w:tc>
                      <w:tcPr>
                        <w:tcW w:w="2447" w:type="dxa"/>
                        <w:vMerge w:val="restart"/>
                      </w:tcPr>
                      <w:p>
                        <w:pPr>
                          <w:rPr>
                            <w:sz w:val="18"/>
                            <w:szCs w:val="18"/>
                          </w:rPr>
                        </w:pPr>
                        <w:r>
                          <w:rPr>
                            <w:sz w:val="18"/>
                            <w:szCs w:val="18"/>
                          </w:rPr>
                          <w:t>1.54. Retieji žemės elementai (lantanas, cezis, kandis, erbis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tabs>
                            <w:tab w:val="num" w:pos="286"/>
                          </w:tabs>
                          <w:rPr>
                            <w:sz w:val="18"/>
                            <w:szCs w:val="18"/>
                          </w:rPr>
                        </w:pPr>
                        <w:r>
                          <w:rPr>
                            <w:sz w:val="18"/>
                            <w:szCs w:val="18"/>
                          </w:rPr>
                          <w:t>3. Lėtinis kvėpavimo nepakankamumas I–II</w:t>
                          <w:sym w:font="Symbol" w:char="F0B0"/>
                          <w:t xml:space="preserve">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1.55. Selenas, telūras ir jų junginiai</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radiologas, pulmonologas, dermatovenerologas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1.56. Siera ir jos junginiai (sieros ir sulfitinė rūgštys, sieros dioksidas (Ū), sieros trioksidas, sieros vandenilis ir kt.) (F, Ū) </w:t>
                        </w:r>
                      </w:p>
                    </w:tc>
                    <w:tc>
                      <w:tcPr>
                        <w:tcW w:w="1653" w:type="dxa"/>
                        <w:vMerge w:val="restart"/>
                      </w:tcPr>
                      <w:p>
                        <w:pPr>
                          <w:rPr>
                            <w:sz w:val="18"/>
                            <w:szCs w:val="18"/>
                          </w:rPr>
                        </w:pPr>
                        <w:r>
                          <w:rPr>
                            <w:sz w:val="18"/>
                            <w:szCs w:val="18"/>
                          </w:rPr>
                          <w:t>Gamyba, 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IKFT, KLR </w:t>
                        </w:r>
                      </w:p>
                    </w:tc>
                    <w:tc>
                      <w:tcPr>
                        <w:tcW w:w="2437" w:type="dxa"/>
                        <w:vMerge w:val="restart"/>
                      </w:tcPr>
                      <w:p>
                        <w:pPr>
                          <w:rPr>
                            <w:sz w:val="18"/>
                            <w:szCs w:val="18"/>
                          </w:rPr>
                        </w:pPr>
                        <w:r>
                          <w:rPr>
                            <w:sz w:val="18"/>
                            <w:szCs w:val="18"/>
                          </w:rPr>
                          <w:t>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1.57. Skalūnų dervos</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Astma J45</w:t>
                        </w:r>
                      </w:p>
                      <w:p>
                        <w:pPr>
                          <w:rPr>
                            <w:sz w:val="18"/>
                            <w:szCs w:val="18"/>
                          </w:rPr>
                        </w:pPr>
                        <w:r>
                          <w:rPr>
                            <w:sz w:val="18"/>
                            <w:szCs w:val="18"/>
                          </w:rPr>
                          <w:t xml:space="preserve">3. Lėtinės odos ligos, fotodermatozės, diskeratozės, seborėjinis dermatitas  L02, L08, L10–L14, L20–L30, L40, L50–L54, L56, L21, L80, L84–L85</w:t>
                        </w:r>
                      </w:p>
                      <w:p>
                        <w:pPr>
                          <w:rPr>
                            <w:sz w:val="18"/>
                            <w:szCs w:val="18"/>
                          </w:rPr>
                        </w:pPr>
                        <w:r>
                          <w:rPr>
                            <w:sz w:val="18"/>
                            <w:szCs w:val="18"/>
                          </w:rPr>
                          <w:t xml:space="preserve">4.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onkologas radioterapeutas, onkologas chemoterapeutas, pulmonologas, </w:t>
                        </w:r>
                      </w:p>
                      <w:p>
                        <w:pPr>
                          <w:rPr>
                            <w:sz w:val="18"/>
                            <w:szCs w:val="18"/>
                          </w:rPr>
                        </w:pPr>
                        <w:r>
                          <w:rPr>
                            <w:sz w:val="18"/>
                            <w:szCs w:val="18"/>
                          </w:rPr>
                          <w:t>otorinolaringologas,</w:t>
                        </w:r>
                      </w:p>
                      <w:p>
                        <w:pPr>
                          <w:rPr>
                            <w:sz w:val="18"/>
                            <w:szCs w:val="18"/>
                          </w:rPr>
                        </w:pPr>
                        <w:r>
                          <w:rPr>
                            <w:sz w:val="18"/>
                            <w:szCs w:val="18"/>
                          </w:rPr>
                          <w:t>oftalmologas,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1.58. Sintetinės skalbimo priemonės (J)</w:t>
                        </w:r>
                      </w:p>
                    </w:tc>
                    <w:tc>
                      <w:tcPr>
                        <w:tcW w:w="1653" w:type="dxa"/>
                        <w:vMerge w:val="restart"/>
                      </w:tcPr>
                      <w:p>
                        <w:pPr>
                          <w:rPr>
                            <w:sz w:val="18"/>
                            <w:szCs w:val="18"/>
                          </w:rPr>
                        </w:pPr>
                        <w:r>
                          <w:rPr>
                            <w:sz w:val="18"/>
                            <w:szCs w:val="18"/>
                          </w:rPr>
                          <w:t>Naudojimas, gamyba</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 J96.1</w:t>
                        </w:r>
                      </w:p>
                      <w:p>
                        <w:pPr>
                          <w:rPr>
                            <w:sz w:val="18"/>
                            <w:szCs w:val="18"/>
                          </w:rPr>
                        </w:pPr>
                        <w:r>
                          <w:rPr>
                            <w:sz w:val="18"/>
                            <w:szCs w:val="18"/>
                          </w:rPr>
                          <w:t>4. Atrofiniai viršutinių kvėpavimo takų pakitimai J30–J31, J37–J39</w:t>
                        </w:r>
                      </w:p>
                      <w:p>
                        <w:pPr>
                          <w:rPr>
                            <w:sz w:val="18"/>
                            <w:szCs w:val="18"/>
                          </w:rPr>
                        </w:pPr>
                        <w:r>
                          <w:rPr>
                            <w:sz w:val="18"/>
                            <w:szCs w:val="18"/>
                          </w:rPr>
                          <w:t>5.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dermatovenerologas, </w:t>
                        </w:r>
                      </w:p>
                      <w:p>
                        <w:pPr>
                          <w:rPr>
                            <w:sz w:val="18"/>
                            <w:szCs w:val="18"/>
                          </w:rPr>
                        </w:pPr>
                        <w:r>
                          <w:rPr>
                            <w:sz w:val="18"/>
                            <w:szCs w:val="18"/>
                          </w:rPr>
                          <w:t>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1.59. Stibis ir jo junginiai (stibio oksidas, stibio chloridas, stibio jodidas, stibio fluoridas ir kt.)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1.60. Sintetinis kaučiukas (butadieninis, poliizopreninis, polichlorpreninis)</w:t>
                        </w:r>
                      </w:p>
                    </w:tc>
                    <w:tc>
                      <w:tcPr>
                        <w:tcW w:w="1653" w:type="dxa"/>
                        <w:vMerge w:val="restart"/>
                      </w:tcPr>
                      <w:p>
                        <w:pPr>
                          <w:rPr>
                            <w:sz w:val="18"/>
                            <w:szCs w:val="18"/>
                          </w:rPr>
                        </w:pPr>
                        <w:r>
                          <w:rPr>
                            <w:sz w:val="18"/>
                            <w:szCs w:val="18"/>
                          </w:rPr>
                          <w:t>Naudojimas, vulkanizavimas,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Astma J45</w:t>
                        </w:r>
                      </w:p>
                      <w:p>
                        <w:pPr>
                          <w:tabs>
                            <w:tab w:val="num" w:pos="286"/>
                          </w:tabs>
                          <w:rPr>
                            <w:sz w:val="18"/>
                            <w:szCs w:val="18"/>
                          </w:rPr>
                        </w:pPr>
                        <w:r>
                          <w:rPr>
                            <w:sz w:val="18"/>
                            <w:szCs w:val="18"/>
                          </w:rPr>
                          <w:t xml:space="preserve">2.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1.61. Švinas ir jo neorganiniai junginiai (R)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vMerge w:val="restart"/>
                      </w:tcPr>
                      <w:p>
                        <w:pPr>
                          <w:rPr>
                            <w:sz w:val="18"/>
                            <w:szCs w:val="18"/>
                          </w:rPr>
                        </w:pPr>
                        <w:r>
                          <w:rPr>
                            <w:sz w:val="18"/>
                            <w:szCs w:val="18"/>
                          </w:rPr>
                          <w:t xml:space="preserve">Kraujo tyrimas hematologiniu analizatoriumi (eritrocitai, eritrocitai su bazofiliniu grūdėtumu, hemoglobinas, retikuliocitų kiekis leukocitai, trombocitai), ENG, šlapimo tyrimas  analizatoriumi </w:t>
                        </w:r>
                      </w:p>
                    </w:tc>
                    <w:tc>
                      <w:tcPr>
                        <w:tcW w:w="2437" w:type="dxa"/>
                        <w:vMerge w:val="restart"/>
                      </w:tcPr>
                      <w:p>
                        <w:pPr>
                          <w:rPr>
                            <w:sz w:val="18"/>
                            <w:szCs w:val="18"/>
                          </w:rPr>
                        </w:pPr>
                        <w:r>
                          <w:rPr>
                            <w:sz w:val="18"/>
                            <w:szCs w:val="18"/>
                          </w:rPr>
                          <w:t xml:space="preserve">1. Lėtinės kepenų ligos  K70–K77</w:t>
                        </w:r>
                      </w:p>
                      <w:p>
                        <w:pPr>
                          <w:rPr>
                            <w:sz w:val="18"/>
                            <w:szCs w:val="18"/>
                          </w:rPr>
                        </w:pPr>
                        <w:r>
                          <w:rPr>
                            <w:sz w:val="18"/>
                            <w:szCs w:val="18"/>
                          </w:rPr>
                          <w:t xml:space="preserve">2. Kraujo ir kraujodaros organų ligos  D50–D53, D55–D59, D60–D64, D65–D69, D70–D77 </w:t>
                        </w:r>
                      </w:p>
                      <w:p>
                        <w:pPr>
                          <w:rPr>
                            <w:sz w:val="18"/>
                            <w:szCs w:val="18"/>
                          </w:rPr>
                        </w:pPr>
                        <w:r>
                          <w:rPr>
                            <w:sz w:val="18"/>
                            <w:szCs w:val="18"/>
                          </w:rPr>
                          <w:t>3. Galūnių polineuropatijos G60–G64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w:t>
                        </w:r>
                      </w:p>
                    </w:tc>
                    <w:tc>
                      <w:tcPr>
                        <w:tcW w:w="2755" w:type="dxa"/>
                        <w:vMerge/>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pageBreakBefore/>
                          <w:rPr>
                            <w:sz w:val="18"/>
                            <w:szCs w:val="18"/>
                          </w:rPr>
                        </w:pPr>
                        <w:r>
                          <w:rPr>
                            <w:sz w:val="18"/>
                            <w:szCs w:val="18"/>
                          </w:rPr>
                          <w:t>1.62. Suvirinimo aerozoliai:</w:t>
                        </w:r>
                      </w:p>
                    </w:tc>
                  </w:tr>
                  <w:tr>
                    <w:trPr>
                      <w:trHeight w:val="142"/>
                    </w:trPr>
                    <w:tc>
                      <w:tcPr>
                        <w:tcW w:w="2447" w:type="dxa"/>
                        <w:vMerge w:val="restart"/>
                      </w:tcPr>
                      <w:p>
                        <w:pPr>
                          <w:rPr>
                            <w:sz w:val="18"/>
                            <w:szCs w:val="18"/>
                          </w:rPr>
                        </w:pPr>
                        <w:r>
                          <w:rPr>
                            <w:sz w:val="18"/>
                            <w:szCs w:val="18"/>
                          </w:rPr>
                          <w:t xml:space="preserve">1.62.1. turintys, nikelio, chromo, fluoro junginių, berilio, švino (J, K, R); </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w:t>
                        </w:r>
                      </w:p>
                      <w:p>
                        <w:pPr>
                          <w:rPr>
                            <w:sz w:val="18"/>
                            <w:szCs w:val="18"/>
                          </w:rPr>
                        </w:pPr>
                        <w:r>
                          <w:rPr>
                            <w:sz w:val="18"/>
                            <w:szCs w:val="18"/>
                          </w:rPr>
                          <w:t>dermatovenerologas,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1.62.2. turintys mangano, aliuminio, titano, vario, cinko, molibdeno, vanadžio, volframo</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8. Galūnių polineuropatijos G60–G64</w:t>
                        </w:r>
                      </w:p>
                      <w:p>
                        <w:pPr>
                          <w:rPr>
                            <w:sz w:val="18"/>
                            <w:szCs w:val="18"/>
                          </w:rPr>
                        </w:pPr>
                        <w:r>
                          <w:rPr>
                            <w:sz w:val="18"/>
                            <w:szCs w:val="18"/>
                          </w:rPr>
                          <w:t>9. CNS ligos G00–G09, G10–G13, G30–G32</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neurologas,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1.63. Talis ir jo junginiai (talio bromidas, talio jodidas, talio chloridas, talio hidroksidas, talio nitratas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Lėtinis gingivitas, stomatitas, paradontozė  K05.1,  K12, K05.3</w:t>
                        </w:r>
                      </w:p>
                      <w:p>
                        <w:pPr>
                          <w:rPr>
                            <w:sz w:val="18"/>
                            <w:szCs w:val="18"/>
                          </w:rPr>
                        </w:pPr>
                        <w:r>
                          <w:rPr>
                            <w:sz w:val="18"/>
                            <w:szCs w:val="18"/>
                          </w:rPr>
                          <w:t xml:space="preserve">3. Priekinės akių dalies ligos (vokų, junginės, ragenos, ašarų takų)  H00–H06, H10–H13, H15–H20</w:t>
                        </w:r>
                      </w:p>
                      <w:p>
                        <w:pPr>
                          <w:rPr>
                            <w:sz w:val="18"/>
                            <w:szCs w:val="18"/>
                          </w:rPr>
                        </w:pPr>
                        <w:r>
                          <w:rPr>
                            <w:sz w:val="18"/>
                            <w:szCs w:val="18"/>
                          </w:rPr>
                          <w:t xml:space="preserve">4. Viršutinių kvėpavimo takų atrofiniai pakitimai   J30–J31, J37–J39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 xml:space="preserve">neurologas, </w:t>
                        </w:r>
                      </w:p>
                      <w:p>
                        <w:pPr>
                          <w:rPr>
                            <w:sz w:val="18"/>
                            <w:szCs w:val="18"/>
                          </w:rPr>
                        </w:pPr>
                        <w:r>
                          <w:rPr>
                            <w:sz w:val="18"/>
                            <w:szCs w:val="18"/>
                          </w:rPr>
                          <w:t>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1.64. Taurieji metalai (auksas, sidabras, jų junginiai ir lydiniai) (J) </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obstrukcinės plaučių ligos J44–J47</w:t>
                        </w:r>
                      </w:p>
                      <w:p>
                        <w:pPr>
                          <w:rPr>
                            <w:sz w:val="18"/>
                            <w:szCs w:val="18"/>
                          </w:rPr>
                        </w:pPr>
                        <w:r>
                          <w:rPr>
                            <w:sz w:val="18"/>
                            <w:szCs w:val="18"/>
                          </w:rPr>
                          <w:t>4.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1.65. Tetraetilšvinas (R,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CNS ligos  G00–G09, G10–G13, G30–G32</w:t>
                        </w:r>
                      </w:p>
                      <w:p>
                        <w:pPr>
                          <w:tabs>
                            <w:tab w:val="num" w:pos="286"/>
                          </w:tabs>
                          <w:rPr>
                            <w:sz w:val="18"/>
                            <w:szCs w:val="18"/>
                          </w:rPr>
                        </w:pPr>
                        <w:r>
                          <w:rPr>
                            <w:sz w:val="18"/>
                            <w:szCs w:val="18"/>
                          </w:rPr>
                          <w:t xml:space="preserve">3.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1.66. Tetranatrioetilendiamintetraacetatas</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Lėtinės  obstrukcinės plaučių ligos J44–J47</w:t>
                        </w:r>
                      </w:p>
                      <w:p>
                        <w:pPr>
                          <w:rPr>
                            <w:sz w:val="18"/>
                            <w:szCs w:val="18"/>
                          </w:rPr>
                        </w:pPr>
                        <w:r>
                          <w:rPr>
                            <w:sz w:val="18"/>
                            <w:szCs w:val="18"/>
                          </w:rPr>
                          <w:t>3.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–pulmonologas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1.67. Urzolis ir urzoliniai dažai (J) </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4. Lėtinis kvėpavimo nepakankamumas I–II? J96.1</w:t>
                        </w:r>
                      </w:p>
                      <w:p>
                        <w:pPr>
                          <w:rPr>
                            <w:sz w:val="18"/>
                            <w:szCs w:val="18"/>
                          </w:rPr>
                        </w:pPr>
                        <w:r>
                          <w:rPr>
                            <w:sz w:val="18"/>
                            <w:szCs w:val="18"/>
                          </w:rPr>
                          <w:t xml:space="preserve">5. Akių ligos (vokų, junginės, ragenos, ašarų takų)  H00–H06, H10–H13, H15–H20</w:t>
                        </w:r>
                      </w:p>
                      <w:p>
                        <w:pPr>
                          <w:rPr>
                            <w:sz w:val="18"/>
                            <w:szCs w:val="18"/>
                          </w:rPr>
                        </w:pPr>
                        <w:r>
                          <w:rPr>
                            <w:sz w:val="18"/>
                            <w:szCs w:val="18"/>
                          </w:rPr>
                          <w:t>6.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1.68. Vandenilio peroksidas (Ū)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dermatovenerologas,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1.69. Kitos pavojingos cheminės medžiagos, neišvardytos šiame sąraše ir naudojamos Lietuvoje</w:t>
                        </w:r>
                      </w:p>
                    </w:tc>
                    <w:tc>
                      <w:tcPr>
                        <w:tcW w:w="1653" w:type="dxa"/>
                        <w:vMerge w:val="restart"/>
                      </w:tcPr>
                      <w:p>
                        <w:pPr>
                          <w:rPr>
                            <w:sz w:val="18"/>
                            <w:szCs w:val="18"/>
                          </w:rPr>
                        </w:pP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Viršutinių kvėpavimo takų atrofiniai pakitimai, nosies pertvaros iškrypimai ir nosies kvėpavimo funkcijos sutrikimas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 xml:space="preserve">8. Lėtinės kepenų ligos  K70–K77</w:t>
                        </w:r>
                      </w:p>
                      <w:p>
                        <w:pPr>
                          <w:rPr>
                            <w:sz w:val="18"/>
                            <w:szCs w:val="18"/>
                          </w:rPr>
                        </w:pPr>
                        <w:r>
                          <w:rPr>
                            <w:sz w:val="18"/>
                            <w:szCs w:val="18"/>
                          </w:rPr>
                          <w:t xml:space="preserve">9. Lėtinės inkstų ligos  N00–N08, N10–N16, N17–N19, N20–N23</w:t>
                        </w:r>
                      </w:p>
                      <w:p>
                        <w:pPr>
                          <w:rPr>
                            <w:sz w:val="18"/>
                            <w:szCs w:val="18"/>
                          </w:rPr>
                        </w:pPr>
                        <w:r>
                          <w:rPr>
                            <w:sz w:val="18"/>
                            <w:szCs w:val="18"/>
                          </w:rPr>
                          <w:t xml:space="preserve">10.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 dermatovenerologas, nefrologas, gastroenterologas, hematologas, radiologas,</w:t>
                        </w:r>
                      </w:p>
                      <w:p>
                        <w:pPr>
                          <w:rPr>
                            <w:sz w:val="18"/>
                            <w:szCs w:val="18"/>
                          </w:rPr>
                        </w:pPr>
                        <w:r>
                          <w:rPr>
                            <w:sz w:val="18"/>
                            <w:szCs w:val="18"/>
                          </w:rPr>
                          <w:t xml:space="preserve">klinikinės imunologijos ir alergologijos gydytojas, </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35"/>
                    <w:gridCol w:w="1665"/>
                    <w:gridCol w:w="1402"/>
                    <w:gridCol w:w="1923"/>
                    <w:gridCol w:w="2090"/>
                    <w:gridCol w:w="2969"/>
                    <w:gridCol w:w="2215"/>
                    <w:gridCol w:w="8"/>
                  </w:tblGrid>
                  <w:tr>
                    <w:tc>
                      <w:tcPr>
                        <w:tcW w:w="14707" w:type="dxa"/>
                        <w:gridSpan w:val="8"/>
                      </w:tcPr>
                      <w:p>
                        <w:pPr>
                          <w:jc w:val="center"/>
                          <w:rPr>
                            <w:sz w:val="18"/>
                            <w:szCs w:val="18"/>
                          </w:rPr>
                        </w:pPr>
                        <w:r>
                          <w:rPr>
                            <w:sz w:val="18"/>
                            <w:szCs w:val="18"/>
                          </w:rPr>
                          <w:t>2. BIOLOGINIAI VEIKSNIAI</w:t>
                        </w:r>
                      </w:p>
                    </w:tc>
                  </w:tr>
                  <w:tr>
                    <w:trPr>
                      <w:gridAfter w:val="1"/>
                      <w:wAfter w:w="8" w:type="dxa"/>
                      <w:trHeight w:val="1861"/>
                    </w:trPr>
                    <w:tc>
                      <w:tcPr>
                        <w:tcW w:w="2435" w:type="dxa"/>
                        <w:vMerge w:val="restart"/>
                      </w:tcPr>
                      <w:p>
                        <w:pPr>
                          <w:rPr>
                            <w:sz w:val="18"/>
                            <w:szCs w:val="18"/>
                          </w:rPr>
                        </w:pPr>
                        <w:r>
                          <w:rPr>
                            <w:sz w:val="18"/>
                            <w:szCs w:val="18"/>
                          </w:rPr>
                          <w:t>2.1. Alergenai, skirti diagnostikai ir gydymui; kraujo preparatai, imunobiologiniai preparatai</w:t>
                        </w:r>
                      </w:p>
                    </w:tc>
                    <w:tc>
                      <w:tcPr>
                        <w:tcW w:w="1665" w:type="dxa"/>
                        <w:vMerge w:val="restart"/>
                      </w:tcPr>
                      <w:p>
                        <w:pPr>
                          <w:rPr>
                            <w:sz w:val="18"/>
                            <w:szCs w:val="18"/>
                          </w:rPr>
                        </w:pPr>
                        <w:r>
                          <w:rPr>
                            <w:sz w:val="18"/>
                            <w:szCs w:val="18"/>
                          </w:rPr>
                          <w:t xml:space="preserve">Gamyba </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 xml:space="preserve">2. Lėtinės plaučių ligos </w:t>
                          <w:br/>
                          <w:t>J44–J47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5.Lėtinės kepenų ligos K70–K77</w:t>
                        </w:r>
                      </w:p>
                      <w:p>
                        <w:pPr>
                          <w:rPr>
                            <w:sz w:val="18"/>
                            <w:szCs w:val="18"/>
                          </w:rPr>
                        </w:pPr>
                        <w:r>
                          <w:rPr>
                            <w:sz w:val="18"/>
                            <w:szCs w:val="18"/>
                          </w:rPr>
                          <w:t>6. Lėtinės inkstų ligos N00–N08, N10–N23</w:t>
                        </w:r>
                      </w:p>
                      <w:p>
                        <w:pPr>
                          <w:rPr>
                            <w:sz w:val="18"/>
                            <w:szCs w:val="18"/>
                          </w:rPr>
                        </w:pPr>
                        <w:r>
                          <w:rPr>
                            <w:sz w:val="18"/>
                            <w:szCs w:val="18"/>
                            <w:lang w:val="fr-FR"/>
                          </w:rPr>
                          <w:t>7. Navikiniai susirgimai anamnezėje C00–D48</w:t>
                        </w:r>
                      </w:p>
                    </w:tc>
                  </w:tr>
                  <w:tr>
                    <w:trPr>
                      <w:gridAfter w:val="1"/>
                      <w:wAfter w:w="8" w:type="dxa"/>
                      <w:trHeight w:val="1861"/>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1450"/>
                    </w:trPr>
                    <w:tc>
                      <w:tcPr>
                        <w:tcW w:w="2435" w:type="dxa"/>
                        <w:vMerge w:val="restart"/>
                      </w:tcPr>
                      <w:p>
                        <w:pPr>
                          <w:rPr>
                            <w:sz w:val="18"/>
                            <w:szCs w:val="18"/>
                          </w:rPr>
                        </w:pPr>
                        <w:r>
                          <w:rPr>
                            <w:sz w:val="18"/>
                            <w:szCs w:val="18"/>
                          </w:rPr>
                          <w:t>2.2. Antibiotikai („A“)</w:t>
                        </w:r>
                      </w:p>
                    </w:tc>
                    <w:tc>
                      <w:tcPr>
                        <w:tcW w:w="1665" w:type="dxa"/>
                        <w:vMerge w:val="restart"/>
                      </w:tcPr>
                      <w:p>
                        <w:pPr>
                          <w:rPr>
                            <w:sz w:val="18"/>
                            <w:szCs w:val="18"/>
                          </w:rPr>
                        </w:pPr>
                        <w:r>
                          <w:rPr>
                            <w:sz w:val="18"/>
                            <w:szCs w:val="18"/>
                          </w:rPr>
                          <w:t>Naudojimas medicinoje, veterinarijoje ir vaistinėse</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2. Lėtinės plaučių ligos J 44– 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 Lėtinės kepenų ligos K70–K77</w:t>
                        </w:r>
                      </w:p>
                    </w:tc>
                  </w:tr>
                  <w:tr>
                    <w:trPr>
                      <w:gridAfter w:val="1"/>
                      <w:wAfter w:w="8" w:type="dxa"/>
                      <w:trHeight w:val="144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416"/>
                    </w:trPr>
                    <w:tc>
                      <w:tcPr>
                        <w:tcW w:w="2435" w:type="dxa"/>
                        <w:vMerge w:val="restart"/>
                      </w:tcPr>
                      <w:p>
                        <w:pPr>
                          <w:rPr>
                            <w:sz w:val="18"/>
                            <w:szCs w:val="18"/>
                          </w:rPr>
                        </w:pPr>
                        <w:r>
                          <w:rPr>
                            <w:sz w:val="18"/>
                            <w:szCs w:val="18"/>
                          </w:rPr>
                          <w:t>2.3. Fermentiniai preparatai, biostimuliatoriai („A“)</w:t>
                        </w:r>
                      </w:p>
                    </w:tc>
                    <w:tc>
                      <w:tcPr>
                        <w:tcW w:w="1665" w:type="dxa"/>
                        <w:vMerge w:val="restart"/>
                      </w:tcPr>
                      <w:p>
                        <w:pPr>
                          <w:rPr>
                            <w:sz w:val="18"/>
                            <w:szCs w:val="18"/>
                          </w:rPr>
                        </w:pPr>
                        <w:r>
                          <w:rPr>
                            <w:sz w:val="18"/>
                            <w:szCs w:val="18"/>
                          </w:rPr>
                          <w:t>Gamyba ir panaudojimas medicinoje, vaistinėse, žemės ūkyje ir kt.</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 J31</w:t>
                        </w:r>
                      </w:p>
                    </w:tc>
                  </w:tr>
                  <w:tr>
                    <w:trPr>
                      <w:gridAfter w:val="1"/>
                      <w:wAfter w:w="8" w:type="dxa"/>
                      <w:trHeight w:val="103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725"/>
                    </w:trPr>
                    <w:tc>
                      <w:tcPr>
                        <w:tcW w:w="2435" w:type="dxa"/>
                        <w:vMerge w:val="restart"/>
                      </w:tcPr>
                      <w:p>
                        <w:pPr>
                          <w:rPr>
                            <w:sz w:val="18"/>
                            <w:szCs w:val="18"/>
                          </w:rPr>
                        </w:pPr>
                        <w:r>
                          <w:rPr>
                            <w:sz w:val="18"/>
                            <w:szCs w:val="18"/>
                          </w:rPr>
                          <w:t>2.4. Grybai – producentai, baltymų – vitaminų koncentratai, pašarinės mielės, kombinuotieji pašarai („A“)</w:t>
                        </w:r>
                      </w:p>
                    </w:tc>
                    <w:tc>
                      <w:tcPr>
                        <w:tcW w:w="1665" w:type="dxa"/>
                        <w:vMerge w:val="restart"/>
                      </w:tcPr>
                      <w:p>
                        <w:pPr>
                          <w:rPr>
                            <w:sz w:val="18"/>
                            <w:szCs w:val="18"/>
                          </w:rPr>
                        </w:pPr>
                        <w:r>
                          <w:rPr>
                            <w:sz w:val="18"/>
                            <w:szCs w:val="18"/>
                          </w:rPr>
                          <w:t>Gamyba ir produktų, gautų mikrobiologinės sintezės būdu, naudojimas. Transportavimo taros plovimas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J30–J31</w:t>
                        </w:r>
                      </w:p>
                      <w:p>
                        <w:pPr>
                          <w:rPr>
                            <w:sz w:val="18"/>
                            <w:szCs w:val="18"/>
                          </w:rPr>
                        </w:pPr>
                        <w:r>
                          <w:rPr>
                            <w:sz w:val="18"/>
                            <w:szCs w:val="18"/>
                          </w:rPr>
                          <w:t>3. Lėtinės plaučių ligos J41– J47</w:t>
                        </w:r>
                      </w:p>
                    </w:tc>
                  </w:tr>
                  <w:tr>
                    <w:trPr>
                      <w:gridAfter w:val="1"/>
                      <w:wAfter w:w="8" w:type="dxa"/>
                      <w:trHeight w:val="724"/>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Pr>
                    <w:tc>
                      <w:tcPr>
                        <w:tcW w:w="2435" w:type="dxa"/>
                      </w:tcPr>
                      <w:p>
                        <w:pPr>
                          <w:rPr>
                            <w:sz w:val="18"/>
                            <w:szCs w:val="18"/>
                          </w:rPr>
                        </w:pPr>
                        <w:r>
                          <w:rPr>
                            <w:sz w:val="18"/>
                            <w:szCs w:val="18"/>
                          </w:rPr>
                          <w:t>2.5. Helmintais užkrėsta medžiaga</w:t>
                        </w:r>
                      </w:p>
                    </w:tc>
                    <w:tc>
                      <w:tcPr>
                        <w:tcW w:w="1665" w:type="dxa"/>
                      </w:tcPr>
                      <w:p>
                        <w:pPr>
                          <w:rPr>
                            <w:sz w:val="18"/>
                            <w:szCs w:val="18"/>
                          </w:rPr>
                        </w:pPr>
                        <w:r>
                          <w:rPr>
                            <w:sz w:val="18"/>
                            <w:szCs w:val="18"/>
                          </w:rPr>
                          <w:t>Kontaktavimas su užkrėsta helmintais medžiaga, infekciniais ligoniais</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Kraujo tyrimas hematologiniu analizatoriumi (eritrocitai, hemoglobinas, leukocitai, trombocitai), KLR,</w:t>
                        </w:r>
                      </w:p>
                      <w:p>
                        <w:pPr>
                          <w:rPr>
                            <w:sz w:val="18"/>
                            <w:szCs w:val="18"/>
                          </w:rPr>
                        </w:pPr>
                        <w:r>
                          <w:rPr>
                            <w:sz w:val="18"/>
                            <w:szCs w:val="18"/>
                          </w:rPr>
                          <w:t>esant indikacijų – išmatų tyrimas dėl helmintų ir kiti tyrimai</w:t>
                        </w:r>
                      </w:p>
                    </w:tc>
                    <w:tc>
                      <w:tcPr>
                        <w:tcW w:w="2215" w:type="dxa"/>
                      </w:tcPr>
                      <w:p>
                        <w:pPr>
                          <w:rPr>
                            <w:sz w:val="18"/>
                            <w:szCs w:val="18"/>
                          </w:rPr>
                        </w:pPr>
                        <w:r>
                          <w:rPr>
                            <w:sz w:val="18"/>
                            <w:szCs w:val="18"/>
                          </w:rPr>
                          <w:t>Bendrosios kontraindikacijos</w:t>
                        </w:r>
                      </w:p>
                    </w:tc>
                  </w:tr>
                  <w:tr>
                    <w:trPr>
                      <w:gridAfter w:val="1"/>
                      <w:wAfter w:w="8" w:type="dxa"/>
                    </w:trPr>
                    <w:tc>
                      <w:tcPr>
                        <w:tcW w:w="2435" w:type="dxa"/>
                      </w:tcPr>
                      <w:p>
                        <w:pPr>
                          <w:rPr>
                            <w:sz w:val="18"/>
                            <w:szCs w:val="18"/>
                          </w:rPr>
                        </w:pPr>
                        <w:r>
                          <w:rPr>
                            <w:sz w:val="18"/>
                            <w:szCs w:val="18"/>
                          </w:rPr>
                          <w:t>2.5.1. Pavojingos biologinės medžiagos (I – IV rizikos grupės, iš jų infekcinių ir virusinių ligų sukėlėjai)</w:t>
                        </w:r>
                      </w:p>
                    </w:tc>
                    <w:tc>
                      <w:tcPr>
                        <w:tcW w:w="1665" w:type="dxa"/>
                      </w:tcPr>
                      <w:p>
                        <w:pPr>
                          <w:rPr>
                            <w:sz w:val="18"/>
                            <w:szCs w:val="18"/>
                          </w:rPr>
                        </w:pPr>
                        <w:r>
                          <w:rPr>
                            <w:sz w:val="18"/>
                            <w:szCs w:val="18"/>
                          </w:rPr>
                          <w:t>Darbai maisto gamybos įmonėse, darbai, kurių metu kontaktuojama su gyvūnais ir gyvūninės kilmės produktais; darbai sveikatos apsaugos įstaigose, įskaitant darbą izoliatoriuose ir lavoninėse; darbai klinikinėse, veterinarijos ir diagnostikos laboratorijose; darbai žemės ūkyje; darbai atliekų perdirbimo (utilizavimo) įmonėse, vandens valymo įrenginiuose ir kt.</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 xml:space="preserve">Kraujo tyrimas hematologiniu analizatoriumi (eritrocitai, hemoglobinas, leukocitai, trombocitai), esant indikacijų – KLR  </w:t>
                        </w:r>
                      </w:p>
                    </w:tc>
                    <w:tc>
                      <w:tcPr>
                        <w:tcW w:w="2215" w:type="dxa"/>
                      </w:tcPr>
                      <w:p>
                        <w:pPr>
                          <w:rPr>
                            <w:sz w:val="18"/>
                            <w:szCs w:val="18"/>
                          </w:rPr>
                        </w:pPr>
                        <w:r>
                          <w:rPr>
                            <w:sz w:val="18"/>
                            <w:szCs w:val="18"/>
                          </w:rPr>
                          <w:t>Bendrosios kontraindikacijos</w:t>
                        </w: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02"/>
                    <w:gridCol w:w="1459"/>
                    <w:gridCol w:w="1938"/>
                    <w:gridCol w:w="2106"/>
                    <w:gridCol w:w="2984"/>
                    <w:gridCol w:w="2168"/>
                  </w:tblGrid>
                  <w:tr>
                    <w:tc>
                      <w:tcPr>
                        <w:tcW w:w="14740" w:type="dxa"/>
                        <w:gridSpan w:val="7"/>
                      </w:tcPr>
                      <w:p>
                        <w:pPr>
                          <w:jc w:val="center"/>
                          <w:rPr>
                            <w:b/>
                            <w:sz w:val="18"/>
                            <w:szCs w:val="18"/>
                          </w:rPr>
                        </w:pPr>
                        <w:r>
                          <w:rPr>
                            <w:b/>
                            <w:sz w:val="18"/>
                            <w:szCs w:val="18"/>
                          </w:rPr>
                          <w:t xml:space="preserve">3. FIZIKINIAI VEIKSNIAI </w:t>
                        </w:r>
                      </w:p>
                    </w:tc>
                  </w:tr>
                  <w:tr>
                    <w:trPr>
                      <w:trHeight w:val="126"/>
                    </w:trPr>
                    <w:tc>
                      <w:tcPr>
                        <w:tcW w:w="2383" w:type="dxa"/>
                        <w:vMerge w:val="restart"/>
                      </w:tcPr>
                      <w:p>
                        <w:pPr>
                          <w:rPr>
                            <w:sz w:val="18"/>
                            <w:szCs w:val="18"/>
                          </w:rPr>
                        </w:pPr>
                        <w:r>
                          <w:rPr>
                            <w:sz w:val="18"/>
                            <w:szCs w:val="18"/>
                          </w:rPr>
                          <w:t>3.1. Jonizuojančiosios spinduliuotės šaltiniai („A“, „C“)</w:t>
                        </w:r>
                      </w:p>
                    </w:tc>
                    <w:tc>
                      <w:tcPr>
                        <w:tcW w:w="1702" w:type="dxa"/>
                        <w:vMerge w:val="restart"/>
                      </w:tcPr>
                      <w:p>
                        <w:pPr>
                          <w:rPr>
                            <w:sz w:val="18"/>
                            <w:szCs w:val="18"/>
                          </w:rPr>
                        </w:pPr>
                        <w:r>
                          <w:rPr>
                            <w:sz w:val="18"/>
                            <w:szCs w:val="18"/>
                          </w:rPr>
                          <w:t>1. Darbai su jonizuojančiosios spinduliuotės generatoriais ir uždaraisiais ir jonizuojančiosios spinduliuotės šaltiniais (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esant indikacijų – neurologas, psichiatras ir kitų profesinių kvalifikacijų gydytojai </w:t>
                        </w:r>
                      </w:p>
                    </w:tc>
                    <w:tc>
                      <w:tcPr>
                        <w:tcW w:w="2984" w:type="dxa"/>
                        <w:vMerge w:val="restart"/>
                      </w:tcPr>
                      <w:p>
                        <w:pPr>
                          <w:rPr>
                            <w:sz w:val="18"/>
                            <w:szCs w:val="18"/>
                          </w:rPr>
                        </w:pPr>
                        <w:r>
                          <w:rPr>
                            <w:sz w:val="18"/>
                            <w:szCs w:val="18"/>
                          </w:rPr>
                          <w:t xml:space="preserve">Kraujo tyrimas hematologiniu analizatoriumi (eritrocitai, hemoglobinas, leukocitai, trombocitai), leukograma, regėjimo aštrumas, </w:t>
                        </w:r>
                      </w:p>
                      <w:p>
                        <w:pPr>
                          <w:rPr>
                            <w:sz w:val="18"/>
                            <w:szCs w:val="18"/>
                          </w:rPr>
                        </w:pPr>
                        <w:r>
                          <w:rPr>
                            <w:sz w:val="18"/>
                            <w:szCs w:val="18"/>
                          </w:rPr>
                          <w:t xml:space="preserve">akipločio ištyrimas, </w:t>
                        </w:r>
                      </w:p>
                      <w:p>
                        <w:pPr>
                          <w:rPr>
                            <w:sz w:val="18"/>
                            <w:szCs w:val="18"/>
                          </w:rPr>
                        </w:pPr>
                        <w:r>
                          <w:rPr>
                            <w:sz w:val="18"/>
                            <w:szCs w:val="18"/>
                          </w:rPr>
                          <w:t xml:space="preserve">esant indikacijų – IKFT, KLR </w:t>
                        </w:r>
                      </w:p>
                    </w:tc>
                    <w:tc>
                      <w:tcPr>
                        <w:tcW w:w="2168" w:type="dxa"/>
                        <w:vMerge w:val="restart"/>
                      </w:tcPr>
                      <w:p>
                        <w:pPr>
                          <w:rPr>
                            <w:sz w:val="18"/>
                            <w:szCs w:val="18"/>
                          </w:rPr>
                        </w:pPr>
                        <w:r>
                          <w:rPr>
                            <w:sz w:val="18"/>
                            <w:szCs w:val="18"/>
                          </w:rPr>
                          <w:t>1. Regėjimas su korekcija ne mažesnis kaip 0.5 – viena ir 0.2 – kita akimi. Refrakcija skiaskopiškai: trumparegystė, esant normaliam akies dugnui iki 10.0 D, toliaregystė – iki 8.0 D, astigmatizmas – ne mažiau kaip 3.0 D</w:t>
                        </w:r>
                      </w:p>
                      <w:p>
                        <w:pPr>
                          <w:tabs>
                            <w:tab w:val="center" w:pos="33"/>
                          </w:tabs>
                          <w:rPr>
                            <w:sz w:val="18"/>
                            <w:szCs w:val="18"/>
                          </w:rPr>
                        </w:pPr>
                        <w:r>
                          <w:rPr>
                            <w:sz w:val="18"/>
                            <w:szCs w:val="18"/>
                          </w:rPr>
                          <w:t>2. Katarakta H26 – H28. Individualiu atveju dėl galimybės dirbti sprendžia gydytojas oftalmologas.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 xml:space="preserve">3. Kraujo ir kraujodaros organų ligos D50–D53, D55–D59, D60–D64, D65–D69, D70–D77. </w:t>
                        </w:r>
                      </w:p>
                      <w:p>
                        <w:pPr>
                          <w:tabs>
                            <w:tab w:val="left" w:pos="177"/>
                            <w:tab w:val="left" w:pos="318"/>
                          </w:tabs>
                          <w:rPr>
                            <w:sz w:val="18"/>
                            <w:szCs w:val="18"/>
                          </w:rPr>
                        </w:pPr>
                        <w:r>
                          <w:rPr>
                            <w:sz w:val="18"/>
                            <w:szCs w:val="18"/>
                          </w:rPr>
                          <w:t xml:space="preserve">4.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5. Navikiniai susirgimai anamnezėje C00–D48.</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6. Susirgimai, neleidžiantys naudotis individualiųjų saugos priemonių, skirtų apsisaugoti nuo jonizuojančiosios spinduliuotės poveikio.</w:t>
                        </w:r>
                      </w:p>
                      <w:p>
                        <w:pPr>
                          <w:rPr>
                            <w:sz w:val="18"/>
                            <w:szCs w:val="18"/>
                          </w:rPr>
                        </w:pPr>
                        <w:r>
                          <w:rPr>
                            <w:sz w:val="18"/>
                            <w:szCs w:val="18"/>
                          </w:rPr>
                          <w:t>7. II–IV stadijų spindulinė liga, esant nuolatiniam kenkimui (esant spindulinės ligos I stadijai, apie tinkamumą dirbti sprendžiama individualiai) T66</w:t>
                        </w:r>
                      </w:p>
                      <w:p>
                        <w:pPr>
                          <w:rPr>
                            <w:sz w:val="18"/>
                            <w:szCs w:val="18"/>
                          </w:rPr>
                        </w:pPr>
                        <w:r>
                          <w:rPr>
                            <w:sz w:val="18"/>
                            <w:szCs w:val="18"/>
                          </w:rPr>
                          <w:t xml:space="preserve">8. Prienosinių ančių lėtinės pūlinės ligos J32 </w:t>
                        </w:r>
                      </w:p>
                      <w:p>
                        <w:pPr>
                          <w:rPr>
                            <w:sz w:val="18"/>
                            <w:szCs w:val="18"/>
                          </w:rPr>
                        </w:pPr>
                        <w:r>
                          <w:rPr>
                            <w:sz w:val="18"/>
                            <w:szCs w:val="18"/>
                          </w:rPr>
                          <w:t xml:space="preserve">9. Lėtiniai otitai su dažnais paūmėjimais H65–H75 </w:t>
                        </w:r>
                      </w:p>
                      <w:p>
                        <w:pPr>
                          <w:rPr>
                            <w:sz w:val="18"/>
                            <w:szCs w:val="18"/>
                          </w:rPr>
                        </w:pPr>
                        <w:r>
                          <w:rPr>
                            <w:sz w:val="18"/>
                            <w:szCs w:val="18"/>
                          </w:rPr>
                          <w:t>10. Cukrinis diabetas E10–E14</w:t>
                        </w:r>
                      </w:p>
                      <w:p>
                        <w:pPr>
                          <w:rPr>
                            <w:sz w:val="18"/>
                            <w:szCs w:val="18"/>
                          </w:rPr>
                        </w:pPr>
                        <w:r>
                          <w:rPr>
                            <w:sz w:val="18"/>
                            <w:szCs w:val="18"/>
                          </w:rPr>
                          <w:t>11. Psichikos ir elgesio sutrikimai</w:t>
                        </w:r>
                      </w:p>
                      <w:p>
                        <w:pPr>
                          <w:ind w:firstLine="50"/>
                          <w:rPr>
                            <w:sz w:val="18"/>
                            <w:szCs w:val="18"/>
                          </w:rPr>
                        </w:pPr>
                        <w:r>
                          <w:rPr>
                            <w:sz w:val="18"/>
                            <w:szCs w:val="18"/>
                          </w:rPr>
                          <w:t>F20–F29 (kiti psichikos ir elgesio sutrikimai</w:t>
                        </w:r>
                        <w:r>
                          <w:rPr>
                            <w:b/>
                            <w:sz w:val="18"/>
                            <w:szCs w:val="18"/>
                          </w:rPr>
                          <w:t> –</w:t>
                        </w:r>
                        <w:r>
                          <w:rPr>
                            <w:sz w:val="18"/>
                            <w:szCs w:val="18"/>
                          </w:rPr>
                          <w:t xml:space="preserve"> paūmėjimo metu)</w:t>
                        </w:r>
                      </w:p>
                    </w:tc>
                  </w:tr>
                  <w:tr>
                    <w:trPr>
                      <w:trHeight w:val="12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 esant indikacijų – neurologas, psichiatras ir kitų profesinių kvalifikacijų gydytojai</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tcPr>
                      <w:p>
                        <w:pPr>
                          <w:rPr>
                            <w:sz w:val="18"/>
                            <w:szCs w:val="18"/>
                          </w:rPr>
                        </w:pPr>
                      </w:p>
                    </w:tc>
                    <w:tc>
                      <w:tcPr>
                        <w:tcW w:w="1702" w:type="dxa"/>
                        <w:vMerge w:val="restart"/>
                      </w:tcPr>
                      <w:p>
                        <w:pPr>
                          <w:rPr>
                            <w:sz w:val="18"/>
                            <w:szCs w:val="18"/>
                          </w:rPr>
                        </w:pPr>
                        <w:r>
                          <w:rPr>
                            <w:sz w:val="18"/>
                            <w:szCs w:val="18"/>
                          </w:rPr>
                          <w:t>2. Darbai su atvirais jonizuojančiosios spinduliuotės šaltiniais, atominėje elektrinėje bei radioaktyviųjų atliekų ir panaudoto branduolinio kuro laikino ir galutinio saugojimo saugyklose (kapinynuose)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otorinolaringologas, psichiatras, esant indikacijų – nefrologas ir </w:t>
                        </w:r>
                        <w:r>
                          <w:rPr>
                            <w:bCs/>
                            <w:sz w:val="18"/>
                            <w:szCs w:val="18"/>
                          </w:rPr>
                          <w:t>kitų profesinių kvalifikacijų gydytojai</w:t>
                        </w:r>
                        <w:r>
                          <w:rPr>
                            <w:sz w:val="18"/>
                            <w:szCs w:val="18"/>
                          </w:rPr>
                          <w:t xml:space="preserve"> </w:t>
                        </w:r>
                      </w:p>
                    </w:tc>
                    <w:tc>
                      <w:tcPr>
                        <w:tcW w:w="2984" w:type="dxa"/>
                        <w:vMerge w:val="restart"/>
                      </w:tcPr>
                      <w:p>
                        <w:pPr>
                          <w:rPr>
                            <w:sz w:val="18"/>
                            <w:szCs w:val="18"/>
                          </w:rPr>
                        </w:pPr>
                        <w:r>
                          <w:rPr>
                            <w:sz w:val="18"/>
                            <w:szCs w:val="18"/>
                          </w:rPr>
                          <w:t>Kraujo tyrimas hematologiniu analizatoriumi (eritrocitai, hemoglobinas, leukocitai, trombocitai), leukograma, šlapimo tyrimas analizatoriumi,</w:t>
                        </w:r>
                      </w:p>
                      <w:p>
                        <w:pPr>
                          <w:rPr>
                            <w:sz w:val="18"/>
                            <w:szCs w:val="18"/>
                          </w:rPr>
                        </w:pPr>
                        <w:r>
                          <w:rPr>
                            <w:sz w:val="18"/>
                            <w:szCs w:val="18"/>
                          </w:rPr>
                          <w:t xml:space="preserve">regėjimo aštrumas, akipločio ištyrimas, </w:t>
                        </w:r>
                      </w:p>
                      <w:p>
                        <w:pPr>
                          <w:rPr>
                            <w:sz w:val="18"/>
                            <w:szCs w:val="18"/>
                          </w:rPr>
                        </w:pPr>
                        <w:r>
                          <w:rPr>
                            <w:sz w:val="18"/>
                            <w:szCs w:val="18"/>
                          </w:rPr>
                          <w:t>EKG,</w:t>
                        </w:r>
                      </w:p>
                      <w:p>
                        <w:pPr>
                          <w:rPr>
                            <w:sz w:val="18"/>
                            <w:szCs w:val="18"/>
                          </w:rPr>
                        </w:pPr>
                        <w:r>
                          <w:rPr>
                            <w:sz w:val="18"/>
                            <w:szCs w:val="18"/>
                          </w:rPr>
                          <w:t xml:space="preserve">esant indikacijų – IKFT, </w:t>
                        </w:r>
                      </w:p>
                      <w:p>
                        <w:pPr>
                          <w:rPr>
                            <w:sz w:val="18"/>
                            <w:szCs w:val="18"/>
                          </w:rPr>
                        </w:pPr>
                        <w:r>
                          <w:rPr>
                            <w:sz w:val="18"/>
                            <w:szCs w:val="18"/>
                          </w:rPr>
                          <w:t>KLR</w:t>
                        </w:r>
                      </w:p>
                    </w:tc>
                    <w:tc>
                      <w:tcPr>
                        <w:tcW w:w="2168" w:type="dxa"/>
                        <w:vMerge/>
                      </w:tcPr>
                      <w:p>
                        <w:pPr>
                          <w:rPr>
                            <w:sz w:val="18"/>
                            <w:szCs w:val="18"/>
                          </w:rPr>
                        </w:pPr>
                        <w:r>
                          <w:rPr>
                            <w:sz w:val="18"/>
                            <w:szCs w:val="18"/>
                          </w:rPr>
                          <w:t xml:space="preserve">1. </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oftalmologas, otorinolaringologas, psichiatras, esant indikacijų – nefrologas, dermatovenerologas ir </w:t>
                        </w:r>
                        <w:r>
                          <w:rPr>
                            <w:bCs/>
                            <w:sz w:val="18"/>
                            <w:szCs w:val="18"/>
                          </w:rPr>
                          <w:t>kitų profesinių kvalifikacijų gydytojai</w:t>
                        </w:r>
                      </w:p>
                    </w:tc>
                    <w:tc>
                      <w:tcPr>
                        <w:tcW w:w="2984" w:type="dxa"/>
                        <w:vMerge/>
                      </w:tcPr>
                      <w:p>
                        <w:pPr>
                          <w:rPr>
                            <w:sz w:val="18"/>
                            <w:szCs w:val="18"/>
                          </w:rPr>
                        </w:pPr>
                      </w:p>
                    </w:tc>
                    <w:tc>
                      <w:tcPr>
                        <w:tcW w:w="2168" w:type="dxa"/>
                        <w:vMerge/>
                      </w:tcPr>
                      <w:p>
                        <w:pPr>
                          <w:rPr>
                            <w:sz w:val="18"/>
                            <w:szCs w:val="18"/>
                          </w:rPr>
                        </w:pPr>
                        <w:r>
                          <w:rPr>
                            <w:sz w:val="18"/>
                            <w:szCs w:val="18"/>
                          </w:rPr>
                          <w:t xml:space="preserve">2. </w:t>
                        </w:r>
                      </w:p>
                    </w:tc>
                  </w:tr>
                  <w:tr>
                    <w:trPr>
                      <w:trHeight w:val="47"/>
                    </w:trPr>
                    <w:tc>
                      <w:tcPr>
                        <w:tcW w:w="2383" w:type="dxa"/>
                        <w:vMerge w:val="restart"/>
                      </w:tcPr>
                      <w:p>
                        <w:pPr>
                          <w:rPr>
                            <w:sz w:val="18"/>
                            <w:szCs w:val="18"/>
                          </w:rPr>
                        </w:pPr>
                        <w:r>
                          <w:rPr>
                            <w:sz w:val="18"/>
                            <w:szCs w:val="18"/>
                          </w:rPr>
                          <w:t>3.2 .Vibracija</w:t>
                        </w:r>
                      </w:p>
                    </w:tc>
                    <w:tc>
                      <w:tcPr>
                        <w:tcW w:w="1702" w:type="dxa"/>
                        <w:vMerge w:val="restart"/>
                      </w:tcPr>
                      <w:p>
                        <w:pPr>
                          <w:rPr>
                            <w:sz w:val="18"/>
                            <w:szCs w:val="18"/>
                          </w:rPr>
                        </w:pPr>
                        <w:r>
                          <w:rPr>
                            <w:sz w:val="18"/>
                            <w:szCs w:val="18"/>
                          </w:rPr>
                          <w:t>Visi darbai, susiję su vibracijos poveikiu:</w:t>
                        </w:r>
                      </w:p>
                      <w:p>
                        <w:pPr>
                          <w:rPr>
                            <w:b/>
                            <w:sz w:val="18"/>
                            <w:szCs w:val="18"/>
                          </w:rPr>
                        </w:pPr>
                        <w:r>
                          <w:rPr>
                            <w:sz w:val="18"/>
                            <w:szCs w:val="18"/>
                          </w:rPr>
                          <w:t>rankas ir visą žmogaus kūną veikianti vibracija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jc w:val="center"/>
                          <w:rPr>
                            <w:sz w:val="18"/>
                            <w:szCs w:val="18"/>
                          </w:rPr>
                        </w:pPr>
                        <w:r>
                          <w:rPr>
                            <w:sz w:val="18"/>
                            <w:szCs w:val="18"/>
                          </w:rPr>
                          <w:t>----</w:t>
                        </w:r>
                      </w:p>
                    </w:tc>
                    <w:tc>
                      <w:tcPr>
                        <w:tcW w:w="2984" w:type="dxa"/>
                        <w:vMerge w:val="restart"/>
                      </w:tcPr>
                      <w:p>
                        <w:pPr>
                          <w:rPr>
                            <w:sz w:val="18"/>
                            <w:szCs w:val="18"/>
                          </w:rPr>
                        </w:pPr>
                        <w:r>
                          <w:rPr>
                            <w:sz w:val="18"/>
                            <w:szCs w:val="18"/>
                          </w:rPr>
                          <w:t xml:space="preserve">Vestibulinės funkcijos tyrimas, </w:t>
                        </w:r>
                      </w:p>
                      <w:p>
                        <w:pPr>
                          <w:rPr>
                            <w:i/>
                            <w:sz w:val="18"/>
                            <w:szCs w:val="18"/>
                          </w:rPr>
                        </w:pPr>
                        <w:r>
                          <w:rPr>
                            <w:sz w:val="18"/>
                            <w:szCs w:val="18"/>
                          </w:rPr>
                          <w:t>esant indikacijų – audiograma</w:t>
                        </w:r>
                      </w:p>
                    </w:tc>
                    <w:tc>
                      <w:tcPr>
                        <w:tcW w:w="2168" w:type="dxa"/>
                        <w:vMerge w:val="restart"/>
                      </w:tcPr>
                      <w:p>
                        <w:pPr>
                          <w:rPr>
                            <w:sz w:val="18"/>
                            <w:szCs w:val="18"/>
                          </w:rPr>
                        </w:pPr>
                        <w:r>
                          <w:rPr>
                            <w:sz w:val="18"/>
                            <w:szCs w:val="18"/>
                          </w:rPr>
                          <w:t>1. Didelė komplikuota trumparegystė (daugiau kaip 8.0 D) H52.1</w:t>
                        </w:r>
                      </w:p>
                      <w:p>
                        <w:pPr>
                          <w:tabs>
                            <w:tab w:val="left" w:pos="177"/>
                            <w:tab w:val="left" w:pos="318"/>
                          </w:tabs>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rPr>
                            <w:sz w:val="18"/>
                            <w:szCs w:val="18"/>
                          </w:rPr>
                        </w:pPr>
                        <w:r>
                          <w:rPr>
                            <w:sz w:val="18"/>
                            <w:szCs w:val="18"/>
                          </w:rPr>
                          <w:t>3. Lėtinės periferinės nervų sistemos ir raumenų ligos G60–G64, G70–G73</w:t>
                        </w:r>
                      </w:p>
                      <w:p>
                        <w:pPr>
                          <w:tabs>
                            <w:tab w:val="center" w:pos="33"/>
                          </w:tabs>
                          <w:rPr>
                            <w:sz w:val="18"/>
                            <w:szCs w:val="18"/>
                          </w:rPr>
                        </w:pPr>
                        <w:r>
                          <w:rPr>
                            <w:sz w:val="18"/>
                            <w:szCs w:val="18"/>
                          </w:rPr>
                          <w:t>4.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tabs>
                            <w:tab w:val="center" w:pos="33"/>
                          </w:tabs>
                          <w:rPr>
                            <w:sz w:val="18"/>
                            <w:szCs w:val="18"/>
                          </w:rPr>
                        </w:pPr>
                        <w:r>
                          <w:rPr>
                            <w:sz w:val="18"/>
                            <w:szCs w:val="18"/>
                          </w:rPr>
                          <w:t xml:space="preserve">5. Vestibulinės funkcijos sutrikimai H81; H82 </w:t>
                        </w:r>
                      </w:p>
                      <w:p>
                        <w:pPr>
                          <w:rPr>
                            <w:sz w:val="18"/>
                            <w:szCs w:val="18"/>
                          </w:rPr>
                        </w:pPr>
                        <w:r>
                          <w:rPr>
                            <w:sz w:val="18"/>
                            <w:szCs w:val="18"/>
                          </w:rPr>
                          <w:t>6. Diskogeninės juosmens srities stuburo ligos M51.1</w:t>
                        </w:r>
                      </w:p>
                    </w:tc>
                  </w:tr>
                  <w:tr>
                    <w:trPr>
                      <w:trHeight w:val="64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 otorinolaringologas</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val="restart"/>
                      </w:tcPr>
                      <w:p>
                        <w:pPr>
                          <w:rPr>
                            <w:sz w:val="18"/>
                            <w:szCs w:val="18"/>
                          </w:rPr>
                        </w:pPr>
                        <w:r>
                          <w:rPr>
                            <w:sz w:val="18"/>
                            <w:szCs w:val="18"/>
                          </w:rPr>
                          <w:t>3.3. Akustinis triukšmas</w:t>
                        </w:r>
                      </w:p>
                    </w:tc>
                    <w:tc>
                      <w:tcPr>
                        <w:tcW w:w="1702" w:type="dxa"/>
                        <w:vMerge w:val="restart"/>
                      </w:tcPr>
                      <w:p>
                        <w:pPr>
                          <w:rPr>
                            <w:sz w:val="18"/>
                            <w:szCs w:val="18"/>
                          </w:rPr>
                        </w:pPr>
                        <w:r>
                          <w:rPr>
                            <w:sz w:val="18"/>
                            <w:szCs w:val="18"/>
                          </w:rPr>
                          <w:t xml:space="preserve">Darbai, kai kasdienio veikiančio triukšmo lygis viršija arba gali viršyti žemutinę ekspozicijos vertę veiksmams pradėti 80 dB (A)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Otorinolaringologas </w:t>
                        </w:r>
                      </w:p>
                    </w:tc>
                    <w:tc>
                      <w:tcPr>
                        <w:tcW w:w="2984" w:type="dxa"/>
                        <w:vMerge w:val="restart"/>
                      </w:tcPr>
                      <w:p>
                        <w:pPr>
                          <w:rPr>
                            <w:sz w:val="18"/>
                            <w:szCs w:val="18"/>
                          </w:rPr>
                        </w:pPr>
                        <w:r>
                          <w:rPr>
                            <w:sz w:val="18"/>
                            <w:szCs w:val="18"/>
                          </w:rPr>
                          <w:t xml:space="preserve">Audiograma, esant indikacijų – vestibulinės funkcijos tyrimas </w:t>
                        </w:r>
                      </w:p>
                    </w:tc>
                    <w:tc>
                      <w:tcPr>
                        <w:tcW w:w="2168" w:type="dxa"/>
                        <w:vMerge w:val="restart"/>
                      </w:tcPr>
                      <w:p>
                        <w:pPr>
                          <w:rPr>
                            <w:sz w:val="18"/>
                            <w:szCs w:val="18"/>
                          </w:rPr>
                        </w:pPr>
                        <w:r>
                          <w:rPr>
                            <w:sz w:val="18"/>
                            <w:szCs w:val="18"/>
                          </w:rPr>
                          <w:t>1.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rPr>
                            <w:sz w:val="18"/>
                            <w:szCs w:val="18"/>
                          </w:rPr>
                        </w:pPr>
                        <w:r>
                          <w:rPr>
                            <w:sz w:val="18"/>
                            <w:szCs w:val="18"/>
                          </w:rPr>
                          <w:t xml:space="preserve">2. Vestibulinės funkcijos sutrikimai: H81; H82 </w:t>
                        </w:r>
                      </w:p>
                      <w:p>
                        <w:pPr>
                          <w:rPr>
                            <w:sz w:val="18"/>
                            <w:szCs w:val="18"/>
                          </w:rPr>
                        </w:pPr>
                        <w:r>
                          <w:rPr>
                            <w:sz w:val="18"/>
                            <w:szCs w:val="18"/>
                          </w:rPr>
                          <w:t>3. Sunki arterinė hipertenzija I 11– I15</w:t>
                        </w:r>
                      </w:p>
                    </w:tc>
                  </w:tr>
                  <w:tr>
                    <w:trPr>
                      <w:trHeight w:val="5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 otorinolaringologas</w:t>
                        </w:r>
                      </w:p>
                    </w:tc>
                    <w:tc>
                      <w:tcPr>
                        <w:tcW w:w="2984" w:type="dxa"/>
                        <w:vMerge/>
                      </w:tcPr>
                      <w:p>
                        <w:pPr>
                          <w:rPr>
                            <w:sz w:val="18"/>
                            <w:szCs w:val="18"/>
                          </w:rPr>
                        </w:pPr>
                      </w:p>
                    </w:tc>
                    <w:tc>
                      <w:tcPr>
                        <w:tcW w:w="2168" w:type="dxa"/>
                        <w:vMerge/>
                      </w:tcPr>
                      <w:p>
                        <w:pPr>
                          <w:rPr>
                            <w:sz w:val="18"/>
                            <w:szCs w:val="18"/>
                          </w:rPr>
                        </w:pPr>
                      </w:p>
                    </w:tc>
                  </w:tr>
                  <w:tr>
                    <w:trPr>
                      <w:cantSplit/>
                      <w:trHeight w:val="212"/>
                    </w:trPr>
                    <w:tc>
                      <w:tcPr>
                        <w:tcW w:w="2383" w:type="dxa"/>
                        <w:vMerge w:val="restart"/>
                      </w:tcPr>
                      <w:p>
                        <w:pPr>
                          <w:rPr>
                            <w:sz w:val="18"/>
                            <w:szCs w:val="18"/>
                          </w:rPr>
                        </w:pPr>
                        <w:r>
                          <w:rPr>
                            <w:sz w:val="18"/>
                            <w:szCs w:val="18"/>
                          </w:rPr>
                          <w:t>3.4. Dirbtinė optinė spinduliuotė</w:t>
                        </w:r>
                      </w:p>
                      <w:p>
                        <w:pPr>
                          <w:rPr>
                            <w:sz w:val="18"/>
                            <w:szCs w:val="18"/>
                          </w:rPr>
                        </w:pPr>
                      </w:p>
                      <w:p>
                        <w:pPr>
                          <w:rPr>
                            <w:sz w:val="18"/>
                            <w:szCs w:val="18"/>
                          </w:rPr>
                        </w:pPr>
                        <w:r>
                          <w:rPr>
                            <w:sz w:val="18"/>
                            <w:szCs w:val="18"/>
                          </w:rPr>
                          <w:t>3.4.1. Lazerio (koherentinė) spinduliuotė</w:t>
                        </w:r>
                      </w:p>
                      <w:p>
                        <w:pPr>
                          <w:rPr>
                            <w:sz w:val="18"/>
                            <w:szCs w:val="18"/>
                          </w:rPr>
                        </w:pPr>
                      </w:p>
                      <w:p>
                        <w:pPr>
                          <w:rPr>
                            <w:strike/>
                            <w:sz w:val="18"/>
                            <w:szCs w:val="18"/>
                          </w:rPr>
                        </w:pPr>
                        <w:r>
                          <w:rPr>
                            <w:sz w:val="18"/>
                            <w:szCs w:val="18"/>
                          </w:rPr>
                          <w:t>3.4.2. Nekoherentinė spinduliuotė – bet kokia optinė (ultravioletinė, regimoji, infraraudonoji) spinduliuotė, išskyrus lazerio spinduliuotę</w:t>
                        </w:r>
                      </w:p>
                    </w:tc>
                    <w:tc>
                      <w:tcPr>
                        <w:tcW w:w="1702" w:type="dxa"/>
                        <w:vMerge w:val="restart"/>
                      </w:tcPr>
                      <w:p>
                        <w:pPr>
                          <w:rPr>
                            <w:sz w:val="18"/>
                            <w:szCs w:val="18"/>
                          </w:rPr>
                        </w:pPr>
                        <w:r>
                          <w:rPr>
                            <w:sz w:val="18"/>
                            <w:szCs w:val="18"/>
                          </w:rPr>
                          <w:t>Visos darbo su lazeriais ir su nekoherentinės optinės spinduliuotės šaltiniais rūšys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val="restart"/>
                      </w:tcPr>
                      <w:p>
                        <w:pPr>
                          <w:rPr>
                            <w:sz w:val="18"/>
                            <w:szCs w:val="18"/>
                          </w:rPr>
                        </w:pPr>
                        <w:r>
                          <w:rPr>
                            <w:sz w:val="18"/>
                            <w:szCs w:val="18"/>
                          </w:rPr>
                          <w:t>Kraujo tyrimas hematologiniu analizatoriumi (eritrocitai, hemoglobinas, leukocitai, trombocitai)</w:t>
                        </w:r>
                      </w:p>
                    </w:tc>
                    <w:tc>
                      <w:tcPr>
                        <w:tcW w:w="2168" w:type="dxa"/>
                        <w:vMerge w:val="restart"/>
                      </w:tcPr>
                      <w:p>
                        <w:pPr>
                          <w:rPr>
                            <w:sz w:val="18"/>
                            <w:szCs w:val="18"/>
                          </w:rPr>
                        </w:pPr>
                        <w:r>
                          <w:rPr>
                            <w:sz w:val="18"/>
                            <w:szCs w:val="18"/>
                          </w:rPr>
                          <w:t xml:space="preserve">1. Regėjimo susilpnėjimas: mažiau kaip 0.6 –  viena ir mažiau kaip 0.5 – kita akimi (su korekcija). Leidžiamos šios anomalinės skiaskopiškai nustatomos refrakcijos ribos: silpnesnės akies – trumparegystė ne daugiau kaip 6.0 D, esant normaliam akies dugnui – iki 10 D, toliaregystė, priklausomai nuo korekcijos – iki 6.0 D, sudėtingas trumparegiškas ar toliaregiškas astigmatizmas – ne daugiau kaip 3.0 D, trumparegiškas ir toliaregiškas astigmatizmas – ne daugiau kaip 3.0 D</w:t>
                        </w:r>
                      </w:p>
                      <w:p>
                        <w:pPr>
                          <w:rPr>
                            <w:sz w:val="18"/>
                            <w:szCs w:val="18"/>
                          </w:rPr>
                        </w:pPr>
                        <w:r>
                          <w:rPr>
                            <w:sz w:val="18"/>
                            <w:szCs w:val="18"/>
                          </w:rPr>
                          <w:t>2. Katarakta H26–H28. Individualiu atveju dėl galimybės dirbti sprendžia gydytojas oftalmologas.</w:t>
                        </w:r>
                      </w:p>
                      <w:p>
                        <w:pPr>
                          <w:rPr>
                            <w:sz w:val="18"/>
                            <w:szCs w:val="18"/>
                          </w:rPr>
                        </w:pPr>
                        <w:r>
                          <w:rPr>
                            <w:sz w:val="18"/>
                            <w:szCs w:val="18"/>
                          </w:rPr>
                          <w:t>3. Lėtinės pasikartojančios odos ligos L20, L23, L40, L50, L53</w:t>
                        </w:r>
                      </w:p>
                    </w:tc>
                  </w:tr>
                  <w:tr>
                    <w:trPr>
                      <w:cantSplit/>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 xml:space="preserve">esant indikacijų – dermatovenerologas, </w:t>
                        </w:r>
                      </w:p>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r>
                    <w:tc>
                      <w:tcPr>
                        <w:tcW w:w="2383" w:type="dxa"/>
                      </w:tcPr>
                      <w:p>
                        <w:pPr>
                          <w:rPr>
                            <w:bCs/>
                            <w:sz w:val="18"/>
                            <w:szCs w:val="18"/>
                          </w:rPr>
                        </w:pPr>
                        <w:r>
                          <w:rPr>
                            <w:bCs/>
                            <w:sz w:val="18"/>
                            <w:szCs w:val="18"/>
                          </w:rPr>
                          <w:t xml:space="preserve">3.5. Elektrinis ir magnetinis laukai: </w:t>
                        </w:r>
                      </w:p>
                    </w:tc>
                    <w:tc>
                      <w:tcPr>
                        <w:tcW w:w="1702" w:type="dxa"/>
                      </w:tcPr>
                      <w:p>
                        <w:pPr>
                          <w:rPr>
                            <w:bCs/>
                            <w:strike/>
                            <w:sz w:val="18"/>
                            <w:szCs w:val="18"/>
                          </w:rPr>
                        </w:pPr>
                      </w:p>
                    </w:tc>
                    <w:tc>
                      <w:tcPr>
                        <w:tcW w:w="1459" w:type="dxa"/>
                      </w:tcPr>
                      <w:p>
                        <w:pPr>
                          <w:rPr>
                            <w:bCs/>
                            <w:strike/>
                            <w:sz w:val="18"/>
                            <w:szCs w:val="18"/>
                          </w:rPr>
                        </w:pPr>
                      </w:p>
                    </w:tc>
                    <w:tc>
                      <w:tcPr>
                        <w:tcW w:w="1938" w:type="dxa"/>
                      </w:tcPr>
                      <w:p>
                        <w:pPr>
                          <w:rPr>
                            <w:bCs/>
                            <w:strike/>
                            <w:sz w:val="18"/>
                            <w:szCs w:val="18"/>
                          </w:rPr>
                        </w:pPr>
                      </w:p>
                    </w:tc>
                    <w:tc>
                      <w:tcPr>
                        <w:tcW w:w="2106" w:type="dxa"/>
                      </w:tcPr>
                      <w:p>
                        <w:pPr>
                          <w:rPr>
                            <w:bCs/>
                            <w:strike/>
                            <w:sz w:val="18"/>
                            <w:szCs w:val="18"/>
                          </w:rPr>
                        </w:pPr>
                      </w:p>
                    </w:tc>
                    <w:tc>
                      <w:tcPr>
                        <w:tcW w:w="2984" w:type="dxa"/>
                      </w:tcPr>
                      <w:p>
                        <w:pPr>
                          <w:rPr>
                            <w:bCs/>
                            <w:strike/>
                            <w:sz w:val="18"/>
                            <w:szCs w:val="18"/>
                          </w:rPr>
                        </w:pPr>
                      </w:p>
                    </w:tc>
                    <w:tc>
                      <w:tcPr>
                        <w:tcW w:w="2168" w:type="dxa"/>
                      </w:tcPr>
                      <w:p>
                        <w:pPr>
                          <w:rPr>
                            <w:bCs/>
                            <w:strike/>
                            <w:sz w:val="18"/>
                            <w:szCs w:val="18"/>
                          </w:rPr>
                        </w:pPr>
                      </w:p>
                    </w:tc>
                  </w:tr>
                  <w:tr>
                    <w:trPr>
                      <w:trHeight w:val="47"/>
                    </w:trPr>
                    <w:tc>
                      <w:tcPr>
                        <w:tcW w:w="2383" w:type="dxa"/>
                        <w:vMerge w:val="restart"/>
                      </w:tcPr>
                      <w:p>
                        <w:pPr>
                          <w:rPr>
                            <w:bCs/>
                            <w:sz w:val="18"/>
                            <w:szCs w:val="18"/>
                          </w:rPr>
                        </w:pPr>
                        <w:r>
                          <w:rPr>
                            <w:bCs/>
                            <w:sz w:val="18"/>
                            <w:szCs w:val="18"/>
                          </w:rPr>
                          <w:t>3.5.1. Elektromagnetinis laukas 10 kHz – 300 GHz dažnių juostose</w:t>
                        </w:r>
                      </w:p>
                    </w:tc>
                    <w:tc>
                      <w:tcPr>
                        <w:tcW w:w="1702" w:type="dxa"/>
                        <w:vMerge w:val="restart"/>
                      </w:tcPr>
                      <w:p>
                        <w:pPr>
                          <w:rPr>
                            <w:bCs/>
                            <w:sz w:val="18"/>
                            <w:szCs w:val="18"/>
                          </w:rPr>
                        </w:pPr>
                        <w:r>
                          <w:rPr>
                            <w:bCs/>
                            <w:sz w:val="18"/>
                            <w:szCs w:val="18"/>
                          </w:rPr>
                          <w:t xml:space="preserve">Visos darbo su nurodyto diapazono elektromagnetinės energijos šaltiniais (stacionarūs radiotechniniai objektai bei jų sistemos) rūšys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sz w:val="18"/>
                            <w:szCs w:val="18"/>
                          </w:rPr>
                        </w:pPr>
                        <w:r>
                          <w:rPr>
                            <w:sz w:val="18"/>
                            <w:szCs w:val="18"/>
                          </w:rPr>
                          <w:t>Kraujo tyrimas hematologiniu analizatoriumi (eritrocitai, hemoglobinas, leukocitai, trombocitai),</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H26–H28.</w:t>
                        </w:r>
                      </w:p>
                      <w:p>
                        <w:pPr>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3.5.2. Pramoninio dažnio (50Hz) elektromagnetinis laukas</w:t>
                        </w:r>
                      </w:p>
                    </w:tc>
                    <w:tc>
                      <w:tcPr>
                        <w:tcW w:w="1702" w:type="dxa"/>
                        <w:vMerge w:val="restart"/>
                      </w:tcPr>
                      <w:p>
                        <w:pPr>
                          <w:rPr>
                            <w:bCs/>
                            <w:sz w:val="18"/>
                            <w:szCs w:val="18"/>
                          </w:rPr>
                        </w:pPr>
                        <w:r>
                          <w:rPr>
                            <w:bCs/>
                            <w:sz w:val="18"/>
                            <w:szCs w:val="18"/>
                          </w:rPr>
                          <w:t>Visi darbai, atliekami pramoninio dažnio (50 Hz) elektromagnetinio lauko įtakos zonoje</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 xml:space="preserve">, </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tabs>
                            <w:tab w:val="center" w:pos="33"/>
                          </w:tabs>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3.6. Elektrostatinis laukas</w:t>
                        </w:r>
                      </w:p>
                    </w:tc>
                    <w:tc>
                      <w:tcPr>
                        <w:tcW w:w="1702" w:type="dxa"/>
                        <w:vMerge w:val="restart"/>
                      </w:tcPr>
                      <w:p>
                        <w:pPr>
                          <w:rPr>
                            <w:bCs/>
                            <w:sz w:val="18"/>
                            <w:szCs w:val="18"/>
                          </w:rPr>
                        </w:pPr>
                        <w:r>
                          <w:rPr>
                            <w:bCs/>
                            <w:sz w:val="18"/>
                            <w:szCs w:val="18"/>
                          </w:rPr>
                          <w:t xml:space="preserve">Visi darbai su elektrostatinių laukų šaltiniais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w:t>
                        </w:r>
                      </w:p>
                      <w:p>
                        <w:pPr>
                          <w:rPr>
                            <w:bCs/>
                            <w:sz w:val="18"/>
                            <w:szCs w:val="18"/>
                          </w:rPr>
                        </w:pPr>
                        <w:r>
                          <w:rPr>
                            <w:sz w:val="18"/>
                            <w:szCs w:val="18"/>
                          </w:rPr>
                          <w:t xml:space="preserve">esant indikacijų – </w:t>
                        </w:r>
                        <w:r>
                          <w:rPr>
                            <w:bCs/>
                            <w:sz w:val="18"/>
                            <w:szCs w:val="18"/>
                          </w:rPr>
                          <w:t>EKG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rPr>
                            <w:bCs/>
                            <w:sz w:val="18"/>
                            <w:szCs w:val="18"/>
                          </w:rPr>
                        </w:pPr>
                        <w:r>
                          <w:rPr>
                            <w:sz w:val="18"/>
                            <w:szCs w:val="18"/>
                          </w:rPr>
                          <w:t>Individualiu atveju dėl galimybės dirbti sprendžia gydytojas oftalmologas.</w:t>
                        </w:r>
                      </w:p>
                    </w:tc>
                  </w:tr>
                  <w:tr>
                    <w:trPr>
                      <w:trHeight w:val="636"/>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c>
                      <w:tcPr>
                        <w:tcW w:w="2383" w:type="dxa"/>
                      </w:tcPr>
                      <w:p>
                        <w:pPr>
                          <w:rPr>
                            <w:bCs/>
                            <w:sz w:val="18"/>
                            <w:szCs w:val="18"/>
                          </w:rPr>
                        </w:pPr>
                        <w:r>
                          <w:rPr>
                            <w:bCs/>
                            <w:sz w:val="18"/>
                            <w:szCs w:val="18"/>
                          </w:rPr>
                          <w:t>3.7. Šiluminė aplinka</w:t>
                        </w:r>
                      </w:p>
                    </w:tc>
                    <w:tc>
                      <w:tcPr>
                        <w:tcW w:w="1702" w:type="dxa"/>
                      </w:tcPr>
                      <w:p>
                        <w:pPr>
                          <w:rPr>
                            <w:bCs/>
                            <w:sz w:val="18"/>
                            <w:szCs w:val="18"/>
                          </w:rPr>
                        </w:pPr>
                      </w:p>
                    </w:tc>
                    <w:tc>
                      <w:tcPr>
                        <w:tcW w:w="1459" w:type="dxa"/>
                      </w:tcPr>
                      <w:p>
                        <w:pPr>
                          <w:rPr>
                            <w:bCs/>
                            <w:sz w:val="18"/>
                            <w:szCs w:val="18"/>
                          </w:rPr>
                        </w:pPr>
                      </w:p>
                    </w:tc>
                    <w:tc>
                      <w:tcPr>
                        <w:tcW w:w="1938" w:type="dxa"/>
                      </w:tcPr>
                      <w:p>
                        <w:pPr>
                          <w:rPr>
                            <w:sz w:val="18"/>
                            <w:szCs w:val="18"/>
                          </w:rPr>
                        </w:pPr>
                      </w:p>
                    </w:tc>
                    <w:tc>
                      <w:tcPr>
                        <w:tcW w:w="2106" w:type="dxa"/>
                      </w:tcPr>
                      <w:p>
                        <w:pPr>
                          <w:rPr>
                            <w:sz w:val="18"/>
                            <w:szCs w:val="18"/>
                          </w:rPr>
                        </w:pPr>
                      </w:p>
                    </w:tc>
                    <w:tc>
                      <w:tcPr>
                        <w:tcW w:w="2984" w:type="dxa"/>
                      </w:tcPr>
                      <w:p>
                        <w:pPr>
                          <w:rPr>
                            <w:sz w:val="18"/>
                            <w:szCs w:val="18"/>
                          </w:rPr>
                        </w:pPr>
                      </w:p>
                    </w:tc>
                    <w:tc>
                      <w:tcPr>
                        <w:tcW w:w="2168" w:type="dxa"/>
                      </w:tcPr>
                      <w:p>
                        <w:pPr>
                          <w:rPr>
                            <w:sz w:val="18"/>
                            <w:szCs w:val="18"/>
                          </w:rPr>
                        </w:pPr>
                      </w:p>
                    </w:tc>
                  </w:tr>
                  <w:tr>
                    <w:trPr>
                      <w:trHeight w:val="47"/>
                    </w:trPr>
                    <w:tc>
                      <w:tcPr>
                        <w:tcW w:w="2383" w:type="dxa"/>
                        <w:vMerge w:val="restart"/>
                      </w:tcPr>
                      <w:p>
                        <w:pPr>
                          <w:rPr>
                            <w:bCs/>
                            <w:sz w:val="18"/>
                            <w:szCs w:val="18"/>
                          </w:rPr>
                        </w:pPr>
                        <w:r>
                          <w:rPr>
                            <w:bCs/>
                            <w:sz w:val="18"/>
                            <w:szCs w:val="18"/>
                          </w:rPr>
                          <w:t>3.7.1. Šiluminė aplinka darbo patalpose, šiltuoju metų laikotarpiu</w:t>
                        </w:r>
                      </w:p>
                    </w:tc>
                    <w:tc>
                      <w:tcPr>
                        <w:tcW w:w="1702" w:type="dxa"/>
                        <w:vMerge w:val="restart"/>
                      </w:tcPr>
                      <w:p>
                        <w:pPr>
                          <w:rPr>
                            <w:bCs/>
                            <w:sz w:val="18"/>
                            <w:szCs w:val="18"/>
                          </w:rPr>
                        </w:pPr>
                        <w:r>
                          <w:rPr>
                            <w:bCs/>
                            <w:sz w:val="18"/>
                            <w:szCs w:val="18"/>
                          </w:rPr>
                          <w:t>Darbai pagal technologinį procesą, kai negalima užtikrinti šiluminio komforto ir pakankamos šiluminės aplinkos darbo vietose higienos normos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rPr>
                            <w:sz w:val="18"/>
                            <w:szCs w:val="18"/>
                          </w:rPr>
                        </w:pPr>
                        <w:r>
                          <w:rPr>
                            <w:bCs/>
                            <w:sz w:val="18"/>
                            <w:szCs w:val="18"/>
                          </w:rPr>
                          <w:t xml:space="preserve">3. Katarakta </w:t>
                        </w:r>
                        <w:r>
                          <w:rPr>
                            <w:sz w:val="18"/>
                            <w:szCs w:val="18"/>
                          </w:rPr>
                          <w:t>H26–H28. Individualiu atveju dėl galimybės dirbti sprendžia gydytojas oftalmologas.</w:t>
                        </w:r>
                      </w:p>
                      <w:p>
                        <w:pPr>
                          <w:rPr>
                            <w:sz w:val="18"/>
                            <w:szCs w:val="18"/>
                          </w:rPr>
                        </w:pPr>
                        <w:r>
                          <w:rPr>
                            <w:sz w:val="18"/>
                            <w:szCs w:val="18"/>
                          </w:rPr>
                          <w:t>4. Lėtinės odos ligos L20, L23, L40, L50, L53–L54</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tcPr>
                      <w:p>
                        <w:pPr>
                          <w:rPr>
                            <w:sz w:val="18"/>
                            <w:szCs w:val="18"/>
                          </w:rPr>
                        </w:pPr>
                      </w:p>
                    </w:tc>
                    <w:tc>
                      <w:tcPr>
                        <w:tcW w:w="2168" w:type="dxa"/>
                        <w:vMerge/>
                      </w:tcPr>
                      <w:p>
                        <w:pPr>
                          <w:rPr>
                            <w:sz w:val="18"/>
                            <w:szCs w:val="18"/>
                          </w:rPr>
                        </w:pPr>
                      </w:p>
                    </w:tc>
                  </w:tr>
                  <w:tr>
                    <w:trPr>
                      <w:trHeight w:val="82"/>
                    </w:trPr>
                    <w:tc>
                      <w:tcPr>
                        <w:tcW w:w="2383" w:type="dxa"/>
                        <w:vMerge w:val="restart"/>
                      </w:tcPr>
                      <w:p>
                        <w:pPr>
                          <w:rPr>
                            <w:sz w:val="18"/>
                            <w:szCs w:val="18"/>
                          </w:rPr>
                        </w:pPr>
                        <w:r>
                          <w:rPr>
                            <w:sz w:val="18"/>
                            <w:szCs w:val="18"/>
                          </w:rPr>
                          <w:t>3.7.2. Šiluminė aplinka darbo patalpose šaltuoju metų laikotarpiu</w:t>
                        </w:r>
                      </w:p>
                    </w:tc>
                    <w:tc>
                      <w:tcPr>
                        <w:tcW w:w="1702" w:type="dxa"/>
                        <w:vMerge w:val="restart"/>
                      </w:tcPr>
                      <w:p>
                        <w:pPr>
                          <w:rPr>
                            <w:bCs/>
                            <w:sz w:val="18"/>
                            <w:szCs w:val="18"/>
                          </w:rPr>
                        </w:pPr>
                        <w:r>
                          <w:rPr>
                            <w:bCs/>
                            <w:sz w:val="18"/>
                            <w:szCs w:val="18"/>
                          </w:rPr>
                          <w:t>Darbai, viršijant žemiausią ribą pagal šiluminio komforto ir pakankamos šiluminės aplinkos darbo patalpose higienos normą</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p>
                    </w:tc>
                    <w:tc>
                      <w:tcPr>
                        <w:tcW w:w="2168" w:type="dxa"/>
                        <w:vMerge w:val="restart"/>
                      </w:tcPr>
                      <w:p>
                        <w:pPr>
                          <w:tabs>
                            <w:tab w:val="left" w:pos="177"/>
                            <w:tab w:val="left" w:pos="318"/>
                          </w:tabs>
                          <w:rPr>
                            <w:sz w:val="18"/>
                            <w:szCs w:val="18"/>
                          </w:rPr>
                        </w:pPr>
                        <w:r>
                          <w:rPr>
                            <w:sz w:val="18"/>
                            <w:szCs w:val="18"/>
                          </w:rPr>
                          <w:t>1. Obliteruojantis endarteritas, Raynaud sindromas I70–I73.0</w:t>
                        </w:r>
                      </w:p>
                      <w:p>
                        <w:pPr>
                          <w:rPr>
                            <w:sz w:val="18"/>
                            <w:szCs w:val="18"/>
                          </w:rPr>
                        </w:pPr>
                        <w:r>
                          <w:rPr>
                            <w:sz w:val="18"/>
                            <w:szCs w:val="18"/>
                          </w:rPr>
                          <w:t>2. Jungiamojo audinio lėtinės uždegiminės ligos M00–M13 M30–M35, M60–M63, M65–M68</w:t>
                        </w:r>
                      </w:p>
                      <w:p>
                        <w:pPr>
                          <w:rPr>
                            <w:sz w:val="18"/>
                            <w:szCs w:val="18"/>
                          </w:rPr>
                        </w:pPr>
                        <w:r>
                          <w:rPr>
                            <w:sz w:val="18"/>
                            <w:szCs w:val="18"/>
                          </w:rPr>
                          <w:t>3. Lėtinės periferinės nervų sistemos ir raumenų ligos G60–G64, G70–G73</w:t>
                        </w:r>
                      </w:p>
                    </w:tc>
                  </w:tr>
                  <w:tr>
                    <w:trPr>
                      <w:trHeight w:val="47"/>
                    </w:trPr>
                    <w:tc>
                      <w:tcPr>
                        <w:tcW w:w="2383" w:type="dxa"/>
                        <w:vMerge/>
                      </w:tcPr>
                      <w:p>
                        <w:pPr>
                          <w:rPr>
                            <w:sz w:val="18"/>
                            <w:szCs w:val="18"/>
                          </w:rPr>
                        </w:pPr>
                      </w:p>
                    </w:tc>
                    <w:tc>
                      <w:tcPr>
                        <w:tcW w:w="1702" w:type="dxa"/>
                        <w:vMerge/>
                      </w:tcPr>
                      <w:p>
                        <w:pPr>
                          <w:rPr>
                            <w:bCs/>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p>
                        <w:pPr>
                          <w:rPr>
                            <w:sz w:val="18"/>
                            <w:szCs w:val="18"/>
                          </w:rPr>
                        </w:pPr>
                        <w:r>
                          <w:rPr>
                            <w:sz w:val="18"/>
                            <w:szCs w:val="18"/>
                          </w:rPr>
                          <w:t>esant indikacijų – reumatologas</w:t>
                        </w:r>
                      </w:p>
                    </w:tc>
                    <w:tc>
                      <w:tcPr>
                        <w:tcW w:w="2984" w:type="dxa"/>
                        <w:vMerge/>
                      </w:tcPr>
                      <w:p>
                        <w:pPr>
                          <w:rPr>
                            <w:sz w:val="18"/>
                            <w:szCs w:val="18"/>
                          </w:rPr>
                        </w:pPr>
                      </w:p>
                    </w:tc>
                    <w:tc>
                      <w:tcPr>
                        <w:tcW w:w="2168" w:type="dxa"/>
                        <w:vMerge/>
                      </w:tcPr>
                      <w:p>
                        <w:pPr>
                          <w:tabs>
                            <w:tab w:val="left" w:pos="177"/>
                            <w:tab w:val="left" w:pos="318"/>
                          </w:tabs>
                          <w:rPr>
                            <w:sz w:val="18"/>
                            <w:szCs w:val="18"/>
                          </w:rPr>
                        </w:pPr>
                      </w:p>
                    </w:tc>
                  </w:tr>
                  <w:tr>
                    <w:trPr>
                      <w:trHeight w:val="47"/>
                    </w:trPr>
                    <w:tc>
                      <w:tcPr>
                        <w:tcW w:w="2383" w:type="dxa"/>
                        <w:vMerge w:val="restart"/>
                      </w:tcPr>
                      <w:p>
                        <w:pPr>
                          <w:rPr>
                            <w:sz w:val="18"/>
                            <w:szCs w:val="18"/>
                          </w:rPr>
                        </w:pPr>
                        <w:r>
                          <w:rPr>
                            <w:sz w:val="18"/>
                            <w:szCs w:val="18"/>
                          </w:rPr>
                          <w:t>3.7.3. Oro temperatūra, dirbant lauko sąlygomis</w:t>
                        </w:r>
                      </w:p>
                    </w:tc>
                    <w:tc>
                      <w:tcPr>
                        <w:tcW w:w="1702" w:type="dxa"/>
                        <w:vMerge w:val="restart"/>
                      </w:tcPr>
                      <w:p>
                        <w:pPr>
                          <w:rPr>
                            <w:sz w:val="18"/>
                            <w:szCs w:val="18"/>
                          </w:rPr>
                        </w:pPr>
                        <w:r>
                          <w:rPr>
                            <w:sz w:val="18"/>
                            <w:szCs w:val="18"/>
                          </w:rPr>
                          <w:t>Šiltuoju metų laiku daugiau kaip +30</w:t>
                          <w:sym w:font="Symbol" w:char="F0B0"/>
                          <w:t>C,</w:t>
                        </w:r>
                      </w:p>
                      <w:p>
                        <w:pPr>
                          <w:rPr>
                            <w:sz w:val="18"/>
                            <w:szCs w:val="18"/>
                          </w:rPr>
                        </w:pPr>
                        <w:r>
                          <w:rPr>
                            <w:sz w:val="18"/>
                            <w:szCs w:val="18"/>
                          </w:rPr>
                          <w:t>šaltuoju metų laiku – žemesnė</w:t>
                        </w:r>
                      </w:p>
                      <w:p>
                        <w:pPr>
                          <w:rPr>
                            <w:sz w:val="18"/>
                            <w:szCs w:val="18"/>
                          </w:rPr>
                        </w:pPr>
                        <w:r>
                          <w:rPr>
                            <w:sz w:val="18"/>
                            <w:szCs w:val="18"/>
                          </w:rPr>
                          <w:t>nei -10</w:t>
                        </w:r>
                        <w:r>
                          <w:rPr>
                            <w:sz w:val="18"/>
                            <w:szCs w:val="18"/>
                            <w:vertAlign w:val="superscript"/>
                          </w:rPr>
                          <w:t>0</w:t>
                        </w:r>
                        <w:r>
                          <w:rPr>
                            <w:sz w:val="18"/>
                            <w:szCs w:val="18"/>
                          </w:rPr>
                          <w:t>C</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Žr. 3.7.1 arba 3.7.2 punktus</w:t>
                        </w:r>
                      </w:p>
                    </w:tc>
                  </w:tr>
                  <w:tr>
                    <w:trPr>
                      <w:trHeight w:val="7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n</w:t>
                        </w:r>
                        <w:r>
                          <w:rPr>
                            <w:bCs/>
                            <w:sz w:val="18"/>
                            <w:szCs w:val="18"/>
                          </w:rPr>
                          <w:t>eurologas,</w:t>
                        </w:r>
                        <w:r>
                          <w:rPr>
                            <w:sz w:val="18"/>
                            <w:szCs w:val="18"/>
                          </w:rPr>
                          <w:t xml:space="preserve"> dermatovenerologas</w:t>
                        </w:r>
                      </w:p>
                    </w:tc>
                    <w:tc>
                      <w:tcPr>
                        <w:tcW w:w="2984" w:type="dxa"/>
                        <w:vMerge/>
                      </w:tcPr>
                      <w:p>
                        <w:pPr>
                          <w:rPr>
                            <w:sz w:val="18"/>
                            <w:szCs w:val="18"/>
                          </w:rPr>
                        </w:pPr>
                      </w:p>
                    </w:tc>
                    <w:tc>
                      <w:tcPr>
                        <w:tcW w:w="2168" w:type="dxa"/>
                        <w:vMerge/>
                      </w:tcPr>
                      <w:p>
                        <w:pPr>
                          <w:rPr>
                            <w:sz w:val="18"/>
                            <w:szCs w:val="18"/>
                          </w:rPr>
                        </w:pPr>
                      </w:p>
                    </w:tc>
                  </w:tr>
                  <w:tr>
                    <w:trPr>
                      <w:trHeight w:val="714"/>
                    </w:trPr>
                    <w:tc>
                      <w:tcPr>
                        <w:tcW w:w="2383" w:type="dxa"/>
                        <w:vMerge w:val="restart"/>
                      </w:tcPr>
                      <w:p>
                        <w:pPr>
                          <w:rPr>
                            <w:sz w:val="18"/>
                            <w:szCs w:val="18"/>
                          </w:rPr>
                        </w:pPr>
                        <w:r>
                          <w:rPr>
                            <w:sz w:val="18"/>
                            <w:szCs w:val="18"/>
                          </w:rPr>
                          <w:t>3.8. Padidėjęs atmosferos slėgis</w:t>
                        </w:r>
                      </w:p>
                    </w:tc>
                    <w:tc>
                      <w:tcPr>
                        <w:tcW w:w="1702" w:type="dxa"/>
                        <w:vMerge w:val="restart"/>
                      </w:tcPr>
                      <w:p>
                        <w:pPr>
                          <w:rPr>
                            <w:sz w:val="18"/>
                            <w:szCs w:val="18"/>
                          </w:rPr>
                        </w:pPr>
                        <w:r>
                          <w:rPr>
                            <w:sz w:val="18"/>
                            <w:szCs w:val="18"/>
                          </w:rPr>
                          <w:t xml:space="preserve">Darbai po vandeniu (naro) kesonuose, barokamerose </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Vestibulinės funkcijos tyrimas,</w:t>
                        </w:r>
                      </w:p>
                      <w:p>
                        <w:pPr>
                          <w:rPr>
                            <w:sz w:val="18"/>
                            <w:szCs w:val="18"/>
                          </w:rPr>
                        </w:pPr>
                        <w:r>
                          <w:rPr>
                            <w:sz w:val="18"/>
                            <w:szCs w:val="18"/>
                          </w:rPr>
                          <w:t>esant indikacijų – KLR, IKFT,</w:t>
                        </w:r>
                      </w:p>
                      <w:p>
                        <w:pPr>
                          <w:rPr>
                            <w:sz w:val="18"/>
                            <w:szCs w:val="18"/>
                          </w:rPr>
                        </w:pPr>
                        <w:r>
                          <w:rPr>
                            <w:sz w:val="18"/>
                            <w:szCs w:val="18"/>
                          </w:rPr>
                          <w:t>regėjimo aštrumas,</w:t>
                        </w:r>
                      </w:p>
                      <w:p>
                        <w:pPr>
                          <w:rPr>
                            <w:sz w:val="18"/>
                            <w:szCs w:val="18"/>
                          </w:rPr>
                        </w:pPr>
                        <w:r>
                          <w:rPr>
                            <w:sz w:val="18"/>
                            <w:szCs w:val="18"/>
                          </w:rPr>
                          <w:t>audiograma</w:t>
                        </w:r>
                      </w:p>
                    </w:tc>
                    <w:tc>
                      <w:tcPr>
                        <w:tcW w:w="2168" w:type="dxa"/>
                        <w:vMerge w:val="restart"/>
                      </w:tcPr>
                      <w:p>
                        <w:pPr>
                          <w:tabs>
                            <w:tab w:val="left" w:pos="177"/>
                          </w:tabs>
                          <w:rPr>
                            <w:sz w:val="18"/>
                            <w:szCs w:val="18"/>
                          </w:rPr>
                        </w:pPr>
                        <w:r>
                          <w:rPr>
                            <w:sz w:val="18"/>
                            <w:szCs w:val="18"/>
                          </w:rPr>
                          <w:t xml:space="preserve">1. Nuolatiniai regėjimo funkcijos sutrikimai, regėjimas mažesnis kaip 0,8  viena ir 0,5 – kita akimi (be korekcijos)</w:t>
                        </w:r>
                      </w:p>
                      <w:p>
                        <w:pPr>
                          <w:rPr>
                            <w:sz w:val="18"/>
                            <w:szCs w:val="18"/>
                          </w:rPr>
                        </w:pPr>
                        <w:r>
                          <w:rPr>
                            <w:sz w:val="18"/>
                            <w:szCs w:val="18"/>
                          </w:rPr>
                          <w:t>2. Išorinės ausies ligos: H60–H62; vidurinės ausies ir speninės ataugos ligos H65–H75; vidinės ausies ligos: H80–H83; H90.3; H90.4; H91.1; H91.3; H93.3; H94, įvairios etiologijos klausos susilpnėjimas viena arba abiem ausimis, kai šnabždesys girdimas mažesniu kaip 3 m atstumu H90, H91. Individualiu atveju dėl galimybės dirbti sprendžia gydytojas otorinolaringologas.</w:t>
                        </w:r>
                      </w:p>
                      <w:p>
                        <w:pPr>
                          <w:rPr>
                            <w:sz w:val="18"/>
                            <w:szCs w:val="18"/>
                          </w:rPr>
                        </w:pPr>
                        <w:r>
                          <w:rPr>
                            <w:sz w:val="18"/>
                            <w:szCs w:val="18"/>
                          </w:rPr>
                          <w:t>3. Vestibulinės funkcijos sutrikimai: H81; H82</w:t>
                        </w:r>
                      </w:p>
                      <w:p>
                        <w:pPr>
                          <w:tabs>
                            <w:tab w:val="left" w:pos="35"/>
                            <w:tab w:val="left" w:pos="177"/>
                          </w:tabs>
                          <w:rPr>
                            <w:sz w:val="18"/>
                            <w:szCs w:val="18"/>
                          </w:rPr>
                        </w:pPr>
                        <w:r>
                          <w:rPr>
                            <w:sz w:val="18"/>
                            <w:szCs w:val="18"/>
                          </w:rPr>
                          <w:t>4. Žymūs skeleto–raumenų išsivystymo trūkumai ir traumų pasekmės (kūno defektai, anomalijos, deformacijos), sunkinančios judėjimą</w:t>
                        </w:r>
                      </w:p>
                      <w:p>
                        <w:pPr>
                          <w:tabs>
                            <w:tab w:val="left" w:pos="0"/>
                            <w:tab w:val="left" w:pos="177"/>
                          </w:tabs>
                          <w:rPr>
                            <w:sz w:val="18"/>
                            <w:szCs w:val="18"/>
                          </w:rPr>
                        </w:pPr>
                        <w:r>
                          <w:rPr>
                            <w:sz w:val="18"/>
                            <w:szCs w:val="18"/>
                          </w:rPr>
                          <w:t>5. Vienos rankos dviejų pirštų nebuvimas ar nejudrumas</w:t>
                        </w:r>
                      </w:p>
                      <w:p>
                        <w:pPr>
                          <w:tabs>
                            <w:tab w:val="left" w:pos="0"/>
                            <w:tab w:val="left" w:pos="177"/>
                          </w:tabs>
                          <w:rPr>
                            <w:sz w:val="18"/>
                            <w:szCs w:val="18"/>
                          </w:rPr>
                        </w:pPr>
                        <w:r>
                          <w:rPr>
                            <w:sz w:val="18"/>
                            <w:szCs w:val="18"/>
                          </w:rPr>
                          <w:t xml:space="preserve">6. Gerybiniai navikai D10-D36 </w:t>
                        </w:r>
                      </w:p>
                      <w:p>
                        <w:pPr>
                          <w:tabs>
                            <w:tab w:val="left" w:pos="0"/>
                            <w:tab w:val="left" w:pos="177"/>
                          </w:tabs>
                          <w:rPr>
                            <w:sz w:val="18"/>
                            <w:szCs w:val="18"/>
                          </w:rPr>
                        </w:pPr>
                        <w:r>
                          <w:rPr>
                            <w:sz w:val="18"/>
                            <w:szCs w:val="18"/>
                          </w:rPr>
                          <w:t xml:space="preserve">7. Randai, trofikos sutrikimai, grybelinė infekcija, lėtinės odos ligos joms paūmėjus I83, B35, B37.2, L20, L23, L40, L50, L52, L53 </w:t>
                        </w:r>
                      </w:p>
                      <w:p>
                        <w:pPr>
                          <w:tabs>
                            <w:tab w:val="left" w:pos="177"/>
                          </w:tabs>
                          <w:rPr>
                            <w:sz w:val="18"/>
                            <w:szCs w:val="18"/>
                          </w:rPr>
                        </w:pPr>
                        <w:r>
                          <w:rPr>
                            <w:sz w:val="18"/>
                            <w:szCs w:val="18"/>
                          </w:rPr>
                          <w:t>8. Burnos ertmės ir dantų ligos, dantų nebuvimas, jeigu tai trukdo naudotis kvėpavimo aparatais, uždedamų protezų turėjimas, alveolinė piorėja, stomatitas, periodontitas, apatinio žandikaulio kontraktūra ir ankilozė, artritas K05, K06, K10–K13</w:t>
                        </w:r>
                      </w:p>
                      <w:p>
                        <w:pPr>
                          <w:rPr>
                            <w:sz w:val="18"/>
                            <w:szCs w:val="18"/>
                          </w:rPr>
                        </w:pPr>
                        <w:r>
                          <w:rPr>
                            <w:sz w:val="18"/>
                            <w:szCs w:val="18"/>
                          </w:rPr>
                          <w:t>9. Lėtinės obstrukcinės plaučių ligos J44–J47</w:t>
                        </w:r>
                      </w:p>
                      <w:p>
                        <w:pPr>
                          <w:rPr>
                            <w:sz w:val="18"/>
                            <w:szCs w:val="18"/>
                          </w:rPr>
                        </w:pPr>
                        <w:r>
                          <w:rPr>
                            <w:sz w:val="18"/>
                            <w:szCs w:val="18"/>
                          </w:rPr>
                          <w:t>10. Astma J45</w:t>
                        </w:r>
                      </w:p>
                      <w:p>
                        <w:pPr>
                          <w:rPr>
                            <w:sz w:val="18"/>
                            <w:szCs w:val="18"/>
                          </w:rPr>
                        </w:pPr>
                        <w:r>
                          <w:rPr>
                            <w:sz w:val="18"/>
                            <w:szCs w:val="18"/>
                          </w:rPr>
                          <w:t>11. Lėtinis kvėpavimo nepakankamumas I-II</w:t>
                          <w:sym w:font="Symbol" w:char="F0B0"/>
                          <w:t xml:space="preserve"> J96.1</w:t>
                        </w:r>
                      </w:p>
                      <w:p>
                        <w:pPr>
                          <w:tabs>
                            <w:tab w:val="left" w:pos="318"/>
                          </w:tabs>
                          <w:rPr>
                            <w:sz w:val="18"/>
                            <w:szCs w:val="18"/>
                          </w:rPr>
                        </w:pPr>
                        <w:r>
                          <w:rPr>
                            <w:sz w:val="18"/>
                            <w:szCs w:val="18"/>
                          </w:rPr>
                          <w:t>12. Lėtinės (centrinės ir periferinės) nervų sistemos ligos G00–G99</w:t>
                        </w:r>
                      </w:p>
                      <w:p>
                        <w:pPr>
                          <w:tabs>
                            <w:tab w:val="left" w:pos="177"/>
                            <w:tab w:val="left" w:pos="318"/>
                          </w:tabs>
                          <w:rPr>
                            <w:sz w:val="18"/>
                            <w:szCs w:val="18"/>
                          </w:rPr>
                        </w:pPr>
                        <w:r>
                          <w:rPr>
                            <w:sz w:val="18"/>
                            <w:szCs w:val="18"/>
                          </w:rPr>
                          <w:t xml:space="preserve">13. Somatoforminė autonominė disfunkcija </w:t>
                        </w:r>
                        <w:r>
                          <w:rPr>
                            <w:sz w:val="18"/>
                            <w:szCs w:val="18"/>
                            <w:lang w:val="pt-BR"/>
                          </w:rPr>
                          <w:t>F45.3</w:t>
                        </w:r>
                      </w:p>
                      <w:p>
                        <w:pPr>
                          <w:tabs>
                            <w:tab w:val="left" w:pos="177"/>
                            <w:tab w:val="left" w:pos="318"/>
                          </w:tabs>
                          <w:rPr>
                            <w:sz w:val="18"/>
                            <w:szCs w:val="18"/>
                            <w:lang w:val="pt-BR"/>
                          </w:rPr>
                        </w:pPr>
                        <w:r>
                          <w:rPr>
                            <w:sz w:val="18"/>
                            <w:szCs w:val="18"/>
                          </w:rPr>
                          <w:t xml:space="preserve">14. Lėtinės inkstų ligos, akmenligė </w:t>
                        </w:r>
                        <w:r>
                          <w:rPr>
                            <w:sz w:val="18"/>
                            <w:szCs w:val="18"/>
                            <w:lang w:val="pt-BR"/>
                          </w:rPr>
                          <w:t>N00–N08, N10–N39</w:t>
                        </w:r>
                      </w:p>
                      <w:p>
                        <w:pPr>
                          <w:tabs>
                            <w:tab w:val="left" w:pos="177"/>
                            <w:tab w:val="left" w:pos="318"/>
                          </w:tabs>
                          <w:rPr>
                            <w:sz w:val="18"/>
                            <w:szCs w:val="18"/>
                          </w:rPr>
                        </w:pPr>
                        <w:r>
                          <w:rPr>
                            <w:sz w:val="18"/>
                            <w:szCs w:val="18"/>
                          </w:rPr>
                          <w:t>15. Širdies ligos, nepriklausomai nuo jų kompensacijos laipsnio I05–I09, I10–I15, I20–I25, I26–I28, I30–I52</w:t>
                        </w:r>
                      </w:p>
                      <w:p>
                        <w:pPr>
                          <w:tabs>
                            <w:tab w:val="left" w:pos="177"/>
                            <w:tab w:val="left" w:pos="318"/>
                          </w:tabs>
                          <w:rPr>
                            <w:sz w:val="18"/>
                            <w:szCs w:val="18"/>
                          </w:rPr>
                        </w:pPr>
                        <w:r>
                          <w:rPr>
                            <w:sz w:val="18"/>
                            <w:szCs w:val="18"/>
                          </w:rPr>
                          <w:t xml:space="preserve">16. Arterinė hipertenzija </w:t>
                        </w:r>
                        <w:r>
                          <w:rPr>
                            <w:sz w:val="18"/>
                            <w:szCs w:val="18"/>
                            <w:lang w:val="pt-BR"/>
                          </w:rPr>
                          <w:t>I10–I15</w:t>
                        </w:r>
                      </w:p>
                      <w:p>
                        <w:pPr>
                          <w:tabs>
                            <w:tab w:val="left" w:pos="177"/>
                            <w:tab w:val="left" w:pos="318"/>
                          </w:tabs>
                          <w:rPr>
                            <w:sz w:val="18"/>
                            <w:szCs w:val="18"/>
                          </w:rPr>
                        </w:pPr>
                        <w:r>
                          <w:rPr>
                            <w:sz w:val="18"/>
                            <w:szCs w:val="18"/>
                          </w:rPr>
                          <w:t xml:space="preserve">17. Išsiplėtusių kojų venų varikozinės ligos, hemorojus, </w:t>
                        </w:r>
                        <w:r>
                          <w:rPr>
                            <w:bCs/>
                            <w:sz w:val="18"/>
                            <w:szCs w:val="18"/>
                          </w:rPr>
                          <w:t xml:space="preserve">obliteruojantis endarteritas, </w:t>
                        </w:r>
                        <w:r>
                          <w:rPr>
                            <w:sz w:val="18"/>
                            <w:szCs w:val="18"/>
                          </w:rPr>
                          <w:t xml:space="preserve">Raynaud sindromas </w:t>
                        </w:r>
                        <w:r>
                          <w:rPr>
                            <w:bCs/>
                            <w:sz w:val="18"/>
                            <w:szCs w:val="18"/>
                          </w:rPr>
                          <w:t>I70–</w:t>
                        </w:r>
                        <w:r>
                          <w:rPr>
                            <w:sz w:val="18"/>
                            <w:szCs w:val="18"/>
                          </w:rPr>
                          <w:t xml:space="preserve">I73.0, I80, I83, I84 </w:t>
                        </w:r>
                      </w:p>
                      <w:p>
                        <w:pPr>
                          <w:tabs>
                            <w:tab w:val="left" w:pos="177"/>
                            <w:tab w:val="left" w:pos="318"/>
                          </w:tabs>
                          <w:rPr>
                            <w:sz w:val="18"/>
                            <w:szCs w:val="18"/>
                          </w:rPr>
                        </w:pPr>
                        <w:r>
                          <w:rPr>
                            <w:sz w:val="18"/>
                            <w:szCs w:val="18"/>
                          </w:rPr>
                          <w:t>18. Jungiamojo audinio lėtinės uždegiminės ligos M00–M25, M30–M36</w:t>
                        </w:r>
                      </w:p>
                      <w:p>
                        <w:pPr>
                          <w:tabs>
                            <w:tab w:val="left" w:pos="177"/>
                            <w:tab w:val="left" w:pos="318"/>
                          </w:tabs>
                          <w:rPr>
                            <w:sz w:val="18"/>
                            <w:szCs w:val="18"/>
                          </w:rPr>
                        </w:pPr>
                        <w:r>
                          <w:rPr>
                            <w:sz w:val="18"/>
                            <w:szCs w:val="18"/>
                          </w:rPr>
                          <w:t xml:space="preserve">19. Visos tuberkuliozės formos </w:t>
                        </w:r>
                        <w:r>
                          <w:rPr>
                            <w:sz w:val="18"/>
                            <w:szCs w:val="18"/>
                            <w:lang w:val="pt-BR"/>
                          </w:rPr>
                          <w:t>A15–A19</w:t>
                        </w:r>
                      </w:p>
                      <w:p>
                        <w:pPr>
                          <w:tabs>
                            <w:tab w:val="left" w:pos="177"/>
                            <w:tab w:val="left" w:pos="318"/>
                          </w:tabs>
                          <w:rPr>
                            <w:sz w:val="18"/>
                            <w:szCs w:val="18"/>
                            <w:lang w:val="sv-SE"/>
                          </w:rPr>
                        </w:pPr>
                        <w:r>
                          <w:rPr>
                            <w:sz w:val="18"/>
                            <w:szCs w:val="18"/>
                          </w:rPr>
                          <w:t>20.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 jei remisija trumpesnė negu 3 m.; suaugusiųjų asmenybės sutrikimai F60.0–F60.3; F61.0; F63.1 – kai kompensacija trunka mažiau kaip 3 m.; protinis atsilikimas F71–F79</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esant indikacijų – p</w:t>
                        </w:r>
                        <w:r>
                          <w:rPr>
                            <w:bCs/>
                            <w:sz w:val="18"/>
                            <w:szCs w:val="18"/>
                          </w:rPr>
                          <w:t xml:space="preserve">sichiatras, radiologas </w:t>
                        </w:r>
                        <w:r>
                          <w:rPr>
                            <w:sz w:val="18"/>
                            <w:szCs w:val="18"/>
                          </w:rPr>
                          <w:t xml:space="preserve">ir </w:t>
                        </w:r>
                        <w:r>
                          <w:rPr>
                            <w:bCs/>
                            <w:sz w:val="18"/>
                            <w:szCs w:val="18"/>
                          </w:rPr>
                          <w:t>kitų profesinių kvalifikacijų gydytojai</w:t>
                        </w:r>
                        <w:r>
                          <w:rPr>
                            <w:sz w:val="18"/>
                            <w:szCs w:val="18"/>
                          </w:rPr>
                          <w:t xml:space="preserve"> </w:t>
                        </w:r>
                      </w:p>
                    </w:tc>
                    <w:tc>
                      <w:tcPr>
                        <w:tcW w:w="2984" w:type="dxa"/>
                        <w:vMerge/>
                      </w:tcPr>
                      <w:p>
                        <w:pPr>
                          <w:rPr>
                            <w:sz w:val="18"/>
                            <w:szCs w:val="18"/>
                          </w:rPr>
                        </w:pPr>
                      </w:p>
                    </w:tc>
                    <w:tc>
                      <w:tcPr>
                        <w:tcW w:w="2168" w:type="dxa"/>
                        <w:vMerge/>
                      </w:tcPr>
                      <w:p>
                        <w:pPr>
                          <w:tabs>
                            <w:tab w:val="left" w:pos="177"/>
                          </w:tabs>
                          <w:rPr>
                            <w:sz w:val="18"/>
                            <w:szCs w:val="18"/>
                          </w:rPr>
                        </w:pPr>
                      </w:p>
                    </w:tc>
                  </w:tr>
                  <w:tr>
                    <w:trPr>
                      <w:trHeight w:val="47"/>
                    </w:trPr>
                    <w:tc>
                      <w:tcPr>
                        <w:tcW w:w="2383" w:type="dxa"/>
                        <w:vMerge w:val="restart"/>
                      </w:tcPr>
                      <w:p>
                        <w:pPr>
                          <w:rPr>
                            <w:sz w:val="18"/>
                            <w:szCs w:val="18"/>
                          </w:rPr>
                        </w:pPr>
                        <w:r>
                          <w:rPr>
                            <w:sz w:val="18"/>
                            <w:szCs w:val="18"/>
                          </w:rPr>
                          <w:t>3.9. Ultragarsas (kontaktinis perdavimas)</w:t>
                        </w:r>
                      </w:p>
                    </w:tc>
                    <w:tc>
                      <w:tcPr>
                        <w:tcW w:w="1702" w:type="dxa"/>
                        <w:vMerge w:val="restart"/>
                      </w:tcPr>
                      <w:p>
                        <w:pPr>
                          <w:rPr>
                            <w:sz w:val="18"/>
                            <w:szCs w:val="18"/>
                          </w:rPr>
                        </w:pPr>
                        <w:r>
                          <w:rPr>
                            <w:sz w:val="18"/>
                            <w:szCs w:val="18"/>
                          </w:rPr>
                          <w:t>Darbas su ultragarso defektoskopais ir medicinine aparatūra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Jautrumas vibracijai, esant indikacijų – EKG, šalčio mėginys</w:t>
                        </w:r>
                      </w:p>
                    </w:tc>
                    <w:tc>
                      <w:tcPr>
                        <w:tcW w:w="2168" w:type="dxa"/>
                        <w:vMerge w:val="restart"/>
                      </w:tcPr>
                      <w:p>
                        <w:pPr>
                          <w:rPr>
                            <w:sz w:val="18"/>
                            <w:szCs w:val="18"/>
                          </w:rPr>
                        </w:pPr>
                        <w:r>
                          <w:rPr>
                            <w:sz w:val="18"/>
                            <w:szCs w:val="18"/>
                          </w:rPr>
                          <w:t>1. Lėtinės periferinės nervų sistemos ir raumenų ligos G60–G64, G70–G73</w:t>
                        </w:r>
                      </w:p>
                      <w:p>
                        <w:pPr>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tc>
                  </w:tr>
                  <w:tr>
                    <w:trPr>
                      <w:trHeight w:val="622"/>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48"/>
                    <w:gridCol w:w="1413"/>
                    <w:gridCol w:w="6"/>
                    <w:gridCol w:w="1932"/>
                    <w:gridCol w:w="2106"/>
                    <w:gridCol w:w="354"/>
                    <w:gridCol w:w="2630"/>
                    <w:gridCol w:w="2168"/>
                  </w:tblGrid>
                  <w:tr>
                    <w:tc>
                      <w:tcPr>
                        <w:tcW w:w="14740" w:type="dxa"/>
                        <w:gridSpan w:val="9"/>
                      </w:tcPr>
                      <w:p>
                        <w:pPr>
                          <w:pageBreakBefore/>
                          <w:jc w:val="center"/>
                          <w:rPr>
                            <w:b/>
                            <w:sz w:val="18"/>
                            <w:szCs w:val="18"/>
                          </w:rPr>
                        </w:pPr>
                        <w:r>
                          <w:rPr>
                            <w:b/>
                            <w:sz w:val="18"/>
                            <w:szCs w:val="18"/>
                          </w:rPr>
                          <w:t xml:space="preserve">4. ERGONOMINIAI (BIOMECHANINIAI) VEIKSNIAI </w:t>
                        </w:r>
                      </w:p>
                    </w:tc>
                  </w:tr>
                  <w:tr>
                    <w:trPr>
                      <w:trHeight w:val="828"/>
                    </w:trPr>
                    <w:tc>
                      <w:tcPr>
                        <w:tcW w:w="2383" w:type="dxa"/>
                        <w:vMerge w:val="restart"/>
                      </w:tcPr>
                      <w:p>
                        <w:pPr>
                          <w:rPr>
                            <w:sz w:val="18"/>
                            <w:szCs w:val="18"/>
                          </w:rPr>
                        </w:pPr>
                        <w:r>
                          <w:rPr>
                            <w:sz w:val="18"/>
                            <w:szCs w:val="18"/>
                          </w:rPr>
                          <w:t>4.1. Balso stygų nuolatinis įtempimas</w:t>
                        </w:r>
                      </w:p>
                    </w:tc>
                    <w:tc>
                      <w:tcPr>
                        <w:tcW w:w="1748" w:type="dxa"/>
                        <w:vMerge w:val="restart"/>
                      </w:tcPr>
                      <w:p>
                        <w:pPr>
                          <w:rPr>
                            <w:sz w:val="18"/>
                            <w:szCs w:val="18"/>
                          </w:rPr>
                        </w:pPr>
                        <w:r>
                          <w:rPr>
                            <w:sz w:val="18"/>
                            <w:szCs w:val="18"/>
                          </w:rPr>
                          <w:t>Darbai, susiję su balso stygų pertempimu (mokytojų, dėstytojų, diktorių, dainininkų, telefono stočių kai kurių darbuotojų)</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Esant indikacijų – otorinolaringologa</w:t>
                        </w:r>
                        <w:r>
                          <w:rPr>
                            <w:bCs/>
                            <w:sz w:val="18"/>
                            <w:szCs w:val="18"/>
                          </w:rPr>
                          <w:t xml:space="preserve">s </w:t>
                        </w:r>
                        <w:r>
                          <w:rPr>
                            <w:sz w:val="18"/>
                            <w:szCs w:val="18"/>
                          </w:rPr>
                          <w:t xml:space="preserve">ir </w:t>
                        </w:r>
                        <w:r>
                          <w:rPr>
                            <w:bCs/>
                            <w:sz w:val="18"/>
                            <w:szCs w:val="18"/>
                          </w:rPr>
                          <w:t>kitų profesinių kvalifikacijų gydytojai</w:t>
                        </w:r>
                        <w:r>
                          <w:rPr>
                            <w:sz w:val="18"/>
                            <w:szCs w:val="18"/>
                          </w:rPr>
                          <w:t xml:space="preserve"> </w:t>
                        </w:r>
                      </w:p>
                    </w:tc>
                    <w:tc>
                      <w:tcPr>
                        <w:tcW w:w="2984" w:type="dxa"/>
                        <w:gridSpan w:val="2"/>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klausos tyrimas</w:t>
                        </w:r>
                      </w:p>
                    </w:tc>
                    <w:tc>
                      <w:tcPr>
                        <w:tcW w:w="2168" w:type="dxa"/>
                        <w:vMerge w:val="restart"/>
                      </w:tcPr>
                      <w:p>
                        <w:pPr>
                          <w:rPr>
                            <w:sz w:val="18"/>
                            <w:szCs w:val="18"/>
                          </w:rPr>
                        </w:pPr>
                        <w:r>
                          <w:rPr>
                            <w:sz w:val="18"/>
                            <w:szCs w:val="18"/>
                          </w:rPr>
                          <w:t>1. Lėtinės ligos, susijusios su garso funkcijos sutrikimu (lėtiniai laringitai, faringitai ir pan.) J37.0, J31.2, J38</w:t>
                        </w:r>
                      </w:p>
                      <w:p>
                        <w:pPr>
                          <w:rPr>
                            <w:sz w:val="18"/>
                            <w:szCs w:val="18"/>
                          </w:rPr>
                        </w:pPr>
                        <w:r>
                          <w:rPr>
                            <w:sz w:val="18"/>
                            <w:szCs w:val="18"/>
                          </w:rPr>
                          <w:t>2. Balso pakitimai R49</w:t>
                        </w:r>
                      </w:p>
                    </w:tc>
                  </w:tr>
                  <w:tr>
                    <w:trPr>
                      <w:trHeight w:val="827"/>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sz w:val="18"/>
                            <w:szCs w:val="18"/>
                          </w:rPr>
                        </w:pPr>
                        <w:r>
                          <w:rPr>
                            <w:sz w:val="18"/>
                            <w:szCs w:val="18"/>
                          </w:rPr>
                          <w:t>Otorinolaringologas</w:t>
                        </w:r>
                      </w:p>
                    </w:tc>
                    <w:tc>
                      <w:tcPr>
                        <w:tcW w:w="2984" w:type="dxa"/>
                        <w:gridSpan w:val="2"/>
                        <w:vMerge/>
                      </w:tcPr>
                      <w:p>
                        <w:pPr>
                          <w:rPr>
                            <w:sz w:val="18"/>
                            <w:szCs w:val="18"/>
                          </w:rPr>
                        </w:pPr>
                      </w:p>
                    </w:tc>
                    <w:tc>
                      <w:tcPr>
                        <w:tcW w:w="2168" w:type="dxa"/>
                        <w:vMerge/>
                      </w:tcPr>
                      <w:p>
                        <w:pPr>
                          <w:rPr>
                            <w:sz w:val="18"/>
                            <w:szCs w:val="18"/>
                          </w:rPr>
                        </w:pPr>
                      </w:p>
                    </w:tc>
                  </w:tr>
                  <w:tr>
                    <w:tc>
                      <w:tcPr>
                        <w:tcW w:w="2383" w:type="dxa"/>
                      </w:tcPr>
                      <w:p>
                        <w:pPr>
                          <w:rPr>
                            <w:sz w:val="18"/>
                            <w:szCs w:val="18"/>
                          </w:rPr>
                        </w:pPr>
                        <w:r>
                          <w:rPr>
                            <w:sz w:val="18"/>
                            <w:szCs w:val="18"/>
                          </w:rPr>
                          <w:t>4.2. Darbo sunkumas</w:t>
                        </w:r>
                      </w:p>
                    </w:tc>
                    <w:tc>
                      <w:tcPr>
                        <w:tcW w:w="1748" w:type="dxa"/>
                      </w:tcPr>
                      <w:p>
                        <w:pPr>
                          <w:rPr>
                            <w:sz w:val="18"/>
                            <w:szCs w:val="18"/>
                          </w:rPr>
                        </w:pPr>
                      </w:p>
                    </w:tc>
                    <w:tc>
                      <w:tcPr>
                        <w:tcW w:w="1413" w:type="dxa"/>
                      </w:tcPr>
                      <w:p>
                        <w:pPr>
                          <w:rPr>
                            <w:sz w:val="18"/>
                            <w:szCs w:val="18"/>
                          </w:rPr>
                        </w:pPr>
                      </w:p>
                    </w:tc>
                    <w:tc>
                      <w:tcPr>
                        <w:tcW w:w="1938" w:type="dxa"/>
                        <w:gridSpan w:val="2"/>
                      </w:tcPr>
                      <w:p>
                        <w:pPr>
                          <w:rPr>
                            <w:sz w:val="18"/>
                            <w:szCs w:val="18"/>
                          </w:rPr>
                        </w:pPr>
                      </w:p>
                    </w:tc>
                    <w:tc>
                      <w:tcPr>
                        <w:tcW w:w="2106" w:type="dxa"/>
                      </w:tcPr>
                      <w:p>
                        <w:pPr>
                          <w:rPr>
                            <w:sz w:val="18"/>
                            <w:szCs w:val="18"/>
                          </w:rPr>
                        </w:pPr>
                      </w:p>
                    </w:tc>
                    <w:tc>
                      <w:tcPr>
                        <w:tcW w:w="2984" w:type="dxa"/>
                        <w:gridSpan w:val="2"/>
                      </w:tcPr>
                      <w:p>
                        <w:pPr>
                          <w:rPr>
                            <w:sz w:val="18"/>
                            <w:szCs w:val="18"/>
                          </w:rPr>
                        </w:pPr>
                      </w:p>
                    </w:tc>
                    <w:tc>
                      <w:tcPr>
                        <w:tcW w:w="2168" w:type="dxa"/>
                      </w:tcPr>
                      <w:p>
                        <w:pPr>
                          <w:rPr>
                            <w:sz w:val="18"/>
                            <w:szCs w:val="18"/>
                          </w:rPr>
                        </w:pPr>
                      </w:p>
                    </w:tc>
                  </w:tr>
                  <w:tr>
                    <w:trPr>
                      <w:trHeight w:val="1861"/>
                    </w:trPr>
                    <w:tc>
                      <w:tcPr>
                        <w:tcW w:w="2383" w:type="dxa"/>
                        <w:vMerge w:val="restart"/>
                      </w:tcPr>
                      <w:p>
                        <w:pPr>
                          <w:rPr>
                            <w:sz w:val="18"/>
                            <w:szCs w:val="18"/>
                          </w:rPr>
                        </w:pPr>
                        <w:r>
                          <w:rPr>
                            <w:sz w:val="18"/>
                            <w:szCs w:val="18"/>
                          </w:rPr>
                          <w:t>4.2.1. Krovinių tvarkymas rankomis</w:t>
                        </w:r>
                      </w:p>
                    </w:tc>
                    <w:tc>
                      <w:tcPr>
                        <w:tcW w:w="1748" w:type="dxa"/>
                        <w:vMerge w:val="restart"/>
                      </w:tcPr>
                      <w:p>
                        <w:pPr>
                          <w:rPr>
                            <w:strike/>
                            <w:sz w:val="18"/>
                            <w:szCs w:val="18"/>
                            <w:highlight w:val="yellow"/>
                          </w:rPr>
                        </w:pPr>
                        <w:r>
                          <w:rPr>
                            <w:sz w:val="18"/>
                            <w:szCs w:val="18"/>
                          </w:rPr>
                          <w:t>Bet koks krovinio gabenimas ar laikymas, kai vienas ar daugiau darbuotojų kelia, leidžia žemyn, stumia, traukia, neša ar judina krovinį, kuris dėl jo savybių ar nepalankių ergonominių sąlygų kelia riziką darbuotojams, ypač susižeisti nugarą.</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Dinamometrija, 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G54–G64,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tromboflebitas, hemorojus </w:t>
                        </w:r>
                        <w:r>
                          <w:rPr>
                            <w:sz w:val="18"/>
                            <w:szCs w:val="18"/>
                          </w:rPr>
                          <w:t>I80–I84</w:t>
                        </w:r>
                      </w:p>
                      <w:p>
                        <w:pPr>
                          <w:rPr>
                            <w:bCs/>
                            <w:sz w:val="18"/>
                            <w:szCs w:val="18"/>
                          </w:rPr>
                        </w:pPr>
                        <w:r>
                          <w:rPr>
                            <w:bCs/>
                            <w:sz w:val="18"/>
                            <w:szCs w:val="18"/>
                          </w:rPr>
                          <w:t xml:space="preserve">5. Išvaržos, enteroptozės K40–K46, K63.4, </w:t>
                        </w:r>
                      </w:p>
                      <w:p>
                        <w:pPr>
                          <w:rPr>
                            <w:bCs/>
                            <w:i/>
                            <w:sz w:val="18"/>
                            <w:szCs w:val="18"/>
                          </w:rPr>
                        </w:pPr>
                        <w:r>
                          <w:rPr>
                            <w:bCs/>
                            <w:sz w:val="18"/>
                            <w:szCs w:val="18"/>
                          </w:rPr>
                          <w:t>6. Diskogeninės kaklo ir juosmens stuburo ligos M50, M51.1</w:t>
                        </w:r>
                      </w:p>
                    </w:tc>
                  </w:tr>
                  <w:tr>
                    <w:trPr>
                      <w:trHeight w:val="1861"/>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 xml:space="preserve">Neurologas, </w:t>
                        </w:r>
                      </w:p>
                      <w:p>
                        <w:pPr>
                          <w:rPr>
                            <w:bCs/>
                            <w:sz w:val="18"/>
                            <w:szCs w:val="18"/>
                          </w:rPr>
                        </w:pPr>
                        <w:r>
                          <w:rPr>
                            <w:bCs/>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52"/>
                    </w:trPr>
                    <w:tc>
                      <w:tcPr>
                        <w:tcW w:w="2383" w:type="dxa"/>
                        <w:vMerge w:val="restart"/>
                      </w:tcPr>
                      <w:p>
                        <w:pPr>
                          <w:rPr>
                            <w:sz w:val="18"/>
                            <w:szCs w:val="18"/>
                          </w:rPr>
                        </w:pPr>
                        <w:r>
                          <w:rPr>
                            <w:sz w:val="18"/>
                            <w:szCs w:val="18"/>
                          </w:rPr>
                          <w:t xml:space="preserve">4.2.2. Stereotipiniai (nuolat pasikartojantys) darbo judesiai </w:t>
                        </w:r>
                      </w:p>
                    </w:tc>
                    <w:tc>
                      <w:tcPr>
                        <w:tcW w:w="1748" w:type="dxa"/>
                        <w:vMerge w:val="restart"/>
                      </w:tcPr>
                      <w:p>
                        <w:pPr>
                          <w:rPr>
                            <w:sz w:val="18"/>
                            <w:szCs w:val="18"/>
                          </w:rPr>
                        </w:pPr>
                        <w:r>
                          <w:rPr>
                            <w:sz w:val="18"/>
                            <w:szCs w:val="18"/>
                          </w:rPr>
                          <w:t>Dalyvaujant plaštakos ir pirštų, rankų ir pečių juostos raumenims (kai judesiams atlikti naudojama jėga, kai judesių atlikimui būtinas greitis ir tikslumas)</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radiologas</w:t>
                        </w:r>
                      </w:p>
                    </w:tc>
                    <w:tc>
                      <w:tcPr>
                        <w:tcW w:w="2984" w:type="dxa"/>
                        <w:gridSpan w:val="2"/>
                        <w:vMerge w:val="restart"/>
                      </w:tcPr>
                      <w:p>
                        <w:pPr>
                          <w:rPr>
                            <w:bCs/>
                            <w:sz w:val="18"/>
                            <w:szCs w:val="18"/>
                          </w:rPr>
                        </w:pPr>
                        <w:r>
                          <w:rPr>
                            <w:bCs/>
                            <w:sz w:val="18"/>
                            <w:szCs w:val="18"/>
                          </w:rPr>
                          <w:t>Esant indikacijų –</w:t>
                        </w:r>
                        <w:r>
                          <w:rPr>
                            <w:sz w:val="18"/>
                            <w:szCs w:val="18"/>
                          </w:rPr>
                          <w:t xml:space="preserve"> p</w:t>
                        </w:r>
                        <w:r>
                          <w:rPr>
                            <w:bCs/>
                            <w:sz w:val="18"/>
                            <w:szCs w:val="18"/>
                          </w:rPr>
                          <w:t>laštakų rentgenograma</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2.Lėtinės periferinės nervų sistemos ir raumenų ligos </w:t>
                        </w:r>
                        <w:r>
                          <w:rPr>
                            <w:sz w:val="18"/>
                            <w:szCs w:val="18"/>
                          </w:rPr>
                          <w:t>G54–G64, G70–G73</w:t>
                        </w:r>
                      </w:p>
                      <w:p>
                        <w:pPr>
                          <w:rPr>
                            <w:bCs/>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tc>
                  </w:tr>
                  <w:tr>
                    <w:trPr>
                      <w:trHeight w:val="930"/>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47"/>
                    </w:trPr>
                    <w:tc>
                      <w:tcPr>
                        <w:tcW w:w="2383" w:type="dxa"/>
                        <w:vMerge w:val="restart"/>
                      </w:tcPr>
                      <w:p>
                        <w:pPr>
                          <w:rPr>
                            <w:sz w:val="18"/>
                            <w:szCs w:val="18"/>
                          </w:rPr>
                        </w:pPr>
                        <w:r>
                          <w:rPr>
                            <w:sz w:val="18"/>
                            <w:szCs w:val="18"/>
                          </w:rPr>
                          <w:t>4.2.3. Darbo poza</w:t>
                        </w:r>
                      </w:p>
                    </w:tc>
                    <w:tc>
                      <w:tcPr>
                        <w:tcW w:w="1748" w:type="dxa"/>
                        <w:vMerge w:val="restart"/>
                      </w:tcPr>
                      <w:p>
                        <w:pPr>
                          <w:rPr>
                            <w:sz w:val="18"/>
                            <w:szCs w:val="18"/>
                          </w:rPr>
                        </w:pPr>
                        <w:r>
                          <w:rPr>
                            <w:sz w:val="18"/>
                            <w:szCs w:val="18"/>
                          </w:rPr>
                          <w:t xml:space="preserve">Periodiškai esant nepatogioje, fiksuotoje, priverstinėje padėtyje. </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G60–G64,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w:t>
                        </w:r>
                        <w:r>
                          <w:rPr>
                            <w:sz w:val="18"/>
                            <w:szCs w:val="18"/>
                          </w:rPr>
                          <w:t>I80–I84</w:t>
                        </w:r>
                      </w:p>
                    </w:tc>
                  </w:tr>
                  <w:tr>
                    <w:trPr>
                      <w:trHeight w:val="1346"/>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kardiologas</w:t>
                        </w:r>
                      </w:p>
                      <w:p>
                        <w:pPr>
                          <w:rPr>
                            <w:bCs/>
                            <w:sz w:val="18"/>
                            <w:szCs w:val="18"/>
                          </w:rPr>
                        </w:pPr>
                        <w:r>
                          <w:rPr>
                            <w:sz w:val="18"/>
                            <w:szCs w:val="18"/>
                          </w:rPr>
                          <w:t>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178"/>
                    </w:trPr>
                    <w:tc>
                      <w:tcPr>
                        <w:tcW w:w="2383" w:type="dxa"/>
                        <w:tcBorders>
                          <w:bottom w:val="single" w:sz="4" w:space="0" w:color="auto"/>
                        </w:tcBorders>
                      </w:tcPr>
                      <w:p>
                        <w:pPr>
                          <w:pageBreakBefore/>
                          <w:rPr>
                            <w:sz w:val="18"/>
                            <w:szCs w:val="18"/>
                          </w:rPr>
                        </w:pPr>
                        <w:r>
                          <w:rPr>
                            <w:sz w:val="18"/>
                            <w:szCs w:val="18"/>
                          </w:rPr>
                          <w:t>4.3.Darbo įtampa</w:t>
                        </w:r>
                      </w:p>
                    </w:tc>
                    <w:tc>
                      <w:tcPr>
                        <w:tcW w:w="1748" w:type="dxa"/>
                        <w:tcBorders>
                          <w:bottom w:val="single" w:sz="4" w:space="0" w:color="auto"/>
                        </w:tcBorders>
                      </w:tcPr>
                      <w:p>
                        <w:pPr>
                          <w:pageBreakBefore/>
                          <w:rPr>
                            <w:sz w:val="18"/>
                            <w:szCs w:val="18"/>
                          </w:rPr>
                        </w:pPr>
                      </w:p>
                    </w:tc>
                    <w:tc>
                      <w:tcPr>
                        <w:tcW w:w="1413" w:type="dxa"/>
                        <w:tcBorders>
                          <w:bottom w:val="single" w:sz="4" w:space="0" w:color="auto"/>
                        </w:tcBorders>
                      </w:tcPr>
                      <w:p>
                        <w:pPr>
                          <w:pageBreakBefore/>
                          <w:rPr>
                            <w:sz w:val="18"/>
                            <w:szCs w:val="18"/>
                          </w:rPr>
                        </w:pPr>
                      </w:p>
                    </w:tc>
                    <w:tc>
                      <w:tcPr>
                        <w:tcW w:w="1938" w:type="dxa"/>
                        <w:gridSpan w:val="2"/>
                        <w:tcBorders>
                          <w:bottom w:val="single" w:sz="4" w:space="0" w:color="auto"/>
                        </w:tcBorders>
                      </w:tcPr>
                      <w:p>
                        <w:pPr>
                          <w:pageBreakBefore/>
                          <w:rPr>
                            <w:bCs/>
                            <w:sz w:val="18"/>
                            <w:szCs w:val="18"/>
                          </w:rPr>
                        </w:pPr>
                      </w:p>
                    </w:tc>
                    <w:tc>
                      <w:tcPr>
                        <w:tcW w:w="2106" w:type="dxa"/>
                        <w:tcBorders>
                          <w:bottom w:val="single" w:sz="4" w:space="0" w:color="auto"/>
                        </w:tcBorders>
                      </w:tcPr>
                      <w:p>
                        <w:pPr>
                          <w:pageBreakBefore/>
                          <w:rPr>
                            <w:sz w:val="18"/>
                            <w:szCs w:val="18"/>
                          </w:rPr>
                        </w:pPr>
                      </w:p>
                    </w:tc>
                    <w:tc>
                      <w:tcPr>
                        <w:tcW w:w="2984" w:type="dxa"/>
                        <w:gridSpan w:val="2"/>
                        <w:tcBorders>
                          <w:bottom w:val="single" w:sz="4" w:space="0" w:color="auto"/>
                        </w:tcBorders>
                      </w:tcPr>
                      <w:p>
                        <w:pPr>
                          <w:pageBreakBefore/>
                          <w:rPr>
                            <w:sz w:val="18"/>
                            <w:szCs w:val="18"/>
                          </w:rPr>
                        </w:pPr>
                      </w:p>
                    </w:tc>
                    <w:tc>
                      <w:tcPr>
                        <w:tcW w:w="2168" w:type="dxa"/>
                        <w:tcBorders>
                          <w:bottom w:val="single" w:sz="4" w:space="0" w:color="auto"/>
                        </w:tcBorders>
                      </w:tcPr>
                      <w:p>
                        <w:pPr>
                          <w:pageBreakBefore/>
                          <w:rPr>
                            <w:sz w:val="18"/>
                            <w:szCs w:val="18"/>
                          </w:rPr>
                        </w:pPr>
                      </w:p>
                    </w:tc>
                  </w:tr>
                  <w:tr>
                    <w:trPr>
                      <w:cantSplit/>
                    </w:trPr>
                    <w:tc>
                      <w:tcPr>
                        <w:tcW w:w="2383" w:type="dxa"/>
                        <w:tcBorders>
                          <w:top w:val="single" w:sz="4" w:space="0" w:color="auto"/>
                          <w:bottom w:val="single" w:sz="4" w:space="0" w:color="auto"/>
                        </w:tcBorders>
                      </w:tcPr>
                      <w:p>
                        <w:pPr>
                          <w:rPr>
                            <w:sz w:val="18"/>
                            <w:szCs w:val="18"/>
                          </w:rPr>
                        </w:pPr>
                        <w:r>
                          <w:rPr>
                            <w:sz w:val="18"/>
                            <w:szCs w:val="18"/>
                          </w:rPr>
                          <w:t>4.3.1.analizatoriai</w:t>
                        </w:r>
                      </w:p>
                    </w:tc>
                    <w:tc>
                      <w:tcPr>
                        <w:tcW w:w="1748" w:type="dxa"/>
                        <w:tcBorders>
                          <w:top w:val="single" w:sz="4" w:space="0" w:color="auto"/>
                          <w:bottom w:val="single" w:sz="4" w:space="0" w:color="auto"/>
                        </w:tcBorders>
                      </w:tcPr>
                      <w:p>
                        <w:pPr>
                          <w:rPr>
                            <w:sz w:val="18"/>
                            <w:szCs w:val="18"/>
                          </w:rPr>
                        </w:pPr>
                      </w:p>
                    </w:tc>
                    <w:tc>
                      <w:tcPr>
                        <w:tcW w:w="1413" w:type="dxa"/>
                        <w:tcBorders>
                          <w:top w:val="single" w:sz="4" w:space="0" w:color="auto"/>
                          <w:bottom w:val="single" w:sz="4" w:space="0" w:color="auto"/>
                        </w:tcBorders>
                      </w:tcPr>
                      <w:p>
                        <w:pPr>
                          <w:widowControl w:val="0"/>
                          <w:rPr>
                            <w:sz w:val="18"/>
                            <w:szCs w:val="18"/>
                          </w:rPr>
                        </w:pPr>
                      </w:p>
                    </w:tc>
                    <w:tc>
                      <w:tcPr>
                        <w:tcW w:w="1938" w:type="dxa"/>
                        <w:gridSpan w:val="2"/>
                        <w:tcBorders>
                          <w:top w:val="single" w:sz="4" w:space="0" w:color="auto"/>
                          <w:bottom w:val="single" w:sz="4" w:space="0" w:color="auto"/>
                        </w:tcBorders>
                      </w:tcPr>
                      <w:p>
                        <w:pPr>
                          <w:rPr>
                            <w:bCs/>
                            <w:sz w:val="18"/>
                            <w:szCs w:val="18"/>
                          </w:rPr>
                        </w:pPr>
                      </w:p>
                    </w:tc>
                    <w:tc>
                      <w:tcPr>
                        <w:tcW w:w="2106" w:type="dxa"/>
                        <w:tcBorders>
                          <w:top w:val="single" w:sz="4" w:space="0" w:color="auto"/>
                          <w:bottom w:val="single" w:sz="4" w:space="0" w:color="auto"/>
                        </w:tcBorders>
                      </w:tcPr>
                      <w:p>
                        <w:pPr>
                          <w:rPr>
                            <w:sz w:val="18"/>
                            <w:szCs w:val="18"/>
                          </w:rPr>
                        </w:pPr>
                      </w:p>
                    </w:tc>
                    <w:tc>
                      <w:tcPr>
                        <w:tcW w:w="2984" w:type="dxa"/>
                        <w:gridSpan w:val="2"/>
                        <w:tcBorders>
                          <w:top w:val="single" w:sz="4" w:space="0" w:color="auto"/>
                          <w:bottom w:val="single" w:sz="4" w:space="0" w:color="auto"/>
                        </w:tcBorders>
                      </w:tcPr>
                      <w:p>
                        <w:pPr>
                          <w:rPr>
                            <w:sz w:val="18"/>
                            <w:szCs w:val="18"/>
                          </w:rPr>
                        </w:pPr>
                      </w:p>
                    </w:tc>
                    <w:tc>
                      <w:tcPr>
                        <w:tcW w:w="2168" w:type="dxa"/>
                        <w:tcBorders>
                          <w:top w:val="single" w:sz="4" w:space="0" w:color="auto"/>
                          <w:bottom w:val="single" w:sz="4" w:space="0" w:color="auto"/>
                        </w:tcBorders>
                      </w:tcPr>
                      <w:p>
                        <w:pPr>
                          <w:rPr>
                            <w:sz w:val="18"/>
                            <w:szCs w:val="18"/>
                          </w:rPr>
                        </w:pPr>
                      </w:p>
                    </w:tc>
                  </w:tr>
                  <w:tr>
                    <w:trPr>
                      <w:trHeight w:val="6929"/>
                    </w:trPr>
                    <w:tc>
                      <w:tcPr>
                        <w:tcW w:w="2383" w:type="dxa"/>
                        <w:vMerge w:val="restart"/>
                        <w:tcBorders>
                          <w:top w:val="single" w:sz="4" w:space="0" w:color="auto"/>
                        </w:tcBorders>
                      </w:tcPr>
                      <w:p>
                        <w:pPr>
                          <w:rPr>
                            <w:sz w:val="18"/>
                            <w:szCs w:val="18"/>
                          </w:rPr>
                        </w:pPr>
                        <w:r>
                          <w:rPr>
                            <w:sz w:val="18"/>
                            <w:szCs w:val="18"/>
                          </w:rPr>
                          <w:t>4.3.1.1. Padidėjusi regėjimo įtampa, stebimo objekto dydis</w:t>
                        </w:r>
                      </w:p>
                    </w:tc>
                    <w:tc>
                      <w:tcPr>
                        <w:tcW w:w="1748" w:type="dxa"/>
                        <w:tcBorders>
                          <w:top w:val="single" w:sz="4" w:space="0" w:color="auto"/>
                          <w:bottom w:val="single" w:sz="4" w:space="0" w:color="auto"/>
                        </w:tcBorders>
                      </w:tcPr>
                      <w:p>
                        <w:pPr>
                          <w:rPr>
                            <w:sz w:val="18"/>
                            <w:szCs w:val="18"/>
                          </w:rPr>
                        </w:pPr>
                        <w:r>
                          <w:rPr>
                            <w:sz w:val="18"/>
                            <w:szCs w:val="18"/>
                          </w:rPr>
                          <w:t>Visos darbo rūšys, susijusios su regėjimo įtampa</w:t>
                        </w:r>
                      </w:p>
                      <w:p>
                        <w:pPr>
                          <w:rPr>
                            <w:sz w:val="18"/>
                            <w:szCs w:val="18"/>
                          </w:rPr>
                        </w:pPr>
                        <w:r>
                          <w:rPr>
                            <w:sz w:val="18"/>
                            <w:szCs w:val="18"/>
                          </w:rPr>
                          <w:t>a) I° (su objektu iki 0,15 mm) ir II° (su objektu nuo 0,15 iki 0,3 mm) preciziniai darbai</w:t>
                        </w:r>
                      </w:p>
                    </w:tc>
                    <w:tc>
                      <w:tcPr>
                        <w:tcW w:w="1413" w:type="dxa"/>
                        <w:vMerge w:val="restart"/>
                        <w:tcBorders>
                          <w:top w:val="single" w:sz="4" w:space="0" w:color="auto"/>
                        </w:tcBorders>
                      </w:tcPr>
                      <w:p>
                        <w:pPr>
                          <w:rPr>
                            <w:sz w:val="18"/>
                            <w:szCs w:val="18"/>
                          </w:rPr>
                        </w:pPr>
                        <w:r>
                          <w:rPr>
                            <w:sz w:val="18"/>
                            <w:szCs w:val="18"/>
                          </w:rPr>
                          <w:t>1 kartą per 2 metus</w:t>
                        </w:r>
                      </w:p>
                    </w:tc>
                    <w:tc>
                      <w:tcPr>
                        <w:tcW w:w="1938" w:type="dxa"/>
                        <w:gridSpan w:val="2"/>
                        <w:vMerge w:val="restart"/>
                        <w:tcBorders>
                          <w:top w:val="single" w:sz="4" w:space="0" w:color="auto"/>
                        </w:tcBorders>
                      </w:tcPr>
                      <w:p>
                        <w:pPr>
                          <w:rPr>
                            <w:sz w:val="18"/>
                            <w:szCs w:val="18"/>
                          </w:rPr>
                        </w:pPr>
                        <w:r>
                          <w:rPr>
                            <w:sz w:val="18"/>
                            <w:szCs w:val="18"/>
                          </w:rPr>
                          <w:t>Šeimos medicinos paslaugas teikiantys gydytojai arba darbo medicinos gydytojas</w:t>
                        </w:r>
                      </w:p>
                    </w:tc>
                    <w:tc>
                      <w:tcPr>
                        <w:tcW w:w="2106" w:type="dxa"/>
                        <w:tcBorders>
                          <w:top w:val="single" w:sz="4" w:space="0" w:color="auto"/>
                          <w:bottom w:val="single" w:sz="4" w:space="0" w:color="auto"/>
                        </w:tcBorders>
                      </w:tcPr>
                      <w:p>
                        <w:pPr>
                          <w:rPr>
                            <w:sz w:val="18"/>
                            <w:szCs w:val="18"/>
                          </w:rPr>
                        </w:pPr>
                        <w:r>
                          <w:rPr>
                            <w:sz w:val="18"/>
                            <w:szCs w:val="18"/>
                          </w:rPr>
                          <w:t>Oftalmologas</w:t>
                        </w:r>
                      </w:p>
                    </w:tc>
                    <w:tc>
                      <w:tcPr>
                        <w:tcW w:w="2984" w:type="dxa"/>
                        <w:gridSpan w:val="2"/>
                        <w:tcBorders>
                          <w:top w:val="single" w:sz="4" w:space="0" w:color="auto"/>
                          <w:bottom w:val="single" w:sz="4" w:space="0" w:color="auto"/>
                        </w:tcBorders>
                      </w:tcPr>
                      <w:p>
                        <w:pPr>
                          <w:rPr>
                            <w:sz w:val="18"/>
                            <w:szCs w:val="18"/>
                          </w:rPr>
                        </w:pPr>
                        <w:r>
                          <w:rPr>
                            <w:sz w:val="18"/>
                            <w:szCs w:val="18"/>
                          </w:rPr>
                          <w:t>Regėjimo aštrumo, akispūdžio nustatymas</w:t>
                        </w:r>
                      </w:p>
                    </w:tc>
                    <w:tc>
                      <w:tcPr>
                        <w:tcW w:w="2168" w:type="dxa"/>
                        <w:tcBorders>
                          <w:top w:val="single" w:sz="4" w:space="0" w:color="auto"/>
                          <w:bottom w:val="single" w:sz="4" w:space="0" w:color="auto"/>
                        </w:tcBorders>
                      </w:tcPr>
                      <w:p>
                        <w:pPr>
                          <w:rPr>
                            <w:sz w:val="18"/>
                            <w:szCs w:val="18"/>
                          </w:rPr>
                        </w:pPr>
                        <w:r>
                          <w:rPr>
                            <w:sz w:val="18"/>
                            <w:szCs w:val="18"/>
                          </w:rPr>
                          <w:t>1. Regėjimas su korekcija: išankstinio tikrinimo metu – mažiau kaip 1,0, periodinių tikrinimų metu – mažiau kaip 0,8 viena ir 0,5 kita akimi</w:t>
                        </w:r>
                      </w:p>
                      <w:p>
                        <w:pPr>
                          <w:rPr>
                            <w:sz w:val="18"/>
                            <w:szCs w:val="18"/>
                          </w:rPr>
                        </w:pPr>
                        <w:r>
                          <w:rPr>
                            <w:sz w:val="18"/>
                            <w:szCs w:val="18"/>
                          </w:rPr>
                          <w:t xml:space="preserve">2. Refrakcijos anomalijos H52: išankstinio tikrinimo metu: miopija – daugiau kaip 3 D, </w:t>
                        </w:r>
                      </w:p>
                      <w:p>
                        <w:pPr>
                          <w:rPr>
                            <w:sz w:val="18"/>
                            <w:szCs w:val="18"/>
                          </w:rPr>
                        </w:pPr>
                        <w:r>
                          <w:rPr>
                            <w:sz w:val="18"/>
                            <w:szCs w:val="18"/>
                          </w:rPr>
                          <w:t xml:space="preserve">hipermetropija – daugiau kaip 3 D, </w:t>
                        </w:r>
                      </w:p>
                      <w:p>
                        <w:pPr>
                          <w:rPr>
                            <w:sz w:val="18"/>
                            <w:szCs w:val="18"/>
                          </w:rPr>
                        </w:pPr>
                        <w:r>
                          <w:rPr>
                            <w:sz w:val="18"/>
                            <w:szCs w:val="18"/>
                          </w:rPr>
                          <w:t xml:space="preserve">astigmatizmas – daugiau kaip 1,5 D, </w:t>
                        </w:r>
                      </w:p>
                      <w:p>
                        <w:pPr>
                          <w:rPr>
                            <w:sz w:val="18"/>
                            <w:szCs w:val="18"/>
                          </w:rPr>
                        </w:pPr>
                        <w:r>
                          <w:rPr>
                            <w:sz w:val="18"/>
                            <w:szCs w:val="18"/>
                          </w:rPr>
                          <w:t xml:space="preserve">periodiškų tikrinimų metu: miopija – daugiau kaip 6,0 D, </w:t>
                        </w:r>
                      </w:p>
                      <w:p>
                        <w:pPr>
                          <w:rPr>
                            <w:sz w:val="18"/>
                            <w:szCs w:val="18"/>
                          </w:rPr>
                        </w:pPr>
                        <w:r>
                          <w:rPr>
                            <w:sz w:val="18"/>
                            <w:szCs w:val="18"/>
                          </w:rPr>
                          <w:t xml:space="preserve">hipermetropija – daugiau kaip 4,0 D, </w:t>
                        </w:r>
                      </w:p>
                      <w:p>
                        <w:pPr>
                          <w:rPr>
                            <w:sz w:val="18"/>
                            <w:szCs w:val="18"/>
                          </w:rPr>
                        </w:pPr>
                        <w:r>
                          <w:rPr>
                            <w:sz w:val="18"/>
                            <w:szCs w:val="18"/>
                          </w:rPr>
                          <w:t>astigmatizmas – daugiau kaip 2,0 D</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sprendžia gydytojas oftalmologas</w:t>
                        </w:r>
                      </w:p>
                    </w:tc>
                  </w:tr>
                  <w:tr>
                    <w:trPr>
                      <w:trHeight w:val="1010"/>
                    </w:trPr>
                    <w:tc>
                      <w:tcPr>
                        <w:tcW w:w="2383" w:type="dxa"/>
                        <w:vMerge/>
                      </w:tcPr>
                      <w:p>
                        <w:pPr>
                          <w:rPr>
                            <w:sz w:val="18"/>
                            <w:szCs w:val="18"/>
                          </w:rPr>
                        </w:pPr>
                      </w:p>
                    </w:tc>
                    <w:tc>
                      <w:tcPr>
                        <w:tcW w:w="1748" w:type="dxa"/>
                        <w:tcBorders>
                          <w:top w:val="single" w:sz="4" w:space="0" w:color="auto"/>
                        </w:tcBorders>
                      </w:tcPr>
                      <w:p>
                        <w:pPr>
                          <w:rPr>
                            <w:sz w:val="18"/>
                            <w:szCs w:val="18"/>
                          </w:rPr>
                        </w:pPr>
                        <w:r>
                          <w:rPr>
                            <w:sz w:val="18"/>
                            <w:szCs w:val="18"/>
                          </w:rPr>
                          <w:t>b) III ir IV laipsnio tikslumo (0,5–1 mm) darbai įtempus regėjimą: informacijos stebėjimas ekrane ir pan.</w:t>
                        </w:r>
                      </w:p>
                    </w:tc>
                    <w:tc>
                      <w:tcPr>
                        <w:tcW w:w="1413" w:type="dxa"/>
                        <w:vMerge/>
                      </w:tcPr>
                      <w:p>
                        <w:pPr>
                          <w:widowControl w:val="0"/>
                          <w:rPr>
                            <w:sz w:val="18"/>
                            <w:szCs w:val="18"/>
                          </w:rPr>
                        </w:pPr>
                      </w:p>
                    </w:tc>
                    <w:tc>
                      <w:tcPr>
                        <w:tcW w:w="1938" w:type="dxa"/>
                        <w:gridSpan w:val="2"/>
                        <w:vMerge/>
                      </w:tcPr>
                      <w:p>
                        <w:pPr>
                          <w:rPr>
                            <w:sz w:val="18"/>
                            <w:szCs w:val="18"/>
                          </w:rPr>
                        </w:pPr>
                      </w:p>
                    </w:tc>
                    <w:tc>
                      <w:tcPr>
                        <w:tcW w:w="2106" w:type="dxa"/>
                        <w:tcBorders>
                          <w:top w:val="single" w:sz="4" w:space="0" w:color="auto"/>
                        </w:tcBorders>
                      </w:tcPr>
                      <w:p>
                        <w:pPr>
                          <w:rPr>
                            <w:sz w:val="18"/>
                            <w:szCs w:val="18"/>
                          </w:rPr>
                        </w:pPr>
                        <w:r>
                          <w:rPr>
                            <w:sz w:val="18"/>
                            <w:szCs w:val="18"/>
                          </w:rPr>
                          <w:t>Oftalmologas</w:t>
                        </w:r>
                      </w:p>
                    </w:tc>
                    <w:tc>
                      <w:tcPr>
                        <w:tcW w:w="2984" w:type="dxa"/>
                        <w:gridSpan w:val="2"/>
                        <w:tcBorders>
                          <w:top w:val="single" w:sz="4" w:space="0" w:color="auto"/>
                        </w:tcBorders>
                      </w:tcPr>
                      <w:p>
                        <w:pPr>
                          <w:rPr>
                            <w:sz w:val="18"/>
                            <w:szCs w:val="18"/>
                          </w:rPr>
                        </w:pPr>
                        <w:r>
                          <w:rPr>
                            <w:sz w:val="18"/>
                            <w:szCs w:val="18"/>
                          </w:rPr>
                          <w:t>Regėjimo aštrumo, akispūdžio, binokulinio regėjimo nustatymas</w:t>
                        </w:r>
                      </w:p>
                    </w:tc>
                    <w:tc>
                      <w:tcPr>
                        <w:tcW w:w="2168" w:type="dxa"/>
                        <w:tcBorders>
                          <w:top w:val="single" w:sz="4" w:space="0" w:color="auto"/>
                        </w:tcBorders>
                      </w:tcPr>
                      <w:p>
                        <w:pPr>
                          <w:rPr>
                            <w:sz w:val="18"/>
                            <w:szCs w:val="18"/>
                          </w:rPr>
                        </w:pPr>
                        <w:r>
                          <w:rPr>
                            <w:sz w:val="18"/>
                            <w:szCs w:val="18"/>
                          </w:rPr>
                          <w:t>1. Regėjimas su korekcija – ne mažesnis kaip 0,5 viena ir 0,2 – kita akimi</w:t>
                        </w:r>
                      </w:p>
                      <w:p>
                        <w:pPr>
                          <w:rPr>
                            <w:sz w:val="18"/>
                            <w:szCs w:val="18"/>
                          </w:rPr>
                        </w:pPr>
                        <w:r>
                          <w:rPr>
                            <w:sz w:val="18"/>
                            <w:szCs w:val="18"/>
                          </w:rPr>
                          <w:t xml:space="preserve">Refrakcijos anomalijos H52: </w:t>
                        </w:r>
                      </w:p>
                      <w:p>
                        <w:pPr>
                          <w:rPr>
                            <w:sz w:val="18"/>
                            <w:szCs w:val="18"/>
                          </w:rPr>
                        </w:pPr>
                        <w:r>
                          <w:rPr>
                            <w:sz w:val="18"/>
                            <w:szCs w:val="18"/>
                          </w:rPr>
                          <w:t xml:space="preserve">miopija – daugiau kaip </w:t>
                          <w:br/>
                          <w:t>8,0 D,</w:t>
                        </w:r>
                      </w:p>
                      <w:p>
                        <w:pPr>
                          <w:rPr>
                            <w:sz w:val="18"/>
                            <w:szCs w:val="18"/>
                          </w:rPr>
                        </w:pPr>
                        <w:r>
                          <w:rPr>
                            <w:sz w:val="18"/>
                            <w:szCs w:val="18"/>
                          </w:rPr>
                          <w:t>hipermetropija – daugiau kaip 6,0 D,</w:t>
                        </w:r>
                      </w:p>
                      <w:p>
                        <w:pPr>
                          <w:rPr>
                            <w:sz w:val="18"/>
                            <w:szCs w:val="18"/>
                          </w:rPr>
                        </w:pPr>
                        <w:r>
                          <w:rPr>
                            <w:sz w:val="18"/>
                            <w:szCs w:val="18"/>
                          </w:rPr>
                          <w:t>astigmatizmas – daugiau kaip 2,0 D</w:t>
                        </w:r>
                      </w:p>
                      <w:p>
                        <w:pPr>
                          <w:rPr>
                            <w:sz w:val="18"/>
                            <w:szCs w:val="18"/>
                          </w:rPr>
                        </w:pPr>
                        <w:r>
                          <w:rPr>
                            <w:sz w:val="18"/>
                            <w:szCs w:val="18"/>
                          </w:rPr>
                          <w:t>2. Binokulinio regėjimo nebuvimas H49–H52</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dėl galimybės dirbti sprendžia gydytojas oftalmologas.</w:t>
                        </w:r>
                      </w:p>
                    </w:tc>
                  </w:tr>
                  <w:tr>
                    <w:trPr>
                      <w:cantSplit/>
                    </w:trPr>
                    <w:tc>
                      <w:tcPr>
                        <w:tcW w:w="2383" w:type="dxa"/>
                      </w:tcPr>
                      <w:p>
                        <w:pPr>
                          <w:rPr>
                            <w:sz w:val="18"/>
                            <w:szCs w:val="18"/>
                          </w:rPr>
                        </w:pPr>
                        <w:r>
                          <w:rPr>
                            <w:sz w:val="18"/>
                            <w:szCs w:val="18"/>
                          </w:rPr>
                          <w:t xml:space="preserve">4.3.1.2. Padidėjusi klausos įtampa  (darbo procesui būtini aiškiai suprantami žodžiai ir signalai)</w:t>
                        </w:r>
                      </w:p>
                    </w:tc>
                    <w:tc>
                      <w:tcPr>
                        <w:tcW w:w="1748" w:type="dxa"/>
                      </w:tcPr>
                      <w:p>
                        <w:pPr>
                          <w:rPr>
                            <w:sz w:val="18"/>
                            <w:szCs w:val="18"/>
                          </w:rPr>
                        </w:pPr>
                        <w:r>
                          <w:rPr>
                            <w:sz w:val="18"/>
                            <w:szCs w:val="18"/>
                          </w:rPr>
                          <w:t>Darbai dispečerinėse, informacines paslaugas telefonu teikiančiose tarnybose ir pan.</w:t>
                        </w: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Otorinolaringologas</w:t>
                        </w:r>
                      </w:p>
                    </w:tc>
                    <w:tc>
                      <w:tcPr>
                        <w:tcW w:w="2984" w:type="dxa"/>
                        <w:gridSpan w:val="2"/>
                      </w:tcPr>
                      <w:p>
                        <w:pPr>
                          <w:rPr>
                            <w:sz w:val="18"/>
                            <w:szCs w:val="18"/>
                          </w:rPr>
                        </w:pPr>
                        <w:r>
                          <w:rPr>
                            <w:sz w:val="18"/>
                            <w:szCs w:val="18"/>
                          </w:rPr>
                          <w:t>Esant indikacijų – audiograma</w:t>
                        </w:r>
                      </w:p>
                    </w:tc>
                    <w:tc>
                      <w:tcPr>
                        <w:tcW w:w="2168" w:type="dxa"/>
                      </w:tcPr>
                      <w:p>
                        <w:pPr>
                          <w:tabs>
                            <w:tab w:val="center" w:pos="33"/>
                          </w:tabs>
                          <w:rPr>
                            <w:sz w:val="18"/>
                            <w:szCs w:val="18"/>
                          </w:rPr>
                        </w:pPr>
                        <w:r>
                          <w:rPr>
                            <w:sz w:val="18"/>
                            <w:szCs w:val="18"/>
                          </w:rPr>
                          <w:t xml:space="preserve">1. Įvairios etiologijos klausos susilpnėjimas viena arba abiem ausimis, kai šnabždesys girdimas mažesniu kaip 3 m atstumu H65.2; H65.3; H66.1; H66.2; H74.0, H74.1; H74.2; H74.3; H80; H83; H90; H91.0; H91.1; H91.3; H91.8; H91.9; H93.3; H94. </w:t>
                        </w:r>
                      </w:p>
                      <w:p>
                        <w:pPr>
                          <w:tabs>
                            <w:tab w:val="center" w:pos="33"/>
                          </w:tabs>
                          <w:rPr>
                            <w:sz w:val="18"/>
                            <w:szCs w:val="18"/>
                          </w:rPr>
                        </w:pPr>
                        <w:r>
                          <w:rPr>
                            <w:sz w:val="18"/>
                            <w:szCs w:val="18"/>
                          </w:rPr>
                          <w:t>Individualiu atveju dėl galimybės dirbti sprendžia gydytojas otorinolaringologas. (ypatingais atvejais leidžiama naudotis klausos aparatais)</w:t>
                        </w:r>
                      </w:p>
                    </w:tc>
                  </w:tr>
                  <w:tr>
                    <w:tc>
                      <w:tcPr>
                        <w:tcW w:w="2383" w:type="dxa"/>
                      </w:tcPr>
                      <w:p>
                        <w:pPr>
                          <w:rPr>
                            <w:sz w:val="18"/>
                            <w:szCs w:val="18"/>
                          </w:rPr>
                        </w:pPr>
                        <w:r>
                          <w:rPr>
                            <w:sz w:val="18"/>
                            <w:szCs w:val="18"/>
                          </w:rPr>
                          <w:t>4.3.2. Darbas su videoterminalais (kompiuteriais ir kt.)</w:t>
                        </w:r>
                      </w:p>
                    </w:tc>
                    <w:tc>
                      <w:tcPr>
                        <w:tcW w:w="1748" w:type="dxa"/>
                      </w:tcPr>
                      <w:p>
                        <w:pPr>
                          <w:rPr>
                            <w:sz w:val="18"/>
                            <w:szCs w:val="18"/>
                          </w:rPr>
                        </w:pP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gridSpan w:val="2"/>
                      </w:tcPr>
                      <w:p>
                        <w:pPr>
                          <w:rPr>
                            <w:sz w:val="18"/>
                            <w:szCs w:val="18"/>
                          </w:rPr>
                        </w:pPr>
                        <w:r>
                          <w:rPr>
                            <w:sz w:val="18"/>
                            <w:szCs w:val="18"/>
                          </w:rPr>
                          <w:t>Regėjimo aštrumo,</w:t>
                        </w:r>
                      </w:p>
                      <w:p>
                        <w:pPr>
                          <w:rPr>
                            <w:sz w:val="18"/>
                            <w:szCs w:val="18"/>
                          </w:rPr>
                        </w:pPr>
                        <w:r>
                          <w:rPr>
                            <w:sz w:val="18"/>
                            <w:szCs w:val="18"/>
                          </w:rPr>
                          <w:t>refrakcijos,</w:t>
                        </w:r>
                      </w:p>
                      <w:p>
                        <w:pPr>
                          <w:rPr>
                            <w:sz w:val="18"/>
                            <w:szCs w:val="18"/>
                          </w:rPr>
                        </w:pPr>
                        <w:r>
                          <w:rPr>
                            <w:sz w:val="18"/>
                            <w:szCs w:val="18"/>
                          </w:rPr>
                          <w:t>akių dugno ištyrimas, akispūdžio nustatymas –vyresniems nei 40 m.</w:t>
                        </w:r>
                      </w:p>
                    </w:tc>
                    <w:tc>
                      <w:tcPr>
                        <w:tcW w:w="2168" w:type="dxa"/>
                      </w:tcPr>
                      <w:p>
                        <w:pPr>
                          <w:rPr>
                            <w:sz w:val="18"/>
                            <w:szCs w:val="18"/>
                          </w:rPr>
                        </w:pPr>
                        <w:r>
                          <w:rPr>
                            <w:sz w:val="18"/>
                            <w:szCs w:val="18"/>
                          </w:rPr>
                          <w:t>1. Regėjimas su korekcija ne mažesnis kaip 0,5 viena ir 0,2 – kita akimi</w:t>
                        </w:r>
                      </w:p>
                      <w:p>
                        <w:pPr>
                          <w:rPr>
                            <w:sz w:val="18"/>
                            <w:szCs w:val="18"/>
                          </w:rPr>
                        </w:pPr>
                        <w:r>
                          <w:rPr>
                            <w:sz w:val="18"/>
                            <w:szCs w:val="18"/>
                          </w:rPr>
                          <w:t>2. Refrakcijos anomalijos H52:</w:t>
                        </w:r>
                      </w:p>
                      <w:p>
                        <w:pPr>
                          <w:rPr>
                            <w:sz w:val="18"/>
                            <w:szCs w:val="18"/>
                          </w:rPr>
                        </w:pPr>
                        <w:r>
                          <w:rPr>
                            <w:spacing w:val="-4"/>
                            <w:sz w:val="18"/>
                            <w:szCs w:val="18"/>
                          </w:rPr>
                          <w:t>miopija – daugiau kaip 10,0 D</w:t>
                        </w:r>
                        <w:r>
                          <w:rPr>
                            <w:sz w:val="18"/>
                            <w:szCs w:val="18"/>
                          </w:rPr>
                          <w:t>, hipermetropija – daugiau kaip 8.0 D, astigmatizmas – daugiau kaip 3,0 D</w:t>
                        </w:r>
                      </w:p>
                      <w:p>
                        <w:pPr>
                          <w:rPr>
                            <w:sz w:val="18"/>
                            <w:szCs w:val="18"/>
                          </w:rPr>
                        </w:pPr>
                        <w:r>
                          <w:rPr>
                            <w:sz w:val="18"/>
                            <w:szCs w:val="18"/>
                          </w:rPr>
                          <w:t>3. Akomodacijos susilpnėjimas ne pagal amžių H45- H51</w:t>
                        </w:r>
                      </w:p>
                      <w:p>
                        <w:pPr>
                          <w:tabs>
                            <w:tab w:val="center" w:pos="33"/>
                          </w:tabs>
                          <w:rPr>
                            <w:sz w:val="18"/>
                            <w:szCs w:val="18"/>
                          </w:rPr>
                        </w:pPr>
                        <w:r>
                          <w:rPr>
                            <w:sz w:val="18"/>
                            <w:szCs w:val="18"/>
                          </w:rPr>
                          <w:t>4. Lėtinės akių ligos H15–H45. Individualiu atveju dėl galimybės dirbti sprendžia gydytojas oftalmologas.</w:t>
                        </w:r>
                      </w:p>
                      <w:p>
                        <w:pPr>
                          <w:rPr>
                            <w:sz w:val="18"/>
                            <w:szCs w:val="18"/>
                          </w:rPr>
                        </w:pPr>
                        <w:r>
                          <w:rPr>
                            <w:sz w:val="18"/>
                            <w:szCs w:val="18"/>
                          </w:rPr>
                          <w:t>5. Regos nervo ir tinklainės ligos H30–H36, H46–H48. Individualiu atveju dėl galimybės dirbti sprendžia gydytojas oftalmologas.</w:t>
                        </w:r>
                      </w:p>
                      <w:p>
                        <w:pPr>
                          <w:rPr>
                            <w:sz w:val="18"/>
                            <w:szCs w:val="18"/>
                          </w:rPr>
                        </w:pPr>
                        <w:r>
                          <w:rPr>
                            <w:sz w:val="18"/>
                            <w:szCs w:val="18"/>
                          </w:rPr>
                          <w:t>6. Glaukoma H40–H42. Individualiu atveju dėl galimybės dirbti sprendžia gydytojas oftalmologas.</w:t>
                        </w:r>
                      </w:p>
                    </w:tc>
                  </w:tr>
                  <w:tr>
                    <w:tc>
                      <w:tcPr>
                        <w:tcW w:w="14740" w:type="dxa"/>
                        <w:gridSpan w:val="9"/>
                      </w:tcPr>
                      <w:p>
                        <w:pPr>
                          <w:jc w:val="center"/>
                          <w:rPr>
                            <w:b/>
                            <w:caps/>
                            <w:sz w:val="18"/>
                            <w:szCs w:val="18"/>
                            <w:highlight w:val="yellow"/>
                          </w:rPr>
                        </w:pPr>
                        <w:r>
                          <w:rPr>
                            <w:b/>
                            <w:caps/>
                            <w:sz w:val="18"/>
                            <w:szCs w:val="18"/>
                          </w:rPr>
                          <w:t>5. Psichosocialiniai veiksniai</w:t>
                        </w:r>
                      </w:p>
                    </w:tc>
                  </w:tr>
                  <w:tr>
                    <w:tc>
                      <w:tcPr>
                        <w:tcW w:w="2383" w:type="dxa"/>
                      </w:tcPr>
                      <w:p>
                        <w:pPr>
                          <w:rPr>
                            <w:sz w:val="18"/>
                            <w:szCs w:val="18"/>
                          </w:rPr>
                        </w:pPr>
                        <w:r>
                          <w:rPr>
                            <w:sz w:val="18"/>
                            <w:szCs w:val="18"/>
                          </w:rPr>
                          <w:t xml:space="preserve">5.1. Naktinis darbas </w:t>
                        </w:r>
                      </w:p>
                    </w:tc>
                    <w:tc>
                      <w:tcPr>
                        <w:tcW w:w="1748" w:type="dxa"/>
                      </w:tcPr>
                      <w:p>
                        <w:pPr>
                          <w:rPr>
                            <w:sz w:val="18"/>
                            <w:szCs w:val="18"/>
                          </w:rPr>
                        </w:pPr>
                        <w:r>
                          <w:rPr>
                            <w:sz w:val="18"/>
                            <w:szCs w:val="18"/>
                          </w:rPr>
                          <w:t>Naktį dirbantys darbuotojai</w:t>
                        </w:r>
                      </w:p>
                    </w:tc>
                    <w:tc>
                      <w:tcPr>
                        <w:tcW w:w="1419" w:type="dxa"/>
                        <w:gridSpan w:val="2"/>
                      </w:tcPr>
                      <w:p>
                        <w:pPr>
                          <w:rPr>
                            <w:sz w:val="18"/>
                            <w:szCs w:val="18"/>
                          </w:rPr>
                        </w:pPr>
                        <w:r>
                          <w:rPr>
                            <w:sz w:val="18"/>
                            <w:szCs w:val="18"/>
                          </w:rPr>
                          <w:t>1 kartą per 2 metus</w:t>
                        </w:r>
                      </w:p>
                    </w:tc>
                    <w:tc>
                      <w:tcPr>
                        <w:tcW w:w="1932" w:type="dxa"/>
                      </w:tcPr>
                      <w:p>
                        <w:pPr>
                          <w:rPr>
                            <w:sz w:val="18"/>
                            <w:szCs w:val="18"/>
                          </w:rPr>
                        </w:pPr>
                        <w:r>
                          <w:rPr>
                            <w:sz w:val="18"/>
                            <w:szCs w:val="18"/>
                          </w:rPr>
                          <w:t>Šeimos medicinos paslaugas teikiantys gydytojai arba darbo medicinos gydytojas</w:t>
                        </w:r>
                      </w:p>
                    </w:tc>
                    <w:tc>
                      <w:tcPr>
                        <w:tcW w:w="2460" w:type="dxa"/>
                        <w:gridSpan w:val="2"/>
                      </w:tcPr>
                      <w:p>
                        <w:pPr>
                          <w:rPr>
                            <w:sz w:val="18"/>
                            <w:szCs w:val="18"/>
                          </w:rPr>
                        </w:pPr>
                        <w:r>
                          <w:rPr>
                            <w:sz w:val="18"/>
                            <w:szCs w:val="18"/>
                          </w:rPr>
                          <w:t xml:space="preserve">Esant indikacijų – </w:t>
                        </w:r>
                        <w:r>
                          <w:rPr>
                            <w:bCs/>
                            <w:sz w:val="18"/>
                            <w:szCs w:val="18"/>
                          </w:rPr>
                          <w:t>kitų profesinių kvalifikacijų gydytojai</w:t>
                        </w:r>
                        <w:r>
                          <w:rPr>
                            <w:sz w:val="18"/>
                            <w:szCs w:val="18"/>
                          </w:rPr>
                          <w:t xml:space="preserve"> </w:t>
                        </w:r>
                      </w:p>
                    </w:tc>
                    <w:tc>
                      <w:tcPr>
                        <w:tcW w:w="2630" w:type="dxa"/>
                      </w:tcPr>
                      <w:p>
                        <w:pPr>
                          <w:rPr>
                            <w:sz w:val="18"/>
                            <w:szCs w:val="18"/>
                          </w:rPr>
                        </w:pPr>
                        <w:r>
                          <w:rPr>
                            <w:sz w:val="18"/>
                            <w:szCs w:val="18"/>
                          </w:rPr>
                          <w:t xml:space="preserve">EKG, </w:t>
                        </w:r>
                      </w:p>
                      <w:p>
                        <w:pPr>
                          <w:rPr>
                            <w:sz w:val="18"/>
                            <w:szCs w:val="18"/>
                          </w:rPr>
                        </w:pPr>
                        <w:r>
                          <w:rPr>
                            <w:sz w:val="18"/>
                            <w:szCs w:val="18"/>
                          </w:rPr>
                          <w:t>esant indikacijų – radiologinis tyrimas</w:t>
                        </w:r>
                      </w:p>
                    </w:tc>
                    <w:tc>
                      <w:tcPr>
                        <w:tcW w:w="2168" w:type="dxa"/>
                      </w:tcPr>
                      <w:p>
                        <w:pPr>
                          <w:rPr>
                            <w:sz w:val="18"/>
                            <w:szCs w:val="18"/>
                          </w:rPr>
                        </w:pPr>
                        <w:r>
                          <w:rPr>
                            <w:sz w:val="18"/>
                            <w:szCs w:val="18"/>
                          </w:rPr>
                          <w:t>1. Kvėpavimo organų ir širdies kraujagyslių ligos su nepakankamumu J44.9, J45, J80, J84, I05–I52;</w:t>
                        </w:r>
                      </w:p>
                      <w:p>
                        <w:pPr>
                          <w:rPr>
                            <w:sz w:val="18"/>
                            <w:szCs w:val="18"/>
                          </w:rPr>
                        </w:pPr>
                        <w:r>
                          <w:rPr>
                            <w:sz w:val="18"/>
                            <w:szCs w:val="18"/>
                          </w:rPr>
                          <w:t>2. Miego sutrikimai F51.1, F51.4, F51.5;</w:t>
                        </w:r>
                      </w:p>
                      <w:p>
                        <w:pPr>
                          <w:rPr>
                            <w:sz w:val="18"/>
                            <w:szCs w:val="18"/>
                          </w:rPr>
                        </w:pPr>
                        <w:r>
                          <w:rPr>
                            <w:sz w:val="18"/>
                            <w:szCs w:val="18"/>
                          </w:rPr>
                          <w:t xml:space="preserve">3.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jei remisija trumpesnė negu 3m.; suaugusiųjų asmenybės sutrikimai F60.0–F60.3; F61.0; F63.1 – kai kompensacija trunka mažiau kaip 3 m; protinis atsilikimas F71–F79.</w:t>
                        </w:r>
                      </w:p>
                    </w:tc>
                  </w:tr>
                </w:tbl>
                <w:p>
                  <w:pPr>
                    <w:ind w:firstLine="567"/>
                    <w:jc w:val="both"/>
                    <w:rPr>
                      <w:sz w:val="16"/>
                    </w:rPr>
                  </w:pPr>
                  <w:r>
                    <w:rPr>
                      <w:sz w:val="16"/>
                    </w:rPr>
                    <w:t xml:space="preserve">*– poveikis: F – fibrogeninis, J – jautrinantis, K – kancerogeninis, M – mutageninis, O – patekimas per nepažeistą odą, </w:t>
                  </w:r>
                </w:p>
                <w:p>
                  <w:pPr>
                    <w:ind w:firstLine="567"/>
                    <w:jc w:val="both"/>
                    <w:rPr>
                      <w:sz w:val="16"/>
                    </w:rPr>
                  </w:pPr>
                  <w:r>
                    <w:rPr>
                      <w:sz w:val="16"/>
                    </w:rPr>
                    <w:t>R – reprodukcijai toksiškas, Ū – ūmus.</w:t>
                  </w:r>
                </w:p>
                <w:p>
                  <w:pPr>
                    <w:ind w:firstLine="567"/>
                    <w:jc w:val="both"/>
                    <w:rPr>
                      <w:sz w:val="16"/>
                    </w:rPr>
                  </w:pPr>
                  <w:r>
                    <w:rPr>
                      <w:b/>
                      <w:sz w:val="16"/>
                    </w:rPr>
                    <w:t>SANTRUMPOS</w:t>
                  </w:r>
                  <w:r>
                    <w:rPr>
                      <w:sz w:val="16"/>
                    </w:rPr>
                    <w:t xml:space="preserve">: </w:t>
                  </w:r>
                  <w:r>
                    <w:rPr>
                      <w:bCs/>
                      <w:sz w:val="16"/>
                    </w:rPr>
                    <w:t>EEG</w:t>
                  </w:r>
                  <w:r>
                    <w:rPr>
                      <w:sz w:val="16"/>
                    </w:rPr>
                    <w:t xml:space="preserve"> – elektroencefalograma, </w:t>
                  </w:r>
                </w:p>
                <w:p>
                  <w:pPr>
                    <w:ind w:firstLine="567"/>
                    <w:jc w:val="both"/>
                    <w:rPr>
                      <w:sz w:val="16"/>
                    </w:rPr>
                  </w:pPr>
                  <w:r>
                    <w:rPr>
                      <w:sz w:val="16"/>
                    </w:rPr>
                    <w:t xml:space="preserve">EKG – elektrokardiograma, </w:t>
                  </w:r>
                </w:p>
                <w:p>
                  <w:pPr>
                    <w:ind w:firstLine="567"/>
                    <w:jc w:val="both"/>
                    <w:rPr>
                      <w:sz w:val="16"/>
                    </w:rPr>
                  </w:pPr>
                  <w:r>
                    <w:rPr>
                      <w:sz w:val="16"/>
                    </w:rPr>
                    <w:t>ENG – eritrocitų nusėdimo greitis,</w:t>
                  </w:r>
                </w:p>
                <w:p>
                  <w:pPr>
                    <w:ind w:firstLine="567"/>
                    <w:jc w:val="both"/>
                    <w:rPr>
                      <w:sz w:val="16"/>
                    </w:rPr>
                  </w:pPr>
                  <w:r>
                    <w:rPr>
                      <w:sz w:val="16"/>
                    </w:rPr>
                    <w:t xml:space="preserve">KLR – krūtinės ląstos rentgenograma, </w:t>
                  </w:r>
                </w:p>
                <w:p>
                  <w:pPr>
                    <w:ind w:firstLine="567"/>
                    <w:jc w:val="both"/>
                    <w:rPr>
                      <w:sz w:val="16"/>
                    </w:rPr>
                  </w:pPr>
                  <w:r>
                    <w:rPr>
                      <w:sz w:val="16"/>
                    </w:rPr>
                    <w:t xml:space="preserve">IKFT – išorinio kvėpavimo funkcijos tyrimas. </w:t>
                  </w:r>
                </w:p>
                <w:p>
                  <w:pPr>
                    <w:ind w:firstLine="567"/>
                    <w:jc w:val="both"/>
                  </w:pPr>
                </w:p>
                <w:p>
                  <w:pPr>
                    <w:jc w:val="center"/>
                  </w:pPr>
                  <w:r>
                    <w:t>_________________</w:t>
                  </w:r>
                </w:p>
              </w:sdtContent>
            </w:sdt>
            <w:sdt>
              <w:sdtPr>
                <w:alias w:val="lentele"/>
                <w:tag w:val="part_d191563c536c4380a058e5d3a644277e"/>
                <w:lock w:val="sdtLocked"/>
                <w:richText/>
              </w:sdtPr>
              <w:sdtContent>
                <w:p>
                  <w:pPr>
                    <w:ind w:firstLine="567"/>
                    <w:jc w:val="both"/>
                  </w:pPr>
                </w:p>
                <w:p>
                  <w:pPr>
                    <w:ind w:firstLine="567"/>
                    <w:jc w:val="both"/>
                    <w:sectPr>
                      <w:pgSz w:w="16840" w:h="11907" w:orient="landscape" w:code="9"/>
                      <w:pgMar w:top="1701" w:right="1134" w:bottom="1134" w:left="1134" w:header="567" w:footer="284" w:gutter="0"/>
                      <w:cols w:space="1296"/>
                      <w:docGrid w:linePitch="360"/>
                    </w:sectPr>
                  </w:pPr>
                </w:p>
                <w:p>
                  <w:pPr>
                    <w:ind w:firstLine="567"/>
                    <w:jc w:val="both"/>
                  </w:pPr>
                </w:p>
                <w:p>
                  <w:pPr>
                    <w:ind w:left="4535"/>
                    <w:jc w:val="right"/>
                    <w:rPr>
                      <w:b/>
                      <w:caps/>
                    </w:rPr>
                  </w:pPr>
                  <w:r>
                    <w:t>3 lentelė</w:t>
                  </w:r>
                </w:p>
                <w:sdt>
                  <w:sdtPr>
                    <w:alias w:val="Pavadinimas"/>
                    <w:tag w:val="title_d191563c536c4380a058e5d3a644277e"/>
                    <w:lock w:val="sdtLocked"/>
                    <w:richText/>
                  </w:sdtPr>
                  <w:sdtContent>
                    <w:p>
                      <w:pPr>
                        <w:jc w:val="center"/>
                        <w:rPr>
                          <w:b/>
                          <w:caps/>
                        </w:rPr>
                      </w:pPr>
                      <w:r>
                        <w:rPr>
                          <w:b/>
                          <w:caps/>
                        </w:rPr>
                        <w:t>Pavyzdinis PROTOKOLAS</w:t>
                      </w:r>
                    </w:p>
                  </w:sdtContent>
                </w:sdt>
                <w:p/>
                <w:tbl>
                  <w:tblPr>
                    <w:tblW w:w="9070" w:type="dxa"/>
                    <w:tblLayout w:type="fixed"/>
                    <w:tblLook w:val="0000" w:firstRow="0" w:lastRow="0" w:firstColumn="0" w:lastColumn="0" w:noHBand="0" w:noVBand="0"/>
                  </w:tblPr>
                  <w:tblGrid>
                    <w:gridCol w:w="1990"/>
                    <w:gridCol w:w="1990"/>
                    <w:gridCol w:w="5090"/>
                  </w:tblGrid>
                  <w:tr>
                    <w:tc>
                      <w:tcPr>
                        <w:tcW w:w="9070" w:type="dxa"/>
                        <w:gridSpan w:val="3"/>
                      </w:tcPr>
                      <w:p>
                        <w:r>
                          <w:t>Įstaigos (įmonės) pavadinimas</w:t>
                        </w:r>
                      </w:p>
                    </w:tc>
                  </w:tr>
                  <w:tr>
                    <w:tc>
                      <w:tcPr>
                        <w:tcW w:w="9070" w:type="dxa"/>
                        <w:gridSpan w:val="3"/>
                        <w:tcBorders>
                          <w:top w:val="single" w:sz="6" w:space="0" w:color="auto"/>
                          <w:bottom w:val="single" w:sz="6" w:space="0" w:color="auto"/>
                        </w:tcBorders>
                      </w:tcPr>
                      <w:p>
                        <w:r>
                          <w:t>Adresas</w:t>
                        </w:r>
                      </w:p>
                    </w:tc>
                  </w:tr>
                  <w:tr>
                    <w:tc>
                      <w:tcPr>
                        <w:tcW w:w="1990" w:type="dxa"/>
                        <w:tcBorders>
                          <w:bottom w:val="single" w:sz="6" w:space="0" w:color="auto"/>
                        </w:tcBorders>
                      </w:tcPr>
                      <w:p>
                        <w:r>
                          <w:t>Tel.,</w:t>
                        </w:r>
                      </w:p>
                    </w:tc>
                    <w:tc>
                      <w:tcPr>
                        <w:tcW w:w="1990" w:type="dxa"/>
                        <w:tcBorders>
                          <w:bottom w:val="single" w:sz="6" w:space="0" w:color="auto"/>
                        </w:tcBorders>
                      </w:tcPr>
                      <w:p>
                        <w:r>
                          <w:t>faks.</w:t>
                        </w:r>
                      </w:p>
                    </w:tc>
                    <w:tc>
                      <w:tcPr>
                        <w:tcW w:w="5090" w:type="dxa"/>
                        <w:tcBorders>
                          <w:bottom w:val="single" w:sz="6" w:space="0" w:color="auto"/>
                        </w:tcBorders>
                      </w:tcPr>
                      <w:p>
                        <w:r>
                          <w:t xml:space="preserve">el. paštas </w:t>
                        </w:r>
                      </w:p>
                    </w:tc>
                  </w:tr>
                </w:tbl>
                <w:p/>
                <w:sdt>
                  <w:sdtPr>
                    <w:alias w:val="skirsnis"/>
                    <w:tag w:val="part_89c0df95c14c4cd1819ea8a6dc04edb7"/>
                    <w:lock w:val="sdtLocked"/>
                    <w:richText/>
                  </w:sdtPr>
                  <w:sdtContent>
                    <w:p>
                      <w:pPr>
                        <w:jc w:val="center"/>
                      </w:pPr>
                      <w:sdt>
                        <w:sdtPr>
                          <w:alias w:val="Pavadinimas"/>
                          <w:tag w:val="title_89c0df95c14c4cd1819ea8a6dc04edb7"/>
                          <w:lock w:val="sdtLocked"/>
                          <w:richText/>
                        </w:sdtPr>
                        <w:sdtContent>
                          <w:r>
                            <w:t>PROTOKOLAS</w:t>
                          </w:r>
                        </w:sdtContent>
                      </w:sdt>
                    </w:p>
                    <w:sdt>
                      <w:sdtPr>
                        <w:alias w:val="13 pr. 200 p."/>
                        <w:tag w:val="part_be0958740bd147479ef6b8addb801973"/>
                        <w:lock w:val="sdtLocked"/>
                        <w:richText/>
                      </w:sdtPr>
                      <w:sdtContent>
                        <w:p>
                          <w:pPr>
                            <w:jc w:val="center"/>
                          </w:pPr>
                          <w:sdt>
                            <w:sdtPr>
                              <w:alias w:val="Numeris"/>
                              <w:tag w:val="nr_be0958740bd147479ef6b8addb801973"/>
                              <w:lock w:val="sdtLocked"/>
                              <w:richText/>
                            </w:sdtPr>
                            <w:sdtContent>
                              <w:r>
                                <w:t>200.................</w:t>
                              </w:r>
                            </w:sdtContent>
                          </w:sdt>
                        </w:p>
                        <w:p>
                          <w:pPr>
                            <w:jc w:val="center"/>
                          </w:pPr>
                          <w:r>
                            <w:t>(Data, Nr.)</w:t>
                          </w:r>
                        </w:p>
                        <w:p>
                          <w:pPr>
                            <w:jc w:val="center"/>
                          </w:pPr>
                          <w:r>
                            <w:t>..................</w:t>
                          </w:r>
                        </w:p>
                        <w:p>
                          <w:pPr>
                            <w:jc w:val="center"/>
                          </w:pPr>
                          <w:r>
                            <w:t>(Vieta)</w:t>
                          </w:r>
                        </w:p>
                        <w:p>
                          <w:pPr>
                            <w:ind w:firstLine="567"/>
                            <w:jc w:val="both"/>
                          </w:pPr>
                        </w:p>
                        <w:p>
                          <w:pPr>
                            <w:ind w:firstLine="567"/>
                            <w:jc w:val="both"/>
                          </w:pPr>
                          <w:r>
                            <w:t xml:space="preserve">Vadovaujantis Lietuvos Respublikos pacientų teisių ir žalos sveikatai atlyginimo įstatymu (Žin., 1996, Nr. </w:t>
                          </w:r>
                          <w:hyperlink r:id="rId81" w:tgtFrame="_blank" w:history="1">
                            <w:r>
                              <w:rPr>
                                <w:color w:val="0000FF" w:themeColor="hyperlink"/>
                                <w:u w:val="single"/>
                              </w:rPr>
                              <w:t>102-2317</w:t>
                            </w:r>
                          </w:hyperlink>
                          <w:r>
                            <w:t>; 2004, Nr. 115-4284), visa informacija apie paciento sveikatos būklę, diagnozę, prognozę ir gydymą turi būti konfidenciali, ja galima naudotis tik dėl dirbančiojo interesų, gerbiant pastarojo asmens privatumą.</w:t>
                          </w:r>
                        </w:p>
                        <w:p>
                          <w:pPr>
                            <w:jc w:val="both"/>
                          </w:pPr>
                        </w:p>
                      </w:sdtContent>
                    </w:sdt>
                  </w:sdtContent>
                </w:sdt>
                <w:sdt>
                  <w:sdtPr>
                    <w:alias w:val="skirsnis"/>
                    <w:tag w:val="part_4d3e7ca4abf24c3393f54bac95296bc3"/>
                    <w:lock w:val="sdtLocked"/>
                    <w:richText/>
                  </w:sdtPr>
                  <w:sdtContent>
                    <w:p>
                      <w:pPr>
                        <w:jc w:val="both"/>
                        <w:rPr>
                          <w:b/>
                        </w:rPr>
                      </w:pPr>
                      <w:sdt>
                        <w:sdtPr>
                          <w:alias w:val="Pavadinimas"/>
                          <w:tag w:val="title_4d3e7ca4abf24c3393f54bac95296bc3"/>
                          <w:lock w:val="sdtLocked"/>
                          <w:richText/>
                        </w:sdtPr>
                        <w:sdtContent>
                          <w:r>
                            <w:rPr>
                              <w:b/>
                            </w:rPr>
                            <w:t>Dėl asmenų, dirbančių galimos profesinės rizikos sąlygomis, sveikatos tikrinimo</w:t>
                          </w:r>
                        </w:sdtContent>
                      </w:sdt>
                    </w:p>
                    <w:p>
                      <w:pPr>
                        <w:jc w:val="both"/>
                      </w:pPr>
                    </w:p>
                    <w:p>
                      <w:pPr>
                        <w:tabs>
                          <w:tab w:val="left" w:leader="dot" w:pos="8902"/>
                        </w:tabs>
                        <w:jc w:val="both"/>
                      </w:pPr>
                      <w:r>
                        <w:t>...</w:t>
                        <w:tab/>
                      </w:r>
                    </w:p>
                    <w:p>
                      <w:pPr>
                        <w:jc w:val="center"/>
                      </w:pPr>
                      <w:r>
                        <w:t>(asmens sveikatos priežiūros įstaigos pavadinimas)</w:t>
                      </w:r>
                    </w:p>
                    <w:p>
                      <w:pPr>
                        <w:jc w:val="both"/>
                      </w:pPr>
                    </w:p>
                    <w:p>
                      <w:pPr>
                        <w:tabs>
                          <w:tab w:val="left" w:leader="dot" w:pos="8902"/>
                        </w:tabs>
                        <w:jc w:val="both"/>
                      </w:pPr>
                      <w:r>
                        <w:t>...</w:t>
                        <w:tab/>
                      </w:r>
                    </w:p>
                    <w:p>
                      <w:pPr>
                        <w:jc w:val="both"/>
                      </w:pPr>
                      <w:r>
                        <w:t>šeimos medicinos paslaugas teikiantis gydytojas arba darbo medicinos gydytojas</w:t>
                        <w:tab/>
                      </w:r>
                    </w:p>
                    <w:p>
                      <w:pPr>
                        <w:jc w:val="center"/>
                      </w:pPr>
                      <w:r>
                        <w:t>(gydytojo vardas, pavardė)</w:t>
                      </w:r>
                    </w:p>
                    <w:p>
                      <w:pPr>
                        <w:jc w:val="both"/>
                      </w:pPr>
                      <w:r>
                        <w:t xml:space="preserve">vadovaudamasis įstaigos vadovo 200... m. ...............mėn.       d. įsakymu Nr. ... atliko profilaktinį dirbančiųjų sveikatos tikrinimą.</w:t>
                      </w:r>
                    </w:p>
                    <w:p>
                      <w:pPr>
                        <w:jc w:val="both"/>
                      </w:pPr>
                    </w:p>
                    <w:sdt>
                      <w:sdtPr>
                        <w:alias w:val="13 pr. 1 p."/>
                        <w:tag w:val="part_b73a34da9ca44c2881405de7ac62184c"/>
                        <w:lock w:val="sdtLocked"/>
                        <w:richText/>
                      </w:sdtPr>
                      <w:sdtContent>
                        <w:p>
                          <w:pPr>
                            <w:jc w:val="both"/>
                          </w:pPr>
                          <w:sdt>
                            <w:sdtPr>
                              <w:alias w:val="Numeris"/>
                              <w:tag w:val="nr_b73a34da9ca44c2881405de7ac62184c"/>
                              <w:lock w:val="sdtLocked"/>
                              <w:richText/>
                            </w:sdtPr>
                            <w:sdtContent>
                              <w:r>
                                <w:t>1</w:t>
                              </w:r>
                            </w:sdtContent>
                          </w:sdt>
                          <w:r>
                            <w:t>. Įmonės (įstaigos) profesinės rizikos veiksniai (cheminiai, biologiniai, fizikiniai, ergonominiai, fiziniai ir kt.):</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16"/>
                            <w:gridCol w:w="5054"/>
                          </w:tblGrid>
                          <w:tr>
                            <w:tc>
                              <w:tcPr>
                                <w:tcW w:w="4428" w:type="dxa"/>
                              </w:tcPr>
                              <w:p/>
                            </w:tc>
                            <w:tc>
                              <w:tcPr>
                                <w:tcW w:w="5580" w:type="dxa"/>
                              </w:tcPr>
                              <w:p/>
                            </w:tc>
                          </w:tr>
                          <w:tr>
                            <w:tc>
                              <w:tcPr>
                                <w:tcW w:w="4428" w:type="dxa"/>
                              </w:tcPr>
                              <w:p/>
                            </w:tc>
                            <w:tc>
                              <w:tcPr>
                                <w:tcW w:w="5580" w:type="dxa"/>
                              </w:tcPr>
                              <w:p/>
                            </w:tc>
                          </w:tr>
                          <w:tr>
                            <w:tc>
                              <w:tcPr>
                                <w:tcW w:w="4428" w:type="dxa"/>
                              </w:tcPr>
                              <w:p/>
                            </w:tc>
                            <w:tc>
                              <w:tcPr>
                                <w:tcW w:w="5580" w:type="dxa"/>
                              </w:tcPr>
                              <w:p/>
                            </w:tc>
                          </w:tr>
                        </w:tbl>
                        <w:p/>
                      </w:sdtContent>
                    </w:sdt>
                    <w:sdt>
                      <w:sdtPr>
                        <w:alias w:val="13 pr. 2 p."/>
                        <w:tag w:val="part_ad7c93319de54f1da04fb75c50f4fb3c"/>
                        <w:lock w:val="sdtLocked"/>
                        <w:richText/>
                      </w:sdtPr>
                      <w:sdtContent>
                        <w:p>
                          <w:sdt>
                            <w:sdtPr>
                              <w:alias w:val="Numeris"/>
                              <w:tag w:val="nr_ad7c93319de54f1da04fb75c50f4fb3c"/>
                              <w:lock w:val="sdtLocked"/>
                              <w:richText/>
                            </w:sdtPr>
                            <w:sdtContent>
                              <w:r>
                                <w:t>2</w:t>
                              </w:r>
                            </w:sdtContent>
                          </w:sdt>
                          <w:r>
                            <w:t>. Profilaktinio sveikatos tikrinimo duomenys: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4"/>
                            <w:gridCol w:w="1895"/>
                            <w:gridCol w:w="918"/>
                            <w:gridCol w:w="999"/>
                            <w:gridCol w:w="1732"/>
                            <w:gridCol w:w="999"/>
                            <w:gridCol w:w="999"/>
                            <w:gridCol w:w="674"/>
                          </w:tblGrid>
                          <w:tr>
                            <w:tc>
                              <w:tcPr>
                                <w:tcW w:w="6948" w:type="dxa"/>
                                <w:gridSpan w:val="5"/>
                              </w:tcPr>
                              <w:p>
                                <w:r>
                                  <w:t>Tikrinimo duomenys</w:t>
                                </w:r>
                              </w:p>
                            </w:tc>
                            <w:tc>
                              <w:tcPr>
                                <w:tcW w:w="1080" w:type="dxa"/>
                              </w:tcPr>
                              <w:p>
                                <w:r>
                                  <w:t>Vyrai</w:t>
                                </w:r>
                              </w:p>
                            </w:tc>
                            <w:tc>
                              <w:tcPr>
                                <w:tcW w:w="1080" w:type="dxa"/>
                              </w:tcPr>
                              <w:p>
                                <w:r>
                                  <w:t>Moterys</w:t>
                                </w:r>
                              </w:p>
                            </w:tc>
                            <w:tc>
                              <w:tcPr>
                                <w:tcW w:w="720" w:type="dxa"/>
                              </w:tcPr>
                              <w:p>
                                <w:r>
                                  <w:t>Iš viso</w:t>
                                </w:r>
                              </w:p>
                            </w:tc>
                          </w:tr>
                          <w:tr>
                            <w:tc>
                              <w:tcPr>
                                <w:tcW w:w="6948" w:type="dxa"/>
                                <w:gridSpan w:val="5"/>
                              </w:tcPr>
                              <w:p>
                                <w:r>
                                  <w:t>Reikėjo patikrinti</w:t>
                                </w:r>
                              </w:p>
                            </w:tc>
                            <w:tc>
                              <w:tcPr>
                                <w:tcW w:w="1080" w:type="dxa"/>
                              </w:tcPr>
                              <w:p/>
                            </w:tc>
                            <w:tc>
                              <w:tcPr>
                                <w:tcW w:w="1080" w:type="dxa"/>
                              </w:tcPr>
                              <w:p/>
                            </w:tc>
                            <w:tc>
                              <w:tcPr>
                                <w:tcW w:w="720" w:type="dxa"/>
                              </w:tcPr>
                              <w:p/>
                            </w:tc>
                          </w:tr>
                          <w:tr>
                            <w:tc>
                              <w:tcPr>
                                <w:tcW w:w="6948" w:type="dxa"/>
                                <w:gridSpan w:val="5"/>
                              </w:tcPr>
                              <w:p>
                                <w:r>
                                  <w:t>Patikrinta</w:t>
                                </w:r>
                              </w:p>
                            </w:tc>
                            <w:tc>
                              <w:tcPr>
                                <w:tcW w:w="1080" w:type="dxa"/>
                              </w:tcPr>
                              <w:p/>
                            </w:tc>
                            <w:tc>
                              <w:tcPr>
                                <w:tcW w:w="1080" w:type="dxa"/>
                              </w:tcPr>
                              <w:p/>
                            </w:tc>
                            <w:tc>
                              <w:tcPr>
                                <w:tcW w:w="720" w:type="dxa"/>
                              </w:tcPr>
                              <w:p/>
                            </w:tc>
                          </w:tr>
                          <w:tr>
                            <w:trPr>
                              <w:cantSplit/>
                            </w:trPr>
                            <w:tc>
                              <w:tcPr>
                                <w:tcW w:w="918" w:type="dxa"/>
                              </w:tcPr>
                              <w:p>
                                <w:r>
                                  <w:t>Eil. Nr.</w:t>
                                </w:r>
                              </w:p>
                            </w:tc>
                            <w:tc>
                              <w:tcPr>
                                <w:tcW w:w="2070" w:type="dxa"/>
                              </w:tcPr>
                              <w:p>
                                <w:r>
                                  <w:t>vardas, pavardė</w:t>
                                </w:r>
                              </w:p>
                            </w:tc>
                            <w:tc>
                              <w:tcPr>
                                <w:tcW w:w="990" w:type="dxa"/>
                              </w:tcPr>
                              <w:p>
                                <w:r>
                                  <w:t>gim. m.</w:t>
                                </w:r>
                              </w:p>
                            </w:tc>
                            <w:tc>
                              <w:tcPr>
                                <w:tcW w:w="1080" w:type="dxa"/>
                              </w:tcPr>
                              <w:p>
                                <w:r>
                                  <w:t>profesija</w:t>
                                </w:r>
                              </w:p>
                            </w:tc>
                            <w:tc>
                              <w:tcPr>
                                <w:tcW w:w="1890" w:type="dxa"/>
                              </w:tcPr>
                              <w:p>
                                <w:r>
                                  <w:t>profesinės rizikos veiksnys</w:t>
                                </w:r>
                              </w:p>
                            </w:tc>
                            <w:tc>
                              <w:tcPr>
                                <w:tcW w:w="1080" w:type="dxa"/>
                              </w:tcPr>
                              <w:p/>
                            </w:tc>
                            <w:tc>
                              <w:tcPr>
                                <w:tcW w:w="1080" w:type="dxa"/>
                              </w:tcPr>
                              <w:p/>
                            </w:tc>
                            <w:tc>
                              <w:tcPr>
                                <w:tcW w:w="720" w:type="dxa"/>
                              </w:tcPr>
                              <w:p/>
                            </w:tc>
                          </w:tr>
                          <w:tr>
                            <w:trPr>
                              <w:cantSplit/>
                            </w:trPr>
                            <w:tc>
                              <w:tcPr>
                                <w:tcW w:w="918" w:type="dxa"/>
                              </w:tcPr>
                              <w:p>
                                <w:r>
                                  <w:t>1.</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2.</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3.</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bl>
                        <w:p/>
                      </w:sdtContent>
                    </w:sdt>
                    <w:sdt>
                      <w:sdtPr>
                        <w:alias w:val="13 pr. 3 p."/>
                        <w:tag w:val="part_adb6e8e62ec844cfb39e03130ff62487"/>
                        <w:lock w:val="sdtLocked"/>
                        <w:richText/>
                      </w:sdtPr>
                      <w:sdtContent>
                        <w:p>
                          <w:sdt>
                            <w:sdtPr>
                              <w:alias w:val="Numeris"/>
                              <w:tag w:val="nr_adb6e8e62ec844cfb39e03130ff62487"/>
                              <w:lock w:val="sdtLocked"/>
                              <w:richText/>
                            </w:sdtPr>
                            <w:sdtContent>
                              <w:r>
                                <w:t>3</w:t>
                              </w:r>
                            </w:sdtContent>
                          </w:sdt>
                          <w:r>
                            <w:t>. Tikrinimo metu atlikta:</w:t>
                          </w:r>
                        </w:p>
                        <w:tbl>
                          <w:tblPr>
                            <w:tblW w:w="9070" w:type="dxa"/>
                            <w:tblLayout w:type="fixed"/>
                            <w:tblLook w:val="0000" w:firstRow="0" w:lastRow="0" w:firstColumn="0" w:lastColumn="0" w:noHBand="0" w:noVBand="0"/>
                          </w:tblPr>
                          <w:tblGrid>
                            <w:gridCol w:w="915"/>
                            <w:gridCol w:w="4749"/>
                            <w:gridCol w:w="3406"/>
                          </w:tblGrid>
                          <w:tr>
                            <w:trPr>
                              <w:tblHeader/>
                            </w:trPr>
                            <w:tc>
                              <w:tcPr>
                                <w:tcW w:w="918" w:type="dxa"/>
                                <w:tcBorders>
                                  <w:top w:val="single" w:sz="6" w:space="0" w:color="auto"/>
                                  <w:left w:val="single" w:sz="6" w:space="0" w:color="auto"/>
                                  <w:bottom w:val="single" w:sz="6" w:space="0" w:color="auto"/>
                                  <w:right w:val="single" w:sz="6" w:space="0" w:color="auto"/>
                                </w:tcBorders>
                              </w:tcPr>
                              <w:p>
                                <w:r>
                                  <w:t>Eil. Nr.</w:t>
                                </w:r>
                              </w:p>
                            </w:tc>
                            <w:tc>
                              <w:tcPr>
                                <w:tcW w:w="4770" w:type="dxa"/>
                                <w:tcBorders>
                                  <w:top w:val="single" w:sz="6" w:space="0" w:color="auto"/>
                                  <w:left w:val="single" w:sz="6" w:space="0" w:color="auto"/>
                                  <w:bottom w:val="single" w:sz="6" w:space="0" w:color="auto"/>
                                  <w:right w:val="single" w:sz="6" w:space="0" w:color="auto"/>
                                </w:tcBorders>
                              </w:tcPr>
                              <w:p>
                                <w:r>
                                  <w:t>Tyrimai</w:t>
                                </w:r>
                              </w:p>
                            </w:tc>
                            <w:tc>
                              <w:tcPr>
                                <w:tcW w:w="3420" w:type="dxa"/>
                                <w:tcBorders>
                                  <w:top w:val="single" w:sz="6" w:space="0" w:color="auto"/>
                                  <w:bottom w:val="single" w:sz="6" w:space="0" w:color="auto"/>
                                  <w:right w:val="single" w:sz="6" w:space="0" w:color="auto"/>
                                </w:tcBorders>
                              </w:tcPr>
                              <w:p>
                                <w: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1.</w:t>
                                </w:r>
                              </w:p>
                            </w:tc>
                            <w:tc>
                              <w:tcPr>
                                <w:tcW w:w="4770" w:type="dxa"/>
                              </w:tcPr>
                              <w:p>
                                <w:r>
                                  <w:t>Klinikiniai kraujo tyrimai (Hb, leukocitai, ENG)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2.</w:t>
                                </w:r>
                              </w:p>
                            </w:tc>
                            <w:tc>
                              <w:tcPr>
                                <w:tcW w:w="4770" w:type="dxa"/>
                              </w:tcPr>
                              <w:p>
                                <w:r>
                                  <w:t>Šlapimo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3.</w:t>
                                </w:r>
                              </w:p>
                            </w:tc>
                            <w:tc>
                              <w:tcPr>
                                <w:tcW w:w="4770" w:type="dxa"/>
                              </w:tcPr>
                              <w:p>
                                <w:r>
                                  <w:t>Krūtinės ląstos rentgenogramos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4.</w:t>
                                </w:r>
                              </w:p>
                            </w:tc>
                            <w:tc>
                              <w:tcPr>
                                <w:tcW w:w="4770" w:type="dxa"/>
                              </w:tcPr>
                              <w:p>
                                <w:r>
                                  <w:t>Biocheminiai kraujo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5. </w:t>
                                </w:r>
                              </w:p>
                            </w:tc>
                            <w:tc>
                              <w:tcPr>
                                <w:tcW w:w="4770" w:type="dxa"/>
                              </w:tcPr>
                              <w:p>
                                <w:r>
                                  <w:t>Mikroprecipitacijos reakcijos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6.</w:t>
                                </w:r>
                              </w:p>
                            </w:tc>
                            <w:tc>
                              <w:tcPr>
                                <w:tcW w:w="4770" w:type="dxa"/>
                              </w:tcPr>
                              <w:p>
                                <w:r>
                                  <w:t>Audiogramos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7.</w:t>
                                </w:r>
                              </w:p>
                            </w:tc>
                            <w:tc>
                              <w:tcPr>
                                <w:tcW w:w="4770" w:type="dxa"/>
                              </w:tcPr>
                              <w:p>
                                <w:r>
                                  <w:t>EKG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8.</w:t>
                                </w:r>
                              </w:p>
                            </w:tc>
                            <w:tc>
                              <w:tcPr>
                                <w:tcW w:w="4770" w:type="dxa"/>
                              </w:tcPr>
                              <w:p>
                                <w:r>
                                  <w:t>Tyrimai ultragarsu</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9.</w:t>
                                </w:r>
                              </w:p>
                            </w:tc>
                            <w:tc>
                              <w:tcPr>
                                <w:tcW w:w="4770" w:type="dxa"/>
                              </w:tcPr>
                              <w:p>
                                <w:r>
                                  <w:t>Kvėpavimo funkcijos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10. </w:t>
                                </w:r>
                              </w:p>
                            </w:tc>
                            <w:tc>
                              <w:tcPr>
                                <w:tcW w:w="4770" w:type="dxa"/>
                              </w:tcPr>
                              <w:p>
                                <w:r>
                                  <w:t>Skreplių citologiniai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11. </w:t>
                                </w:r>
                              </w:p>
                            </w:tc>
                            <w:tc>
                              <w:tcPr>
                                <w:tcW w:w="4770" w:type="dxa"/>
                              </w:tcPr>
                              <w:p>
                                <w:r>
                                  <w:t>Kiti tyrimai</w:t>
                                </w:r>
                              </w:p>
                            </w:tc>
                            <w:tc>
                              <w:tcPr>
                                <w:tcW w:w="3420" w:type="dxa"/>
                              </w:tcPr>
                              <w:p/>
                            </w:tc>
                          </w:tr>
                        </w:tbl>
                        <w:p/>
                      </w:sdtContent>
                    </w:sdt>
                    <w:sdt>
                      <w:sdtPr>
                        <w:alias w:val="13 pr. 4 p."/>
                        <w:tag w:val="part_31470062180c4d71b3f5d7f7b735a64d"/>
                        <w:lock w:val="sdtLocked"/>
                        <w:richText/>
                      </w:sdtPr>
                      <w:sdtContent>
                        <w:p>
                          <w:sdt>
                            <w:sdtPr>
                              <w:alias w:val="Numeris"/>
                              <w:tag w:val="nr_31470062180c4d71b3f5d7f7b735a64d"/>
                              <w:lock w:val="sdtLocked"/>
                              <w:richText/>
                            </w:sdtPr>
                            <w:sdtContent>
                              <w:r>
                                <w:t>4</w:t>
                              </w:r>
                            </w:sdtContent>
                          </w:sdt>
                          <w:r>
                            <w:t>. Pateiktos išvados:</w:t>
                          </w:r>
                        </w:p>
                        <w:sdt>
                          <w:sdtPr>
                            <w:alias w:val="13 pr. 4.1 p."/>
                            <w:tag w:val="part_f59816ec77884423b6c9571ff20a5ac3"/>
                            <w:lock w:val="sdtLocked"/>
                            <w:richText/>
                          </w:sdtPr>
                          <w:sdtContent>
                            <w:p>
                              <w:sdt>
                                <w:sdtPr>
                                  <w:alias w:val="Numeris"/>
                                  <w:tag w:val="nr_f59816ec77884423b6c9571ff20a5ac3"/>
                                  <w:lock w:val="sdtLocked"/>
                                  <w:richText/>
                                </w:sdtPr>
                                <w:sdtContent>
                                  <w:r>
                                    <w:t>4.1</w:t>
                                  </w:r>
                                </w:sdtContent>
                              </w:sdt>
                              <w:r>
                                <w:t>. Dėl asmenų, kuriems leidžiama dirbti su apribojimais: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51"/>
                                <w:gridCol w:w="896"/>
                                <w:gridCol w:w="1074"/>
                                <w:gridCol w:w="1397"/>
                                <w:gridCol w:w="1478"/>
                                <w:gridCol w:w="2043"/>
                              </w:tblGrid>
                              <w:tr>
                                <w:tc>
                                  <w:tcPr>
                                    <w:tcW w:w="675" w:type="dxa"/>
                                  </w:tcPr>
                                  <w:p>
                                    <w:r>
                                      <w:t>Eil. Nr.</w:t>
                                    </w:r>
                                  </w:p>
                                </w:tc>
                                <w:tc>
                                  <w:tcPr>
                                    <w:tcW w:w="1701" w:type="dxa"/>
                                  </w:tcPr>
                                  <w:p>
                                    <w:r>
                                      <w:t>Vardas, pavardė</w:t>
                                    </w:r>
                                  </w:p>
                                </w:tc>
                                <w:tc>
                                  <w:tcPr>
                                    <w:tcW w:w="972" w:type="dxa"/>
                                  </w:tcPr>
                                  <w:p>
                                    <w:r>
                                      <w:t>Gim. m.</w:t>
                                    </w:r>
                                  </w:p>
                                </w:tc>
                                <w:tc>
                                  <w:tcPr>
                                    <w:tcW w:w="1170" w:type="dxa"/>
                                  </w:tcPr>
                                  <w:p>
                                    <w:r>
                                      <w:t>Profesija</w:t>
                                    </w:r>
                                  </w:p>
                                </w:tc>
                                <w:tc>
                                  <w:tcPr>
                                    <w:tcW w:w="1530" w:type="dxa"/>
                                  </w:tcPr>
                                  <w:p>
                                    <w:r>
                                      <w:t>Profesinės rizikos veiksnys</w:t>
                                    </w:r>
                                  </w:p>
                                </w:tc>
                                <w:tc>
                                  <w:tcPr>
                                    <w:tcW w:w="1620" w:type="dxa"/>
                                  </w:tcPr>
                                  <w:p>
                                    <w:r>
                                      <w:t>Apribojimai</w:t>
                                    </w:r>
                                  </w:p>
                                </w:tc>
                                <w:tc>
                                  <w:tcPr>
                                    <w:tcW w:w="2250" w:type="dxa"/>
                                  </w:tcPr>
                                  <w:p>
                                    <w:r>
                                      <w:t>Siūlymai darbdaviui ir darbuotojui</w:t>
                                    </w:r>
                                  </w:p>
                                </w:tc>
                              </w:tr>
                              <w:tr>
                                <w:tc>
                                  <w:tcPr>
                                    <w:tcW w:w="675" w:type="dxa"/>
                                    <w:tcBorders>
                                      <w:top w:val="nil"/>
                                    </w:tcBorders>
                                  </w:tcPr>
                                  <w:p>
                                    <w:r>
                                      <w:t>1.</w:t>
                                    </w:r>
                                  </w:p>
                                </w:tc>
                                <w:tc>
                                  <w:tcPr>
                                    <w:tcW w:w="1701" w:type="dxa"/>
                                    <w:tcBorders>
                                      <w:top w:val="nil"/>
                                    </w:tcBorders>
                                  </w:tcPr>
                                  <w:p/>
                                </w:tc>
                                <w:tc>
                                  <w:tcPr>
                                    <w:tcW w:w="972" w:type="dxa"/>
                                    <w:tcBorders>
                                      <w:top w:val="nil"/>
                                    </w:tcBorders>
                                  </w:tcPr>
                                  <w:p/>
                                </w:tc>
                                <w:tc>
                                  <w:tcPr>
                                    <w:tcW w:w="1170" w:type="dxa"/>
                                    <w:tcBorders>
                                      <w:top w:val="nil"/>
                                    </w:tcBorders>
                                  </w:tcPr>
                                  <w:p/>
                                </w:tc>
                                <w:tc>
                                  <w:tcPr>
                                    <w:tcW w:w="1530" w:type="dxa"/>
                                    <w:tcBorders>
                                      <w:top w:val="nil"/>
                                    </w:tcBorders>
                                  </w:tcPr>
                                  <w:p/>
                                </w:tc>
                                <w:tc>
                                  <w:tcPr>
                                    <w:tcW w:w="1620" w:type="dxa"/>
                                    <w:tcBorders>
                                      <w:top w:val="nil"/>
                                    </w:tcBorders>
                                  </w:tcPr>
                                  <w:p/>
                                </w:tc>
                                <w:tc>
                                  <w:tcPr>
                                    <w:tcW w:w="2250" w:type="dxa"/>
                                    <w:tcBorders>
                                      <w:top w:val="nil"/>
                                    </w:tcBorders>
                                  </w:tcPr>
                                  <w:p/>
                                </w:tc>
                              </w:tr>
                              <w:tr>
                                <w:tc>
                                  <w:tcPr>
                                    <w:tcW w:w="675" w:type="dxa"/>
                                  </w:tcPr>
                                  <w:p>
                                    <w:r>
                                      <w:t>2.</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bl>
                            <w:p/>
                          </w:sdtContent>
                        </w:sdt>
                        <w:sdt>
                          <w:sdtPr>
                            <w:alias w:val="13 pr. 4.2 p."/>
                            <w:tag w:val="part_deb46bf600d24d2090065763213bfbf6"/>
                            <w:lock w:val="sdtLocked"/>
                            <w:richText/>
                          </w:sdtPr>
                          <w:sdtContent>
                            <w:p>
                              <w:sdt>
                                <w:sdtPr>
                                  <w:alias w:val="Numeris"/>
                                  <w:tag w:val="nr_deb46bf600d24d2090065763213bfbf6"/>
                                  <w:lock w:val="sdtLocked"/>
                                  <w:richText/>
                                </w:sdtPr>
                                <w:sdtContent>
                                  <w:r>
                                    <w:t>4.2</w:t>
                                  </w:r>
                                </w:sdtContent>
                              </w:sdt>
                              <w:r>
                                <w:t>. Dėl asmenų, kuriems įtariama profesinė liga:</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0"/>
                                <w:gridCol w:w="1535"/>
                                <w:gridCol w:w="913"/>
                                <w:gridCol w:w="1074"/>
                                <w:gridCol w:w="1397"/>
                                <w:gridCol w:w="1478"/>
                                <w:gridCol w:w="2043"/>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1530" w:type="dxa"/>
                                  </w:tcPr>
                                  <w:p>
                                    <w:r>
                                      <w:t>Profesinės rizikos veiksnys</w:t>
                                    </w:r>
                                  </w:p>
                                </w:tc>
                                <w:tc>
                                  <w:tcPr>
                                    <w:tcW w:w="1620" w:type="dxa"/>
                                  </w:tcPr>
                                  <w:p>
                                    <w:r>
                                      <w:t>Įtariama diagnozė</w:t>
                                    </w:r>
                                  </w:p>
                                </w:tc>
                                <w:tc>
                                  <w:tcPr>
                                    <w:tcW w:w="2250" w:type="dxa"/>
                                  </w:tcPr>
                                  <w:p>
                                    <w:r>
                                      <w:t xml:space="preserve">Siūlymai darbdaviui ir darbuotojui </w:t>
                                    </w:r>
                                  </w:p>
                                </w:tc>
                              </w:tr>
                              <w:tr>
                                <w:tc>
                                  <w:tcPr>
                                    <w:tcW w:w="675" w:type="dxa"/>
                                  </w:tcPr>
                                  <w:p>
                                    <w:r>
                                      <w:t>1.</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2.</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bl>
                            <w:p/>
                          </w:sdtContent>
                        </w:sdt>
                        <w:sdt>
                          <w:sdtPr>
                            <w:alias w:val="13 pr. 4.3 p."/>
                            <w:tag w:val="part_2984e5fe057947eab12160cf989c762e"/>
                            <w:lock w:val="sdtLocked"/>
                            <w:richText/>
                          </w:sdtPr>
                          <w:sdtContent>
                            <w:p>
                              <w:sdt>
                                <w:sdtPr>
                                  <w:alias w:val="Numeris"/>
                                  <w:tag w:val="nr_2984e5fe057947eab12160cf989c762e"/>
                                  <w:lock w:val="sdtLocked"/>
                                  <w:richText/>
                                </w:sdtPr>
                                <w:sdtContent>
                                  <w:r>
                                    <w:t>4.3</w:t>
                                  </w:r>
                                </w:sdtContent>
                              </w:sdt>
                              <w:r>
                                <w:t>. Dėl asmenų, kuriems dėl sveikatos būklės būtina pakeisti darbo sąlygas į nesusijusias su profesinės rizikos veiksniais: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39"/>
                                <w:gridCol w:w="915"/>
                                <w:gridCol w:w="1077"/>
                                <w:gridCol w:w="2130"/>
                                <w:gridCol w:w="2778"/>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2340" w:type="dxa"/>
                                  </w:tcPr>
                                  <w:p>
                                    <w:r>
                                      <w:t>Profesinės rizikos veiksnys</w:t>
                                    </w:r>
                                  </w:p>
                                </w:tc>
                                <w:tc>
                                  <w:tcPr>
                                    <w:tcW w:w="3060" w:type="dxa"/>
                                  </w:tcPr>
                                  <w:p>
                                    <w:r>
                                      <w:t>Siūlymai darbdaviui ir darbuotojui</w:t>
                                    </w:r>
                                  </w:p>
                                </w:tc>
                              </w:tr>
                              <w:tr>
                                <w:tc>
                                  <w:tcPr>
                                    <w:tcW w:w="675" w:type="dxa"/>
                                  </w:tcPr>
                                  <w:p>
                                    <w:r>
                                      <w:t>1.</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2.</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3.</w:t>
                                    </w:r>
                                  </w:p>
                                </w:tc>
                                <w:tc>
                                  <w:tcPr>
                                    <w:tcW w:w="1683" w:type="dxa"/>
                                  </w:tcPr>
                                  <w:p/>
                                </w:tc>
                                <w:tc>
                                  <w:tcPr>
                                    <w:tcW w:w="990" w:type="dxa"/>
                                  </w:tcPr>
                                  <w:p/>
                                </w:tc>
                                <w:tc>
                                  <w:tcPr>
                                    <w:tcW w:w="1170" w:type="dxa"/>
                                  </w:tcPr>
                                  <w:p/>
                                </w:tc>
                                <w:tc>
                                  <w:tcPr>
                                    <w:tcW w:w="2340" w:type="dxa"/>
                                  </w:tcPr>
                                  <w:p/>
                                </w:tc>
                                <w:tc>
                                  <w:tcPr>
                                    <w:tcW w:w="3060" w:type="dxa"/>
                                  </w:tcPr>
                                  <w:p/>
                                </w:tc>
                              </w:tr>
                            </w:tbl>
                            <w:p>
                              <w:r>
                                <w:t xml:space="preserve">Protokolas surašomas dviem egzemplioriais (paciento darbdaviui, patikrinimą atlikusiai ASPĮ) </w:t>
                              </w:r>
                            </w:p>
                            <w:p/>
                            <w:p>
                              <w:pPr>
                                <w:tabs>
                                  <w:tab w:val="left" w:leader="dot" w:pos="8902"/>
                                </w:tabs>
                                <w:jc w:val="both"/>
                              </w:pPr>
                              <w:r>
                                <w:t>...</w:t>
                                <w:tab/>
                              </w:r>
                            </w:p>
                            <w:tbl>
                              <w:tblPr>
                                <w:tblW w:w="9070" w:type="dxa"/>
                                <w:tblLook w:val="01E0" w:firstRow="1" w:lastRow="1" w:firstColumn="1" w:lastColumn="1" w:noHBand="0" w:noVBand="0"/>
                              </w:tblPr>
                              <w:tblGrid>
                                <w:gridCol w:w="4537"/>
                                <w:gridCol w:w="4533"/>
                              </w:tblGrid>
                              <w:tr>
                                <w:tc>
                                  <w:tcPr>
                                    <w:tcW w:w="4644" w:type="dxa"/>
                                  </w:tcPr>
                                  <w:p>
                                    <w:r>
                                      <w:t>šeimos medicinos paslaugas teikiantis gydytojas arba darbo medicinos gydytojas, tel. ...... (vardas, pavardė) “</w:t>
                                    </w:r>
                                  </w:p>
                                </w:tc>
                                <w:tc>
                                  <w:tcPr>
                                    <w:tcW w:w="4644" w:type="dxa"/>
                                  </w:tcPr>
                                  <w:p>
                                    <w:pPr>
                                      <w:jc w:val="center"/>
                                    </w:pPr>
                                    <w:r>
                                      <w:t>(parašas)</w:t>
                                    </w:r>
                                  </w:p>
                                </w:tc>
                              </w:tr>
                            </w:tbl>
                            <w:p/>
                          </w:sdtContent>
                        </w:sdt>
                      </w:sdtContent>
                    </w:sdt>
                  </w:sdtContent>
                </w:sdt>
                <w:sdt>
                  <w:sdtPr>
                    <w:alias w:val="pabaiga"/>
                    <w:tag w:val="part_f9964173ee2a4b89a1a3afa977e4b92e"/>
                    <w:lock w:val="sdtLocked"/>
                    <w:richText/>
                  </w:sdtPr>
                  <w:sdtContent>
                    <w:p>
                      <w:pPr>
                        <w:jc w:val="center"/>
                      </w:pPr>
                      <w:r>
                        <w:t>_________________</w:t>
                      </w:r>
                    </w:p>
                    <w:p/>
                    <w:p>
                      <w:pPr>
                        <w:rPr>
                          <w:color w:val="000000"/>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ad4efd8c177b4a289b600a2975af93d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w:t>
          </w:r>
          <w:r>
            <w:rPr>
              <w:rFonts w:ascii="Times New Roman" w:hAnsi="Times New Roman"/>
              <w:b/>
              <w:sz w:val="22"/>
            </w:rPr>
            <w:t xml:space="preserve"> priedas.</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6 pr."/>
        <w:tag w:val="part_7ad791ab7dd94f85be58aa9d4360274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16</w:t>
          </w:r>
          <w:r>
            <w:rPr>
              <w:rFonts w:ascii="Times New Roman" w:hAnsi="Times New Roman"/>
              <w:b/>
              <w:sz w:val="22"/>
            </w:rPr>
            <w:t xml:space="preserve"> priedas.</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7 pr."/>
        <w:tag w:val="part_8b0d19f6b5e94bb7ae372cc42e2efe46"/>
        <w:lock w:val="sdtLocked"/>
        <w:richText/>
      </w:sdtPr>
      <w:sdtContent>
        <w:p>
          <w:pPr>
            <w:tabs>
              <w:tab w:val="left" w:pos="1304"/>
              <w:tab w:val="left" w:pos="1457"/>
              <w:tab w:val="left" w:pos="1604"/>
              <w:tab w:val="left" w:pos="1757"/>
            </w:tabs>
            <w:ind w:left="5102"/>
            <w:sectPr>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b0d19f6b5e94bb7ae372cc42e2efe46"/>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b0d19f6b5e94bb7ae372cc42e2efe46"/>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5e54d77e33034274b5a0d0ae5cf9bfe2"/>
        <w:lock w:val="sdtLocked"/>
        <w:richText/>
      </w:sdtPr>
      <w:sdtContent>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204"/>
            <w:sectPr>
              <w:pgSz w:w="11907" w:h="16839"/>
              <w:pgMar w:top="1134" w:right="567" w:bottom="1134" w:left="1701" w:header="567" w:footer="567" w:gutter="0"/>
              <w:cols w:space="1296"/>
              <w:titlePg/>
              <w:docGrid w:linePitch="360"/>
            </w:sectPr>
          </w:pP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PATVIRTINTA</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Lietuvos Respublikos</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2000 m. gegužės 31d. įsakymu Nr. 301</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(Lietuvos Respublikos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2014 m. gruodžio 22 d. įsakymo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Nr. V-1393 redakcija) </w:t>
          </w:r>
          <w:sdt>
            <w:sdtPr>
              <w:alias w:val="Numeris"/>
              <w:tag w:val="nr_5e54d77e33034274b5a0d0ae5cf9bfe2"/>
              <w:lock w:val="sdtLocked"/>
              <w:richText/>
            </w:sdtPr>
            <w:sdtContent>
              <w:r>
                <w:rPr>
                  <w:szCs w:val="24"/>
                  <w:lang w:eastAsia="lt-LT"/>
                </w:rPr>
                <w:t>18</w:t>
              </w:r>
            </w:sdtContent>
          </w:sdt>
          <w:r>
            <w:rPr>
              <w:szCs w:val="24"/>
              <w:lang w:eastAsia="lt-LT"/>
            </w:rPr>
            <w:t xml:space="preserve"> priedas</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szCs w:val="24"/>
              <w:lang w:eastAsia="lt-LT"/>
            </w:rPr>
          </w:pP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center"/>
            <w:rPr>
              <w:b/>
              <w:szCs w:val="24"/>
              <w:lang w:eastAsia="lt-LT"/>
            </w:rPr>
          </w:pPr>
          <w:sdt>
            <w:sdtPr>
              <w:alias w:val="Pavadinimas"/>
              <w:tag w:val="title_5e54d77e33034274b5a0d0ae5cf9bfe2"/>
              <w:lock w:val="sdtLocked"/>
              <w:richText/>
            </w:sdtPr>
            <w:sdtContent>
              <w:r>
                <w:rPr>
                  <w:b/>
                  <w:szCs w:val="24"/>
                  <w:lang w:eastAsia="lt-LT"/>
                </w:rPr>
                <w:t>PROFILAKTINIŲ SVEIKATOS TIKRINIMŲ KAINOS IR GYDYTOJŲ SPECIALISTŲ, TEIKIANČIŲ PROFILAKTINIŲ SVEIKATOS TIKRINIMŲ PASLAUGAS, APMOKAMAS IŠ PRIVALOMOJO SVEIKATOS DRAUDIMO FONDO BIUDŽETO, PASLAUGŲ KAINOS</w:t>
              </w:r>
            </w:sdtContent>
          </w:sdt>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
          <w:sdtPr>
            <w:alias w:val="skyrius"/>
            <w:tag w:val="part_da7537f004654b40b74594c1c11422d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da7537f004654b40b74594c1c11422d0"/>
                  <w:lock w:val="sdtLocked"/>
                  <w:richText/>
                </w:sdtPr>
                <w:sdtContent>
                  <w:r>
                    <w:rPr>
                      <w:b/>
                      <w:szCs w:val="24"/>
                      <w:lang w:eastAsia="lt-LT"/>
                    </w:rPr>
                    <w:t>I</w:t>
                  </w:r>
                </w:sdtContent>
              </w:sdt>
              <w:r>
                <w:rPr>
                  <w:b/>
                  <w:szCs w:val="24"/>
                  <w:lang w:eastAsia="lt-LT"/>
                </w:rPr>
                <w:t xml:space="preserve"> SKYRIUS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sdt>
                <w:sdtPr>
                  <w:alias w:val="Pavadinimas"/>
                  <w:tag w:val="title_da7537f004654b40b74594c1c11422d0"/>
                  <w:lock w:val="sdtLocked"/>
                  <w:richText/>
                </w:sdtPr>
                <w:sdtContent>
                  <w:r>
                    <w:rPr>
                      <w:b/>
                      <w:szCs w:val="24"/>
                      <w:lang w:eastAsia="lt-LT"/>
                    </w:rPr>
                    <w:t>PROFILAKTINIŲ SVEIKATOS TIKRINIMŲ, UŽ KURIUOS MOKA PATS DARBUOTOJAS, DARBDAVYS AR KITI ASMENYS, KAINOS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5245"/>
                <w:gridCol w:w="1559"/>
                <w:gridCol w:w="1242"/>
              </w:tblGrid>
              <w:tr>
                <w:tc>
                  <w:tcPr>
                    <w:tcW w:w="992" w:type="dxa"/>
                    <w:vMerge w:val="restart"/>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108" w:right="-113" w:hanging="5"/>
                      <w:jc w:val="center"/>
                      <w:rPr>
                        <w:b/>
                        <w:color w:val="000000"/>
                        <w:szCs w:val="24"/>
                        <w:lang w:eastAsia="lt-LT"/>
                      </w:rPr>
                    </w:pPr>
                    <w:r>
                      <w:rPr>
                        <w:b/>
                        <w:color w:val="000000"/>
                        <w:szCs w:val="24"/>
                        <w:lang w:eastAsia="lt-LT"/>
                      </w:rPr>
                      <w:t>Eil. Nr.</w:t>
                    </w:r>
                  </w:p>
                </w:tc>
                <w:tc>
                  <w:tcPr>
                    <w:tcW w:w="5245" w:type="dxa"/>
                    <w:vMerge w:val="restart"/>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right="-108"/>
                      <w:jc w:val="center"/>
                      <w:rPr>
                        <w:b/>
                        <w:color w:val="000000"/>
                        <w:szCs w:val="24"/>
                        <w:lang w:eastAsia="lt-LT"/>
                      </w:rPr>
                    </w:pPr>
                    <w:r>
                      <w:rPr>
                        <w:b/>
                        <w:szCs w:val="24"/>
                        <w:lang w:eastAsia="lt-LT"/>
                      </w:rPr>
                      <w:t>Profilaktinių sveikatos tikrinimų rūšys</w:t>
                    </w:r>
                  </w:p>
                </w:tc>
                <w:tc>
                  <w:tcPr>
                    <w:tcW w:w="2801" w:type="dxa"/>
                    <w:gridSpan w:val="2"/>
                    <w:tcBorders>
                      <w:bottom w:val="single" w:sz="4" w:space="0" w:color="auto"/>
                    </w:tcBorders>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b/>
                        <w:szCs w:val="24"/>
                        <w:lang w:eastAsia="lt-LT"/>
                      </w:rPr>
                    </w:pPr>
                    <w:r>
                      <w:rPr>
                        <w:b/>
                        <w:szCs w:val="24"/>
                        <w:lang w:eastAsia="lt-LT"/>
                      </w:rPr>
                      <w:t>Kaina (eurais)</w:t>
                    </w:r>
                  </w:p>
                </w:tc>
              </w:tr>
              <w:tr>
                <w:trPr>
                  <w:trHeight w:val="351"/>
                </w:trPr>
                <w:tc>
                  <w:tcPr>
                    <w:tcW w:w="992" w:type="dxa"/>
                    <w:vMerge/>
                    <w:tcBorders>
                      <w:bottom w:val="single" w:sz="4" w:space="0" w:color="auto"/>
                    </w:tcBorders>
                  </w:tcPr>
                  <w:p>
                    <w:pPr>
                      <w:tabs>
                        <w:tab w:val="left" w:pos="916"/>
                      </w:tabs>
                      <w:spacing w:line="276" w:lineRule="auto"/>
                      <w:rPr>
                        <w:b/>
                        <w:color w:val="000000"/>
                        <w:szCs w:val="24"/>
                      </w:rPr>
                    </w:pPr>
                  </w:p>
                </w:tc>
                <w:tc>
                  <w:tcPr>
                    <w:tcW w:w="5245" w:type="dxa"/>
                    <w:vMerge/>
                    <w:tcBorders>
                      <w:bottom w:val="single" w:sz="4" w:space="0" w:color="auto"/>
                    </w:tcBorders>
                  </w:tcPr>
                  <w:p>
                    <w:pPr>
                      <w:tabs>
                        <w:tab w:val="left" w:pos="916"/>
                      </w:tabs>
                      <w:spacing w:line="276" w:lineRule="auto"/>
                      <w:rPr>
                        <w:b/>
                        <w:szCs w:val="24"/>
                        <w:lang w:eastAsia="lt-LT"/>
                      </w:rPr>
                    </w:pPr>
                  </w:p>
                </w:tc>
                <w:tc>
                  <w:tcPr>
                    <w:tcW w:w="1559" w:type="dxa"/>
                    <w:tcBorders>
                      <w:top w:val="single" w:sz="4" w:space="0" w:color="auto"/>
                      <w:bottom w:val="single" w:sz="4" w:space="0" w:color="auto"/>
                      <w:right w:val="single" w:sz="4" w:space="0" w:color="auto"/>
                    </w:tcBorders>
                  </w:tcPr>
                  <w:p>
                    <w:pPr>
                      <w:tabs>
                        <w:tab w:val="left" w:pos="33"/>
                      </w:tabs>
                      <w:spacing w:line="276" w:lineRule="auto"/>
                      <w:ind w:firstLine="33"/>
                      <w:jc w:val="center"/>
                      <w:rPr>
                        <w:b/>
                        <w:color w:val="000000"/>
                        <w:szCs w:val="24"/>
                      </w:rPr>
                    </w:pPr>
                    <w:r>
                      <w:rPr>
                        <w:b/>
                        <w:color w:val="000000"/>
                        <w:szCs w:val="24"/>
                      </w:rPr>
                      <w:t>įsidarbinant</w:t>
                    </w:r>
                  </w:p>
                </w:tc>
                <w:tc>
                  <w:tcPr>
                    <w:tcW w:w="1242" w:type="dxa"/>
                    <w:tcBorders>
                      <w:top w:val="single" w:sz="4" w:space="0" w:color="auto"/>
                      <w:left w:val="single" w:sz="4" w:space="0" w:color="auto"/>
                      <w:bottom w:val="single" w:sz="4" w:space="0" w:color="auto"/>
                      <w:right w:val="single" w:sz="4" w:space="0" w:color="auto"/>
                    </w:tcBorders>
                  </w:tcPr>
                  <w:p>
                    <w:pPr>
                      <w:tabs>
                        <w:tab w:val="left" w:pos="0"/>
                      </w:tabs>
                      <w:spacing w:line="276" w:lineRule="auto"/>
                      <w:jc w:val="center"/>
                      <w:rPr>
                        <w:b/>
                        <w:color w:val="000000"/>
                        <w:szCs w:val="24"/>
                      </w:rPr>
                    </w:pPr>
                    <w:r>
                      <w:rPr>
                        <w:b/>
                        <w:szCs w:val="24"/>
                        <w:lang w:eastAsia="lt-LT"/>
                      </w:rPr>
                      <w:t>dirbant</w:t>
                    </w:r>
                  </w:p>
                </w:tc>
              </w:tr>
              <w:tr>
                <w:trPr>
                  <w:trHeight w:val="173"/>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color w:val="000000"/>
                        <w:szCs w:val="24"/>
                      </w:rPr>
                    </w:pPr>
                    <w:r>
                      <w:rPr>
                        <w:color w:val="000000"/>
                        <w:szCs w:val="24"/>
                      </w:rPr>
                      <w:t>1</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2</w:t>
                    </w:r>
                  </w:p>
                </w:tc>
                <w:tc>
                  <w:tcPr>
                    <w:tcW w:w="1559" w:type="dxa"/>
                    <w:tcBorders>
                      <w:top w:val="single" w:sz="4" w:space="0" w:color="auto"/>
                      <w:left w:val="single" w:sz="4" w:space="0" w:color="auto"/>
                      <w:bottom w:val="single" w:sz="4" w:space="0" w:color="auto"/>
                      <w:right w:val="single" w:sz="4" w:space="0" w:color="auto"/>
                    </w:tcBorders>
                    <w:vAlign w:val="center"/>
                  </w:tcPr>
                  <w:p>
                    <w:pPr>
                      <w:tabs>
                        <w:tab w:val="left" w:pos="916"/>
                      </w:tabs>
                      <w:spacing w:line="276" w:lineRule="auto"/>
                      <w:jc w:val="center"/>
                      <w:rPr>
                        <w:szCs w:val="24"/>
                        <w:lang w:eastAsia="lt-LT"/>
                      </w:rPr>
                    </w:pPr>
                    <w:r>
                      <w:rPr>
                        <w:szCs w:val="24"/>
                        <w:lang w:eastAsia="lt-LT"/>
                      </w:rPr>
                      <w:t>3</w:t>
                    </w:r>
                  </w:p>
                </w:tc>
                <w:tc>
                  <w:tcPr>
                    <w:tcW w:w="1242" w:type="dxa"/>
                    <w:tcBorders>
                      <w:top w:val="single" w:sz="4" w:space="0" w:color="auto"/>
                      <w:left w:val="single" w:sz="4" w:space="0" w:color="auto"/>
                      <w:bottom w:val="single" w:sz="4" w:space="0" w:color="auto"/>
                      <w:right w:val="single" w:sz="4" w:space="0" w:color="auto"/>
                    </w:tcBorders>
                    <w:vAlign w:val="bottom"/>
                  </w:tcPr>
                  <w:p>
                    <w:pPr>
                      <w:tabs>
                        <w:tab w:val="left" w:pos="916"/>
                      </w:tabs>
                      <w:spacing w:line="276" w:lineRule="auto"/>
                      <w:jc w:val="center"/>
                      <w:rPr>
                        <w:strike/>
                        <w:szCs w:val="24"/>
                        <w:lang w:eastAsia="lt-LT"/>
                      </w:rPr>
                    </w:pPr>
                    <w:r>
                      <w:rPr>
                        <w:strike/>
                        <w:szCs w:val="24"/>
                        <w:lang w:eastAsia="lt-LT"/>
                      </w:rPr>
                      <w:t>4</w:t>
                    </w:r>
                  </w:p>
                </w:tc>
              </w:tr>
              <w:tr>
                <w:tc>
                  <w:tcPr>
                    <w:tcW w:w="992" w:type="dxa"/>
                  </w:tcPr>
                  <w:p>
                    <w:pPr>
                      <w:tabs>
                        <w:tab w:val="left" w:pos="916"/>
                      </w:tabs>
                      <w:spacing w:line="276" w:lineRule="auto"/>
                      <w:rPr>
                        <w:color w:val="000000"/>
                        <w:szCs w:val="24"/>
                      </w:rPr>
                    </w:pPr>
                    <w:r>
                      <w:rPr>
                        <w:color w:val="000000"/>
                        <w:szCs w:val="24"/>
                      </w:rPr>
                      <w:t>1.</w:t>
                    </w:r>
                  </w:p>
                </w:tc>
                <w:tc>
                  <w:tcPr>
                    <w:tcW w:w="5245" w:type="dxa"/>
                  </w:tcPr>
                  <w:p>
                    <w:pPr>
                      <w:tabs>
                        <w:tab w:val="left" w:pos="916"/>
                      </w:tabs>
                      <w:spacing w:line="276" w:lineRule="auto"/>
                      <w:rPr>
                        <w:color w:val="000000"/>
                        <w:szCs w:val="24"/>
                      </w:rPr>
                    </w:pPr>
                    <w:r>
                      <w:rPr>
                        <w:szCs w:val="24"/>
                        <w:lang w:eastAsia="lt-LT"/>
                      </w:rPr>
                      <w:t>Jūrininkų ir vidaus vandenų transporto specialistų bei motorinių pramoginių laivų ir kitų motorinių plaukiojimo priemonių laivavedžių</w:t>
                    </w:r>
                  </w:p>
                </w:tc>
                <w:tc>
                  <w:tcPr>
                    <w:tcW w:w="1559" w:type="dxa"/>
                  </w:tcPr>
                  <w:p>
                    <w:pPr>
                      <w:tabs>
                        <w:tab w:val="left" w:pos="916"/>
                      </w:tabs>
                      <w:spacing w:line="276" w:lineRule="auto"/>
                      <w:jc w:val="center"/>
                      <w:rPr>
                        <w:strike/>
                        <w:color w:val="000000"/>
                        <w:szCs w:val="24"/>
                      </w:rPr>
                    </w:pPr>
                    <w:r>
                      <w:rPr>
                        <w:szCs w:val="24"/>
                        <w:lang w:eastAsia="lt-LT"/>
                      </w:rPr>
                      <w:t>28,71</w:t>
                    </w:r>
                  </w:p>
                </w:tc>
                <w:tc>
                  <w:tcPr>
                    <w:tcW w:w="1242" w:type="dxa"/>
                  </w:tcPr>
                  <w:p>
                    <w:pPr>
                      <w:tabs>
                        <w:tab w:val="left" w:pos="916"/>
                      </w:tabs>
                      <w:spacing w:line="276" w:lineRule="auto"/>
                      <w:jc w:val="center"/>
                      <w:rPr>
                        <w:strike/>
                        <w:color w:val="000000"/>
                        <w:szCs w:val="24"/>
                      </w:rPr>
                    </w:pPr>
                    <w:r>
                      <w:rPr>
                        <w:szCs w:val="24"/>
                        <w:lang w:eastAsia="lt-LT"/>
                      </w:rPr>
                      <w:t>43,3</w:t>
                    </w:r>
                  </w:p>
                </w:tc>
              </w:tr>
              <w:tr>
                <w:trPr>
                  <w:trHeight w:val="300"/>
                </w:trPr>
                <w:tc>
                  <w:tcPr>
                    <w:tcW w:w="992" w:type="dxa"/>
                  </w:tcPr>
                  <w:p>
                    <w:pPr>
                      <w:tabs>
                        <w:tab w:val="left" w:pos="916"/>
                      </w:tabs>
                      <w:spacing w:line="276" w:lineRule="auto"/>
                      <w:rPr>
                        <w:strike/>
                        <w:color w:val="000000"/>
                        <w:szCs w:val="24"/>
                        <w:lang w:eastAsia="lt-LT"/>
                      </w:rPr>
                    </w:pPr>
                    <w:r>
                      <w:rPr>
                        <w:color w:val="000000"/>
                        <w:szCs w:val="24"/>
                        <w:lang w:eastAsia="lt-LT"/>
                      </w:rPr>
                      <w:t>2.</w:t>
                    </w:r>
                  </w:p>
                </w:tc>
                <w:tc>
                  <w:tcPr>
                    <w:tcW w:w="5245" w:type="dxa"/>
                  </w:tcPr>
                  <w:p>
                    <w:pPr>
                      <w:tabs>
                        <w:tab w:val="left" w:pos="916"/>
                      </w:tabs>
                      <w:spacing w:line="276" w:lineRule="auto"/>
                      <w:rPr>
                        <w:color w:val="000000"/>
                        <w:szCs w:val="24"/>
                        <w:lang w:eastAsia="lt-LT"/>
                      </w:rPr>
                    </w:pPr>
                    <w:r>
                      <w:rPr>
                        <w:szCs w:val="24"/>
                        <w:lang w:eastAsia="lt-LT"/>
                      </w:rPr>
                      <w:t>Traukinio mašinistų ir darbuotojų, kurių darbas susijęs su geležinkelių transporto eismu</w:t>
                    </w:r>
                  </w:p>
                </w:tc>
                <w:tc>
                  <w:tcPr>
                    <w:tcW w:w="1559" w:type="dxa"/>
                    <w:noWrap/>
                  </w:tcPr>
                  <w:p>
                    <w:pPr>
                      <w:tabs>
                        <w:tab w:val="left" w:pos="916"/>
                      </w:tabs>
                      <w:spacing w:line="276" w:lineRule="auto"/>
                      <w:jc w:val="center"/>
                      <w:rPr>
                        <w:strike/>
                        <w:color w:val="000000"/>
                        <w:szCs w:val="24"/>
                        <w:lang w:eastAsia="lt-LT"/>
                      </w:rPr>
                    </w:pPr>
                    <w:r>
                      <w:rPr>
                        <w:szCs w:val="24"/>
                        <w:lang w:eastAsia="lt-LT"/>
                      </w:rPr>
                      <w:t>5,35</w:t>
                    </w:r>
                  </w:p>
                </w:tc>
                <w:tc>
                  <w:tcPr>
                    <w:tcW w:w="1242" w:type="dxa"/>
                    <w:noWrap/>
                  </w:tcPr>
                  <w:p>
                    <w:pPr>
                      <w:tabs>
                        <w:tab w:val="left" w:pos="916"/>
                      </w:tabs>
                      <w:spacing w:line="276" w:lineRule="auto"/>
                      <w:jc w:val="center"/>
                      <w:rPr>
                        <w:strike/>
                        <w:color w:val="000000"/>
                        <w:szCs w:val="24"/>
                        <w:lang w:eastAsia="lt-LT"/>
                      </w:rPr>
                    </w:pPr>
                    <w:r>
                      <w:rPr>
                        <w:szCs w:val="24"/>
                        <w:lang w:eastAsia="lt-LT"/>
                      </w:rPr>
                      <w:t>13,14</w:t>
                    </w:r>
                  </w:p>
                </w:tc>
              </w:tr>
              <w:tr>
                <w:trPr>
                  <w:trHeight w:val="263"/>
                </w:trPr>
                <w:tc>
                  <w:tcPr>
                    <w:tcW w:w="992" w:type="dxa"/>
                  </w:tcPr>
                  <w:p>
                    <w:pPr>
                      <w:tabs>
                        <w:tab w:val="left" w:pos="916"/>
                      </w:tabs>
                      <w:spacing w:line="276" w:lineRule="auto"/>
                      <w:rPr>
                        <w:strike/>
                        <w:color w:val="000000"/>
                        <w:szCs w:val="24"/>
                      </w:rPr>
                    </w:pPr>
                    <w:r>
                      <w:rPr>
                        <w:color w:val="000000"/>
                        <w:szCs w:val="24"/>
                      </w:rPr>
                      <w:t>3.</w:t>
                    </w:r>
                    <w:r>
                      <w:rPr>
                        <w:strike/>
                        <w:color w:val="000000"/>
                        <w:szCs w:val="24"/>
                      </w:rPr>
                      <w:t xml:space="preserve"> </w:t>
                    </w:r>
                  </w:p>
                </w:tc>
                <w:tc>
                  <w:tcPr>
                    <w:tcW w:w="5245" w:type="dxa"/>
                  </w:tcPr>
                  <w:p>
                    <w:pPr>
                      <w:tabs>
                        <w:tab w:val="left" w:pos="916"/>
                      </w:tabs>
                      <w:spacing w:line="276" w:lineRule="auto"/>
                      <w:rPr>
                        <w:color w:val="000000"/>
                        <w:szCs w:val="24"/>
                      </w:rPr>
                    </w:pPr>
                    <w:r>
                      <w:rPr>
                        <w:szCs w:val="24"/>
                        <w:lang w:eastAsia="lt-LT"/>
                      </w:rPr>
                      <w:t>Aviacijos darbuotojų</w:t>
                    </w:r>
                  </w:p>
                </w:tc>
                <w:tc>
                  <w:tcPr>
                    <w:tcW w:w="1559" w:type="dxa"/>
                  </w:tcPr>
                  <w:p>
                    <w:pPr>
                      <w:tabs>
                        <w:tab w:val="left" w:pos="916"/>
                      </w:tabs>
                      <w:spacing w:line="276" w:lineRule="auto"/>
                      <w:jc w:val="center"/>
                      <w:rPr>
                        <w:strike/>
                        <w:color w:val="000000"/>
                        <w:szCs w:val="24"/>
                      </w:rPr>
                    </w:pPr>
                    <w:r>
                      <w:rPr>
                        <w:szCs w:val="24"/>
                        <w:lang w:eastAsia="lt-LT"/>
                      </w:rPr>
                      <w:t>77,85</w:t>
                    </w:r>
                  </w:p>
                </w:tc>
                <w:tc>
                  <w:tcPr>
                    <w:tcW w:w="1242" w:type="dxa"/>
                  </w:tcPr>
                  <w:p>
                    <w:pPr>
                      <w:tabs>
                        <w:tab w:val="left" w:pos="916"/>
                      </w:tabs>
                      <w:spacing w:line="276" w:lineRule="auto"/>
                      <w:jc w:val="center"/>
                      <w:rPr>
                        <w:color w:val="000000"/>
                        <w:szCs w:val="24"/>
                      </w:rPr>
                    </w:pPr>
                    <w:r>
                      <w:rPr>
                        <w:szCs w:val="24"/>
                        <w:lang w:eastAsia="lt-LT"/>
                      </w:rPr>
                      <w:t xml:space="preserve">101,69*/  46,22*</w:t>
                    </w:r>
                  </w:p>
                </w:tc>
              </w:tr>
              <w:tr>
                <w:trPr>
                  <w:trHeight w:val="351"/>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rPr>
                    </w:pPr>
                    <w:r>
                      <w:rPr>
                        <w:color w:val="000000"/>
                        <w:szCs w:val="24"/>
                      </w:rPr>
                      <w:t>4.</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szCs w:val="24"/>
                        <w:lang w:eastAsia="lt-LT"/>
                      </w:rPr>
                      <w:t xml:space="preserve">Vairuotojų </w:t>
                    </w:r>
                  </w:p>
                </w:tc>
                <w:tc>
                  <w:tcPr>
                    <w:tcW w:w="1559" w:type="dxa"/>
                    <w:tcBorders>
                      <w:top w:val="single" w:sz="4" w:space="0" w:color="auto"/>
                      <w:left w:val="single" w:sz="4" w:space="0" w:color="auto"/>
                      <w:bottom w:val="single" w:sz="4" w:space="0" w:color="auto"/>
                      <w:right w:val="single" w:sz="4" w:space="0" w:color="auto"/>
                    </w:tcBorders>
                  </w:tcPr>
                  <w:p>
                    <w:pPr>
                      <w:spacing w:line="276" w:lineRule="auto"/>
                      <w:jc w:val="center"/>
                      <w:rPr>
                        <w:szCs w:val="24"/>
                      </w:rPr>
                    </w:pPr>
                    <w:r>
                      <w:rPr>
                        <w:szCs w:val="24"/>
                      </w:rPr>
                      <w:t>17,03</w:t>
                    </w:r>
                  </w:p>
                </w:tc>
                <w:tc>
                  <w:tcPr>
                    <w:tcW w:w="1242" w:type="dxa"/>
                    <w:tcBorders>
                      <w:top w:val="single" w:sz="4" w:space="0" w:color="auto"/>
                      <w:left w:val="single" w:sz="4" w:space="0" w:color="auto"/>
                      <w:bottom w:val="single" w:sz="4" w:space="0" w:color="auto"/>
                      <w:right w:val="single" w:sz="4" w:space="0" w:color="auto"/>
                    </w:tcBorders>
                  </w:tcPr>
                  <w:p>
                    <w:pPr>
                      <w:spacing w:line="276" w:lineRule="auto"/>
                      <w:jc w:val="center"/>
                      <w:rPr>
                        <w:szCs w:val="24"/>
                      </w:rPr>
                    </w:pPr>
                    <w:r>
                      <w:rPr>
                        <w:szCs w:val="24"/>
                      </w:rPr>
                      <w:t>19,46</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Asmenų, norinčių pradėti dirbti ar dirbančių galimos profesinės rizikos sąlygomis (veikiant sveikatą kenksmingiems veiksniams ar pavojingus darbus):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rPr>
                        <w:color w:val="000000"/>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rPr>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5.1.</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profesinės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6,33</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10,70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5.2.</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cheminių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1,95</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9,24</w:t>
                    </w:r>
                  </w:p>
                  <w:p>
                    <w:pPr>
                      <w:rPr>
                        <w:sz w:val="18"/>
                        <w:szCs w:val="18"/>
                      </w:rPr>
                    </w:pPr>
                  </w:p>
                  <w:p>
                    <w:pPr>
                      <w:tabs>
                        <w:tab w:val="left" w:pos="916"/>
                      </w:tabs>
                      <w:spacing w:line="276" w:lineRule="auto"/>
                      <w:jc w:val="center"/>
                      <w:rPr>
                        <w:strike/>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5.3.</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biologinių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color w:val="000000"/>
                        <w:szCs w:val="24"/>
                        <w:lang w:eastAsia="lt-LT"/>
                      </w:rPr>
                    </w:pPr>
                    <w:r>
                      <w:rPr>
                        <w:color w:val="000000"/>
                        <w:szCs w:val="24"/>
                        <w:lang w:eastAsia="lt-LT"/>
                      </w:rPr>
                      <w:t>-</w:t>
                    </w:r>
                  </w:p>
                </w:tc>
                <w:tc>
                  <w:tcPr>
                    <w:tcW w:w="1242" w:type="dxa"/>
                    <w:tcBorders>
                      <w:top w:val="single" w:sz="4" w:space="0" w:color="auto"/>
                      <w:left w:val="single" w:sz="4" w:space="0" w:color="auto"/>
                      <w:bottom w:val="single" w:sz="4" w:space="0" w:color="auto"/>
                      <w:right w:val="single" w:sz="4" w:space="0" w:color="auto"/>
                    </w:tcBorders>
                    <w:noWrap/>
                  </w:tcPr>
                  <w:p>
                    <w:pPr>
                      <w:tabs>
                        <w:tab w:val="left" w:pos="1310"/>
                      </w:tabs>
                      <w:spacing w:line="276" w:lineRule="auto"/>
                      <w:jc w:val="center"/>
                      <w:rPr>
                        <w:strike/>
                        <w:color w:val="000000"/>
                        <w:szCs w:val="24"/>
                        <w:lang w:eastAsia="lt-LT"/>
                      </w:rPr>
                    </w:pPr>
                    <w:r>
                      <w:rPr>
                        <w:color w:val="000000"/>
                        <w:szCs w:val="24"/>
                        <w:lang w:eastAsia="lt-LT"/>
                      </w:rPr>
                      <w:t>6,81</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5.4.</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pramoninių aerozolių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5,35</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11,19</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5.5.</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fizikinių veiksnių rizikos sąlygomis</w:t>
                    </w:r>
                  </w:p>
                </w:tc>
                <w:tc>
                  <w:tcPr>
                    <w:tcW w:w="1559"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strike/>
                        <w:color w:val="000000"/>
                        <w:szCs w:val="24"/>
                        <w:lang w:eastAsia="lt-LT"/>
                      </w:rPr>
                    </w:pPr>
                    <w:r>
                      <w:rPr>
                        <w:color w:val="000000"/>
                        <w:szCs w:val="24"/>
                        <w:lang w:eastAsia="lt-LT"/>
                      </w:rPr>
                      <w:t>2,43</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5.6.</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dėl fizinių perkrovų pavojingą darbą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2,92</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6.</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 xml:space="preserve">Darbuotojų, kuriems leidžiama dirbti  darbus ar vykdyti veiklas, kur privaloma profilaktiškai tikrintis sveikatą dėl užkrečiamųjų ligų</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3,41</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2,43</w:t>
                    </w:r>
                  </w:p>
                  <w:p>
                    <w:pPr>
                      <w:rPr>
                        <w:sz w:val="18"/>
                        <w:szCs w:val="18"/>
                      </w:rPr>
                    </w:pPr>
                  </w:p>
                  <w:p>
                    <w:pPr>
                      <w:tabs>
                        <w:tab w:val="left" w:pos="916"/>
                      </w:tabs>
                      <w:spacing w:line="276" w:lineRule="auto"/>
                      <w:jc w:val="center"/>
                      <w:rPr>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20"/>
                        <w:tab w:val="left" w:pos="5496"/>
                        <w:tab w:val="left" w:pos="6412"/>
                        <w:tab w:val="left" w:pos="7328"/>
                        <w:tab w:val="left" w:pos="8244"/>
                        <w:tab w:val="left" w:pos="9160"/>
                        <w:tab w:val="left" w:pos="10076"/>
                        <w:tab w:val="left" w:pos="10992"/>
                        <w:tab w:val="left" w:pos="11908"/>
                        <w:tab w:val="left" w:pos="12824"/>
                        <w:tab w:val="left" w:pos="13740"/>
                        <w:tab w:val="left" w:pos="14656"/>
                      </w:tabs>
                      <w:ind w:right="34"/>
                      <w:rPr>
                        <w:b/>
                        <w:szCs w:val="24"/>
                        <w:lang w:eastAsia="lt-LT"/>
                      </w:rPr>
                    </w:pPr>
                    <w:r>
                      <w:rPr>
                        <w:szCs w:val="24"/>
                        <w:lang w:eastAsia="lt-LT"/>
                      </w:rPr>
                      <w:t>Vidaus tarnybos sistemos pareigūnų, kurie tikrinami pagal</w:t>
                    </w:r>
                    <w:r>
                      <w:rPr>
                        <w:b/>
                        <w:szCs w:val="24"/>
                        <w:lang w:eastAsia="lt-LT"/>
                      </w:rPr>
                      <w:t xml:space="preserve"> </w:t>
                    </w:r>
                    <w:r>
                      <w:rPr>
                        <w:szCs w:val="24"/>
                        <w:lang w:eastAsia="lt-LT"/>
                      </w:rPr>
                      <w:t xml:space="preserve">Vidaus tarnybos sistemos pareigūnų privalomų periodinių profilaktinių sveikatos patikrinimų tvarkos aprašą, patvirtintą </w:t>
                    </w:r>
                    <w:r>
                      <w:rPr>
                        <w:szCs w:val="24"/>
                        <w:lang w:val="pt-BR" w:eastAsia="lt-LT"/>
                      </w:rPr>
                      <w:t xml:space="preserve">Lietuvos Respublikos vidaus reikalų ministro 2008 m. birželio 16 d. įsakymu Nr. 1V-230 </w:t>
                    </w:r>
                    <w:r>
                      <w:rPr>
                        <w:szCs w:val="24"/>
                        <w:lang w:eastAsia="lt-LT"/>
                      </w:rPr>
                      <w:t>„Dėl Vidaus tarnybos sistemos pareigūnų privalomų periodinių profilaktinių sveikatos patikrinimų</w:t>
                    </w:r>
                    <w:r>
                      <w:rPr>
                        <w:bCs/>
                        <w:szCs w:val="24"/>
                        <w:lang w:eastAsia="lt-LT"/>
                      </w:rPr>
                      <w:t xml:space="preserve"> tvarkos aprašo patvirtinimo“ (toliau </w:t>
                    </w:r>
                    <w:r>
                      <w:rPr>
                        <w:szCs w:val="24"/>
                        <w:lang w:eastAsia="lt-LT"/>
                      </w:rPr>
                      <w:t>– Aprašas):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trike/>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lang w:eastAsia="lt-LT"/>
                      </w:rPr>
                    </w:pPr>
                    <w:r>
                      <w:rPr>
                        <w:color w:val="000000"/>
                        <w:szCs w:val="24"/>
                        <w:lang w:eastAsia="lt-LT"/>
                      </w:rPr>
                      <w:t>7.1.</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jc w:val="both"/>
                      <w:rPr>
                        <w:color w:val="000000"/>
                        <w:szCs w:val="24"/>
                        <w:lang w:eastAsia="lt-LT"/>
                      </w:rPr>
                    </w:pPr>
                    <w:r>
                      <w:rPr>
                        <w:color w:val="000000"/>
                        <w:szCs w:val="24"/>
                        <w:lang w:eastAsia="lt-LT"/>
                      </w:rPr>
                      <w:t>pareigūnų – pagal Aprašo 1 priedo 1 ir 2 punktus;</w:t>
                    </w:r>
                  </w:p>
                  <w:p>
                    <w:pPr>
                      <w:tabs>
                        <w:tab w:val="left" w:pos="916"/>
                        <w:tab w:val="left" w:pos="5420"/>
                      </w:tabs>
                      <w:rPr>
                        <w:color w:val="000000"/>
                        <w:szCs w:val="24"/>
                        <w:lang w:eastAsia="lt-LT"/>
                      </w:rPr>
                    </w:pPr>
                    <w:r>
                      <w:rPr>
                        <w:color w:val="000000"/>
                        <w:szCs w:val="24"/>
                        <w:lang w:eastAsia="lt-LT"/>
                      </w:rPr>
                      <w:t>pareigūnų, kurie pagal pareigybių aprašymus patruliuoja, saugo asmenis, vykdo mobiliąsias palydas, konvojuoja – pagal Aprašo 2 priedo 1 punktą;</w:t>
                    </w:r>
                  </w:p>
                  <w:p>
                    <w:pPr>
                      <w:tabs>
                        <w:tab w:val="left" w:pos="916"/>
                        <w:tab w:val="left" w:pos="5420"/>
                      </w:tabs>
                      <w:rPr>
                        <w:color w:val="000000"/>
                        <w:szCs w:val="24"/>
                        <w:lang w:eastAsia="lt-LT"/>
                      </w:rPr>
                    </w:pPr>
                    <w:r>
                      <w:rPr>
                        <w:color w:val="000000"/>
                        <w:szCs w:val="24"/>
                        <w:lang w:eastAsia="lt-LT"/>
                      </w:rPr>
                      <w:t>pareigūnų, vykdančių tarnybines pareigas aplinkoje, kurioje veikia sveikatai kenksmingi veiksniai ir medžiagos, dirbančių pavojingą darbą – pagal Aprašo 2 priedo 9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49,84</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7.2.</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kurie pagal pareigybės aprašymą</w:t>
                    </w:r>
                  </w:p>
                  <w:p>
                    <w:pPr>
                      <w:tabs>
                        <w:tab w:val="left" w:pos="916"/>
                        <w:tab w:val="left" w:pos="5420"/>
                      </w:tabs>
                      <w:ind w:right="34"/>
                      <w:rPr>
                        <w:color w:val="000000"/>
                        <w:szCs w:val="24"/>
                      </w:rPr>
                    </w:pPr>
                    <w:r>
                      <w:rPr>
                        <w:color w:val="000000"/>
                        <w:szCs w:val="24"/>
                      </w:rPr>
                      <w:t>vykdo organizuotas ginkluotas (specialiąsias) operacijas ne karo metu – pagal Aprašo 2 priedo 2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53,67</w:t>
                    </w:r>
                  </w:p>
                  <w:p>
                    <w:pPr>
                      <w:tabs>
                        <w:tab w:val="left" w:pos="916"/>
                      </w:tabs>
                      <w:jc w:val="center"/>
                      <w:rPr>
                        <w:szCs w:val="24"/>
                        <w:lang w:eastAsia="lt-LT"/>
                      </w:rPr>
                    </w:pPr>
                  </w:p>
                  <w:p>
                    <w:pPr>
                      <w:tabs>
                        <w:tab w:val="left" w:pos="916"/>
                      </w:tabs>
                      <w:jc w:val="center"/>
                      <w:rPr>
                        <w:strike/>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7.3</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kurie pagal pareigybės aprašymą</w:t>
                    </w:r>
                  </w:p>
                  <w:p>
                    <w:pPr>
                      <w:tabs>
                        <w:tab w:val="left" w:pos="916"/>
                        <w:tab w:val="left" w:pos="5420"/>
                      </w:tabs>
                      <w:ind w:right="34"/>
                      <w:rPr>
                        <w:color w:val="000000"/>
                        <w:szCs w:val="24"/>
                      </w:rPr>
                    </w:pPr>
                    <w:r>
                      <w:rPr>
                        <w:color w:val="000000"/>
                        <w:szCs w:val="24"/>
                      </w:rPr>
                      <w:t>atlieka objektų patikrą, kurios tikslas – aptikti, nustatyti ir neutralizuoti ginklus ir (ar) šaudmenis, sprogstamąsias medžiagas ir (ar) užtaisus – pagal Aprašo 2 priedo 8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65,63</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7.4.</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ugniagesių gelbėtojų, dirbančių kvėpuoti netinkamoje aplinkoje su autonominiu atvirojo kvėpavimo suslėgtu oru aparatu – pagal Aprašo 2 priedo 3 punktą</w:t>
                    </w:r>
                  </w:p>
                </w:tc>
                <w:tc>
                  <w:tcPr>
                    <w:tcW w:w="1559" w:type="dxa"/>
                    <w:tcBorders>
                      <w:top w:val="single" w:sz="4" w:space="0" w:color="auto"/>
                      <w:left w:val="single" w:sz="4" w:space="0" w:color="auto"/>
                      <w:bottom w:val="single" w:sz="4" w:space="0" w:color="auto"/>
                      <w:right w:val="single" w:sz="4" w:space="0" w:color="auto"/>
                    </w:tcBorders>
                    <w:noWrap/>
                    <w:vAlign w:val="center"/>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vAlign w:val="bottom"/>
                  </w:tcPr>
                  <w:p>
                    <w:pPr>
                      <w:tabs>
                        <w:tab w:val="left" w:pos="916"/>
                      </w:tabs>
                      <w:jc w:val="center"/>
                      <w:rPr>
                        <w:szCs w:val="24"/>
                        <w:lang w:eastAsia="lt-LT"/>
                      </w:rPr>
                    </w:pPr>
                    <w:r>
                      <w:rPr>
                        <w:szCs w:val="24"/>
                        <w:lang w:eastAsia="lt-LT"/>
                      </w:rPr>
                      <w:t>65,33</w:t>
                    </w:r>
                  </w:p>
                  <w:p>
                    <w:pPr>
                      <w:tabs>
                        <w:tab w:val="left" w:pos="916"/>
                      </w:tabs>
                      <w:jc w:val="center"/>
                      <w:rPr>
                        <w:szCs w:val="24"/>
                        <w:lang w:eastAsia="lt-LT"/>
                      </w:rPr>
                    </w:pPr>
                  </w:p>
                  <w:p>
                    <w:pPr>
                      <w:tabs>
                        <w:tab w:val="left" w:pos="916"/>
                      </w:tabs>
                      <w:jc w:val="center"/>
                      <w:rPr>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7.5.</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 xml:space="preserve">skraidančiojo aviacijos personalo – pagal Aprašo 2 priedo        4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79,55</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7.6.</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narų, dirbančių po vandeniu su autonominiu atvirojo kvėpavimo suslėgtu oru aparatu – pagal Aprašo 2 priedo 5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61,83</w:t>
                    </w:r>
                  </w:p>
                  <w:p>
                    <w:pPr>
                      <w:tabs>
                        <w:tab w:val="left" w:pos="916"/>
                      </w:tabs>
                      <w:jc w:val="center"/>
                      <w:rPr>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7.7.</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neeilinis sveikatos tikrinimas</w:t>
                    </w:r>
                  </w:p>
                  <w:p>
                    <w:pPr>
                      <w:tabs>
                        <w:tab w:val="left" w:pos="916"/>
                        <w:tab w:val="left" w:pos="5420"/>
                      </w:tabs>
                      <w:ind w:right="34"/>
                      <w:rPr>
                        <w:szCs w:val="24"/>
                      </w:rPr>
                    </w:pPr>
                    <w:r>
                      <w:rPr>
                        <w:color w:val="000000"/>
                        <w:szCs w:val="24"/>
                      </w:rPr>
                      <w:t>po nelaimingo atsitikimo tarnyboje – pagal a</w:t>
                    </w:r>
                    <w:r>
                      <w:rPr>
                        <w:szCs w:val="24"/>
                      </w:rPr>
                      <w:t>titinkamus Aprašo 2 priedo 3, 4, 5 ir 6 punktus;</w:t>
                    </w:r>
                  </w:p>
                  <w:p>
                    <w:pPr>
                      <w:tabs>
                        <w:tab w:val="left" w:pos="916"/>
                        <w:tab w:val="left" w:pos="5420"/>
                      </w:tabs>
                      <w:ind w:right="34"/>
                      <w:rPr>
                        <w:color w:val="000000"/>
                        <w:szCs w:val="24"/>
                      </w:rPr>
                    </w:pPr>
                    <w:r>
                      <w:rPr>
                        <w:color w:val="000000"/>
                        <w:szCs w:val="24"/>
                      </w:rPr>
                      <w:t>po incidento (šaunamojo ginklo panaudojimo, nelaimingo atsitikimo) tarnyboje – pagal Aprašo 2 priedo 7 punktą</w:t>
                    </w:r>
                  </w:p>
                </w:tc>
                <w:tc>
                  <w:tcPr>
                    <w:tcW w:w="1559" w:type="dxa"/>
                    <w:tcBorders>
                      <w:top w:val="single" w:sz="4" w:space="0" w:color="auto"/>
                      <w:left w:val="single" w:sz="4" w:space="0" w:color="auto"/>
                      <w:bottom w:val="single" w:sz="4" w:space="0" w:color="auto"/>
                      <w:right w:val="single" w:sz="4" w:space="0" w:color="auto"/>
                    </w:tcBorders>
                    <w:noWrap/>
                    <w:vAlign w:val="center"/>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jc w:val="center"/>
                      <w:rPr>
                        <w:szCs w:val="24"/>
                      </w:rPr>
                    </w:pPr>
                    <w:r>
                      <w:rPr>
                        <w:szCs w:val="24"/>
                        <w:lang w:eastAsia="lt-LT"/>
                      </w:rPr>
                      <w:t>7,38</w:t>
                    </w:r>
                  </w:p>
                  <w:p>
                    <w:pPr>
                      <w:jc w:val="center"/>
                      <w:rPr>
                        <w:szCs w:val="24"/>
                      </w:rPr>
                    </w:pPr>
                  </w:p>
                  <w:p>
                    <w:pPr>
                      <w:jc w:val="center"/>
                      <w:rPr>
                        <w:szCs w:val="24"/>
                      </w:rPr>
                    </w:pPr>
                  </w:p>
                  <w:p>
                    <w:pPr>
                      <w:jc w:val="center"/>
                      <w:rPr>
                        <w:szCs w:val="24"/>
                      </w:rPr>
                    </w:pPr>
                  </w:p>
                </w:tc>
              </w:tr>
            </w:tbl>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firstLine="960"/>
                <w:rPr>
                  <w:szCs w:val="24"/>
                  <w:lang w:eastAsia="lt-LT"/>
                </w:rPr>
              </w:pPr>
              <w:r>
                <w:rPr>
                  <w:szCs w:val="24"/>
                  <w:lang w:eastAsia="lt-LT"/>
                </w:rPr>
                <w:t xml:space="preserve">* Aviacijos  darbuotojų visapusiškos medicinos ekspertizės kaina – 101,69 Eur,         dalinės medicinos ekspertizės kaina – 46,22 Eur.</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firstLine="960"/>
                <w:rPr>
                  <w:szCs w:val="24"/>
                  <w:lang w:eastAsia="lt-LT"/>
                </w:rPr>
              </w:pPr>
              <w:r>
                <w:rPr>
                  <w:szCs w:val="24"/>
                </w:rPr>
                <w:t>Pastaba. 7 punktu patvirtintos maksimalios</w:t>
              </w:r>
              <w:r>
                <w:rPr>
                  <w:szCs w:val="24"/>
                  <w:lang w:eastAsia="lt-LT"/>
                </w:rPr>
                <w:t xml:space="preserve"> vidaus tarnybos sistemos pareigūnų privalomų periodinių profilaktinių sveikatos patikrinimų</w:t>
              </w:r>
              <w:r>
                <w:rPr>
                  <w:szCs w:val="24"/>
                </w:rPr>
                <w:t xml:space="preserve"> kainos nustatytos pagal</w:t>
              </w:r>
              <w:r>
                <w:rPr>
                  <w:szCs w:val="24"/>
                  <w:lang w:eastAsia="lt-LT"/>
                </w:rPr>
                <w:t xml:space="preserve"> asmens sveikatos priežiūros įstaigų, kurių savininko teises ir pareigas įgyvendina </w:t>
              </w:r>
              <w:r>
                <w:rPr>
                  <w:rFonts w:eastAsia="Calibri"/>
                  <w:szCs w:val="24"/>
                  <w:lang w:val="pt-BR"/>
                </w:rPr>
                <w:t>Lietuvos Respublikos vidaus reikalų ministerija, apskaičiavimus.</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7533c0af7f11e5b12fbb7dc920ee2c">
                <w:r w:rsidRPr="00532B9F">
                  <w:rPr>
                    <w:rFonts w:ascii="Times New Roman" w:eastAsia="MS Mincho" w:hAnsi="Times New Roman"/>
                    <w:sz w:val="20"/>
                    <w:i/>
                    <w:iCs/>
                    <w:color w:val="0000FF" w:themeColor="hyperlink"/>
                    <w:u w:val="single"/>
                  </w:rPr>
                  <w:t>V-1500</w:t>
                </w:r>
              </w:fldSimple>
              <w:r>
                <w:rPr>
                  <w:rFonts w:ascii="Times New Roman" w:eastAsia="MS Mincho" w:hAnsi="Times New Roman"/>
                  <w:sz w:val="20"/>
                  <w:i/>
                  <w:iCs/>
                </w:rPr>
                <w:t>,
2015-12-23,
paskelbta TAR 2015-12-31, i. k. 2015-21184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7a1c2015da11e79800e8266c1e5d1b">
                <w:r w:rsidRPr="00532B9F">
                  <w:rPr>
                    <w:rFonts w:ascii="Times New Roman" w:eastAsia="MS Mincho" w:hAnsi="Times New Roman"/>
                    <w:sz w:val="20"/>
                    <w:i/>
                    <w:iCs/>
                    <w:color w:val="0000FF" w:themeColor="hyperlink"/>
                    <w:u w:val="single"/>
                  </w:rPr>
                  <w:t>V-354</w:t>
                </w:r>
              </w:fldSimple>
              <w:r>
                <w:rPr>
                  <w:rFonts w:ascii="Times New Roman" w:eastAsia="MS Mincho" w:hAnsi="Times New Roman"/>
                  <w:sz w:val="20"/>
                  <w:i/>
                  <w:iCs/>
                </w:rPr>
                <w:t>,
2017-03-27,
paskelbta TAR 2017-03-31, i. k. 2017-05281            </w:t>
              </w:r>
            </w:p>
            <w:p/>
          </w:sdtContent>
        </w:sdt>
        <w:sdt>
          <w:sdtPr>
            <w:alias w:val="skyrius"/>
            <w:tag w:val="part_4fe74421a0e5406a99443c2f7d4f5184"/>
            <w:lock w:val="sdtLocked"/>
            <w:richText/>
          </w:sdtPr>
          <w:sdtContent>
            <w:p>
              <w:pPr>
                <w:jc w:val="center"/>
                <w:rPr>
                  <w:b/>
                  <w:szCs w:val="24"/>
                </w:rPr>
              </w:pPr>
              <w:sdt>
                <w:sdtPr>
                  <w:alias w:val="Numeris"/>
                  <w:tag w:val="nr_4fe74421a0e5406a99443c2f7d4f5184"/>
                  <w:lock w:val="sdtLocked"/>
                  <w:richText/>
                </w:sdtPr>
                <w:sdtContent>
                  <w:r>
                    <w:rPr>
                      <w:b/>
                      <w:szCs w:val="24"/>
                    </w:rPr>
                    <w:t>II</w:t>
                  </w:r>
                </w:sdtContent>
              </w:sdt>
              <w:r>
                <w:rPr>
                  <w:b/>
                  <w:szCs w:val="24"/>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Pavadinimas"/>
                  <w:tag w:val="title_4fe74421a0e5406a99443c2f7d4f5184"/>
                  <w:lock w:val="sdtLocked"/>
                  <w:richText/>
                </w:sdtPr>
                <w:sdtContent>
                  <w:r>
                    <w:rPr>
                      <w:b/>
                      <w:szCs w:val="24"/>
                    </w:rPr>
                    <w:t>GYDYTOJŲ SPECIALISTŲ, TEIKIANČIŲ PROFILAKTINIŲ SVEIKATOS TIKRINIMŲ PASLAUGAS, APMOKAMAS IŠ PRIVALOMOJO SVEIKATOS DRAUDIMO FONDO BIUDŽETO, PASLAUGŲ KAINOS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007"/>
                <w:gridCol w:w="6000"/>
                <w:gridCol w:w="2632"/>
              </w:tblGrid>
              <w:tr>
                <w:tc>
                  <w:tcPr>
                    <w:tcW w:w="1007"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Eil. Nr.</w:t>
                    </w:r>
                  </w:p>
                </w:tc>
                <w:tc>
                  <w:tcPr>
                    <w:tcW w:w="6000"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Profilaktiniai sveikatos tikrinimai</w:t>
                    </w:r>
                  </w:p>
                </w:tc>
                <w:tc>
                  <w:tcPr>
                    <w:tcW w:w="2632"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Kaina</w:t>
                    </w:r>
                  </w:p>
                  <w:p>
                    <w:pPr>
                      <w:tabs>
                        <w:tab w:val="left" w:pos="0"/>
                        <w:tab w:val="left" w:pos="850"/>
                        <w:tab w:val="left" w:pos="8504"/>
                        <w:tab w:val="left" w:pos="9000"/>
                      </w:tabs>
                      <w:jc w:val="center"/>
                      <w:rPr>
                        <w:szCs w:val="24"/>
                      </w:rPr>
                    </w:pPr>
                    <w:r>
                      <w:rPr>
                        <w:szCs w:val="24"/>
                      </w:rPr>
                      <w:t>(balais)</w:t>
                    </w:r>
                  </w:p>
                </w:tc>
              </w:tr>
              <w:tr>
                <w:trPr>
                  <w:trHeight w:val="428"/>
                </w:trPr>
                <w:tc>
                  <w:tcPr>
                    <w:tcW w:w="1007"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1</w:t>
                    </w:r>
                  </w:p>
                </w:tc>
                <w:tc>
                  <w:tcPr>
                    <w:tcW w:w="6000"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rPr>
                        <w:szCs w:val="24"/>
                      </w:rPr>
                    </w:pPr>
                    <w:r>
                      <w:rPr>
                        <w:szCs w:val="24"/>
                      </w:rPr>
                      <w:t>Gydytojo specialisto</w:t>
                    </w:r>
                  </w:p>
                </w:tc>
                <w:tc>
                  <w:tcPr>
                    <w:tcW w:w="2632"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9,13</w:t>
                    </w:r>
                  </w:p>
                </w:tc>
              </w:tr>
            </w:tbl>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52abb0378c11e69101aaab2992cbcd">
                <w:r w:rsidRPr="00532B9F">
                  <w:rPr>
                    <w:rFonts w:ascii="Times New Roman" w:eastAsia="MS Mincho" w:hAnsi="Times New Roman"/>
                    <w:sz w:val="20"/>
                    <w:i/>
                    <w:iCs/>
                    <w:color w:val="0000FF" w:themeColor="hyperlink"/>
                    <w:u w:val="single"/>
                  </w:rPr>
                  <w:t>V-804</w:t>
                </w:r>
              </w:fldSimple>
              <w:r>
                <w:rPr>
                  <w:rFonts w:ascii="Times New Roman" w:eastAsia="MS Mincho" w:hAnsi="Times New Roman"/>
                  <w:sz w:val="20"/>
                  <w:i/>
                  <w:iCs/>
                </w:rPr>
                <w:t>,
2016-06-14,
paskelbta TAR 2016-06-21, i. k. 2016-17335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43b540529011e7846ef01bfffb9b64">
                <w:r w:rsidRPr="00532B9F">
                  <w:rPr>
                    <w:rFonts w:ascii="Times New Roman" w:eastAsia="MS Mincho" w:hAnsi="Times New Roman"/>
                    <w:sz w:val="20"/>
                    <w:i/>
                    <w:iCs/>
                    <w:color w:val="0000FF" w:themeColor="hyperlink"/>
                    <w:u w:val="single"/>
                  </w:rPr>
                  <w:t>V-715</w:t>
                </w:r>
              </w:fldSimple>
              <w:r>
                <w:rPr>
                  <w:rFonts w:ascii="Times New Roman" w:eastAsia="MS Mincho" w:hAnsi="Times New Roman"/>
                  <w:sz w:val="20"/>
                  <w:i/>
                  <w:iCs/>
                </w:rPr>
                <w:t>,
2017-06-14,
paskelbta TAR 2017-06-19, i. k. 2017-10169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27960447e11e8ad2f97b2a095557a">
                <w:r w:rsidRPr="00532B9F">
                  <w:rPr>
                    <w:rFonts w:ascii="Times New Roman" w:eastAsia="MS Mincho" w:hAnsi="Times New Roman"/>
                    <w:sz w:val="20"/>
                    <w:i/>
                    <w:iCs/>
                    <w:color w:val="0000FF" w:themeColor="hyperlink"/>
                    <w:u w:val="single"/>
                  </w:rPr>
                  <w:t>V-458</w:t>
                </w:r>
              </w:fldSimple>
              <w:r>
                <w:rPr>
                  <w:rFonts w:ascii="Times New Roman" w:eastAsia="MS Mincho" w:hAnsi="Times New Roman"/>
                  <w:sz w:val="20"/>
                  <w:i/>
                  <w:iCs/>
                </w:rPr>
                <w:t>,
2018-04-19,
paskelbta TAR 2018-04-20, i. k. 2018-06362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383fb0a9f911e9964cdd77475976b0">
                <w:r w:rsidRPr="00532B9F">
                  <w:rPr>
                    <w:rFonts w:ascii="Times New Roman" w:eastAsia="MS Mincho" w:hAnsi="Times New Roman"/>
                    <w:sz w:val="20"/>
                    <w:i/>
                    <w:iCs/>
                    <w:color w:val="0000FF" w:themeColor="hyperlink"/>
                    <w:u w:val="single"/>
                  </w:rPr>
                  <w:t>V-844</w:t>
                </w:r>
              </w:fldSimple>
              <w:r>
                <w:rPr>
                  <w:rFonts w:ascii="Times New Roman" w:eastAsia="MS Mincho" w:hAnsi="Times New Roman"/>
                  <w:sz w:val="20"/>
                  <w:i/>
                  <w:iCs/>
                </w:rPr>
                <w:t>,
2019-07-18,
paskelbta TAR 2019-07-19, i. k. 2019-11907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090a090b811e4bb408baba2bdddf3">
            <w:r w:rsidRPr="00532B9F">
              <w:rPr>
                <w:rFonts w:ascii="Times New Roman" w:eastAsia="MS Mincho" w:hAnsi="Times New Roman"/>
                <w:sz w:val="20"/>
                <w:i/>
                <w:iCs/>
                <w:color w:val="0000FF" w:themeColor="hyperlink"/>
                <w:u w:val="single"/>
              </w:rPr>
              <w:t>V-1393</w:t>
            </w:r>
          </w:fldSimple>
          <w:r>
            <w:rPr>
              <w:rFonts w:ascii="Times New Roman" w:eastAsia="MS Mincho" w:hAnsi="Times New Roman"/>
              <w:sz w:val="20"/>
              <w:i/>
              <w:iCs/>
            </w:rPr>
            <w:t>,
2014-12-22,
paskelbta TAR 2014-12-31, i. k. 2014-21128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adef0aaeb11e48ebccd46991dfff9">
            <w:r w:rsidRPr="00532B9F">
              <w:rPr>
                <w:rFonts w:ascii="Times New Roman" w:eastAsia="MS Mincho" w:hAnsi="Times New Roman"/>
                <w:sz w:val="20"/>
                <w:i/>
                <w:iCs/>
                <w:color w:val="0000FF" w:themeColor="hyperlink"/>
                <w:u w:val="single"/>
              </w:rPr>
              <w:t>V-73</w:t>
            </w:r>
          </w:fldSimple>
          <w:r>
            <w:rPr>
              <w:rFonts w:ascii="Times New Roman" w:eastAsia="MS Mincho" w:hAnsi="Times New Roman"/>
              <w:sz w:val="20"/>
              <w:i/>
              <w:iCs/>
            </w:rPr>
            <w:t>,
2015-01-29,
paskelbta TAR 2015-02-02, i. k. 2015-01489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4955D5C12C">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2004-02-20,
Žin., 2004, Nr.
32-1030 (2004-02-28), i. k. 1042250ISAK0000V-79                </w:t>
          </w:r>
        </w:p>
        <w:p>
          <w:pPr>
            <w:jc w:val="both"/>
            <w:rPr>
              <w:rFonts w:ascii="Times New Roman" w:hAnsi="Times New Roman"/>
            </w:rPr>
          </w:pPr>
          <w:r>
            <w:rPr>
              <w:rFonts w:ascii="Times New Roman" w:hAnsi="Times New Roman"/>
              <w:sz w:val="20"/>
            </w:rPr>
            <w:t>Dėl Lietuvos Respublikos sveikatos apsaugos ministro įsakymų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668E5C8160">
            <w:r w:rsidRPr="00532B9F">
              <w:rPr>
                <w:rFonts w:ascii="Times New Roman" w:eastAsia="MS Mincho" w:hAnsi="Times New Roman"/>
                <w:sz w:val="20"/>
                <w:iCs/>
                <w:color w:val="0000FF" w:themeColor="hyperlink"/>
                <w:u w:val="single"/>
              </w:rPr>
              <w:t>V-310</w:t>
            </w:r>
          </w:fldSimple>
          <w:r>
            <w:rPr>
              <w:rFonts w:ascii="Times New Roman" w:eastAsia="MS Mincho" w:hAnsi="Times New Roman"/>
              <w:sz w:val="20"/>
              <w:iCs/>
            </w:rPr>
            <w:t>,
2005-04-27,
Žin., 2005, Nr.
55-1896 (2005-04-30), i. k. 1052250ISAK000V-310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2A80746DED">
            <w:r w:rsidRPr="00532B9F">
              <w:rPr>
                <w:rFonts w:ascii="Times New Roman" w:eastAsia="MS Mincho" w:hAnsi="Times New Roman"/>
                <w:sz w:val="20"/>
                <w:iCs/>
                <w:color w:val="0000FF" w:themeColor="hyperlink"/>
                <w:u w:val="single"/>
              </w:rPr>
              <w:t>V-815</w:t>
            </w:r>
          </w:fldSimple>
          <w:r>
            <w:rPr>
              <w:rFonts w:ascii="Times New Roman" w:eastAsia="MS Mincho" w:hAnsi="Times New Roman"/>
              <w:sz w:val="20"/>
              <w:iCs/>
            </w:rPr>
            <w:t>,
2005-10-27,
Žin., 2005, Nr.
128-4637 (2005-10-29), i. k. 1052250ISAK000V-815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09DC05FD21">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2006-04-27,
Žin., 2006, Nr.
48-1728 (2006-04-29), i. k. 1062250ISAK000V-323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BFD5728271A">
            <w:r w:rsidRPr="00532B9F">
              <w:rPr>
                <w:rFonts w:ascii="Times New Roman" w:eastAsia="MS Mincho" w:hAnsi="Times New Roman"/>
                <w:sz w:val="20"/>
                <w:iCs/>
                <w:color w:val="0000FF" w:themeColor="hyperlink"/>
                <w:u w:val="single"/>
              </w:rPr>
              <w:t>V-319</w:t>
            </w:r>
          </w:fldSimple>
          <w:r>
            <w:rPr>
              <w:rFonts w:ascii="Times New Roman" w:eastAsia="MS Mincho" w:hAnsi="Times New Roman"/>
              <w:sz w:val="20"/>
              <w:iCs/>
            </w:rPr>
            <w:t>,
2007-05-03,
Žin., 2007, Nr.
50-1956 (2007-05-10), i. k. 1072250ISAK000V-319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C85250B769">
            <w:r w:rsidRPr="00532B9F">
              <w:rPr>
                <w:rFonts w:ascii="Times New Roman" w:eastAsia="MS Mincho" w:hAnsi="Times New Roman"/>
                <w:sz w:val="20"/>
                <w:iCs/>
                <w:color w:val="0000FF" w:themeColor="hyperlink"/>
                <w:u w:val="single"/>
              </w:rPr>
              <w:t>V-423</w:t>
            </w:r>
          </w:fldSimple>
          <w:r>
            <w:rPr>
              <w:rFonts w:ascii="Times New Roman" w:eastAsia="MS Mincho" w:hAnsi="Times New Roman"/>
              <w:sz w:val="20"/>
              <w:iCs/>
            </w:rPr>
            <w:t>,
2008-05-09,
Žin., 2008, Nr.
54-2016 (2008-05-13), i. k. 1082250ISAK000V-423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E759DF5DFE">
            <w:r w:rsidRPr="00532B9F">
              <w:rPr>
                <w:rFonts w:ascii="Times New Roman" w:eastAsia="MS Mincho" w:hAnsi="Times New Roman"/>
                <w:sz w:val="20"/>
                <w:iCs/>
                <w:color w:val="0000FF" w:themeColor="hyperlink"/>
                <w:u w:val="single"/>
              </w:rPr>
              <w:t>V-649</w:t>
            </w:r>
          </w:fldSimple>
          <w:r>
            <w:rPr>
              <w:rFonts w:ascii="Times New Roman" w:eastAsia="MS Mincho" w:hAnsi="Times New Roman"/>
              <w:sz w:val="20"/>
              <w:iCs/>
            </w:rPr>
            <w:t>,
2008-06-28,
Žin., 2008, Nr.
76-3030 (2008-07-05), i. k. 1082250ISAK000V-649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693EEE35C8">
            <w:r w:rsidRPr="00532B9F">
              <w:rPr>
                <w:rFonts w:ascii="Times New Roman" w:eastAsia="MS Mincho" w:hAnsi="Times New Roman"/>
                <w:sz w:val="20"/>
                <w:iCs/>
                <w:color w:val="0000FF" w:themeColor="hyperlink"/>
                <w:u w:val="single"/>
              </w:rPr>
              <w:t>V-973</w:t>
            </w:r>
          </w:fldSimple>
          <w:r>
            <w:rPr>
              <w:rFonts w:ascii="Times New Roman" w:eastAsia="MS Mincho" w:hAnsi="Times New Roman"/>
              <w:sz w:val="20"/>
              <w:iCs/>
            </w:rPr>
            <w:t>,
2008-10-10,
Žin., 2008, Nr.
121-4626 (2008-10-21), i. k. 1082250ISAK000V-973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3F49D02CD8">
            <w:r w:rsidRPr="00532B9F">
              <w:rPr>
                <w:rFonts w:ascii="Times New Roman" w:eastAsia="MS Mincho" w:hAnsi="Times New Roman"/>
                <w:sz w:val="20"/>
                <w:iCs/>
                <w:color w:val="0000FF" w:themeColor="hyperlink"/>
                <w:u w:val="single"/>
              </w:rPr>
              <w:t>V-178</w:t>
            </w:r>
          </w:fldSimple>
          <w:r>
            <w:rPr>
              <w:rFonts w:ascii="Times New Roman" w:eastAsia="MS Mincho" w:hAnsi="Times New Roman"/>
              <w:sz w:val="20"/>
              <w:iCs/>
            </w:rPr>
            <w:t>,
2009-03-13,
Žin., 2009, Nr.
39-1480 (2009-04-07), i. k. 1092250ISAK000V-178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82D19C6A6B6">
            <w:r w:rsidRPr="00532B9F">
              <w:rPr>
                <w:rFonts w:ascii="Times New Roman" w:eastAsia="MS Mincho" w:hAnsi="Times New Roman"/>
                <w:sz w:val="20"/>
                <w:iCs/>
                <w:color w:val="0000FF" w:themeColor="hyperlink"/>
                <w:u w:val="single"/>
              </w:rPr>
              <w:t>V-1062</w:t>
            </w:r>
          </w:fldSimple>
          <w:r>
            <w:rPr>
              <w:rFonts w:ascii="Times New Roman" w:eastAsia="MS Mincho" w:hAnsi="Times New Roman"/>
              <w:sz w:val="20"/>
              <w:iCs/>
            </w:rPr>
            <w:t>,
2009-12-23,
Žin., 2010, Nr.
1-45 (2010-01-05), i. k. 1092250ISAK00V-1062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D069E8FA43">
            <w:r w:rsidRPr="00532B9F">
              <w:rPr>
                <w:rFonts w:ascii="Times New Roman" w:eastAsia="MS Mincho" w:hAnsi="Times New Roman"/>
                <w:sz w:val="20"/>
                <w:iCs/>
                <w:color w:val="0000FF" w:themeColor="hyperlink"/>
                <w:u w:val="single"/>
              </w:rPr>
              <w:t>V-1072</w:t>
            </w:r>
          </w:fldSimple>
          <w:r>
            <w:rPr>
              <w:rFonts w:ascii="Times New Roman" w:eastAsia="MS Mincho" w:hAnsi="Times New Roman"/>
              <w:sz w:val="20"/>
              <w:iCs/>
            </w:rPr>
            <w:t>,
2009-12-29,
Žin., 2010, Nr.
4-163 (2010-01-12), i. k. 1092250ISAK00V-1072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1CEBF9C76E">
            <w:r w:rsidRPr="00532B9F">
              <w:rPr>
                <w:rFonts w:ascii="Times New Roman" w:eastAsia="MS Mincho" w:hAnsi="Times New Roman"/>
                <w:sz w:val="20"/>
                <w:iCs/>
                <w:color w:val="0000FF" w:themeColor="hyperlink"/>
                <w:u w:val="single"/>
              </w:rPr>
              <w:t>V-175</w:t>
            </w:r>
          </w:fldSimple>
          <w:r>
            <w:rPr>
              <w:rFonts w:ascii="Times New Roman" w:eastAsia="MS Mincho" w:hAnsi="Times New Roman"/>
              <w:sz w:val="20"/>
              <w:iCs/>
            </w:rPr>
            <w:t>,
2010-03-03,
Žin., 2010, Nr.
27-1235 (2010-03-06), i. k. 1102250ISAK000V-175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ACCBFCF39B">
            <w:r w:rsidRPr="00532B9F">
              <w:rPr>
                <w:rFonts w:ascii="Times New Roman" w:eastAsia="MS Mincho" w:hAnsi="Times New Roman"/>
                <w:sz w:val="20"/>
                <w:iCs/>
                <w:color w:val="0000FF" w:themeColor="hyperlink"/>
                <w:u w:val="single"/>
              </w:rPr>
              <w:t>V-586</w:t>
            </w:r>
          </w:fldSimple>
          <w:r>
            <w:rPr>
              <w:rFonts w:ascii="Times New Roman" w:eastAsia="MS Mincho" w:hAnsi="Times New Roman"/>
              <w:sz w:val="20"/>
              <w:iCs/>
            </w:rPr>
            <w:t>,
2010-06-18,
Žin., 2010, Nr.
74-3769 (2010-06-26), i. k. 1102250ISAK000V-586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4DA17088A1">
            <w:r w:rsidRPr="00532B9F">
              <w:rPr>
                <w:rFonts w:ascii="Times New Roman" w:eastAsia="MS Mincho" w:hAnsi="Times New Roman"/>
                <w:sz w:val="20"/>
                <w:iCs/>
                <w:color w:val="0000FF" w:themeColor="hyperlink"/>
                <w:u w:val="single"/>
              </w:rPr>
              <w:t>V-802</w:t>
            </w:r>
          </w:fldSimple>
          <w:r>
            <w:rPr>
              <w:rFonts w:ascii="Times New Roman" w:eastAsia="MS Mincho" w:hAnsi="Times New Roman"/>
              <w:sz w:val="20"/>
              <w:iCs/>
            </w:rPr>
            <w:t>,
2010-09-20,
Žin., 2010, Nr.
113-5802 (2010-09-25), i. k. 1102250ISAK000V-802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F277448F3E">
            <w:r w:rsidRPr="00532B9F">
              <w:rPr>
                <w:rFonts w:ascii="Times New Roman" w:eastAsia="MS Mincho" w:hAnsi="Times New Roman"/>
                <w:sz w:val="20"/>
                <w:iCs/>
                <w:color w:val="0000FF" w:themeColor="hyperlink"/>
                <w:u w:val="single"/>
              </w:rPr>
              <w:t>V-101</w:t>
            </w:r>
          </w:fldSimple>
          <w:r>
            <w:rPr>
              <w:rFonts w:ascii="Times New Roman" w:eastAsia="MS Mincho" w:hAnsi="Times New Roman"/>
              <w:sz w:val="20"/>
              <w:iCs/>
            </w:rPr>
            <w:t>,
2011-02-03,
Žin., 2011, Nr.
17-816 (2011-02-10), i. k. 1112250ISAK000V-101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050BC6517F">
            <w:r w:rsidRPr="00532B9F">
              <w:rPr>
                <w:rFonts w:ascii="Times New Roman" w:eastAsia="MS Mincho" w:hAnsi="Times New Roman"/>
                <w:sz w:val="20"/>
                <w:iCs/>
                <w:color w:val="0000FF" w:themeColor="hyperlink"/>
                <w:u w:val="single"/>
              </w:rPr>
              <w:t>V-184</w:t>
            </w:r>
          </w:fldSimple>
          <w:r>
            <w:rPr>
              <w:rFonts w:ascii="Times New Roman" w:eastAsia="MS Mincho" w:hAnsi="Times New Roman"/>
              <w:sz w:val="20"/>
              <w:iCs/>
            </w:rPr>
            <w:t>,
2011-02-28,
Žin., 2011, Nr.
29-1370 (2011-03-08), i. k. 1112250ISAK000V-184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6BCB4E424F">
            <w:r w:rsidRPr="00532B9F">
              <w:rPr>
                <w:rFonts w:ascii="Times New Roman" w:eastAsia="MS Mincho" w:hAnsi="Times New Roman"/>
                <w:sz w:val="20"/>
                <w:iCs/>
                <w:color w:val="0000FF" w:themeColor="hyperlink"/>
                <w:u w:val="single"/>
              </w:rPr>
              <w:t>V-441</w:t>
            </w:r>
          </w:fldSimple>
          <w:r>
            <w:rPr>
              <w:rFonts w:ascii="Times New Roman" w:eastAsia="MS Mincho" w:hAnsi="Times New Roman"/>
              <w:sz w:val="20"/>
              <w:iCs/>
            </w:rPr>
            <w:t>,
2011-05-06,
Žin., 2011, Nr.
57-2724 (2011-05-12), i. k. 1112250ISAK000V-441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F677B2B031">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2011-05-19,
Žin., 2011, Nr.
63-3002 (2011-05-26), i. k. 1112250ISAK000V-481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95BE7E412D5">
            <w:r w:rsidRPr="00532B9F">
              <w:rPr>
                <w:rFonts w:ascii="Times New Roman" w:eastAsia="MS Mincho" w:hAnsi="Times New Roman"/>
                <w:sz w:val="20"/>
                <w:iCs/>
                <w:color w:val="0000FF" w:themeColor="hyperlink"/>
                <w:u w:val="single"/>
              </w:rPr>
              <w:t>V-547</w:t>
            </w:r>
          </w:fldSimple>
          <w:r>
            <w:rPr>
              <w:rFonts w:ascii="Times New Roman" w:eastAsia="MS Mincho" w:hAnsi="Times New Roman"/>
              <w:sz w:val="20"/>
              <w:iCs/>
            </w:rPr>
            <w:t>,
2011-05-27,
Žin., 2011, Nr.
67-3186 (2011-06-02), i. k. 1112250ISAK000V-547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fd07d0a53f11e3aeb49a67165e3ad3">
            <w:r w:rsidRPr="00532B9F">
              <w:rPr>
                <w:rFonts w:ascii="Times New Roman" w:eastAsia="MS Mincho" w:hAnsi="Times New Roman"/>
                <w:sz w:val="20"/>
                <w:iCs/>
                <w:color w:val="0000FF" w:themeColor="hyperlink"/>
                <w:u w:val="single"/>
              </w:rPr>
              <w:t>V-320</w:t>
            </w:r>
          </w:fldSimple>
          <w:r>
            <w:rPr>
              <w:rFonts w:ascii="Times New Roman" w:eastAsia="MS Mincho" w:hAnsi="Times New Roman"/>
              <w:sz w:val="20"/>
              <w:iCs/>
            </w:rPr>
            <w:t>,
2014-03-05,
paskelbta TAR 2014-03-06, i. k. 2014-02740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a090a090b811e4bb408baba2bdddf3">
            <w:r w:rsidRPr="00532B9F">
              <w:rPr>
                <w:rFonts w:ascii="Times New Roman" w:eastAsia="MS Mincho" w:hAnsi="Times New Roman"/>
                <w:sz w:val="20"/>
                <w:iCs/>
                <w:color w:val="0000FF" w:themeColor="hyperlink"/>
                <w:u w:val="single"/>
              </w:rPr>
              <w:t>V-1393</w:t>
            </w:r>
          </w:fldSimple>
          <w:r>
            <w:rPr>
              <w:rFonts w:ascii="Times New Roman" w:eastAsia="MS Mincho" w:hAnsi="Times New Roman"/>
              <w:sz w:val="20"/>
              <w:iCs/>
            </w:rPr>
            <w:t>,
2014-12-22,
paskelbta TAR 2014-12-31, i. k. 2014-21128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2adef0aaeb11e48ebccd46991dfff9">
            <w:r w:rsidRPr="00532B9F">
              <w:rPr>
                <w:rFonts w:ascii="Times New Roman" w:eastAsia="MS Mincho" w:hAnsi="Times New Roman"/>
                <w:sz w:val="20"/>
                <w:iCs/>
                <w:color w:val="0000FF" w:themeColor="hyperlink"/>
                <w:u w:val="single"/>
              </w:rPr>
              <w:t>V-73</w:t>
            </w:r>
          </w:fldSimple>
          <w:r>
            <w:rPr>
              <w:rFonts w:ascii="Times New Roman" w:eastAsia="MS Mincho" w:hAnsi="Times New Roman"/>
              <w:sz w:val="20"/>
              <w:iCs/>
            </w:rPr>
            <w:t>,
2015-01-29,
paskelbta TAR 2015-02-02, i. k. 2015-01489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b7aa50bcfd11e4afdc866ec67ebcf3">
            <w:r w:rsidRPr="00532B9F">
              <w:rPr>
                <w:rFonts w:ascii="Times New Roman" w:eastAsia="MS Mincho" w:hAnsi="Times New Roman"/>
                <w:sz w:val="20"/>
                <w:iCs/>
                <w:color w:val="0000FF" w:themeColor="hyperlink"/>
                <w:u w:val="single"/>
              </w:rPr>
              <w:t>V-224</w:t>
            </w:r>
          </w:fldSimple>
          <w:r>
            <w:rPr>
              <w:rFonts w:ascii="Times New Roman" w:eastAsia="MS Mincho" w:hAnsi="Times New Roman"/>
              <w:sz w:val="20"/>
              <w:iCs/>
            </w:rPr>
            <w:t>,
2015-02-18,
paskelbta TAR 2015-02-26, i. k. 2015-02965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17f70d3c111e4bcd1a882e9a189f1">
            <w:r w:rsidRPr="00532B9F">
              <w:rPr>
                <w:rFonts w:ascii="Times New Roman" w:eastAsia="MS Mincho" w:hAnsi="Times New Roman"/>
                <w:sz w:val="20"/>
                <w:iCs/>
                <w:color w:val="0000FF" w:themeColor="hyperlink"/>
                <w:u w:val="single"/>
              </w:rPr>
              <w:t>V-383</w:t>
            </w:r>
          </w:fldSimple>
          <w:r>
            <w:rPr>
              <w:rFonts w:ascii="Times New Roman" w:eastAsia="MS Mincho" w:hAnsi="Times New Roman"/>
              <w:sz w:val="20"/>
              <w:iCs/>
            </w:rPr>
            <w:t>,
2015-03-23,
paskelbta TAR 2015-03-26, i. k. 2015-04324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2a9f300dd811e5920c94700bb1958e">
            <w:r w:rsidRPr="00532B9F">
              <w:rPr>
                <w:rFonts w:ascii="Times New Roman" w:eastAsia="MS Mincho" w:hAnsi="Times New Roman"/>
                <w:sz w:val="20"/>
                <w:iCs/>
                <w:color w:val="0000FF" w:themeColor="hyperlink"/>
                <w:u w:val="single"/>
              </w:rPr>
              <w:t>V-714</w:t>
            </w:r>
          </w:fldSimple>
          <w:r>
            <w:rPr>
              <w:rFonts w:ascii="Times New Roman" w:eastAsia="MS Mincho" w:hAnsi="Times New Roman"/>
              <w:sz w:val="20"/>
              <w:iCs/>
            </w:rPr>
            <w:t>,
2015-06-08,
paskelbta TAR 2015-06-08, i. k. 2015-09000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87770029ee11e5a2d7e5e47b869348">
            <w:r w:rsidRPr="00532B9F">
              <w:rPr>
                <w:rFonts w:ascii="Times New Roman" w:eastAsia="MS Mincho" w:hAnsi="Times New Roman"/>
                <w:sz w:val="20"/>
                <w:iCs/>
                <w:color w:val="0000FF" w:themeColor="hyperlink"/>
                <w:u w:val="single"/>
              </w:rPr>
              <w:t>V-862</w:t>
            </w:r>
          </w:fldSimple>
          <w:r>
            <w:rPr>
              <w:rFonts w:ascii="Times New Roman" w:eastAsia="MS Mincho" w:hAnsi="Times New Roman"/>
              <w:sz w:val="20"/>
              <w:iCs/>
            </w:rPr>
            <w:t>,
2015-07-10,
paskelbta TAR 2015-07-14, i. k. 2015-11317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0b3b8044e611e58568ed613eb39a73">
            <w:r w:rsidRPr="00532B9F">
              <w:rPr>
                <w:rFonts w:ascii="Times New Roman" w:eastAsia="MS Mincho" w:hAnsi="Times New Roman"/>
                <w:sz w:val="20"/>
                <w:iCs/>
                <w:color w:val="0000FF" w:themeColor="hyperlink"/>
                <w:u w:val="single"/>
              </w:rPr>
              <w:t>V-943</w:t>
            </w:r>
          </w:fldSimple>
          <w:r>
            <w:rPr>
              <w:rFonts w:ascii="Times New Roman" w:eastAsia="MS Mincho" w:hAnsi="Times New Roman"/>
              <w:sz w:val="20"/>
              <w:iCs/>
            </w:rPr>
            <w:t>,
2015-08-11,
paskelbta TAR 2015-08-17, i. k. 2015-12372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a1f2e047c611e5a38cd6cdb94b0c51">
            <w:r w:rsidRPr="00532B9F">
              <w:rPr>
                <w:rFonts w:ascii="Times New Roman" w:eastAsia="MS Mincho" w:hAnsi="Times New Roman"/>
                <w:sz w:val="20"/>
                <w:iCs/>
                <w:color w:val="0000FF" w:themeColor="hyperlink"/>
                <w:u w:val="single"/>
              </w:rPr>
              <w:t>V-974</w:t>
            </w:r>
          </w:fldSimple>
          <w:r>
            <w:rPr>
              <w:rFonts w:ascii="Times New Roman" w:eastAsia="MS Mincho" w:hAnsi="Times New Roman"/>
              <w:sz w:val="20"/>
              <w:iCs/>
            </w:rPr>
            <w:t>,
2015-08-18,
paskelbta TAR 2015-08-21, i. k. 2015-12478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57c9c90465d11e5a38cd6cdb94b0c51">
            <w:r w:rsidRPr="00532B9F">
              <w:rPr>
                <w:rFonts w:ascii="Times New Roman" w:eastAsia="MS Mincho" w:hAnsi="Times New Roman"/>
                <w:sz w:val="20"/>
                <w:iCs/>
                <w:color w:val="0000FF" w:themeColor="hyperlink"/>
                <w:u w:val="single"/>
              </w:rPr>
              <w:t>V-990</w:t>
            </w:r>
          </w:fldSimple>
          <w:r>
            <w:rPr>
              <w:rFonts w:ascii="Times New Roman" w:eastAsia="MS Mincho" w:hAnsi="Times New Roman"/>
              <w:sz w:val="20"/>
              <w:iCs/>
            </w:rPr>
            <w:t>,
2015-08-18,
paskelbta TAR 2015-08-19, i. k. 2015-12418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37533c0af7f11e5b12fbb7dc920ee2c">
            <w:r w:rsidRPr="00532B9F">
              <w:rPr>
                <w:rFonts w:ascii="Times New Roman" w:eastAsia="MS Mincho" w:hAnsi="Times New Roman"/>
                <w:sz w:val="20"/>
                <w:iCs/>
                <w:color w:val="0000FF" w:themeColor="hyperlink"/>
                <w:u w:val="single"/>
              </w:rPr>
              <w:t>V-1500</w:t>
            </w:r>
          </w:fldSimple>
          <w:r>
            <w:rPr>
              <w:rFonts w:ascii="Times New Roman" w:eastAsia="MS Mincho" w:hAnsi="Times New Roman"/>
              <w:sz w:val="20"/>
              <w:iCs/>
            </w:rPr>
            <w:t>,
2015-12-23,
paskelbta TAR 2015-12-31, i. k. 2015-21184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70b810aee111e5b12fbb7dc920ee2c">
            <w:r w:rsidRPr="00532B9F">
              <w:rPr>
                <w:rFonts w:ascii="Times New Roman" w:eastAsia="MS Mincho" w:hAnsi="Times New Roman"/>
                <w:sz w:val="20"/>
                <w:iCs/>
                <w:color w:val="0000FF" w:themeColor="hyperlink"/>
                <w:u w:val="single"/>
              </w:rPr>
              <w:t>V-1521</w:t>
            </w:r>
          </w:fldSimple>
          <w:r>
            <w:rPr>
              <w:rFonts w:ascii="Times New Roman" w:eastAsia="MS Mincho" w:hAnsi="Times New Roman"/>
              <w:sz w:val="20"/>
              <w:iCs/>
            </w:rPr>
            <w:t>,
2015-12-29,
paskelbta TAR 2015-12-30, i. k. 2015-20985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a3f320b48611e598c4c7724bda031b">
            <w:r w:rsidRPr="00532B9F">
              <w:rPr>
                <w:rFonts w:ascii="Times New Roman" w:eastAsia="MS Mincho" w:hAnsi="Times New Roman"/>
                <w:sz w:val="20"/>
                <w:iCs/>
                <w:color w:val="0000FF" w:themeColor="hyperlink"/>
                <w:u w:val="single"/>
              </w:rPr>
              <w:t>V-1604</w:t>
            </w:r>
          </w:fldSimple>
          <w:r>
            <w:rPr>
              <w:rFonts w:ascii="Times New Roman" w:eastAsia="MS Mincho" w:hAnsi="Times New Roman"/>
              <w:sz w:val="20"/>
              <w:iCs/>
            </w:rPr>
            <w:t>,
2015-12-31,
paskelbta TAR 2016-01-07, i. k. 2016-00381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752abb0378c11e69101aaab2992cbcd">
            <w:r w:rsidRPr="00532B9F">
              <w:rPr>
                <w:rFonts w:ascii="Times New Roman" w:eastAsia="MS Mincho" w:hAnsi="Times New Roman"/>
                <w:sz w:val="20"/>
                <w:iCs/>
                <w:color w:val="0000FF" w:themeColor="hyperlink"/>
                <w:u w:val="single"/>
              </w:rPr>
              <w:t>V-804</w:t>
            </w:r>
          </w:fldSimple>
          <w:r>
            <w:rPr>
              <w:rFonts w:ascii="Times New Roman" w:eastAsia="MS Mincho" w:hAnsi="Times New Roman"/>
              <w:sz w:val="20"/>
              <w:iCs/>
            </w:rPr>
            <w:t>,
2016-06-14,
paskelbta TAR 2016-06-21, i. k. 2016-17335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1ee00d19011e68d79c2033f194657">
            <w:r w:rsidRPr="00532B9F">
              <w:rPr>
                <w:rFonts w:ascii="Times New Roman" w:eastAsia="MS Mincho" w:hAnsi="Times New Roman"/>
                <w:sz w:val="20"/>
                <w:iCs/>
                <w:color w:val="0000FF" w:themeColor="hyperlink"/>
                <w:u w:val="single"/>
              </w:rPr>
              <w:t>V-1</w:t>
            </w:r>
          </w:fldSimple>
          <w:r>
            <w:rPr>
              <w:rFonts w:ascii="Times New Roman" w:eastAsia="MS Mincho" w:hAnsi="Times New Roman"/>
              <w:sz w:val="20"/>
              <w:iCs/>
            </w:rPr>
            <w:t>,
2017-01-02,
paskelbta TAR 2017-01-03, i. k. 2017-00405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87a1c2015da11e79800e8266c1e5d1b">
            <w:r w:rsidRPr="00532B9F">
              <w:rPr>
                <w:rFonts w:ascii="Times New Roman" w:eastAsia="MS Mincho" w:hAnsi="Times New Roman"/>
                <w:sz w:val="20"/>
                <w:iCs/>
                <w:color w:val="0000FF" w:themeColor="hyperlink"/>
                <w:u w:val="single"/>
              </w:rPr>
              <w:t>V-354</w:t>
            </w:r>
          </w:fldSimple>
          <w:r>
            <w:rPr>
              <w:rFonts w:ascii="Times New Roman" w:eastAsia="MS Mincho" w:hAnsi="Times New Roman"/>
              <w:sz w:val="20"/>
              <w:iCs/>
            </w:rPr>
            <w:t>,
2017-03-27,
paskelbta TAR 2017-03-31, i. k. 2017-05281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43b540529011e7846ef01bfffb9b64">
            <w:r w:rsidRPr="00532B9F">
              <w:rPr>
                <w:rFonts w:ascii="Times New Roman" w:eastAsia="MS Mincho" w:hAnsi="Times New Roman"/>
                <w:sz w:val="20"/>
                <w:iCs/>
                <w:color w:val="0000FF" w:themeColor="hyperlink"/>
                <w:u w:val="single"/>
              </w:rPr>
              <w:t>V-715</w:t>
            </w:r>
          </w:fldSimple>
          <w:r>
            <w:rPr>
              <w:rFonts w:ascii="Times New Roman" w:eastAsia="MS Mincho" w:hAnsi="Times New Roman"/>
              <w:sz w:val="20"/>
              <w:iCs/>
            </w:rPr>
            <w:t>,
2017-06-14,
paskelbta TAR 2017-06-19, i. k. 2017-10169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5be9f0398911e881f2ba995b003ed2">
            <w:r w:rsidRPr="00532B9F">
              <w:rPr>
                <w:rFonts w:ascii="Times New Roman" w:eastAsia="MS Mincho" w:hAnsi="Times New Roman"/>
                <w:sz w:val="20"/>
                <w:iCs/>
                <w:color w:val="0000FF" w:themeColor="hyperlink"/>
                <w:u w:val="single"/>
              </w:rPr>
              <w:t>V-381</w:t>
            </w:r>
          </w:fldSimple>
          <w:r>
            <w:rPr>
              <w:rFonts w:ascii="Times New Roman" w:eastAsia="MS Mincho" w:hAnsi="Times New Roman"/>
              <w:sz w:val="20"/>
              <w:iCs/>
            </w:rPr>
            <w:t>,
2018-04-06,
paskelbta TAR 2018-04-09, i. k. 2018-05598                </w:t>
          </w:r>
        </w:p>
        <w:p>
          <w:pPr>
            <w:jc w:val="both"/>
            <w:rPr>
              <w:rFonts w:ascii="Times New Roman" w:hAnsi="Times New Roman"/>
            </w:rPr>
          </w:pPr>
          <w:r>
            <w:rPr>
              <w:rFonts w:ascii="Times New Roman" w:hAnsi="Times New Roman"/>
              <w:sz w:val="20"/>
            </w:rPr>
            <w:t>Dėl Lietuvos Respublikos sveikatos apsaugos ministro 2000 m. gegužės 31 d. įsakymu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427960447e11e8ad2f97b2a095557a">
            <w:r w:rsidRPr="00532B9F">
              <w:rPr>
                <w:rFonts w:ascii="Times New Roman" w:eastAsia="MS Mincho" w:hAnsi="Times New Roman"/>
                <w:sz w:val="20"/>
                <w:iCs/>
                <w:color w:val="0000FF" w:themeColor="hyperlink"/>
                <w:u w:val="single"/>
              </w:rPr>
              <w:t>V-458</w:t>
            </w:r>
          </w:fldSimple>
          <w:r>
            <w:rPr>
              <w:rFonts w:ascii="Times New Roman" w:eastAsia="MS Mincho" w:hAnsi="Times New Roman"/>
              <w:sz w:val="20"/>
              <w:iCs/>
            </w:rPr>
            <w:t>,
2018-04-19,
paskelbta TAR 2018-04-20, i. k. 2018-06362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3834b0b03d11e88f64a5ecc703f89b">
            <w:r w:rsidRPr="00532B9F">
              <w:rPr>
                <w:rFonts w:ascii="Times New Roman" w:eastAsia="MS Mincho" w:hAnsi="Times New Roman"/>
                <w:sz w:val="20"/>
                <w:iCs/>
                <w:color w:val="0000FF" w:themeColor="hyperlink"/>
                <w:u w:val="single"/>
              </w:rPr>
              <w:t>V-976</w:t>
            </w:r>
          </w:fldSimple>
          <w:r>
            <w:rPr>
              <w:rFonts w:ascii="Times New Roman" w:eastAsia="MS Mincho" w:hAnsi="Times New Roman"/>
              <w:sz w:val="20"/>
              <w:iCs/>
            </w:rPr>
            <w:t>,
2018-09-04,
paskelbta TAR 2018-09-04, i. k. 2018-13962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8105e0b72011e88f64a5ecc703f89b">
            <w:r w:rsidRPr="00532B9F">
              <w:rPr>
                <w:rFonts w:ascii="Times New Roman" w:eastAsia="MS Mincho" w:hAnsi="Times New Roman"/>
                <w:sz w:val="20"/>
                <w:iCs/>
                <w:color w:val="0000FF" w:themeColor="hyperlink"/>
                <w:u w:val="single"/>
              </w:rPr>
              <w:t>V-1000</w:t>
            </w:r>
          </w:fldSimple>
          <w:r>
            <w:rPr>
              <w:rFonts w:ascii="Times New Roman" w:eastAsia="MS Mincho" w:hAnsi="Times New Roman"/>
              <w:sz w:val="20"/>
              <w:iCs/>
            </w:rPr>
            <w:t>,
2018-09-11,
paskelbta TAR 2018-09-13, i. k. 2018-14464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506cda0e0df11e89acab3ff12d77081">
            <w:r w:rsidRPr="00532B9F">
              <w:rPr>
                <w:rFonts w:ascii="Times New Roman" w:eastAsia="MS Mincho" w:hAnsi="Times New Roman"/>
                <w:sz w:val="20"/>
                <w:iCs/>
                <w:color w:val="0000FF" w:themeColor="hyperlink"/>
                <w:u w:val="single"/>
              </w:rPr>
              <w:t>V-1210</w:t>
            </w:r>
          </w:fldSimple>
          <w:r>
            <w:rPr>
              <w:rFonts w:ascii="Times New Roman" w:eastAsia="MS Mincho" w:hAnsi="Times New Roman"/>
              <w:sz w:val="20"/>
              <w:iCs/>
            </w:rPr>
            <w:t>,
2018-11-02,
paskelbta TAR 2018-11-05, i. k. 2018-17813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bf82d0127b11e9b2b6e7cdb14007b4">
            <w:r w:rsidRPr="00532B9F">
              <w:rPr>
                <w:rFonts w:ascii="Times New Roman" w:eastAsia="MS Mincho" w:hAnsi="Times New Roman"/>
                <w:sz w:val="20"/>
                <w:iCs/>
                <w:color w:val="0000FF" w:themeColor="hyperlink"/>
                <w:u w:val="single"/>
              </w:rPr>
              <w:t>V-12</w:t>
            </w:r>
          </w:fldSimple>
          <w:r>
            <w:rPr>
              <w:rFonts w:ascii="Times New Roman" w:eastAsia="MS Mincho" w:hAnsi="Times New Roman"/>
              <w:sz w:val="20"/>
              <w:iCs/>
            </w:rPr>
            <w:t>,
2019-01-03,
paskelbta TAR 2019-01-07, i. k. 2019-00194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3cf8f0601411e98b599e654d7d03a0">
            <w:r w:rsidRPr="00532B9F">
              <w:rPr>
                <w:rFonts w:ascii="Times New Roman" w:eastAsia="MS Mincho" w:hAnsi="Times New Roman"/>
                <w:sz w:val="20"/>
                <w:iCs/>
                <w:color w:val="0000FF" w:themeColor="hyperlink"/>
                <w:u w:val="single"/>
              </w:rPr>
              <w:t>V-422</w:t>
            </w:r>
          </w:fldSimple>
          <w:r>
            <w:rPr>
              <w:rFonts w:ascii="Times New Roman" w:eastAsia="MS Mincho" w:hAnsi="Times New Roman"/>
              <w:sz w:val="20"/>
              <w:iCs/>
            </w:rPr>
            <w:t>,
2019-04-15,
paskelbta TAR 2019-04-16, i. k. 2019-06202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3595bc076f111e9b81587fcbd5a76f6">
            <w:r w:rsidRPr="00532B9F">
              <w:rPr>
                <w:rFonts w:ascii="Times New Roman" w:eastAsia="MS Mincho" w:hAnsi="Times New Roman"/>
                <w:sz w:val="20"/>
                <w:iCs/>
                <w:color w:val="0000FF" w:themeColor="hyperlink"/>
                <w:u w:val="single"/>
              </w:rPr>
              <w:t>V-566</w:t>
            </w:r>
          </w:fldSimple>
          <w:r>
            <w:rPr>
              <w:rFonts w:ascii="Times New Roman" w:eastAsia="MS Mincho" w:hAnsi="Times New Roman"/>
              <w:sz w:val="20"/>
              <w:iCs/>
            </w:rPr>
            <w:t>,
2019-05-14,
paskelbta TAR 2019-05-15, i. k. 2019-07703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383fb0a9f911e9964cdd77475976b0">
            <w:r w:rsidRPr="00532B9F">
              <w:rPr>
                <w:rFonts w:ascii="Times New Roman" w:eastAsia="MS Mincho" w:hAnsi="Times New Roman"/>
                <w:sz w:val="20"/>
                <w:iCs/>
                <w:color w:val="0000FF" w:themeColor="hyperlink"/>
                <w:u w:val="single"/>
              </w:rPr>
              <w:t>V-844</w:t>
            </w:r>
          </w:fldSimple>
          <w:r>
            <w:rPr>
              <w:rFonts w:ascii="Times New Roman" w:eastAsia="MS Mincho" w:hAnsi="Times New Roman"/>
              <w:sz w:val="20"/>
              <w:iCs/>
            </w:rPr>
            <w:t>,
2019-07-18,
paskelbta TAR 2019-07-19, i. k. 2019-11907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2331b102b1511eabe008ea93139d588">
            <w:r w:rsidRPr="00532B9F">
              <w:rPr>
                <w:rFonts w:ascii="Times New Roman" w:eastAsia="MS Mincho" w:hAnsi="Times New Roman"/>
                <w:sz w:val="20"/>
                <w:iCs/>
                <w:color w:val="0000FF" w:themeColor="hyperlink"/>
                <w:u w:val="single"/>
              </w:rPr>
              <w:t>V-1512</w:t>
            </w:r>
          </w:fldSimple>
          <w:r>
            <w:rPr>
              <w:rFonts w:ascii="Times New Roman" w:eastAsia="MS Mincho" w:hAnsi="Times New Roman"/>
              <w:sz w:val="20"/>
              <w:iCs/>
            </w:rPr>
            <w:t>,
2019-12-30,
paskelbta TAR 2019-12-31, i. k. 2019-21686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e619f0322711eabe008ea93139d588">
            <w:r w:rsidRPr="00532B9F">
              <w:rPr>
                <w:rFonts w:ascii="Times New Roman" w:eastAsia="MS Mincho" w:hAnsi="Times New Roman"/>
                <w:sz w:val="20"/>
                <w:iCs/>
                <w:color w:val="0000FF" w:themeColor="hyperlink"/>
                <w:u w:val="single"/>
              </w:rPr>
              <w:t>V-20</w:t>
            </w:r>
          </w:fldSimple>
          <w:r>
            <w:rPr>
              <w:rFonts w:ascii="Times New Roman" w:eastAsia="MS Mincho" w:hAnsi="Times New Roman"/>
              <w:sz w:val="20"/>
              <w:iCs/>
            </w:rPr>
            <w:t>,
2020-01-07,
paskelbta TAR 2020-01-09, i. k. 2020-00251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abfed02ba411eabe008ea93139d588">
            <w:r w:rsidRPr="00532B9F">
              <w:rPr>
                <w:rFonts w:ascii="Times New Roman" w:eastAsia="MS Mincho" w:hAnsi="Times New Roman"/>
                <w:sz w:val="20"/>
                <w:iCs/>
                <w:color w:val="0000FF" w:themeColor="hyperlink"/>
                <w:u w:val="single"/>
              </w:rPr>
              <w:t>V-1535</w:t>
            </w:r>
          </w:fldSimple>
          <w:r>
            <w:rPr>
              <w:rFonts w:ascii="Times New Roman" w:eastAsia="MS Mincho" w:hAnsi="Times New Roman"/>
              <w:sz w:val="20"/>
              <w:iCs/>
            </w:rPr>
            <w:t>,
2019-12-30,
paskelbta TAR 2019-12-31, i. k. 2019-21774                </w:t>
          </w:r>
        </w:p>
        <w:p>
          <w:pPr>
            <w:jc w:val="both"/>
            <w:rPr>
              <w:rFonts w:ascii="Times New Roman" w:hAnsi="Times New Roman"/>
            </w:rPr>
          </w:pPr>
          <w:r>
            <w:rPr>
              <w:rFonts w:ascii="Times New Roman" w:hAnsi="Times New Roman"/>
              <w:sz w:val="20"/>
            </w:rPr>
            <w:t>Dėl Lietuvos Respublikos sveikatos apsaugos ministro 2019 m. gegužės 14 d. įsakymo Nr. V-566 "Dėl Lietuvos Respublikos sveikatos apsaugos ministro 2000 m. gegužės 31 d. įsakymo Nr. 301 „Dėl profilaktinių sveikatos tikrinimų sveikatos priežiūros įstaigose“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fc9970c0f011ea9815f635b9c0dcef">
            <w:r w:rsidRPr="00532B9F">
              <w:rPr>
                <w:rFonts w:ascii="Times New Roman" w:eastAsia="MS Mincho" w:hAnsi="Times New Roman"/>
                <w:sz w:val="20"/>
                <w:iCs/>
                <w:color w:val="0000FF" w:themeColor="hyperlink"/>
                <w:u w:val="single"/>
              </w:rPr>
              <w:t>V-1615</w:t>
            </w:r>
          </w:fldSimple>
          <w:r>
            <w:rPr>
              <w:rFonts w:ascii="Times New Roman" w:eastAsia="MS Mincho" w:hAnsi="Times New Roman"/>
              <w:sz w:val="20"/>
              <w:iCs/>
            </w:rPr>
            <w:t>,
2020-07-07,
paskelbta TAR 2020-07-08, i. k. 2020-15197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b5f42a0ee9f11eaa12ad7c04a383ca0">
            <w:r w:rsidRPr="00532B9F">
              <w:rPr>
                <w:rFonts w:ascii="Times New Roman" w:eastAsia="MS Mincho" w:hAnsi="Times New Roman"/>
                <w:sz w:val="20"/>
                <w:iCs/>
                <w:color w:val="0000FF" w:themeColor="hyperlink"/>
                <w:u w:val="single"/>
              </w:rPr>
              <w:t>V-1978</w:t>
            </w:r>
          </w:fldSimple>
          <w:r>
            <w:rPr>
              <w:rFonts w:ascii="Times New Roman" w:eastAsia="MS Mincho" w:hAnsi="Times New Roman"/>
              <w:sz w:val="20"/>
              <w:iCs/>
            </w:rPr>
            <w:t>,
2020-09-04,
paskelbta TAR 2020-09-04, i. k. 2020-18795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3f3a0a0015a11ebb74de75171d26d52">
            <w:r w:rsidRPr="00532B9F">
              <w:rPr>
                <w:rFonts w:ascii="Times New Roman" w:eastAsia="MS Mincho" w:hAnsi="Times New Roman"/>
                <w:sz w:val="20"/>
                <w:iCs/>
                <w:color w:val="0000FF" w:themeColor="hyperlink"/>
                <w:u w:val="single"/>
              </w:rPr>
              <w:t>V-2130</w:t>
            </w:r>
          </w:fldSimple>
          <w:r>
            <w:rPr>
              <w:rFonts w:ascii="Times New Roman" w:eastAsia="MS Mincho" w:hAnsi="Times New Roman"/>
              <w:sz w:val="20"/>
              <w:iCs/>
            </w:rPr>
            <w:t>,
2020-09-28,
paskelbta TAR 2020-09-28, i. k. 2020-20108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TimesLT">
    <w:altName w:val="Times New Roman"/>
    <w:charset w:val="BA"/>
    <w:family w:val="roman"/>
    <w:pitch w:val="variable"/>
    <w:sig w:usb0="00000001"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MS Mincho">
    <w:altName w:val="MS Gothic"/>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right="360"/>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szCs w:val="24"/>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szCs w:val="24"/>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25</w:t>
    </w:r>
    <w: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53</w:t>
    </w:r>
    <w:r>
      <w:rPr>
        <w:lang w:val="en-GB"/>
      </w:rPr>
      <w:fldChar w:fldCharType="end"/>
    </w:r>
  </w:p>
  <w:p>
    <w:pPr>
      <w:tabs>
        <w:tab w:val="center" w:pos="4153"/>
        <w:tab w:val="right" w:pos="8306"/>
      </w:tabs>
      <w:rPr>
        <w:lang w:val="en-GB"/>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26</w:t>
    </w:r>
    <w: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eastAsia="lt-LT"/>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val="en-GB"/>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35</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rPr>
        <w:lang w:val="en-GB"/>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36</w:t>
    </w:r>
    <w:r>
      <w:fldChar w:fldCharType="end"/>
    </w:r>
  </w:p>
  <w:p>
    <w:pPr>
      <w:tabs>
        <w:tab w:val="center" w:pos="4153"/>
        <w:tab w:val="right" w:pos="8306"/>
      </w:tabs>
      <w:rPr>
        <w:lang w:val="en-GB"/>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 w:val="22"/>
        <w:szCs w:val="22"/>
      </w:rPr>
    </w:pPr>
  </w:p>
  <w:p>
    <w:pPr>
      <w:tabs>
        <w:tab w:val="center" w:pos="4819"/>
        <w:tab w:val="right" w:pos="9638"/>
      </w:tabs>
      <w:rPr>
        <w:sz w:val="22"/>
        <w:szCs w:val="22"/>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 w:val="22"/>
        <w:szCs w:val="22"/>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68</w:t>
    </w:r>
    <w:r>
      <w:rPr>
        <w:lang w:val="en-GB"/>
      </w:rPr>
      <w:fldChar w:fldCharType="end"/>
    </w:r>
  </w:p>
  <w:p>
    <w:pPr>
      <w:tabs>
        <w:tab w:val="center" w:pos="4153"/>
        <w:tab w:val="right" w:pos="8306"/>
      </w:tabs>
      <w:rPr>
        <w:lang w:val="en-GB"/>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66</w:t>
    </w:r>
    <w:r>
      <w:rPr>
        <w:lang w:val="en-GB"/>
      </w:rPr>
      <w:fldChar w:fldCharType="end"/>
    </w:r>
  </w:p>
  <w:p>
    <w:pPr>
      <w:tabs>
        <w:tab w:val="center" w:pos="4153"/>
        <w:tab w:val="right" w:pos="8306"/>
      </w:tabs>
      <w:rPr>
        <w:lang w:val="en-GB"/>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141</w:t>
    </w:r>
    <w:r>
      <w:rPr>
        <w:lang w:val="en-GB"/>
      </w:rPr>
      <w:fldChar w:fldCharType="end"/>
    </w:r>
  </w:p>
  <w:p>
    <w:pPr>
      <w:tabs>
        <w:tab w:val="center" w:pos="4153"/>
        <w:tab w:val="right" w:pos="8306"/>
      </w:tabs>
      <w:rPr>
        <w:lang w:val="en-GB"/>
      </w:rPr>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6</w:t>
    </w:r>
  </w:p>
  <w:p>
    <w:pPr>
      <w:tabs>
        <w:tab w:val="center" w:pos="4153"/>
        <w:tab w:val="right" w:pos="8306"/>
      </w:tabs>
      <w:rPr>
        <w:lang w:eastAsia="lt-LT"/>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27</w:t>
    </w:r>
  </w:p>
  <w:p>
    <w:pPr>
      <w:tabs>
        <w:tab w:val="center" w:pos="4153"/>
        <w:tab w:val="right" w:pos="8306"/>
      </w:tabs>
      <w:rPr>
        <w:lang w:eastAsia="lt-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60</w:t>
    </w:r>
    <w:r>
      <w:fldChar w:fldCharType="end"/>
    </w:r>
  </w:p>
  <w:p>
    <w:pPr>
      <w:tabs>
        <w:tab w:val="center" w:pos="4153"/>
        <w:tab w:val="right" w:pos="8306"/>
      </w:tabs>
      <w:rPr>
        <w:lang w:eastAsia="lt-LT"/>
      </w:rPr>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eastAsia="lt-LT"/>
      </w:rPr>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96</w:t>
    </w:r>
    <w:r>
      <w:rPr>
        <w:lang w:val="en-GB"/>
      </w:rPr>
      <w:fldChar w:fldCharType="end"/>
    </w:r>
  </w:p>
  <w:p>
    <w:pPr>
      <w:tabs>
        <w:tab w:val="center" w:pos="4153"/>
        <w:tab w:val="right" w:pos="8306"/>
      </w:tabs>
      <w:rPr>
        <w:lang w:val="en-GB"/>
      </w:rPr>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4</w:t>
    </w:r>
    <w:r>
      <w:fldChar w:fldCharType="end"/>
    </w:r>
  </w:p>
  <w:p>
    <w:pPr>
      <w:tabs>
        <w:tab w:val="center" w:pos="4153"/>
        <w:tab w:val="right" w:pos="8306"/>
      </w:tabs>
      <w:rPr>
        <w:lang w:eastAsia="lt-LT"/>
      </w:rPr>
    </w:pPr>
  </w:p>
</w:hdr>
</file>

<file path=word/header2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5</w:t>
    </w:r>
    <w:r>
      <w:fldChar w:fldCharType="end"/>
    </w:r>
  </w:p>
  <w:p>
    <w:pPr>
      <w:tabs>
        <w:tab w:val="center" w:pos="4153"/>
        <w:tab w:val="right" w:pos="8306"/>
      </w:tabs>
      <w:rPr>
        <w:lang w:eastAsia="lt-LT"/>
      </w:rPr>
    </w:pPr>
  </w:p>
</w:hdr>
</file>

<file path=word/header2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2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2</w:t>
    </w:r>
    <w:r>
      <w:fldChar w:fldCharType="end"/>
    </w:r>
  </w:p>
  <w:p>
    <w:pPr>
      <w:tabs>
        <w:tab w:val="center" w:pos="4153"/>
        <w:tab w:val="right" w:pos="8306"/>
      </w:tabs>
      <w:rPr>
        <w:lang w:eastAsia="lt-LT"/>
      </w:rPr>
    </w:pPr>
  </w:p>
</w:hdr>
</file>

<file path=word/header2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2</w:t>
    </w:r>
    <w:r>
      <w:fldChar w:fldCharType="end"/>
    </w:r>
  </w:p>
  <w:p>
    <w:pPr>
      <w:tabs>
        <w:tab w:val="center" w:pos="4153"/>
        <w:tab w:val="right" w:pos="8306"/>
      </w:tabs>
      <w:rPr>
        <w:lang w:eastAsia="lt-LT"/>
      </w:rPr>
    </w:pPr>
  </w:p>
</w:hdr>
</file>

<file path=word/header2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2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3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3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3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208</w:t>
    </w:r>
    <w:r>
      <w:rPr>
        <w:lang w:val="en-GB"/>
      </w:rPr>
      <w:fldChar w:fldCharType="end"/>
    </w:r>
  </w:p>
  <w:p>
    <w:pPr>
      <w:tabs>
        <w:tab w:val="center" w:pos="4153"/>
        <w:tab w:val="right" w:pos="8306"/>
      </w:tabs>
      <w:rPr>
        <w:lang w:val="en-GB"/>
      </w:rPr>
    </w:pPr>
  </w:p>
</w:hdr>
</file>

<file path=word/header3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3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3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8</w:t>
    </w:r>
    <w:r>
      <w:rPr>
        <w:szCs w:val="24"/>
      </w:rPr>
      <w:fldChar w:fldCharType="end"/>
    </w:r>
  </w:p>
  <w:p>
    <w:pPr>
      <w:tabs>
        <w:tab w:val="center" w:pos="4153"/>
        <w:tab w:val="right" w:pos="8306"/>
      </w:tabs>
      <w:rPr>
        <w:szCs w:val="24"/>
      </w:rPr>
    </w:pPr>
  </w:p>
</w:hdr>
</file>

<file path=word/header3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3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168</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190</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 xml:space="preserve">PAGE </w:instrText>
    </w:r>
    <w:r>
      <w:instrText xml:space="preserve">  \* MERGEFORMAT</w:instrText>
    </w:r>
    <w:r>
      <w:fldChar w:fldCharType="separate"/>
    </w:r>
    <w:r>
      <w:t>2</w:t>
    </w:r>
    <w: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szCs w:val="24"/>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zoom w:percent="100"/>
  <w:hideSpellingErrors/>
  <w:hideGrammaticalErrors/>
  <w:proofState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798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79873"/>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84.xml"/>
  <Relationship Id="rId100" Type="http://schemas.openxmlformats.org/officeDocument/2006/relationships/image" Target="media/image266.png"/>
  <Relationship Id="rId101" Type="http://schemas.openxmlformats.org/officeDocument/2006/relationships/image" Target="media/image267.png"/>
  <Relationship Id="rId102" Type="http://schemas.openxmlformats.org/officeDocument/2006/relationships/image" Target="media/image268.png"/>
  <Relationship Id="rId103" Type="http://schemas.openxmlformats.org/officeDocument/2006/relationships/image" Target="media/image269.png"/>
  <Relationship Id="rId104" Type="http://schemas.openxmlformats.org/officeDocument/2006/relationships/image" Target="media/image270.png"/>
  <Relationship Id="rId105" Type="http://schemas.openxmlformats.org/officeDocument/2006/relationships/image" Target="media/image271.png"/>
  <Relationship Id="rId106" Type="http://schemas.openxmlformats.org/officeDocument/2006/relationships/image" Target="media/image272.png"/>
  <Relationship Id="rId107" Type="http://schemas.openxmlformats.org/officeDocument/2006/relationships/image" Target="media/image273.png"/>
  <Relationship Id="rId108" Type="http://schemas.openxmlformats.org/officeDocument/2006/relationships/image" Target="media/image274.png"/>
  <Relationship Id="rId109" Type="http://schemas.openxmlformats.org/officeDocument/2006/relationships/image" Target="media/image275.png"/>
  <Relationship Id="rId11" Type="http://schemas.openxmlformats.org/officeDocument/2006/relationships/header" Target="header85.xml"/>
  <Relationship Id="rId110" Type="http://schemas.openxmlformats.org/officeDocument/2006/relationships/image" Target="media/image276.png"/>
  <Relationship Id="rId111" Type="http://schemas.openxmlformats.org/officeDocument/2006/relationships/image" Target="media/image277.png"/>
  <Relationship Id="rId112" Type="http://schemas.openxmlformats.org/officeDocument/2006/relationships/image" Target="media/image278.png"/>
  <Relationship Id="rId113" Type="http://schemas.openxmlformats.org/officeDocument/2006/relationships/image" Target="media/image279.png"/>
  <Relationship Id="rId114" Type="http://schemas.openxmlformats.org/officeDocument/2006/relationships/image" Target="media/image280.png"/>
  <Relationship Id="rId115" Type="http://schemas.openxmlformats.org/officeDocument/2006/relationships/image" Target="media/image281.png"/>
  <Relationship Id="rId116" Type="http://schemas.openxmlformats.org/officeDocument/2006/relationships/image" Target="media/image282.png"/>
  <Relationship Id="rId117" Type="http://schemas.openxmlformats.org/officeDocument/2006/relationships/image" Target="media/image283.png"/>
  <Relationship Id="rId118" Type="http://schemas.openxmlformats.org/officeDocument/2006/relationships/image" Target="media/image284.png"/>
  <Relationship Id="rId119" Type="http://schemas.openxmlformats.org/officeDocument/2006/relationships/image" Target="media/image285.png"/>
  <Relationship Id="rId12" Type="http://schemas.openxmlformats.org/officeDocument/2006/relationships/footer" Target="footer79.xml"/>
  <Relationship Id="rId120" Type="http://schemas.openxmlformats.org/officeDocument/2006/relationships/image" Target="media/image286.png"/>
  <Relationship Id="rId121" Type="http://schemas.openxmlformats.org/officeDocument/2006/relationships/image" Target="media/image287.png"/>
  <Relationship Id="rId122" Type="http://schemas.openxmlformats.org/officeDocument/2006/relationships/image" Target="media/image288.png"/>
  <Relationship Id="rId123" Type="http://schemas.openxmlformats.org/officeDocument/2006/relationships/customXml" Target="../customXml/item1.xml"/>
  <Relationship Id="rId13" Type="http://schemas.openxmlformats.org/officeDocument/2006/relationships/footer" Target="footer80.xml"/>
  <Relationship Id="rId14" Type="http://schemas.openxmlformats.org/officeDocument/2006/relationships/header" Target="header86.xml"/>
  <Relationship Id="rId15" Type="http://schemas.openxmlformats.org/officeDocument/2006/relationships/footer" Target="footer81.xml"/>
  <Relationship Id="rId16" Type="http://schemas.openxmlformats.org/officeDocument/2006/relationships/hyperlink" TargetMode="External" Target="https://www.e-tar.lt/portal/lt/legalAct/TAR.5098571C779B"/>
  <Relationship Id="rId17" Type="http://schemas.openxmlformats.org/officeDocument/2006/relationships/hyperlink" TargetMode="External" Target="https://www.e-tar.lt/portal/lt/legalAct/TAR.21897F4DD271"/>
  <Relationship Id="rId18" Type="http://schemas.openxmlformats.org/officeDocument/2006/relationships/hyperlink" TargetMode="External" Target="https://www.e-tar.lt/portal/lt/legalAct/TAR.22504E4941B4"/>
  <Relationship Id="rId19" Type="http://schemas.openxmlformats.org/officeDocument/2006/relationships/hyperlink" TargetMode="External" Target="http://www3.lrs.lt/cgi-bin/preps2?a=92894&amp;b="/>
  <Relationship Id="rId2" Type="http://schemas.openxmlformats.org/officeDocument/2006/relationships/fontTable" Target="fontTable.xml"/>
  <Relationship Id="rId20" Type="http://schemas.openxmlformats.org/officeDocument/2006/relationships/hyperlink" TargetMode="External" Target="http://www3.lrs.lt/cgi-bin/preps2?a=76692&amp;b="/>
  <Relationship Id="rId21" Type="http://schemas.openxmlformats.org/officeDocument/2006/relationships/hyperlink" TargetMode="External" Target="http://www3.lrs.lt/cgi-bin/preps2?a=76692&amp;b="/>
  <Relationship Id="rId22" Type="http://schemas.openxmlformats.org/officeDocument/2006/relationships/header" Target="header117.xml"/>
  <Relationship Id="rId23" Type="http://schemas.openxmlformats.org/officeDocument/2006/relationships/header" Target="header118.xml"/>
  <Relationship Id="rId24" Type="http://schemas.openxmlformats.org/officeDocument/2006/relationships/footer" Target="footer112.xml"/>
  <Relationship Id="rId25" Type="http://schemas.openxmlformats.org/officeDocument/2006/relationships/footer" Target="footer113.xml"/>
  <Relationship Id="rId26" Type="http://schemas.openxmlformats.org/officeDocument/2006/relationships/header" Target="header119.xml"/>
  <Relationship Id="rId27" Type="http://schemas.openxmlformats.org/officeDocument/2006/relationships/footer" Target="footer114.xml"/>
  <Relationship Id="rId28" Type="http://schemas.openxmlformats.org/officeDocument/2006/relationships/hyperlink" TargetMode="External" Target="https://www.e-tar.lt/portal/lt/legalAct/TAR.FC348F73C47A"/>
  <Relationship Id="rId29" Type="http://schemas.openxmlformats.org/officeDocument/2006/relationships/hyperlink" TargetMode="External" Target="https://www.e-tar.lt/portal/lt/legalAct/TAR.FC348F73C47A"/>
  <Relationship Id="rId3" Type="http://schemas.openxmlformats.org/officeDocument/2006/relationships/footnotes" Target="footnotes.xml"/>
  <Relationship Id="rId30" Type="http://schemas.openxmlformats.org/officeDocument/2006/relationships/header" Target="header213.xml"/>
  <Relationship Id="rId31" Type="http://schemas.openxmlformats.org/officeDocument/2006/relationships/header" Target="header214.xml"/>
  <Relationship Id="rId32" Type="http://schemas.openxmlformats.org/officeDocument/2006/relationships/footer" Target="footer208.xml"/>
  <Relationship Id="rId33" Type="http://schemas.openxmlformats.org/officeDocument/2006/relationships/footer" Target="footer209.xml"/>
  <Relationship Id="rId34" Type="http://schemas.openxmlformats.org/officeDocument/2006/relationships/header" Target="header215.xml"/>
  <Relationship Id="rId35" Type="http://schemas.openxmlformats.org/officeDocument/2006/relationships/footer" Target="footer210.xml"/>
  <Relationship Id="rId36" Type="http://schemas.openxmlformats.org/officeDocument/2006/relationships/hyperlink" TargetMode="External" Target="https://www.e-tar.lt/portal/lt/legalAct/TAR.3394CBFC359C"/>
  <Relationship Id="rId37" Type="http://schemas.openxmlformats.org/officeDocument/2006/relationships/hyperlink" TargetMode="External" Target="http://www3.lrs.lt/cgi-bin/preps2?a=51605&amp;b="/>
  <Relationship Id="rId38" Type="http://schemas.openxmlformats.org/officeDocument/2006/relationships/hyperlink" TargetMode="External" Target="https://www.e-tar.lt/portal/lt/legalAct/TAR.B7D7BAACDE6B"/>
  <Relationship Id="rId39" Type="http://schemas.openxmlformats.org/officeDocument/2006/relationships/hyperlink" TargetMode="External" Target="http://www3.lrs.lt/cgi-bin/preps2?a=69596&amp;b="/>
  <Relationship Id="rId4" Type="http://schemas.openxmlformats.org/officeDocument/2006/relationships/settings" Target="settings.xml"/>
  <Relationship Id="rId40" Type="http://schemas.openxmlformats.org/officeDocument/2006/relationships/header" Target="header219.xml"/>
  <Relationship Id="rId41" Type="http://schemas.openxmlformats.org/officeDocument/2006/relationships/header" Target="header220.xml"/>
  <Relationship Id="rId42" Type="http://schemas.openxmlformats.org/officeDocument/2006/relationships/footer" Target="footer214.xml"/>
  <Relationship Id="rId43" Type="http://schemas.openxmlformats.org/officeDocument/2006/relationships/footer" Target="footer215.xml"/>
  <Relationship Id="rId44" Type="http://schemas.openxmlformats.org/officeDocument/2006/relationships/header" Target="header221.xml"/>
  <Relationship Id="rId45" Type="http://schemas.openxmlformats.org/officeDocument/2006/relationships/footer" Target="footer216.xml"/>
  <Relationship Id="rId46" Type="http://schemas.openxmlformats.org/officeDocument/2006/relationships/hyperlink" TargetMode="External" Target="https://www.e-tar.lt/portal/lt/legalAct/TAR.5DC1759E42CB"/>
  <Relationship Id="rId47" Type="http://schemas.openxmlformats.org/officeDocument/2006/relationships/hyperlink" TargetMode="External" Target="https://www.e-tar.lt/portal/lt/legalAct/TAR.8D97CD7E1857"/>
  <Relationship Id="rId48" Type="http://schemas.openxmlformats.org/officeDocument/2006/relationships/hyperlink" TargetMode="External" Target="https://www.e-tar.lt/portal/lt/legalAct/TAR.DC61D74561C5"/>
  <Relationship Id="rId49" Type="http://schemas.openxmlformats.org/officeDocument/2006/relationships/hyperlink" TargetMode="External" Target="https://www.e-tar.lt/portal/lt/legalAct/TAR.67B5099C5848"/>
  <Relationship Id="rId5" Type="http://schemas.openxmlformats.org/officeDocument/2006/relationships/styles" Target="styles.xml"/>
  <Relationship Id="rId50" Type="http://schemas.openxmlformats.org/officeDocument/2006/relationships/hyperlink" TargetMode="External" Target="https://www.e-tar.lt/portal/lt/legalAct/TAR.78FAC7B20AD8"/>
  <Relationship Id="rId51" Type="http://schemas.openxmlformats.org/officeDocument/2006/relationships/hyperlink" TargetMode="External" Target="https://www.e-tar.lt/portal/lt/legalAct/TAR.C7A984833333"/>
  <Relationship Id="rId52" Type="http://schemas.openxmlformats.org/officeDocument/2006/relationships/hyperlink" TargetMode="External" Target="https://www.e-tar.lt/portal/lt/legalAct/TAR.33907EA7C2DC"/>
  <Relationship Id="rId53" Type="http://schemas.openxmlformats.org/officeDocument/2006/relationships/hyperlink" TargetMode="External" Target="https://www.e-tar.lt/portal/lt/legalAct/TAR.DC61D74561C5"/>
  <Relationship Id="rId54" Type="http://schemas.openxmlformats.org/officeDocument/2006/relationships/hyperlink" TargetMode="External" Target="https://www.e-tar.lt/portal/lt/legalAct/TAR.723F49D02CD8"/>
  <Relationship Id="rId55" Type="http://schemas.openxmlformats.org/officeDocument/2006/relationships/hyperlink" TargetMode="External" Target="https://www.e-tar.lt/portal/lt/legalAct/TAR.6A8A7A3BBCDC"/>
  <Relationship Id="rId56" Type="http://schemas.openxmlformats.org/officeDocument/2006/relationships/hyperlink" TargetMode="External" Target="https://www.e-tar.lt/portal/lt/legalAct/TAR.F1D86F455636"/>
  <Relationship Id="rId57" Type="http://schemas.openxmlformats.org/officeDocument/2006/relationships/hyperlink" TargetMode="External" Target="https://www.e-tar.lt/portal/lt/legalAct/TAR.5E3842DF67F8"/>
  <Relationship Id="rId58" Type="http://schemas.openxmlformats.org/officeDocument/2006/relationships/hyperlink" TargetMode="External" Target="https://www.e-tar.lt/portal/lt/legalAct/TAR.668CEF058FF8"/>
  <Relationship Id="rId59" Type="http://schemas.openxmlformats.org/officeDocument/2006/relationships/hyperlink" TargetMode="External" Target="https://www.e-tar.lt/portal/lt/legalAct/TAR.DC61D74561C5"/>
  <Relationship Id="rId6" Type="http://schemas.microsoft.com/office/2007/relationships/stylesWithEffects" Target="stylesWithEffects.xml"/>
  <Relationship Id="rId60" Type="http://schemas.openxmlformats.org/officeDocument/2006/relationships/hyperlink" TargetMode="External" Target="https://www.e-tar.lt/portal/lt/legalAct/TAR.C6E4170DB704"/>
  <Relationship Id="rId61" Type="http://schemas.openxmlformats.org/officeDocument/2006/relationships/hyperlink" TargetMode="External" Target="https://www.e-tar.lt/portal/lt/legalAct/TAR.668CEF058FF8"/>
  <Relationship Id="rId62" Type="http://schemas.openxmlformats.org/officeDocument/2006/relationships/header" Target="header246.xml"/>
  <Relationship Id="rId63" Type="http://schemas.openxmlformats.org/officeDocument/2006/relationships/footer" Target="footer241.xml"/>
  <Relationship Id="rId64" Type="http://schemas.openxmlformats.org/officeDocument/2006/relationships/hyperlink" TargetMode="External" Target="https://www.e-tar.lt/portal/lt/legalAct/TAR.7083DB116A2E"/>
  <Relationship Id="rId65" Type="http://schemas.openxmlformats.org/officeDocument/2006/relationships/hyperlink" TargetMode="External" Target="https://www.e-tar.lt/portal/lt/legalAct/TAR.6A8A7A3BBCDC"/>
  <Relationship Id="rId66" Type="http://schemas.openxmlformats.org/officeDocument/2006/relationships/hyperlink" TargetMode="External" Target="https://www.e-tar.lt/portal/lt/legalAct/TAR.F1D86F455636"/>
  <Relationship Id="rId67" Type="http://schemas.openxmlformats.org/officeDocument/2006/relationships/hyperlink" TargetMode="External" Target="https://www.e-tar.lt/portal/lt/legalAct/TAR.751B6F8BF451"/>
  <Relationship Id="rId68" Type="http://schemas.openxmlformats.org/officeDocument/2006/relationships/hyperlink" TargetMode="External" Target="https://www.e-tar.lt/portal/lt/legalAct/TAR.313208361D5D"/>
  <Relationship Id="rId69" Type="http://schemas.openxmlformats.org/officeDocument/2006/relationships/hyperlink" TargetMode="External" Target="https://www.e-tar.lt/portal/lt/legalAct/TAR.64EB889A3B24"/>
  <Relationship Id="rId7" Type="http://schemas.openxmlformats.org/officeDocument/2006/relationships/theme" Target="theme/theme1.xml"/>
  <Relationship Id="rId70" Type="http://schemas.openxmlformats.org/officeDocument/2006/relationships/hyperlink" TargetMode="External" Target="https://www.e-tar.lt/portal/lt/legalAct/TAR.5ED52629C3C4"/>
  <Relationship Id="rId71" Type="http://schemas.openxmlformats.org/officeDocument/2006/relationships/hyperlink" TargetMode="External" Target="https://www.e-tar.lt/portal/lt/legalAct/TAR.0630DF325F2F"/>
  <Relationship Id="rId72" Type="http://schemas.openxmlformats.org/officeDocument/2006/relationships/hyperlink" TargetMode="External" Target="https://www.e-tar.lt/portal/lt/legalAct/TAR.04551A50A76D"/>
  <Relationship Id="rId73" Type="http://schemas.openxmlformats.org/officeDocument/2006/relationships/hyperlink" TargetMode="External" Target="https://www.e-tar.lt/portal/lt/legalAct/TAR.C6E4170DB704"/>
  <Relationship Id="rId74" Type="http://schemas.openxmlformats.org/officeDocument/2006/relationships/hyperlink" TargetMode="External" Target="https://www.e-tar.lt/portal/lt/legalAct/TAR.DC61D74561C5"/>
  <Relationship Id="rId75" Type="http://schemas.openxmlformats.org/officeDocument/2006/relationships/hyperlink" TargetMode="External" Target="https://www.e-tar.lt/portal/lt/legalAct/TAR.DC61D74561C5"/>
  <Relationship Id="rId76" Type="http://schemas.openxmlformats.org/officeDocument/2006/relationships/hyperlink" TargetMode="External" Target="https://www.e-tar.lt/portal/lt/legalAct/TAR.9A2A80746DED"/>
  <Relationship Id="rId77" Type="http://schemas.openxmlformats.org/officeDocument/2006/relationships/hyperlink" TargetMode="External" Target="https://www.e-tar.lt/portal/lt/legalAct/TAR.F7E759DF5DFE"/>
  <Relationship Id="rId78" Type="http://schemas.openxmlformats.org/officeDocument/2006/relationships/hyperlink" TargetMode="External" Target="https://www.e-tar.lt/portal/lt/legalAct/TAR.DC61D74561C5"/>
  <Relationship Id="rId79" Type="http://schemas.openxmlformats.org/officeDocument/2006/relationships/hyperlink" TargetMode="External" Target="https://www.e-tar.lt/portal/lt/legalAct/TAR.9A2A80746DED"/>
  <Relationship Id="rId8" Type="http://schemas.openxmlformats.org/officeDocument/2006/relationships/webSettings" Target="webSettings.xml"/>
  <Relationship Id="rId80" Type="http://schemas.openxmlformats.org/officeDocument/2006/relationships/hyperlink" TargetMode="External" Target="https://www.e-tar.lt/portal/lt/legalAct/TAR.F7E759DF5DFE"/>
  <Relationship Id="rId81" Type="http://schemas.openxmlformats.org/officeDocument/2006/relationships/hyperlink" TargetMode="External" Target="https://www.e-tar.lt/portal/lt/legalAct/TAR.C6E4170DB704"/>
  <Relationship Id="rId82" Type="http://schemas.openxmlformats.org/officeDocument/2006/relationships/hyperlink" TargetMode="External" Target="https://www.e-tar.lt/portal/lt/legalAct/TAR.6CFC2AC8617C"/>
  <Relationship Id="rId83" Type="http://schemas.openxmlformats.org/officeDocument/2006/relationships/hyperlink" TargetMode="External" Target="https://www.e-tar.lt/portal/lt/legalAct/TAR.9BB254501DB8"/>
  <Relationship Id="rId84" Type="http://schemas.openxmlformats.org/officeDocument/2006/relationships/header" Target="header256.xml"/>
  <Relationship Id="rId85" Type="http://schemas.openxmlformats.org/officeDocument/2006/relationships/header" Target="header257.xml"/>
  <Relationship Id="rId86" Type="http://schemas.openxmlformats.org/officeDocument/2006/relationships/header" Target="header288.xml"/>
  <Relationship Id="rId87" Type="http://schemas.openxmlformats.org/officeDocument/2006/relationships/header" Target="header289.xml"/>
  <Relationship Id="rId88" Type="http://schemas.openxmlformats.org/officeDocument/2006/relationships/header" Target="header316.xml"/>
  <Relationship Id="rId89" Type="http://schemas.openxmlformats.org/officeDocument/2006/relationships/header" Target="header317.xml"/>
  <Relationship Id="rId9" Type="http://schemas.openxmlformats.org/officeDocument/2006/relationships/image" Target="media/image3.wmf"/>
  <Relationship Id="rId90" Type="http://schemas.openxmlformats.org/officeDocument/2006/relationships/header" Target="header318.xml"/>
  <Relationship Id="rId91" Type="http://schemas.openxmlformats.org/officeDocument/2006/relationships/image" Target="media/image257.png"/>
  <Relationship Id="rId92" Type="http://schemas.openxmlformats.org/officeDocument/2006/relationships/image" Target="media/image258.png"/>
  <Relationship Id="rId93" Type="http://schemas.openxmlformats.org/officeDocument/2006/relationships/image" Target="media/image259.png"/>
  <Relationship Id="rId94" Type="http://schemas.openxmlformats.org/officeDocument/2006/relationships/image" Target="media/image260.png"/>
  <Relationship Id="rId95" Type="http://schemas.openxmlformats.org/officeDocument/2006/relationships/image" Target="media/image261.png"/>
  <Relationship Id="rId96" Type="http://schemas.openxmlformats.org/officeDocument/2006/relationships/image" Target="media/image262.png"/>
  <Relationship Id="rId97" Type="http://schemas.openxmlformats.org/officeDocument/2006/relationships/image" Target="media/image263.png"/>
  <Relationship Id="rId98" Type="http://schemas.openxmlformats.org/officeDocument/2006/relationships/image" Target="media/image264.png"/>
  <Relationship Id="rId99" Type="http://schemas.openxmlformats.org/officeDocument/2006/relationships/image" Target="media/image265.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f6987f9e6be345c2a9f6a00489068d9a"/>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858ccc378d1b4def9d5409f053bb13fe"/>
      <Part Type="punktas" Nr="1.4" Abbr="1.4 p." DocPartId="154e16229eff40f5ae400909d2f7cea5" PartId="780c9e0493b44986922e8dd2013d598c"/>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d74a264081fe45bfae0f930a375f505a"/>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306b40940c344cb2af846af3419640ab"/>
      <Part Type="punktas" Nr="1.11" Abbr="1.11 p." DocPartId="0209d718f51246ddbc5565c159d4906e" PartId="c66e60e394684e7591f1478415e27b1b"/>
      <Part Type="punktas" Nr="1.12" Abbr="1.12 p." DocPartId="774ca44754b84bb89a8530404d9479f3" PartId="4043fd5da3184d69b5e2538c87d5800c"/>
      <Part Type="punktas" Nr="1.13" Abbr="1.13 p." DocPartId="4c78104d70244d2badcb5d01b7e9f022" PartId="730ce55f0bc04f6dbf8fc38d74c8ff50"/>
      <Part Type="punktas" Nr="1.14" Abbr="1.14 p." DocPartId="a04c7c8810f84b94bd15f67c221ec158" PartId="32427971ce1445a9b8bca7dcc65c1f8b"/>
      <Part Type="punktas" Nr="1.15" Abbr="1.15 p." DocPartId="fb0502c6a26f4b588ac0871fe29ce39e" PartId="106860d84ddd458ba855cf35a66128ab"/>
      <Part Type="punktas" Nr="1.16" Abbr="1.16 p." DocPartId="406e004c002143a2b4fbffe4e06bd120" PartId="bbf3e6bbc6ec42dbb00074080dd2082a"/>
      <Part Type="punktas" Nr="1.17" Abbr="1.17 p." DocPartId="ea257061e8eb45de84bf09145f549703" PartId="5d1d60a5b7a041d4b22777e500e3c49b"/>
      <Part Type="punktas" Nr="1.18" Abbr="1.18 p." DocPartId="b9228af3d6ca41daa00a4ac5a27da6b5" PartId="68723a4904474b729d4a20aeafe20cf8"/>
    </Part>
    <Part Type="punktas" Nr="2" Abbr="2 p." DocPartId="ebb6a2b307954eb09fb04601756676cf" PartId="8e8d287a01464ceb8396cbd92f3b6410">
      <Part Type="punktas" Nr="2.1" Abbr="2.1 p." DocPartId="3963c8d478a1442e9e5fc6701534bc08" PartId="ccf28d5ff538449b80667513f8037149"/>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d88df120cfb94bdb9f70620382ea6f4e"/>
      <Part Type="punktas" Nr="3.3" Abbr="3.3 p." DocPartId="c4b4309c5c4c4fe6a7b2c342fbc49d92" PartId="a1b0510f9a844e1fbf7f6f5e26a28998"/>
      <Part Type="punktas" Nr="3.4" Abbr="3.4 p." DocPartId="fbf40d2974944be182634cca768d3bc8" PartId="38f3df114b9346ccba005ba5d67dd756"/>
      <Part Type="punktas" Nr="3.5" Abbr="3.5 p." DocPartId="0b6a564d38c14fe19bac3ce70609ffcd" PartId="b225dbdd71854b7ca19ab6cc9d1c7f1f"/>
      <Part Type="punktas" Nr="3.6" Abbr="3.6 p." DocPartId="1bbf7d600cfa4831b4726a029016865b" PartId="8b9c2352c5124d958d646667d624d5a0"/>
      <Part Type="punktas" Nr="3.7" Abbr="3.7 p." DocPartId="be93755587af4307ae979b94d01d43d7" PartId="af0aea58b4924319b212d82e37de8cd1"/>
      <Part Type="punktas" Nr="3.8" Abbr="3.8 p." DocPartId="b08d04bef75c47919c1cf6565c2f5332" PartId="b7ecf5c4981f4e4d90746a358ecdf685"/>
      <Part Type="punktas" Nr="3.9" Abbr="3.9 p." DocPartId="3251573119fc4bbc8c549ec65c85bb98" PartId="3c4d598a453b46248a412ae55590eedc"/>
      <Part Type="punktas" Nr="3.10" Abbr="3.10 p." DocPartId="37ed091fb4c5419f88c9d698196852bf" PartId="4236926cdf20470bac16c8c7b84aae08"/>
    </Part>
    <Part Type="punktas" Nr="4" Abbr="4 p." DocPartId="d2a13b06f196406088cc34712a695aff" PartId="8c79cbd4d6cc4ea99bb9f2812157b427"/>
    <Part Type="signatura" DocPartId="412205c2a3d14732b0d9b9b3ccd2719b" PartId="119eefcaf33143279c922cdc85f223e0"/>
  </Part>
  <Part Type="priedas" Nr="1" Abbr="1 pr." Title="PROFILAKTINIŲ SVEIKATOS TIKRINIMŲ RŪŠYS IR APMOKĖJIMO TVARKA" DocPartId="8069b94076a64cf2a2ad3c9fd5f1323a" PartId="ebabd85eeadd427fb1f3ccc26a0e7153">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682b3a33a62a41e7970732757e845b61"/>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99763f4e1b2c494e96ae42a3f382b710"/>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74cd2b489515417982a9fe95637b5e2f"/>
        <Part Type="punktas" Nr="1.12" Abbr="1 pr. 1.12 p." DocPartId="29d45f6470e24193bb149f854c458d6a" PartId="bc3135c6bb29414a92a86ef0e9c34887">
          <Part Type="punktas" Nr="1.12.1" Abbr="1 pr. 1.12.1 p." DocPartId="5f8d1a5ee8fe4282ab59b49a42175e46" PartId="3d159bc1e251465db4619acfb17e702b"/>
          <Part Type="punktas" Nr="1.12.2" Abbr="1 pr. 1.12.2 p." DocPartId="c4cce4765fb84864b4e2ad4b337290a1" PartId="568afb2ce3e4451e94e7eb2b714084c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c169f7137627447d93b57edc2be163d3"/>
        </Part>
        <Part Type="punktas" Nr="1.13" Abbr="1 pr. 1.13 p." DocPartId="f12572c44cc44bfd80c85897d879c00a" PartId="21aaa503a97e40b1bf86f9971f370a9c">
          <Part Type="punktas" Nr="1.13.1" Abbr="1 pr. 1.13.1 p." DocPartId="9386c09299404ee785fd50c51f4d61d7" PartId="fcac63615b3346b898c32020472318bc"/>
          <Part Type="punktas" Nr="1.13.2" Abbr="1 pr. 1.13.2 p." DocPartId="6896b45ded7341279549e8cf949a8f49" PartId="8eb6fa25fc39415896db9c48e1f9d629"/>
          <Part Type="punktas" Nr="1.13.3" Abbr="1 pr. 1.13.3 p." DocPartId="edd66172f0584f1a99e8baf491389c9b" PartId="41bf8167eb4f490094a1a5ec5a884d51"/>
        </Part>
        <Part Type="punktas" Nr="1.14" Abbr="1 pr. 1.14 p." DocPartId="785aff93690e445b95838e97cddbdc07" PartId="07e8ee926c814645863b769717a19734"/>
      </Part>
    </Part>
    <Part Type="skyrius" Nr="2" Title="PROFILAKTINIŲ SVEIKATOS TIKRINIMŲ APMOKĖJIMO TVARKA" DocPartId="88d6b5101a294038810baec28ff26ba2" PartId="a5c38340b80e4e2dab7fc6276dab8f95">
      <Part Type="punktas" Nr="2" Abbr="1 pr. 2 p." DocPartId="2512782c88b741c6977840b5dc0bf662" PartId="a905037600ef4d558c80a2dcca2b3814"/>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785c553c20474aa5b480c315cdddc5">
          <Part Type="punktas" Nr="1.12." Abbr="1 pr. 1.12 p." DocPartId="c2dcd6dc9e01413db90d2eb896e605f2" PartId="1933d85f5abe406ca4949d97f3cff664"/>
        </Part>
        <Part Type="punktas" Nr="5.2" Abbr="1 pr. 5.2 p." DocPartId="70570ac180b54eaca5b0696b2dcefd57" PartId="5517faf5e2f542ea9dbac563d67ae0d2"/>
        <Part Type="punktas" Nr="5.3" Abbr="1 pr. 5.3 p." DocPartId="3051079954284fa5a96af68222df2073" PartId="ca7a93b731ba4db6b5a98275787d8727"/>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8ae6e116f4634be680858dabb08f7081"/>
  <Part Type="priedas" Nr="3" Abbr="3 pr." Title="„VAIKŲ IR PILNAMEČIŲ MOKINIŲ, UGDOMŲ PAGAL BENDROJO UGDYMO PROGRAMAS, SVEIKATOS TIKRINIMO TVARKOS APRAŠAS“." DocPartId="957f1ca1d35843c095d59efb3391897b" PartId="a52819735df449e1a3ed7dab559d9460">
    <Part Type="skyrius" Nr="1" Title="BENDROSIOS NUOSTATOS" DocPartId="b1bd943a9cb3438cbcffec59d8a908c3" PartId="fb9892e1576644058c6853638be99e39">
      <Part Type="punktas" Nr="1" Abbr="3 pr. 1 p." DocPartId="f47ec5286eab443f84402d759a9f973b" PartId="e590613e73de43299d891ecef0c98105"/>
      <Part Type="punktas" Nr="2" Abbr="3 pr. 2 p." DocPartId="33a7bd1e956141f993af25ce7f0b40e4" PartId="bcc4d858d3d54ca784b9c03b4d23281a">
        <Part Type="papunktis" Nr="2.1" Abbr="3 pr. 2.1 pp." DocPartId="eab2994014de49c3bb19c397fcac4bed" PartId="96ab6c074341447e9232b3dd63b28cb6"/>
        <Part Type="papunktis" Nr="2.2" Abbr="3 pr. 2.2 pp." DocPartId="0beb4dc9bdbb4fae97a4653dec10e237" PartId="62d838a4d7fd4db58bec03c53a8fa33a"/>
        <Part Type="papunktis" Nr="2.3" Abbr="3 pr. 2.3 pp." DocPartId="0b679d1a03f846eb9a57edf1ae4c6d59" PartId="8aa77f118ab249ad85e9bf4b723c954f"/>
        <Part Type="papunktis" Nr="2.4" Abbr="3 pr. 2.4 pp." DocPartId="31d58b3741d64e2a8279e476c8d4c461" PartId="cd388879d08c48f3bb3c5a4bb5475a57"/>
        <Part Type="papunktis" Nr="2.5" Abbr="3 pr. 2.5 pp." DocPartId="e4fa48eca3ce4eafba2b86d8d9c1c333" PartId="8bf0c62b7fdb4da88d61293a845bd271"/>
      </Part>
      <Part Type="punktas" Nr="3" Abbr="3 pr. 3 p." DocPartId="7965bf687e2b4325b5b9e90a52d86eee" PartId="df2ce585f04e4a6f8a69076c298ca8ae"/>
      <Part Type="punktas" Nr="4" Abbr="3 pr. 4 p." DocPartId="031fdee77b464e4480325b643f0ebb6f" PartId="7767116a6d7b474bb402dd02a0a65f23"/>
      <Part Type="punktas" Nr="5" Abbr="3 pr. 5 p." DocPartId="f3fa9def604b4067bc8299f983298f97" PartId="3d3645cb4b694f6d91dc1f0ead9a6363"/>
      <Part Type="punktas" Nr="6" Abbr="3 pr. 6 p." DocPartId="a29a76e1d0b749a6b0405e1e09c8d3a3" PartId="5538dd5c1be44eb393b0a441d008c534"/>
      <Part Type="punktas" Nr="7" Abbr="3 pr. 7 p." DocPartId="f870ea9c504548d18718fc91a1123db2" PartId="5c4cbf7f3d07488aa9be70f64d1e484f"/>
    </Part>
    <Part Type="skyrius" Nr="2" Title="„II SKYRIUS PROFILAKTINIO VAIKŲ IR PILNAMEČIŲ MOKINIŲ SVEIKATOS TIKRINIMO REIKALAVIMAI IR TVARKA“." DocPartId="39ef3160c86f43a9b5140602e0089922" PartId="97c9cc681b0b45a7acdd644c2ea8af2b">
      <Part Type="punktas" Nr="8" Abbr="3 pr. 8 p." DocPartId="748a56fcbb6d45359c1e487dd69d3244" PartId="80c2a14edf654891af57d9a15daf0c88"/>
      <Part Type="punktas" Nr="9" Abbr="3 pr. 9 p." DocPartId="de132bb86ceb494dba6ab660b48e0097" PartId="61e76c17f0fa4160a857bb8698e7eada"/>
      <Part Type="punktas" Nr="10" Abbr="3 pr. 10 p." DocPartId="e2252becd2cc4e18b369085c7dc7c93a" PartId="82ef7a84079c42aba69df3fff8caa0ff"/>
      <Part Type="punktas" Nr="11" Abbr="3 pr. 11 p." DocPartId="66ce31341f334ad289ec35a45b82a7ce" PartId="78afa658c5ae46fcb2aff0d334850b90"/>
      <Part Type="punktas" Nr="12" Abbr="3 pr. 12 p." DocPartId="bbc759109d7449e18efb7fbf89762723" PartId="ac4b335ebf334e7f830d129ce14a4153"/>
      <Part Type="punktas" Nr="13" Abbr="3 pr. 13 p." DocPartId="0ed9939918314609bb405e4c20dfb5b4" PartId="81a3b019ba60423d9c4df432dbebe34b">
        <Part Type="papunktis" Nr="13.1" Abbr="13.1 pp." DocPartId="9815c1f976a04baa85f0dfecf180a762" PartId="19a76c172fa24a5ca7fa7adf8f4781b3"/>
        <Part Type="papunktis" Nr="13.2" Abbr="13.2 pp." DocPartId="d287b8d551ed469690ee34be0d5aee69" PartId="7d21c345854143d1a9f6a8c2364ed73f"/>
      </Part>
    </Part>
    <Part Type="skyrius" Nr="3" Title="VAIKŲ PSICHOMOTORINĖS RAIDOS TIKRINIMO REIKALAVIMAI IR TVARKA" DocPartId="8350a41edf1c4aa9a0820ea9454a63fa" PartId="e2e676d223e4422baa4bb3f46ee397b7">
      <Part Type="punktas" Nr="14" Abbr="3 pr. 14 p." DocPartId="f0ab174e5c2146469a22d36bbfab35e6" PartId="fb8acae386dc4c108fa353ac4282edf5"/>
      <Part Type="punktas" Nr="15" Abbr="3 pr. 15 p." DocPartId="d1c731b4522c4286a9e13804e7add0e9" PartId="fbb4c090c4074381bb572415f57b9603"/>
      <Part Type="punktas" Nr="16" Abbr="3 pr. 16 p." DocPartId="863d65b4f795447893fcdc050b4f8cf4" PartId="acf7f5be067049e3938e6b56b4b51fc3"/>
      <Part Type="punktas" Nr="17" Abbr="3 pr. 17 p." DocPartId="4de223b0d02c4d7ea8def666464caf92" PartId="aee314df27454a0895ea5c441fdd42b0"/>
      <Part Type="punktas" Nr="18" Abbr="3 pr. 18 p." DocPartId="9739d32696424b0fa6ee9fef6583fae5" PartId="e83a7a7011d14455aeb332e8c655a75e"/>
      <Part Type="punktas" Nr="19" Abbr="3 pr. 19 p." DocPartId="eae32f224aef4bc58150c3e70092886e" PartId="24227c835eb64439ba73fa26c66dce87"/>
      <Part Type="punktas" Nr="20" Abbr="3 pr. 20 p." DocPartId="a858b695ea6547a3b6711c506d5eb486" PartId="d00eb34842824508a3c8349003bf643e">
        <Part Type="papunktis" Nr="20.1" Abbr="3 pr. 20.1 pp." DocPartId="97e3d70248ae4a8bae7e40f4f29b3a4a" PartId="0bbe62841cb24986afabed62b7aa31bf"/>
        <Part Type="papunktis" Nr="20.2" Abbr="3 pr. 20.2 pp." DocPartId="7a3ebe6ad29a4f81ad4eadd8a6f17ab2" PartId="3f4b7a3eb7e340929876954df8c659bd"/>
      </Part>
      <Part Type="punktas" Nr="21" Abbr="3 pr. 21 p." DocPartId="4dce5e598edf4a51994d2ca0713e6e49" PartId="5c2bbb922ba54f07a3dc02dc969d4c13"/>
      <Part Type="punktas" Nr="22" Abbr="3 pr. 22 p." DocPartId="1da19125c8cf4e95b731910e43e1467e" PartId="d645e1d7c8cf4fe5a5c46a5c5b285e36"/>
      <Part Type="punktas" Nr="23" Abbr="3 pr. 23 p." DocPartId="bef2a55ec34d4c219587afd67cda0b81" PartId="1f08ee79734e4b21818ca4687a3905a8"/>
      <Part Type="punktas" Nr="24" Abbr="3 pr. 24 p." DocPartId="30e4d72f510546c291964b6a930eab57" PartId="339d2d45277e47c8a59d398b8053dd3b"/>
      <Part Type="punktas" Nr="25" Abbr="3 pr. 25 p." DocPartId="103f745e2b82413f8ea8dde4f63d0dfd" PartId="b40990ce1a5c44549ca9f908d1b10599"/>
    </Part>
    <Part Type="skyrius" Nr="4" Title="BAIGIAMOSIOS NUOSTATOS" DocPartId="4726858323f544a9b7cbafeb403eac5d" PartId="4eaab3b2a8fe47f183fc0aa0f01c44e3">
      <Part Type="punktas" Nr="26" Abbr="3 pr. 26 p." DocPartId="0c7e552eeff0417b9446b8bb6243e358" PartId="a049b2d0aaf94017b371316a52daa436"/>
      <Part Type="punktas" Nr="26-1" Abbr="26-1 p." DocPartId="4fbec3e7c0a4427885c0f6fc44619dd7" PartId="3a83b56652c443d19faa6fc3a71ad132"/>
      <Part Type="punktas" Nr="27" Abbr="3 pr. 27 p." DocPartId="194eeefd93fb41cfae08eacb28b1763b" PartId="8d2b7b70ce7c406ea672890a3bf6084a"/>
      <Part Type="punktas" Nr="28" Abbr="3 pr. 28 p." DocPartId="63d2abdaaaf2445aa96a8c379b2c2efe" PartId="7e98687be84a48ca85ac6bacae23fceb"/>
      <Part Type="punktas" Nr="29" Abbr="3 pr. 29 p." DocPartId="37097c65c0b940e39b6a8fb07d4cdca6" PartId="8555f97a3262479ba5fb4e463a613e5d"/>
      <Part Type="punktas" Nr="29-1" Abbr="29-1 p." DocPartId="03c91cb296fc48319543d83ce24eaa13" PartId="0351775175ec4b8b867f6171dceea24d">
        <Part Type="papunktis" Nr="29-1.1" Abbr="29-1.1 pp." DocPartId="3681ec2d956a4b1d989e7b29280b8dcb" PartId="0ba28f4b4291473a96ab136c685fb4ae"/>
        <Part Type="papunktis" Nr="29-1.2" Abbr="29-1.2 pp." DocPartId="dcd6e34307e64f568d512cedf4420ba3" PartId="e1965469061a46bfa9f804aac3de40fe"/>
      </Part>
      <Part Type="punktas" Nr="30" Abbr="3 pr. 30 p." DocPartId="0804394be4c641a3947b3e529b317296" PartId="fbfc8fe1fcff4eda8a8b2a87b2d3d1e5"/>
    </Part>
  </Part>
  <Part Type="priedas" Nr="1" Abbr="1 pr." Title="PROFILAKTINIO VAIKŲ SVEIKATOS TIKRINIMO REIKALAVIMAI" DocPartId="ac2b2da24049474eae9a2f50226f9ad7" PartId="1e6f2f143efc40b993e6e173b5c83d4d"/>
  <Part Type="priedas" Nr="2" Abbr="2 pr." Title="VAIKO PSICHOMOTORINĖS RAIDOS TIKRINIMO LAPAS (KŪDIKIS)" DocPartId="c8665e5b69ff4dceac89b89c0be3ac6c" PartId="a96729a9bc3f49309f2ad086b9d84c87"/>
  <Part Type="priedas" Nr="4" Abbr="4 pr." Title="ŽEMĖS ŪKIO STOJANČIŲJŲ Į PROFESINIO MOKYMO MOKYKLAS IR ĮDARBINAMŲ NEPILNAMEČIŲ SVEIKATOS TIKRINIMO TVARKA" DocPartId="3a105ca9c70b4444b9ae7e1b1766f932" PartId="d6b63fe04f61463b9aa1016c669c7a2e">
    <Part Type="skyrius" Nr="1" Title="BENDROSIOS NUOSTATOS" DocPartId="ce24f18b70804f06a052d6f1a4348185" PartId="f669a6248c6b49bbb23cae769f1c0d52">
      <Part Type="punktas" Nr="1" Abbr="4 pr. 1 p." DocPartId="14f4f03b89334d3eba2e2d6257a4c2da" PartId="7c2ca106749740aaa7575453bf3ef7f3"/>
      <Part Type="punktas" Nr="2" Abbr="4 pr. 2 p." DocPartId="a31e98d1405a4071a7e3813b9fa700e1" PartId="051cc59db9584371a81d92d5bec8a0f1"/>
      <Part Type="punktas" Nr="3" Abbr="4 pr. 3 p." DocPartId="d2761435e9eb4113820d7a0335f27d85" PartId="bbac0dc37e864a278e6be80190739854"/>
      <Part Type="punktas" Nr="4" Abbr="4 pr. 4 p." DocPartId="e4a42e548a2741ec833d0a193d46729d" PartId="c27abe0491474230b8ea515134151bb4"/>
      <Part Type="punktas" Nr="5" Abbr="4 pr. 5 p." DocPartId="07db69c7263541f38992bc8b9737912e" PartId="a7d576eb905349c58711c8fe0bef8e79"/>
    </Part>
    <Part Type="skyrius" Nr="2" Title="LIGOS, KURIOMIS SERGANT DRAUDŽIAMA STOTI Į PROFESINIO MOKYMO MOKYKLAS" DocPartId="9ce0c8b906eb4ec1a04ff6f5003c44e1" PartId="17d9d113e7e04c6ebcb3b637fc8f5990">
      <Part Type="punktas" Nr="6" Abbr="4 pr. 6 p." DocPartId="05f222992637439fbe885c78b92cec2d" PartId="aab8a4e4a63b47ea8884821e41f32a7f"/>
      <Part Type="punktas" Nr="7" Abbr="4 pr. 7 p." DocPartId="ab0bdef25453452e9371941f8463f446" PartId="57131c12ebe44d109dc0ceb4fb1f3f66"/>
    </Part>
    <Part Type="skyrius" Nr="3" Title="PAPILDOMI LIGŲ IR BŪKLIŲ PRIEŠPARODYMAI STOJANT Į PROFESINIO MOKYMO MOKYKLAS" DocPartId="d3bc68c8ae9a4f2597708901ff46b688" PartId="23e104471d594d8bb5d70883230efa8c"/>
  </Part>
  <Part Type="priedas" Nr="5" Abbr="5 pr." Title="SPORTUOJANČIŲ ASMENŲ SVEIKATOS TIKRINIMO TVARKA" DocPartId="3b93a4a7c03a4764a64ea604bb862448" PartId="9336be216cb14c47a44eec0993201d0f">
    <Part Type="skyrius" Nr="1" Title="BENROSIOS NUOSTATOS" DocPartId="922fa4e384a243f19143c5303bff3bb6" PartId="334ec0ffc57247ab9dfa1d4d42ed1311">
      <Part Type="punktas" Nr="1.1" Abbr="5 pr. 1.1 p." DocPartId="5ee4bfe2d3e447d399d8861aa7f69236" PartId="6a9c3005e75c4ccc81f8f5eacfca76cb"/>
      <Part Type="punktas" Nr="1.2" Abbr="5 pr. 1.2 p." DocPartId="57ea7d1d982842c5b8872dd84a581a2f" PartId="cb391d7ee2d84a5190a9ba857d3620f0">
        <Part Type="punktas" Nr="1.2.1" Abbr="5 pr. 1.2.1 p." DocPartId="81743687013d4192972187f58349f3f6" PartId="c027bd23fe8b4a2d803c53924c38c16b"/>
        <Part Type="punktas" Nr="1.2.2" Abbr="5 pr. 1.2.2 p." DocPartId="ee43de2422d8439a82c7f5be69de6fd2" PartId="8cd7689ca6c54aec813cb970fd88d804"/>
        <Part Type="punktas" Nr="1.2.3" Abbr="5 pr. 1.2.3 p." DocPartId="2fe39e0e87e5423f8d968872313ab62b" PartId="5ee490924fb34673b0f4bda2bfc66940"/>
        <Part Type="punktas" Nr="1.2.4" Abbr="5 pr. 1.2.4 p." DocPartId="40a5a52c66f9470b901867ff6775c9ce" PartId="801cade7899849fa9fa2a34696325879"/>
      </Part>
      <Part Type="punktas" Nr="1.3" Abbr="5 pr. 1.3 p." DocPartId="3b7d82e4a27a4985b7c38a8d9704c0dc" PartId="5295d6c8c88c45b6bf644d70122a1856">
        <Part Type="punktas" Nr="1.3.1" Abbr="5 pr. 1.3.1 p." DocPartId="1ba82e553da04e41b304fa31e540311c" PartId="01a5f330ce4849c680df9b673a2c898e"/>
        <Part Type="punktas" Nr="1.3.2" Abbr="5 pr. 1.3.2 p." DocPartId="e67823c9aba741148f71c762eceda838" PartId="82cf3d0588014e788542ec17288b1e4d"/>
        <Part Type="punktas" Nr="1.3.3" Abbr="5 pr. 1.3.3 p." DocPartId="29acca84b3c54a4eaf3e40177c605983" PartId="80e829756878485cb6bea1ac13538c98"/>
        <Part Type="punktas" Nr="1.3.4" Abbr="5 pr. 1.3.4 p." DocPartId="b546d9f8f982408bb962d6a35dfae27c" PartId="956e7a0a09e94fcda970c7954ab8fcb1"/>
        <Part Type="punktas" Nr="1.3.5" Abbr="5 pr. 1.3.5 p." DocPartId="e0b4a9ff26fd4aefbf7bd09e388d529d" PartId="11bed6c7bdac4230a847f60ebbd576a5"/>
      </Part>
      <Part Type="punktas" Nr="1.4" Abbr="5 pr. 1.4 p." DocPartId="f38a1213f93f4c41819a7ed1c5073750" PartId="d5d464c9996a463080aefee8bd2ff0f0">
        <Part Type="punktas" Nr="1.4.1" Abbr="5 pr. 1.4.1 p." DocPartId="125358f22b6e48639ec904616fa92290" PartId="85b65c2e24394014a943166da63498d0"/>
        <Part Type="punktas" Nr="1.4.2" Abbr="5 pr. 1.4.2 p." DocPartId="741603413a4a4dd794e7733eeaad8b09" PartId="a4c36ebe457d4193a36874ea109a7eea"/>
        <Part Type="punktas" Nr="1.4.3" Abbr="5 pr. 1.4.3 p." DocPartId="55656592a9f54dc797328f9de3e1d773" PartId="1420c54d1f0a41c8a51cb68f58834585"/>
      </Part>
      <Part Type="punktas" Nr="1.5" Abbr="5 pr. 1.5 p." DocPartId="ac2562cfd7f04c2b86d4204434732dae" PartId="a57e46f2427f4fcdb9d3176308bbb82f"/>
      <Part Type="punktas" Nr="1.6" Abbr="5 pr. 1.6 p." DocPartId="16dacb9ffc524bfa88a9ee9679fc9352" PartId="ad146f783f8345b485e7c1d444653554"/>
      <Part Type="punktas" Nr="1.7" Abbr="5 pr. 1.7 p." DocPartId="406e9e6d2d1b48b1a3a53f99291416cd" PartId="41f80241da66462982c0f03493f67182"/>
      <Part Type="punktas" Nr="1.8" Abbr="5 pr. 1.8 p." DocPartId="ec495fde90e94ac9b23ab89c654c73e3" PartId="57c6a1c4b5b840bcaf27cc6a60096781"/>
    </Part>
    <Part Type="skyrius" Nr="2" Title="LIGŲ IR PATOLOGINIŲ BŪSENŲ SĄRAŠAS, KURIOMS ESANT RIBOJAMAS FIZINIS KRŪVIS ARBA NEREKOMENDUOJAMA SPORTUOTI" DocPartId="576c1246993b4c45a0f0b5593eb6f280" PartId="445c60dff25a43aa86b618e36ec8bf04"/>
    <Part Type="skyrius" Nr="3" Title="SPORTUOJANČIŲ ASMENŲ SVEIKATOS IŠTYRIMO PERIODIŠKUMAS IR PASLAUGŲ MASTAS" DocPartId="b083a302e1234217b7b051cf71935efc" PartId="c1a1094e2b3840b590b89d810116cc44"/>
    <Part Type="skyrius" Nr="4" Title="DETALUS SPORTO MEDICINOS CENTRUOSE TEIKIAMŲ ASMENS SVEIKATOS PRIEŽIŪROS PASLAUGŲ SĄRAŠAS" DocPartId="f35f48a62c4e44fcb6d2ef4eb260ebeb" PartId="db8ba70d495a479c947d7f86ea83ac4a"/>
    <Part Type="skyrius" Nr="5" Title="MEDICINOS PAGALBOS TEIKIMAS SPORTO RENGINIŲ, ĮSKAITANT MOKOMĄSIAS TRENIRUOČIŲ STOVYKLAS, METU" DocPartId="916fcbcfc5ab487dbe92b2977866492e" PartId="78a2bf2665504a518a455938e84666a1">
      <Part Type="punktas" Nr="5.1" Abbr="5 pr. 5.1 p." DocPartId="afcecfc4727c4a55a878a1d3b8e088d9" PartId="bf0d5e6c4f6a4363af456d4f81d86b4d"/>
      <Part Type="punktas" Nr="5.2" Abbr="5 pr. 5.2 p." DocPartId="ca996ee060b14908b2b0d481a27eb63a" PartId="5038a3c6d1324dc7af592ffe02ad3a2a"/>
      <Part Type="punktas" Nr="5.3" Abbr="5 pr. 5.3 p." DocPartId="b650785e1a034e9eb5167a1a5cc6d89a" PartId="82778d9321414b7b8c139401a29ac851"/>
      <Part Type="punktas" Nr="5.4" Abbr="5 pr. 5.4 p." DocPartId="ed5f9f6aa4c8427b912b1b5af36379e3" PartId="97ed670279e74658b3e33b43196d66eb">
        <Part Type="punktas" Nr="5.4.1" Abbr="5 pr. 5.4.1 p." DocPartId="389e8ab7f7d04abfb964e7021d8dbd64" PartId="6db25add32c34f10b31122ccaada9c2b"/>
        <Part Type="punktas" Nr="5.4.2" Abbr="5 pr. 5.4.2 p." DocPartId="6b6b0c7d87134a5898517d6aece8384c" PartId="ba237b23359e405daacaff5284969a84"/>
        <Part Type="punktas" Nr="5.4.3" Abbr="5 pr. 5.4.3 p." DocPartId="9587f9f39715463f84ddded1aa8dbe25" PartId="4dd4f03fa2ae41b0bd787d4a39cb2bb8"/>
        <Part Type="punktas" Nr="5.4.4" Abbr="5 pr. 5.4.4 p." DocPartId="f7abc9e4fa07420ab1fba607577c63d1" PartId="d34997ee9ba84163a66c291a83859638"/>
        <Part Type="punktas" Nr="5.4.5" Abbr="5 pr. 5.4.5 p." DocPartId="6b54d374b3474d43b4c5037df576f3cb" PartId="2d9c57ea409d437da2cf3cbba20f94ac"/>
        <Part Type="punktas" Nr="5.4.6" Abbr="5 pr. 5.4.6 p." DocPartId="f9d0a9a8a1064e038497f3e66154306f" PartId="6f7e9fec47894b8ab9de696b5775c474"/>
      </Part>
      <Part Type="punktas" Nr="5.5" Abbr="5 pr. 5.5 p." DocPartId="1421cbc96b5f4f4da790a00cf65542fa" PartId="a26e03a627c64256a577a53e23f21174">
        <Part Type="punktas" Nr="5.5.1" Abbr="5 pr. 5.5.1 p." DocPartId="861fc95fda5949afb32d847007a7baea" PartId="c8ceef2e9d824545987237f6fb9c383c"/>
        <Part Type="punktas" Nr="5.5.2" Abbr="5 pr. 5.5.2 p." DocPartId="a97ded22246f401ba04d6006a0fbff1f" PartId="52c3120509e442f592886b224b1ba340"/>
        <Part Type="punktas" Nr="5.5.3" Abbr="5 pr. 5.5.3 p." DocPartId="6d6b2ef851384ba5bb6e2a7752e5cc2f" PartId="9884f1278be24316b77bbd965e2a5f6e"/>
        <Part Type="punktas" Nr="5.5.4" Abbr="5 pr. 5.5.4 p." DocPartId="385739239e644237917d6fa92ea83c11" PartId="9d052d96171a4523b90cc461ef3a4dec"/>
        <Part Type="punktas" Nr="5.5.5" Abbr="5 pr. 5.5.5 p." DocPartId="4e916dc17cf94ba7b053349094a99844" PartId="8a1300d68761443f80d06a4c1fb3e792"/>
      </Part>
      <Part Type="punktas" Nr="5.6" Abbr="5 pr. 5.6 p." DocPartId="ada97b570948426eb3d23ad143f278d9" PartId="b5063ee6b72b4417bd24978488055897"/>
      <Part Type="punktas" Nr="5.7" Abbr="5 pr. 5.7 p." DocPartId="e513bf2f819949e589166d1c2d2302fd" PartId="3c05797def444c6b9ff5a10dd0e19950"/>
      <Part Type="punktas" Nr="5.8" Abbr="5 pr. 5.8 p." DocPartId="c3176378c35f4bdf94a0c8d37e1ba8ed" PartId="395f82fcf2e549cfb0604d0044543a7f"/>
      <Part Type="punktas" Nr="5.9" Abbr="5 pr. 5.9 p." DocPartId="4d6b2569eb0347e08bfae29624134292" PartId="d649c601636c451bad0f44e208fc1ec7">
        <Part Type="punktas" Nr="5.9.1" Abbr="5 pr. 5.9.1 p." DocPartId="b38b43fb256f433785a19df9eb0dab6c" PartId="33fcec917a034b4a8adf80c0aba9328e"/>
        <Part Type="punktas" Nr="5.9.2" Abbr="5 pr. 5.9.2 p." DocPartId="bd2c127348664db5a6834c22b8b70262" PartId="916854d8e0fb421d997646c3e063e560"/>
        <Part Type="punktas" Nr="5.9.3" Abbr="5 pr. 5.9.3 p." DocPartId="d567f7361bd349728e28032a86e873a0" PartId="49d26e4cf43a4c7492580fa09e97ba8a"/>
        <Part Type="punktas" Nr="5.9.4" Abbr="5 pr. 5.9.4 p." DocPartId="ebd1a7eedbfa4c9bb195f436d5d006fc" PartId="663374bfc32a49f6883e1cb55afbecc7"/>
      </Part>
      <Part Type="punktas" Nr="5.10" Abbr="5 pr. 5.10 p." DocPartId="7d9ef6783f1c46acaf14b9bf7b00c53d" PartId="e3ffaf5ce6fa4074b7128b25da425da1"/>
      <Part Type="punktas" Nr="5.11" Abbr="5 pr. 5.11 p." DocPartId="3bbaf542b25f44cba09a04b2724a0117" PartId="de10a88f08674aff90545f28d0ef20fc"/>
      <Part Type="punktas" Nr="5.12" Abbr="5 pr. 5.12 p." DocPartId="2025aa6491de452697ed9b4e3a9e42e5" PartId="641de453e23e47a78b33cf8d3e5ae9df"/>
    </Part>
    <Part Type="pabaiga" DocPartId="ec17d146415745b0a6ef10b347eab4dd" PartId="ca9e1f2e6aef4f108650d0708e1a4791"/>
  </Part>
  <Part Type="priedas" Abbr="pr." Title="NEINFEKCINIŲ LIGŲ PROFILAKTIKOS IR KONTROLĖS TVARKA" DocPartId="a9ee91f55eda4207951c1586c9c07d67" PartId="e8a2e8c2ee184b4ca735be8a810442a7">
    <Part Type="punktas" Nr="1" Abbr="pr. 1 p." DocPartId="53974db39f004f82a5d7f88d0238f7e7" PartId="f4fd4f1b74e5432ea05fd0b05d5a3334"/>
    <Part Type="punktas" Nr="2" Abbr="pr. 2 p." DocPartId="86bcc02477284e87a25bf4e81ac9e496" PartId="c3dd475fe76c46b99769af8cd74957a1"/>
    <Part Type="punktas" Nr="3" Abbr="pr. 3 p." DocPartId="d4e97572f0094ac7a4a3d411618f6987" PartId="351e11271719482896ddc0794d9f87ea"/>
    <Part Type="punktas" Nr="4" Abbr="pr. 4 p." DocPartId="123bae6b4a2c4424838aeaaae33b1dd0" PartId="c8a10659270a444b95f50a9838e92a5b"/>
    <Part Type="punktas" Nr="5" Abbr="pr. 5 p." DocPartId="88e01d6cbc244ff4b108810a0d5f5ff7" PartId="1a3bb14f36c047f4a86f5eabda2870bf"/>
  </Part>
  <Part Type="priedas" Nr="7" Abbr="7 pr." Title="VAIRUOTOJŲ SVEIKATOS TIKRINIMO REIKALAVIMŲ IR TVARKOS APRAŠAS" DocPartId="2b2a2484d1814949a3b63be4a4fcb94a" PartId="4478c5b5bd2e41a5b907ff5600aa242d">
    <Part Type="skyrius" Nr="1" Title="BENDROSIOS NUOSTATOS" DocPartId="e2149f99f8fd40a6bb09634823f0b917" PartId="88359cb0a5bb43a18b4597425a46f9c3">
      <Part Type="punktas" Nr="1" Abbr="7 pr. 1 p." DocPartId="13e0778fd97b4ede8264883ec24194c3" PartId="72cfb17836a048808178a0b7b325bd54"/>
      <Part Type="punktas" Nr="2" Abbr="7 pr. 2 p." DocPartId="d28c597485284c7ca4b195c1055308ef" PartId="016bca409eb34383a43341de503f0cfe">
        <Part Type="punktas" Nr="2.1" Abbr="7 pr. 2.1 p." DocPartId="665a36997f7f426d9f5d6936a8b3ace7" PartId="2f9572f96cab4c2c811910b3419e54c5"/>
        <Part Type="punktas" Nr="2.2" Abbr="7 pr. 2.2 p." DocPartId="8b8e8da218ee4a5e8a8a55908b143a81" PartId="35d9226dd33c41bea3ad9ad6965c0739">
          <Part Type="punktas" Nr="2.2.1" Abbr="7 pr. 2.2.1 p." DocPartId="f41151e1b326402b9c8790e7b0f711a1" PartId="db0606159d2b43e186f6fc7f18c5aa54"/>
          <Part Type="punktas" Nr="2.2.2" Abbr="7 pr. 2.2.2 p." DocPartId="aeda26465fca4a7a95a205c3dd44407a" PartId="c87cc59b158843fb91aac81b118b160a"/>
        </Part>
      </Part>
      <Part Type="punktas" Nr="3" Abbr="7 pr. 3 p." DocPartId="bdeff937906441fb9dc2c55e32322682" PartId="e6544a50f68e4892be957615aa6a6aa5"/>
      <Part Type="punktas" Nr="4" Abbr="7 pr. 4 p." DocPartId="011306d39fe045539ae04138be79a95c" PartId="a6fb048b03e14a64ab0323fde91ed2cd"/>
      <Part Type="punktas" Nr="5" Abbr="7 pr. 5 p." DocPartId="fed6036ed4104a6086a63aeec7caf4af" PartId="3da51edbbb5747ab99447069970b2d51"/>
    </Part>
    <Part Type="skyrius" Nr="2" Title="SVEIKATOS TIKRINIMO REIKALAVIMAI IR TVARKA" DocPartId="559203bdf7fe4389a923e0ec28753f03" PartId="c2d8a0d16550498da09ed6a216621212">
      <Part Type="punktas" Nr="6" Abbr="7 pr. 6 p." DocPartId="fa5b16fe79fc409b9323bafcebc72a6a" PartId="41bd4442dc2042d0924be8867d07726f"/>
      <Part Type="punktas" Nr="7" Abbr="7 pr. 7 p." DocPartId="964934648895415d850771ff6af3136f" PartId="f38e7c27065a4c7384024f370ebc8183"/>
      <Part Type="punktas" Nr="8" Abbr="7 pr. 8 p." DocPartId="bd83f88283c844d98c259040d9ee95c0" PartId="57dfaae7e9784acf91b510d6f97e41bf"/>
      <Part Type="punktas" Nr="9" Abbr="7 pr. 9 p." DocPartId="11633c6a184041a5ade01e1379ed2bfb" PartId="6ec65ebd19bd4e34ac7bb2e0042864b0"/>
      <Part Type="punktas" Nr="10" Abbr="7 pr. 10 p." DocPartId="e1339ea1b678480aaaada0b4dd0c98c4" PartId="5cb6b5e099b8433eae8adaa33f91a945">
        <Part Type="punktas" Nr="10.1" Abbr="7 pr. 10.1 p." DocPartId="d03dc4f7e80f44c5925eecb04012dd3c" PartId="4498a09d396a4bbdb277dddbc201fdf6"/>
        <Part Type="punktas" Nr="10.2" Abbr="7 pr. 10.2 p." DocPartId="57b3ec0040d644c9a9a5fe3ef44c5f32" PartId="57e96d2f26ce41dd8dcc3ea75b0fbc19"/>
        <Part Type="punktas" Nr="10.3" Abbr="10.3 p." DocPartId="22517bb235864e75a887f7858da503da" PartId="1a04e91de0784c36a5a6516fe48a0639"/>
      </Part>
      <Part Type="punktas" Nr="11" Abbr="7 pr. 11 p." DocPartId="abd619140fae4bca917ea5feb8304267" PartId="e132a98cdc364167adcf2e59f2a1bde5"/>
      <Part Type="punktas" Nr="12" Abbr="7 pr. 12 p." DocPartId="3176913347f641f0909870d415a81c0b" PartId="2405ca7a333647d299e25600c54e501a">
        <Part Type="punktas" Nr="12.1" Abbr="7 pr. 12.1 p." DocPartId="b2acbef069644a44ba1a0e4c32e8e056" PartId="1ba517bf78054483870e349dbb126eea"/>
        <Part Type="punktas" Nr="12.2" Abbr="7 pr. 12.2 p." DocPartId="e39660b317604ea9bd2a5993be424bfc" PartId="210c10e780aa4da1b659db7c42ab2573"/>
        <Part Type="punktas" Nr="12.3" Abbr="7 pr. 12.3 p." DocPartId="521ef86de247419b93dc7d512e534bcc" PartId="d52ec45cc35741ae95764afa8a79f978"/>
      </Part>
      <Part Type="punktas" Nr="13" Abbr="7 pr. 13 p." DocPartId="8c993bee945f42d6b6d3e5efa34befff" PartId="e3b8a91b0ede46b68019f1665f9c99a7"/>
      <Part Type="punktas" Nr="14" Abbr="7 pr. 14 p." DocPartId="4336a1e98602496d88477bfea7d74c4c" PartId="7de7cb5508eb4487b95e24594c81804a"/>
      <Part Type="punktas" Nr="15" Abbr="7 pr. 15 p." DocPartId="1905e601881c4bcf9b6c20c18707be11" PartId="6843f5f8edff4ab88098bdab43be4992"/>
      <Part Type="punktas" Nr="16" Abbr="7 pr. 16 p." DocPartId="0eda108eebdb408a838c92edfdc7fd1a" PartId="7f3e4e4e229a4ac18e82d857fb6683b8"/>
      <Part Type="punktas" Nr="17" Abbr="7 pr. 17 p." DocPartId="6161ed7a18d64a46a631cf9cba28a27b" PartId="16df257bce964f319b7fb597feca7d8d"/>
      <Part Type="punktas" Nr="18" Abbr="7 pr. 18 p." DocPartId="3231dce1bd50489c97ecdac380ba1ae9" PartId="729bcbe776ae4f58bbef1b219878c0d4"/>
      <Part Type="punktas" Nr="19" Abbr="7 pr. 19 p." DocPartId="9ca913e854f64095b73a2c6b9397a787" PartId="a5696f55109445ff82c36e9890a0d0bf"/>
      <Part Type="punktas" Nr="20" Abbr="7 pr. 20 p." DocPartId="1afe0a07390648249e62eef37201a0f7" PartId="1ede419c59254e2d9ee9717c230fdfad"/>
      <Part Type="punktas" Nr="21" Abbr="7 pr. 21 p." DocPartId="68673ab899994f508afa421cd3cdf263" PartId="47664426f7db49029f0782162b640d91"/>
      <Part Type="punktas" Nr="22" Abbr="7 pr. 22 p." DocPartId="8d1bbccb8342488b99f68ca7da085700" PartId="b581a4aaa9bb4db2a27c331c8202e819"/>
      <Part Type="punktas" Nr="23" Abbr="7 pr. 23 p." DocPartId="c6204502bf414366b2a671873faa1469" PartId="6f0c3be17c09474ab4c47b98ddf462ec"/>
      <Part Type="punktas" Nr="24" Abbr="7 pr. 24 p." DocPartId="f7eeef3f2a904c4bbd42c42ce45025ac" PartId="54530427e3b945e2881185d427b57a24"/>
      <Part Type="punktas" Nr="25" Abbr="7 pr. 25 p." DocPartId="b377d607c7624730805faa2b72c952b7" PartId="10971105b5f74dc181f24df22aa03114"/>
      <Part Type="punktas" Nr="26" Abbr="7 pr. 26 p." DocPartId="5dad2c12448d4f3591cf0a64c557c1e6" PartId="a8bb4113f2ab41e49594e8a530777148"/>
      <Part Type="punktas" Nr="27" Abbr="7 pr. 27 p." DocPartId="9661926e10b74ee3919882263ee79135" PartId="6e80d9179f874a6090207c5ee5bdf808"/>
    </Part>
    <Part Type="skyrius" Nr="3" Title="BAIGIAMOSIOS NUOSTATOS" DocPartId="09b46acd68e64cbe8ef362dc0471cbf3" PartId="209eb8696082471f9039cd2ef495f97e">
      <Part Type="punktas" Nr="28" Abbr="7 pr. 28 p." DocPartId="979ddaaa15fc41dfa63eaced1e29b344" PartId="11399043bcac47e79a3f00d128ea2d5b"/>
      <Part Type="punktas" Nr="29" Abbr="7 pr. 29 p." DocPartId="2c828df8cd7e4fd98a85f1ccd5212c26" PartId="98968d0765a54fe59117478563d2cbf0"/>
      <Part Type="punktas" Nr="30" Abbr="7 pr. 30 p." DocPartId="fb36645017834656ab8cf6fad2c0c403" PartId="d19d6ab5e37f4ea9bbf69d13e27ac2da"/>
    </Part>
  </Part>
  <Part Type="lentele" DocPartId="142b301bb7e84762a1200f94fc7218dd" PartId="da39e86e0365404c80191091e05e5124"/>
  <Part Type="lentele" Nr="2" Title="TRANSPORTO PRIEMONIŲ KATEGORIJOS, MINIMALUS VAIRUOTOJŲ AMŽIUS" DocPartId="36fd42b018aa4aae9c5fe82f72c4dc0e" PartId="ddcc24f42f904bf2be6b0a71cb6b7ac0"/>
  <Part Type="lentele" Nr="3" Title="MINIMALIOS FIZINIO IR PSICHIKOS TINKAMUMO NORMOS, TAIKOMOS ASMENIMS, VAIRUOJANTIEMS VARIKLIO VAROMĄ TRANSPORTO PRIEMONĘ" DocPartId="4f0a5ac065614e669245fb31f1e590cc" PartId="e950408d9c76469d9e0c98fd7189996e">
    <Part Type="pastraipa" DocPartId="557567d3ded24cc8a831a99680be6b7b" PartId="a12a5cc77725464ab3061b5460210de5"/>
    <Part Type="punktas" Nr="1" Abbr="1 p." DocPartId="11f675b1e99f4a58bc0fcdd411f2f896" PartId="91f7c691844a4270896e1adf8e1ddf81"/>
    <Part Type="punktas" Nr="2" Abbr="2 p." DocPartId="5ecaa926b6444e0fbb5b5057a7e87da3" PartId="95dab9f62a8746c5b88ee15bc28813f8"/>
    <Part Type="punktas" Nr="3" Abbr="3 p." DocPartId="15e15844b787420c998fe34c2343d55f" PartId="91c0a009624d44db9eaeb52843343851"/>
  </Part>
  <Part Type="lentele" Nr="4" Title="VAIRUOTOJO GARBĖS DEKLARACIJA (SVEIKATOS PATIKRINIMO KLAUSIMYNAS)" DocPartId="d677b145cbcd45dbab1a2c70cc43540c" PartId="53a20ffc4e7c45359dbc9cc855e70581">
    <Part Type="pastraipa" DocPartId="b320d20800b845c1b2abef7288de5499" PartId="51369210f9af477681cc066f76328b85"/>
    <Part Type="pastraipa" DocPartId="15f7fd15f34b408bafb576bf4ff2bacd" PartId="af818a00d0df4e698754cd2fe96b1764"/>
    <Part Type="pastraipa" DocPartId="8b4466334c4e4cb0a53e8e344810f700" PartId="35488bc148c942c6a8626b0be5add652"/>
    <Part Type="pastraipa" DocPartId="f012f000471242b1bb9bd440bff58c2d" PartId="19d556ee372e4a5a89c6928b2a1364a8"/>
    <Part Type="lentele" DocPartId="9f4e918b6dc14dd784668fbdab237ed9" PartId="65fdfe09273c4e8b9e23097ad860a8d8"/>
    <Part Type="pastraipa" DocPartId="5037ce3612f74820916d9abd8570231e" PartId="61aa1e37ce2c47429d4bf57df7472b4e"/>
    <Part Type="pastraipa" DocPartId="98e5988de7e84d059d4343d107f71280" PartId="9776c0303d3b47179565bf5dde4bbedc"/>
    <Part Type="pastraipa" DocPartId="5b62abbbe2da4cbab6eb4802e35d4b94" PartId="2cf9a4c47a7b440990c24ec6951f82fd"/>
  </Part>
  <Part Type="lentele" Nr="5" Title="VAIRUOTOJUI TAIKOMŲ APRIBOJIMŲ KODAI" DocPartId="5c01a10416c64c96ae9969ff1fbc7648" PartId="f99f630dd4494ea8a0278039b27fdecd"/>
  <Part Type="priedas" DocPartId="9e4d5731f64e4611b658ef00b9e5bb43" PartId="cacbc32b0b034471ad3812d97292a3b6"/>
  <Part Type="priedas" Nr="8" Abbr="8 pr." DocPartId="5138adef28ff4ffe832acd60005e49ed" PartId="55fd7fe9e33046209ea3009aeaa8b7b7"/>
  <Part Type="priedas" Nr="9" Abbr="9 pr." Title="VYKSTANČIŲJŲ Į UŽSIENĮ SVEIKATOS TIKRINIMO TVARKA" DocPartId="ee022644b8764ad698f8cfccbe895be7" PartId="d06b380f6ba04718b98617c9e8e69967">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LICENCIJUOJAMŲ CIVILINĖS AVIACIJOS SPECIALISTŲ SVEIKATOS BŪKLĖS TIKRINIMO TVARKOS APRAŠAS" DocPartId="ec10566976f143c78fbbdd0ec2f6382a" PartId="43cc33497961491f8cea2b436cc9b0bd">
    <Part Type="punktas" Nr="1" Abbr="10 pr. 1 p." DocPartId="56187d67572a428aa6d4beaae160cd84" PartId="227f06e3adef4b738850f2cd86922c73"/>
    <Part Type="punktas" Nr="2" Abbr="10 pr. 2 p." DocPartId="44ce967aa8a743b0a407f721eea7f847" PartId="6089dc0c6f214efabb500ce1c34465a7"/>
    <Part Type="punktas" Nr="3" Abbr="10 pr. 3 p." DocPartId="0ad82a671eca40d8a6ac9a33575781b1" PartId="f0be24370f7e464588fd33216931977f"/>
    <Part Type="punktas" Nr="4" Abbr="10 pr. 4 p." DocPartId="bcc982fe994f4be5b24eef7c8fad4d53" PartId="dee0611f23534addb7287255f30008d2"/>
    <Part Type="pabaiga" DocPartId="3144c228594f4a55b771d5f4861b7d1c" PartId="e43473c7b5e94a02a3c6c8b1a01d9187"/>
  </Part>
  <Part Type="priedas" Nr="11" Abbr="11 pr." Title="JŪRININKŲ IR VIDAUS VANDENŲ TRANSPORTO SPECIALISTŲ BEI MOTORINIŲ PRAMOGINIŲ LAIVŲ IR KITŲ MOTORINIŲ PLAUKIOJIMO PRIEMONIŲ LAIVAVEDŽIŲ SVEIKATOS TIKRINIMO TVARKOS APRAŠAS" DocPartId="e12e9c1b56374166b0d11fa541410a3d" PartId="8d7263feddb942499b31d04640026346">
    <Part Type="skyrius" Nr="1" Title="BENDROSIOS NUOSTATOS" DocPartId="7256befb92804e04aae028112cf23c0a" PartId="32ccb9ddeb984219866be6e01bb775c9">
      <Part Type="punktas" Nr="1" Abbr="11 pr. 1 p." DocPartId="727feef86bc74612b6a74501cd2c95b6" PartId="ba16f3e960ea4d37bf1a7b1dca6f2706"/>
      <Part Type="punktas" Nr="2" Abbr="11 pr. 2 p." DocPartId="bba8317d26b949aba1932e36383ca44d" PartId="d69d8b7f0e2142d58322719293013b09"/>
      <Part Type="punktas" Nr="3" Abbr="11 pr. 3 p." DocPartId="a9ef9a217ba34726a88622fa829a8103" PartId="1f802939952749c3bc1103154a44051c"/>
      <Part Type="punktas" Nr="4" Abbr="11 pr. 4 p." DocPartId="30ea7d39b6ab4f3f96fd2610bdf20a96" PartId="23bfcc2cf4b04ad1ae921748c138157c"/>
      <Part Type="punktas" Nr="5" Abbr="11 pr. 5 p." DocPartId="0ed78b871ba64d3888587bc9b36bf9f2" PartId="39b390a6ea1646e7beb4d715472d9983"/>
      <Part Type="punktas" Nr="6" Abbr="11 pr. 6 p." DocPartId="db22e6f3a2a146579e46e6d8ac3f095d" PartId="6eb442ae5d8340f398b3ff32bbefc6c5">
        <Part Type="papunktis" Nr="6.1" Abbr="11 pr. 6.1 pp." DocPartId="b43e2fb5ead14a2ba3469d5489b9e827" PartId="4d8aeef1fd13476fa19a116863d4db2c"/>
        <Part Type="papunktis" Nr="6.2" Abbr="11 pr. 6.2 pp." DocPartId="32c51bab8c284b2fbe7039a5b97d88ee" PartId="16871eef5095407f91cc3f88e4248a9c"/>
        <Part Type="papunktis" Nr="6.3" Abbr="11 pr. 6.3 pp." DocPartId="339ae66d7f424d86b1c890ab5ec3ba30" PartId="75a22cd5d0354d8192af865fad289721"/>
        <Part Type="papunktis" Nr="6.4" Abbr="11 pr. 6.4 pp." DocPartId="8069e174709f46ac9cf23d977ac8aad5" PartId="b8f59eae25804e5bb09f445503be3151"/>
      </Part>
    </Part>
    <Part Type="skyrius" Nr="2" Title="SVEIKATOS TIKRINIMO REIKALAVIMAI IR TVARKA" DocPartId="e8d509785afb4042b4da31d9dd2747a9" PartId="a42700b424784c29a5c42d99b641e3ed">
      <Part Type="punktas" Nr="7" Abbr="11 pr. 7 p." DocPartId="ae667787937e4d6dbfb43c9ca055185a" PartId="323439abc2094e6f92afb22f5a72fb07"/>
      <Part Type="punktas" Nr="8" Abbr="11 pr. 8 p." DocPartId="f2e0842af27c46d0aad32f41c48738f2" PartId="e4ce3d842bd8444fbda0d0a560761142"/>
      <Part Type="punktas" Nr="9" Abbr="11 pr. 9 p." DocPartId="9378a5974860421bbf3d5cd2b3911eed" PartId="c6a797db6e354c69bfec3e0333a3413b"/>
      <Part Type="punktas" Nr="10" Abbr="11 pr. 10 p." DocPartId="ebe129fc664e4b4787313fdc1a8779ec" PartId="5997fe6c03344b7fab10d6bce125ebb0"/>
      <Part Type="punktas" Nr="11" Abbr="11 pr. 11 p." DocPartId="3d0c19cbf96a420fb39fe246b2c15601" PartId="4ca56e91b1e549d8b4cf74b699a995cd"/>
      <Part Type="punktas" Nr="12" Abbr="11 pr. 12 p." DocPartId="4ce46395d860484db27bf6b5c5fbc66d" PartId="1bee4c3f52314253b25caecd3375f1fe">
        <Part Type="papunktis" Nr="12.1" Abbr="11 pr. 12.1 pp." DocPartId="f3d1cc86f9e1456f8e75f8bf973c6d7e" PartId="79b5c9b9b76346ad86f883f004924037"/>
        <Part Type="papunktis" Nr="12.2" Abbr="11 pr. 12.2 pp." DocPartId="8a796a4cafcd4086bcec62ab578ca3f4" PartId="b8eb1e5c3ab94a2b8a3d56d6da95c7e3"/>
        <Part Type="papunktis" Nr="12.3" Abbr="11 pr. 12.3 pp." DocPartId="a2f7e65105ad490b9e302c8c50fe5302" PartId="81252915cf6c416aad9ebdb8b8ce5f2c"/>
        <Part Type="papunktis" Nr="12.4" Abbr="11 pr. 12.4 pp." DocPartId="8593904fb3304ba5bf95023f10a36838" PartId="16bf25cbef4341a1aac6ee432ff58af5"/>
        <Part Type="papunktis" Nr="12.5" Abbr="11 pr. 12.5 pp." DocPartId="989ac1b27f1f4ddca7a4011acd1fc5b2" PartId="9bff474624024fa284e47b9e02277aee"/>
        <Part Type="papunktis" Nr="12.6" Abbr="11 pr. 12.6 pp." DocPartId="4b5ee59fdf2c4f23900f188d21fdd4d6" PartId="31a6ee8c4ae9413a835bd5ff8325be45"/>
        <Part Type="papunktis" Nr="12.7" Abbr="11 pr. 12.7 pp." DocPartId="5a3a21e2f6a740f18d35171f90d34315" PartId="b5a800c2c8144953b9d4e0ec59e42de5"/>
        <Part Type="papunktis" Nr="12.8" Abbr="11 pr. 12.8 pp." DocPartId="f58c0b32e8cc4e87911f921cc400fba5" PartId="5e38ef56177c47df83c409f85ac862ca"/>
        <Part Type="papunktis" Nr="12.9" Abbr="11 pr. 12.9 pp." DocPartId="e2286e1db82e4b3986033ee9b447e0eb" PartId="cc366baf458c4640b5e22941440d5274"/>
        <Part Type="papunktis" Nr="12.10" Abbr="11 pr. 12.10 pp." DocPartId="77cd95297ed2444cbf4bb00a55d6ebf4" PartId="f1df0ff4e1d14a988e62c466a4dc766e"/>
        <Part Type="papunktis" Nr="12.11" Abbr="11 pr. 12.11 pp." DocPartId="fc5cc31255184ac08bf1a847a364062c" PartId="7d2c1f23dc1c47a6a3c268d6f3458b0c"/>
        <Part Type="papunktis" Nr="12.12" Abbr="11 pr. 12.12 pp." DocPartId="2aa550baddbe4dffb5d116f75eb42add" PartId="b1ada84469ef4fdfb8ec0d3a98157e33"/>
        <Part Type="papunktis" Nr="12.13" Abbr="11 pr. 12.13 pp." DocPartId="bbbcb0cac49d4c2a9e13e1cd4acea2e8" PartId="79cd18d2a7d14226965451c7754ffa65"/>
        <Part Type="papunktis" Nr="12.14" Abbr="11 pr. 12.14 pp." DocPartId="bbc3024183aa497fb7dd0b47338d80c5" PartId="74400bf8bfa6482d8a9ba82009b11dfc"/>
        <Part Type="papunktis" Nr="12.15" Abbr="11 pr. 12.15 pp." DocPartId="ed4fb010ffa54d42980616d3d2ef84c2" PartId="f8a31a904f194a17b5c917ef56830ed6"/>
        <Part Type="papunktis" Nr="12.16" Abbr="11 pr. 12.16 pp." DocPartId="b6f8b06ad42a4ecd868c59f991982e27" PartId="1ead58615f744f0eb641ad3f63a790fc"/>
      </Part>
      <Part Type="punktas" Nr="13" Abbr="11 pr. 13 p." DocPartId="b9f5544a4d6f419e9851df13cad80abe" PartId="4e6f5044613d4cda8b71eab1d9180e66"/>
      <Part Type="punktas" Nr="14" Abbr="11 pr. 14 p." DocPartId="070aa394446e4185879f7bf5238e2669" PartId="493288af3a2e4fdeb5121d843be52ace"/>
      <Part Type="punktas" Nr="15" Abbr="11 pr. 15 p." DocPartId="d1c38423a9114da1835eee56997f3566" PartId="4bdebc7b853d4cd3acff205da4c30d60"/>
      <Part Type="punktas" Nr="16" Abbr="11 pr. 16 p." DocPartId="fd85df9569c6436b901542d1f0e78cae" PartId="9837561fdedc4663b9b91219b363fc95"/>
      <Part Type="punktas" Nr="17" Abbr="11 pr. 17 p." DocPartId="24a920dc583047a59fcab736530d9e91" PartId="3f763ab8e46f482f86af33906e5a487c"/>
      <Part Type="punktas" Nr="18" Abbr="11 pr. 18 p." DocPartId="8fb5bcaeec2e4df2900b58d47f4d6ae1" PartId="3ecbc56127ff41c2b0575d71f7c4e170"/>
      <Part Type="punktas" Nr="19" Abbr="11 pr. 19 p." DocPartId="6bcbbf61c32b4de69e77ae8a45ffb7c9" PartId="7493f58d73a345fc8d91e79de34b6d40"/>
      <Part Type="punktas" Nr="20" Abbr="11 pr. 20 p." DocPartId="7ad0ab362bcf4498af239e719e9045d6" PartId="aab3a3a23dbf427a93a64e1cb01d3b86"/>
      <Part Type="punktas" Nr="21" Abbr="11 pr. 21 p." DocPartId="ae7ed2173fee4cc1bee0f7c579a10efb" PartId="30adbb396b5d4a25b392821bad73fe90"/>
      <Part Type="punktas" Nr="22" Abbr="11 pr. 22 p." DocPartId="e5ad5f91ef644d559706ad96a3e09c65" PartId="4d1d00e44d2043c1a9f65ce73b4c2b64"/>
    </Part>
    <Part Type="skyrius" Nr="3" Title="JŪRININKŲ IR VIDAUS VANDENŲ TRANSPORTO SPECIALISTŲ BEI MOTORINIŲ PRAMOGINIŲ LAIVŲ IR KITŲ MOTORINIŲ PLAUKIOJIMO PRIEMONIŲ LAIVAVEDŽIŲ SVEIKATOS TIKRINIMŲ PERIODIŠKUMAS" DocPartId="e2ac35e466304cf7a971b71b2c7d579b" PartId="d99e4a60a2894dc9ab0c2cedbc77672c">
      <Part Type="punktas" Nr="23" Abbr="11 pr. 23 p." DocPartId="989237b54f1c4a3bb2720a364c85e852" PartId="62c46a946159434683041306ed1c5aa3">
        <Part Type="papunktis" Nr="23.1" Abbr="11 pr. 23.1 pp." DocPartId="d112ab1dd0154e60b64723e005e0100a" PartId="e9baee25ee2f4f628c37885f07ad429d"/>
        <Part Type="papunktis" Nr="23.2" Abbr="11 pr. 23.2 pp." DocPartId="5cc4afb8185e4d57814d83f86ce77999" PartId="f96f4e6622564d5ea8eae7ca6266bf71"/>
        <Part Type="papunktis" Nr="23.3" Abbr="11 pr. 23.3 pp." DocPartId="801100c697824e85b874afe90a890d07" PartId="d858041a18c74c019a482fc81f4ba896"/>
        <Part Type="papunktis" Nr="23.4" Abbr="11 pr. 23.4 pp." DocPartId="eed0c96961ef4270be7b2bf7419fa98f" PartId="205e1cff86c44a2ebfcfe8aa44acfbb7"/>
        <Part Type="papunktis" Nr="23.5" Abbr="11 pr. 23.5 pp." DocPartId="f29a5e2e352d4a3d9629c08cc039e46a" PartId="e49019a24a6448fe855cb230b6bafe6e"/>
        <Part Type="papunktis" Nr="23.6" Abbr="11 pr. 23.6 pp." DocPartId="273879a24afc46f7af13162f8adcde19" PartId="f1f777d8a5cc4de297492d15c78e1a37"/>
      </Part>
      <Part Type="punktas" Nr="24" Abbr="11 pr. 24 p." DocPartId="da02c39daad14f5a92eed29e76839601" PartId="d98f957738484e3695db3cd48725abe4"/>
      <Part Type="punktas" Nr="25" Abbr="11 pr. 25 p." DocPartId="f7365b636ac94effbdfc4b19d635f6e4" PartId="2073163b9cc54c4faefef829f38f7fe7"/>
      <Part Type="punktas" Nr="26" Abbr="11 pr. 26 p." DocPartId="8d374677d83a4b97829d284052b0bc08" PartId="b119282eeb384e05ad9c0b0dffdabcbe"/>
    </Part>
    <Part Type="skyrius" Nr="4" Title="SVEIKATOS PAŽYMĖJIMŲ IŠDAVIMO TVARKA" DocPartId="43c2a62ac703483ebab37a46472a079d" PartId="158e39d4febf4b3da5b1c5ab40ae0b0f">
      <Part Type="punktas" Nr="27" Abbr="11 pr. 27 p." DocPartId="e8fd86f1ec154e8590ab981e3623c54e" PartId="aa92bfa48e4a4148a885f2362ec2061e">
        <Part Type="papunktis" Nr="27.1" Abbr="11 pr. 27.1 pp." DocPartId="dad35e1279704bea871f4747f27fc37f" PartId="f0c07ef4abd849d0a9ee930959c8eb9e"/>
        <Part Type="papunktis" Nr="27.2" Abbr="11 pr. 27.2 pp." DocPartId="83183bb911544c458b6980bfd14b7958" PartId="079a030b70394a2e94848e1fed0a07c8"/>
      </Part>
      <Part Type="punktas" Nr="28" Abbr="11 pr. 28 p." DocPartId="5b20a86678164e659eb77ce714b0364e" PartId="3c5ece7320e34fd0b6c1e5ea6849cf93">
        <Part Type="papunktis" Nr="28.1" Abbr="11 pr. 28.1 pp." DocPartId="9b9c9ab57cda4ed4ba7132651765328e" PartId="3b9624ca1dd64a7e82f5d2aac4d6b96d"/>
        <Part Type="papunktis" Nr="28.2" Abbr="11 pr. 28.2 pp." DocPartId="1fd2481c0e4948198469f68771f2619c" PartId="4b1a43f791094f8a81e3acac11586ddb"/>
      </Part>
      <Part Type="punktas" Nr="29" Abbr="11 pr. 29 p." DocPartId="3375c35f3ef74582a4d6d44086728a32" PartId="4bd1c57578874f28836b10f2d34ff6ef"/>
      <Part Type="punktas" Nr="30" Abbr="11 pr. 30 p." DocPartId="610b875ceb7b478a8eb90d7261b86b15" PartId="5e0d7fd257ec4134883dbbc2f186babf"/>
      <Part Type="punktas" Nr="31" Abbr="11 pr. 31 p." DocPartId="f3a1377263dc49aa83431a98ecfa45fe" PartId="22d3fd5784d046668eaaeb9196f8f9b2"/>
      <Part Type="punktas" Nr="32" Abbr="11 pr. 32 p." DocPartId="6083096c331a427497398b470b99a70b" PartId="e695d4d5b641437cbf8d7fe87a607037">
        <Part Type="papunktis" Nr="32.1" Abbr="11 pr. 32.1 pp." DocPartId="ac697d704a334b798033d495389a95c8" PartId="00e43b9c755d4cccb46d618e5e70865c"/>
        <Part Type="papunktis" Nr="32.2" Abbr="11 pr. 32.2 pp." DocPartId="07f80d9ed28043babe9423ad57948841" PartId="49cafaefdebe40ca82f906c2a6fea444"/>
        <Part Type="papunktis" Nr="32.3" Abbr="11 pr. 32.3 pp." DocPartId="49a874fe3671443aa36f1d19dbe7e9c7" PartId="4d6a9134ca1e4b0791d365ea56997d82"/>
        <Part Type="papunktis" Nr="32.4" Abbr="11 pr. 32.4 pp." DocPartId="6d0fe48205d44a8894dd02b3e0ab0198" PartId="06f29c2ce4c44b42ae55fbdde5e256e0"/>
        <Part Type="papunktis" Nr="32.5" Abbr="11 pr. 32.5 pp." DocPartId="dd1621c31b9143e3afec848412c3225b" PartId="4374fdb3cf2948c6a7f5e601e5380ac7"/>
        <Part Type="papunktis" Nr="32.6" Abbr="11 pr. 32.6 pp." DocPartId="ba64302347674f91841944f4758c2647" PartId="168241fa41314e8ca3b86ef82dab9fb4"/>
      </Part>
      <Part Type="punktas" Nr="33" Abbr="11 pr. 33 p." DocPartId="0c1189f1120d418ea9b4735e0617a208" PartId="272124d43b674bbba0d1b0ce466e7d9c"/>
      <Part Type="punktas" Nr="34" Abbr="11 pr. 34 p." DocPartId="0ed6d715ef534eb5ac0cc32ee2b70f6a" PartId="de20ce18618a4bbfa9442f133d3c87c5"/>
      <Part Type="punktas" Nr="35" Abbr="11 pr. 35 p." DocPartId="1f19152ffdc1464eb689da0303fbc3fe" PartId="5a5f6077afe440e29f0343a5aa3f5852"/>
      <Part Type="punktas" Nr="36" Abbr="11 pr. 36 p." DocPartId="6c08261f26b04b93be626aae01b248af" PartId="c0a9d9d7742a4b439e5c3700e181c32b"/>
      <Part Type="punktas" Nr="37" Abbr="11 pr. 37 p." DocPartId="50ff86a146f8406a8f2d20a050a73724" PartId="377d764ef6e54556962b6d1a025fe512"/>
      <Part Type="punktas" Nr="38" Abbr="11 pr. 38 p." DocPartId="8257fbbb1db047578d73c30e2bc98f98" PartId="eea916fcb2d64774891608e4df56703a"/>
      <Part Type="punktas" Nr="39" Abbr="11 pr. 39 p." DocPartId="01dcd34058e3462ca71d06744969b652" PartId="a274cb37eb5c4a75a57bdc266a02a56f"/>
    </Part>
    <Part Type="skyrius" Nr="5" Title="BAIGIAMOSIOS NUOSTATOS" DocPartId="761b2bfcea024bcfa252b3f413171e44" PartId="03fb52190de14fd6b508d83d35f16cf6">
      <Part Type="punktas" Nr="40" Abbr="11 pr. 40 p." DocPartId="1adb27e940e64fd8b0fa56d0d9a263b8" PartId="7fb996fb2def4826af923b43cb3c19ec"/>
      <Part Type="punktas" Nr="41" Abbr="11 pr. 41 p." DocPartId="d527e1da187246aabb889f2ee28abb35" PartId="a8e4e13935ae4671aeafa5caade6edf2"/>
    </Part>
  </Part>
  <Part Type="priedas" Nr="1" Abbr="1 pr." Title="MINIMALŪS SVEIKATOS BŪKLĖS REIKALAVIMAI, TAIKOMI JŪRININKAMS IR VIDAUS VANDENŲ TRANSPORTO SPECIALISTAMS BEI MOTORINIŲ PRAMOGINIŲ LAIVŲ IR KITŲ MOTORINIŲ PLAUKIOJIMO PRIEMONIŲ LAIVAVEDŽIAMS" DocPartId="c2d6770778bc4f97a294f61c949bf185" PartId="15b02405709a40e4a0e3ff4abccc2257"/>
  <Part Type="priedas" Nr="2" Abbr="2 pr." Title="JŪRININKO AR VIDAUS VANDENŲ TRANSPORTO SPECIALISTO BEI MOTORINIŲ PRAMOGINIŲ LAIVŲ IR KITŲ MOTORINIŲ PLAUKIOJIMO PRIEMONIŲ LAIVAVEDŽIO GARBĖS DEKLARACIJA (SVEIKATOS TIKRINIMO KLAUSIMYNAS) / SEAFARERS OR NAVIGATOR‘S OF MOTOR PLEASURE AND OTHER CRAFT DECLARATION OF HONOUR" DocPartId="da5e9fc17387436e890c9e79fe23b0c2" PartId="e8f617883a454cdca0471d97e1507204"/>
  <Part Type="priedas" Nr="12" Abbr="12 pr." Title="TRAUKINIO MAŠINISTŲ IR DARBUOTOJŲ, KURIŲ DARBAS SUSIJĘS SU GELEŽINKELIŲ TRANSPORTO EISMU, SVEIKATOS TIKRINIMO REIKALAVIMŲ IR TVARKOS APRAŠAS" DocPartId="b7ae2708b0a744d29d99c6209b546c6d" PartId="41dd3c662add4d05b32fb58f18b212a5">
    <Part Type="skyrius" Nr="1" Title="BENDROSIOS NUOSTATOS" DocPartId="185d6a3340ba481c8e0e6c213d04b0ca" PartId="80162f3d6f894acfb7ed1b281ecb3262">
      <Part Type="punktas" Nr="1" Abbr="12 pr. 1 p." DocPartId="9a54f8450c564f47b682cacdd672549b" PartId="9d09c04e0c0546f4aa4083695f84ba07"/>
      <Part Type="punktas" Nr="2" Abbr="12 pr. 2 p." DocPartId="074e478ef7d5415db5d62826a68618ad" PartId="882d77f3947148ab9c1c8d12c6d9ccd5"/>
      <Part Type="punktas" Nr="3" Abbr="12 pr. 3 p." DocPartId="3e7e7e9c43344a3fb71d5961b027d4b1" PartId="4e0ee0caf1624661a57bbfb298d317f0"/>
      <Part Type="punktas" Nr="4" Abbr="12 pr. 4 p." DocPartId="8277dacc381a447d82cd6f2736b5ea6f" PartId="6ebf5a4381974b40a8967c423cba6546"/>
      <Part Type="punktas" Nr="5" Abbr="12 pr. 5 p." DocPartId="914b80241d494039a2b47b03fa6b94ab" PartId="d8d30a2c54eb4f97baa27ec4a6b82a29"/>
    </Part>
    <Part Type="skyrius" Nr="2" Title="SVEIKATOS TIKRINIMO REIKALAVIMAI IR TVARKA" DocPartId="aa77d9c499d94a338fe46e27598f4d82" PartId="9311b40aa30a4be8870d964833af11cc">
      <Part Type="punktas" Nr="6" Abbr="12 pr. 6 p." DocPartId="249b78e779cd4d82ab82633b5a3cb581" PartId="b862c736406240df87097b4541833827"/>
      <Part Type="punktas" Nr="7" Abbr="12 pr. 7 p." DocPartId="6982e335fa1f41308a50ff8c60e959cb" PartId="6fe80541378947959b5a40909075cfc9"/>
      <Part Type="punktas" Nr="8" Abbr="12 pr. 8 p." DocPartId="027bc741ace84abf9378a11dce8477f6" PartId="ed4eaf76a5ed4c1fac1599cd9067b98b"/>
      <Part Type="punktas" Nr="9" Abbr="12 pr. 9 p." DocPartId="dd1fe8de69654b71a80008b35ce2b225" PartId="479405bdcd64405b8c79fddb343a9afe"/>
      <Part Type="punktas" Nr="10" Abbr="12 pr. 10 p." DocPartId="0d68a78e56bd49c58baa09bcbed098c5" PartId="cd61e0f4020f4143a2fe290f2c25b628"/>
      <Part Type="punktas" Nr="11" Abbr="12 pr. 11 p." DocPartId="6c5a81112b5d4eeaa7b78049e79d662e" PartId="24dd494d3a9f45b39bd61ffd10f64b26"/>
      <Part Type="punktas" Nr="12" Abbr="12 pr. 12 p." DocPartId="e433dbba3c2e48aaa2ef66df04086482" PartId="216f66932dc14405b1caa43e800a0ece"/>
      <Part Type="punktas" Nr="13" Abbr="12 pr. 13 p." DocPartId="7405fa1280974dda838b2b15c5e9b765" PartId="d701f018e2334b418069ef7970457eee"/>
      <Part Type="punktas" Nr="14" Abbr="12 pr. 14 p." DocPartId="a8ad6ebb4554431d90c2c39d75b33de9" PartId="18452eefe28d459e8da0727240ff57ac"/>
      <Part Type="punktas" Nr="15" Abbr="12 pr. 15 p." DocPartId="bc2daef0fd964b59b4942d4e5297aa02" PartId="2da6221dca0b463c9478f9ef6c674846"/>
      <Part Type="punktas" Nr="16" Abbr="12 pr. 16 p." DocPartId="149ab001eabf4150bde4691e867390a0" PartId="58486c9b643c422d9ea30ea62dcf3c91"/>
      <Part Type="punktas" Nr="17" Abbr="12 pr. 17 p." DocPartId="15793d954b43468490d0114515fbb97f" PartId="e8c0d806decd4ae0aae186c864f39857"/>
      <Part Type="punktas" Nr="18" Abbr="12 pr. 18 p." DocPartId="89c488fe79e945b1ba2f86f283e81b09" PartId="4335f903088649be9c5b6f84789656b6"/>
      <Part Type="punktas" Nr="19" Abbr="12 pr. 19 p." DocPartId="c279c75d75484ea9a2d678b79993308b" PartId="ea382981d5a1452cbec8861177ce8e33"/>
      <Part Type="punktas" Nr="20" Abbr="12 pr. 20 p." DocPartId="c8c9a5b54265448bbf479b290d1e19c9" PartId="0ca76f258cc2414d98043f217b983ebe"/>
      <Part Type="punktas" Nr="21" Abbr="12 pr. 21 p." DocPartId="e6497256fcbf4f05a59beda4f3856f5e" PartId="3698598839524cba8d0cd6ec96f7a3b9"/>
      <Part Type="punktas" Nr="22" Abbr="12 pr. 22 p." DocPartId="6261a3ed95c640a281306a9860e3ec86" PartId="edc118c07140433286063532e2dc88ad">
        <Part Type="punktas" Nr="22.1" Abbr="12 pr. 22.1 p." DocPartId="25b913d5517749cabb60a97155d19cb3" PartId="ed604db2893c42f2b7ccfdddaff9bba6"/>
        <Part Type="punktas" Nr="22.2" Abbr="12 pr. 22.2 p." DocPartId="95e893f8efd64e5eadb66be82194cf2d" PartId="9b09c1c714da4a93b87015e9871cfcf6"/>
        <Part Type="punktas" Nr="22.3" Abbr="12 pr. 22.3 p." DocPartId="fd1a0b69c10a48deafc5f11f5c310790" PartId="965b4fb6cb0f45ca90af8ea27cb272e1"/>
        <Part Type="punktas" Nr="22.4" Abbr="12 pr. 22.4 p." DocPartId="8143ddbdcd1d4101b0a13c21af1b50d0" PartId="7c751f81ce814c4ab95819b809277c5a"/>
      </Part>
      <Part Type="punktas" Nr="23" Abbr="12 pr. 23 p." DocPartId="2ade3abc544e4de58a8b49dedeb6b35b" PartId="08b03d77e557413da25f527f188e6b55"/>
      <Part Type="punktas" Nr="24" Abbr="12 pr. 24 p." DocPartId="e71a1ac78638424094051e43f3cbd63f" PartId="1cc6bf0f0eb148558840587a08c18168"/>
      <Part Type="punktas" Nr="25" Abbr="12 pr. 25 p." DocPartId="ab5014b9fbd84dc2836290e3a78d476b" PartId="374ba918a46940259d585f6699efa03e"/>
      <Part Type="punktas" Nr="26" Abbr="12 pr. 26 p." DocPartId="52f7a24bfc1a413eac465ccdf654dac0" PartId="99fbde238244454d929496f7472cf9c8"/>
      <Part Type="punktas" Nr="27" Abbr="12 pr. 27 p." DocPartId="61380c6d59154f7a8ab948858ff4a0b9" PartId="08a0246fb64c42f99ad3a3d1ccaccd49"/>
      <Part Type="punktas" Nr="28" Abbr="12 pr. 28 p." DocPartId="1ff954cf88fe4161a79e96f5024ddff5" PartId="881a31b2a8694ea4a0f66015022ff74f"/>
      <Part Type="punktas" Nr="29" Abbr="12 pr. 29 p." DocPartId="3d7c23e7ecd94a29a853a18d1adb1347" PartId="889dc8ce45164abe9d06e0fe09be0bec"/>
    </Part>
    <Part Type="skyrius" Nr="3" Title="BENDRIEJI REIKALAVIMAI TRAUKINIO MAŠINISTO IR DARBUOTOJO, KURIO DARBAS SUSIJĘS SU GELEŽINKELIŲ TRANSPORTO EISMU, SVEIKATOS BŪKLEI" DocPartId="c1c376efe86c4da798f172bae7169940" PartId="d8e4dc2f2ea94f50948a2e36d6f7d472">
      <Part Type="punktas" Nr="30" Abbr="12 pr. 30 p." DocPartId="c78fdb8b134a47f3a3373b7140bbb7c3" PartId="deb3568d05694f689b4ba35b29af6d86">
        <Part Type="punktas" Nr="30.1" Abbr="12 pr. 30.1 p." DocPartId="5231f46d65e54ef39138b149cefa64eb" PartId="ac1e679baa4346feb570a62367fde790"/>
        <Part Type="punktas" Nr="30.2" Abbr="12 pr. 30.2 p." DocPartId="1eb94885688e44db92f284b4fb445690" PartId="a60a1532a27442a2bd9e95930f78743b"/>
        <Part Type="punktas" Nr="30.3" Abbr="12 pr. 30.3 p." DocPartId="2402ee4896f54c4392c3085d0f06a930" PartId="7e2a352ebf9542ed8394a223f98459ef"/>
        <Part Type="punktas" Nr="30.4" Abbr="12 pr. 30.4 p." DocPartId="da91c9bc353d4017ab75793568c41f7d" PartId="f11faeda6d56452d9cdab6b0092c3735"/>
        <Part Type="punktas" Nr="30.5" Abbr="12 pr. 30.5 p." DocPartId="b78dc55a7cae46ccaf7676422d2787b8" PartId="0803d6523d234fc09a622b188dfd1edc"/>
      </Part>
      <Part Type="punktas" Nr="31" Abbr="12 pr. 31 p." DocPartId="a45900e752594350b9f30da306f73034" PartId="d40690d33cb841ff884bcee6dade77b7">
        <Part Type="punktas" Nr="31.1" Abbr="12 pr. 31.1 p." DocPartId="650b73246b4144d8a4294499bf2ea02e" PartId="357b7930674f4f7893623c138e6ec54d">
          <Part Type="punktas" Nr="31.1.1" Abbr="12 pr. 31.1.1 p." DocPartId="f43e67aa7a5f4969b1e15c7601513d93" PartId="0e618dc997b44afd8e82439637cd40ad"/>
          <Part Type="punktas" Nr="31.1.2" Abbr="12 pr. 31.1.2 p." DocPartId="774261c51c9643aab29faf8470e1a46b" PartId="eb236b0f996e4b45b97a31027fe6aaa7"/>
        </Part>
        <Part Type="punktas" Nr="31.2" Abbr="12 pr. 31.2 p." DocPartId="965e3941649c4e87844f62bd03942dbb" PartId="f86f380e05d54648aa1c470ba61c48f6"/>
        <Part Type="punktas" Nr="31.3" Abbr="12 pr. 31.3 p." DocPartId="60827e46a5204116b82a63cd714eed99" PartId="eaea04af30334b0ebeb5ef35014d265a"/>
        <Part Type="punktas" Nr="31.4" Abbr="12 pr. 31.4 p." DocPartId="3c9665d28b0b4d2db46cf77a0988ec6c" PartId="8cd9c1e9a37c43ddb4501f045a6c41aa">
          <Part Type="punktas" Nr="31.4.1" Abbr="12 pr. 31.4.1 p." DocPartId="2d3ebcf60b094c468bb64fabad795ea7" PartId="c6d299dd074c439fb1aa72b5b503beb8"/>
          <Part Type="punktas" Nr="31.4.2" Abbr="12 pr. 31.4.2 p." DocPartId="febfe0709d754359999899f220325d0d" PartId="f6270ea384ca444089c09c4ea83fb529"/>
        </Part>
        <Part Type="punktas" Nr="31.5" Abbr="12 pr. 31.5 p." DocPartId="0db321aea0aa4cf8b582774791b6562b" PartId="5c4d67f9fdfc41c2b6a1b243e16f7594"/>
        <Part Type="punktas" Nr="31.6" Abbr="12 pr. 31.6 p." DocPartId="9513cee916ba4a21beb296f8bcf44e31" PartId="a314cb66be90478c84f6f78e0ebb508f"/>
        <Part Type="punktas" Nr="31.7" Abbr="12 pr. 31.7 p." DocPartId="0cdfc09ffad74a518da9cfb1a5c29c8d" PartId="f53d35ed0ce54853aa7cb44aa24eb6f1">
          <Part Type="punktas" Nr="31.7.1" Abbr="12 pr. 31.7.1 p." DocPartId="81c93b86f12649a9ad728bb28bc584cc" PartId="60c85ee2c99f4ebaa76b0f4be320519d"/>
          <Part Type="punktas" Nr="31.7.2" Abbr="12 pr. 31.7.2 p." DocPartId="bcce3220bfad49c0a4fa9a9507d89d4a" PartId="36ccfc937ddb47d086c5522c0eac80ba"/>
        </Part>
        <Part Type="punktas" Nr="31.8" Abbr="12 pr. 31.8 p." DocPartId="29ececced94d4c72a080713fa8d96ec9" PartId="40e1c97babf04834ae2e8e40328cd7a2">
          <Part Type="punktas" Nr="31.8.1" Abbr="12 pr. 31.8.1 p." DocPartId="8e9dfbef74364d54a1f3f358d994ceed" PartId="131635e3fd234d8db3782d30797dd6a5"/>
          <Part Type="punktas" Nr="31.8.2" Abbr="12 pr. 31.8.2 p." DocPartId="a2fac022d5424f14ae381da1d87bc00d" PartId="ecd9150bfa0d499fbb22775165ae92ec"/>
        </Part>
        <Part Type="punktas" Nr="31.9" Abbr="12 pr. 31.9 p." DocPartId="e5d9cf30696845018a143e32b95a90af" PartId="a27c991a01d74ec3ba735e060e9d514e"/>
        <Part Type="punktas" Nr="31.10" Abbr="12 pr. 31.10 p." DocPartId="9249e1e035db4642a5c24267c0c432c2" PartId="bb184129a37b42a49103c08550031ee9"/>
        <Part Type="punktas" Nr="31.11" Abbr="12 pr. 31.11 p." DocPartId="d558505ec23448b4901f8875916acc69" PartId="a3d178394bfd4b1d851d2fffd63dd3ce"/>
        <Part Type="punktas" Nr="31.12" Abbr="12 pr. 31.12 p." DocPartId="e2c3be672ca64d0780602d0851fa3a87" PartId="4abfc5d5e3f14673903350832f223db0">
          <Part Type="punktas" Nr="31.12.1" Abbr="12 pr. 31.12.1 p." DocPartId="12fed7808c5e46739e4d2361cfb7f037" PartId="7c0fca14c62b4098a99a021d8c013e15"/>
          <Part Type="punktas" Nr="31.12.2" Abbr="12 pr. 31.12.2 p." DocPartId="83a51d14f0124d1c80ed433138c23334" PartId="11fa024a8458467bb72bfff8b327e362"/>
        </Part>
        <Part Type="punktas" Nr="31.13" Abbr="12 pr. 31.13 p." DocPartId="a5de582dc8804d6f87583f5eaae9169d" PartId="5dc1a86ff37d485e99b6f1fa0797f131"/>
        <Part Type="punktas" Nr="31.14" Abbr="12 pr. 31.14 p." DocPartId="c209ec559c5e492681497a3e5a59afb3" PartId="8a4dafa6e86b4668bccf41f69573ccf0"/>
      </Part>
      <Part Type="punktas" Nr="32" Abbr="12 pr. 32 p." DocPartId="4de3c98ab2a14e19bc9a658b65c459d4" PartId="d222a52fb50c46b19fa9d78774cd7c1b">
        <Part Type="punktas" Nr="32.1" Abbr="12 pr. 32.1 p." DocPartId="c1dfac7cfd7240bda94b859c53fc8b73" PartId="ca5e7516b8be4cae8b1ba808dcfd5720">
          <Part Type="punktas" Nr="32.1.1" Abbr="12 pr. 32.1.1 p." DocPartId="a1f6c1e58ab1402a8f1c1e7faba45438" PartId="3f74a4f491ba4650962aa3b4b76b9dc8"/>
          <Part Type="punktas" Nr="32.1.2" Abbr="12 pr. 32.1.2 p." DocPartId="fdfbc7c995ed4c28a5f144ea3352e365" PartId="b539cfa995c44f0aa48afe47b603acc5"/>
        </Part>
        <Part Type="punktas" Nr="32.2" Abbr="12 pr. 32.2 p." DocPartId="15f2878d41c14933ba18898ceede9cb5" PartId="c79f8fd167ae44c9927b33b1aec0a9fa"/>
        <Part Type="punktas" Nr="32.3" Abbr="12 pr. 32.3 p." DocPartId="c0fdbe425292459e9cba636626672b6c" PartId="73d74b00dd5b4b4ca7f3206aa76228bd"/>
        <Part Type="punktas" Nr="32.4" Abbr="12 pr. 32.4 p." DocPartId="394a4b67594f4fecb6e9e93c729007b6" PartId="9ac8b773f7364e46a2d4df480fdfefbd"/>
      </Part>
      <Part Type="punktas" Nr="33" Abbr="12 pr. 33 p." DocPartId="f49d8e68cc6b433197c65fd2fb8f1e6d" PartId="b5c7b0b578f244729491570d75954096">
        <Part Type="punktas" Nr="33.1" Abbr="12 pr. 33.1 p." DocPartId="e99982ca0c954b65812a531fc3b09cfd" PartId="b7784fc94c324826912410ddb16af185"/>
        <Part Type="punktas" Nr="33.2" Abbr="12 pr. 33.2 p." DocPartId="392d0a74cbaa43aa99a7e7ba7351882c" PartId="35b635caf1e14099a169f61fa70fc3d1"/>
        <Part Type="punktas" Nr="33.3" Abbr="12 pr. 33.3 p." DocPartId="022acfb825c34aedb671d7167e7a7a5c" PartId="d0b23ec0059246d6a8f3b36482d98923"/>
        <Part Type="punktas" Nr="33.4" Abbr="12 pr. 33.4 p." DocPartId="e5c568b343f04080950f817b2c9588dc" PartId="d0537561503e45199ca6a947f6212dcc"/>
        <Part Type="punktas" Nr="33.5" Abbr="12 pr. 33.5 p." DocPartId="3dae0699f9cd4c26b3066a69e3594fed" PartId="00875e3b736b410d99e748e330cfdcc3"/>
      </Part>
      <Part Type="punktas" Nr="34" Abbr="12 pr. 34 p." DocPartId="60e14bea2c6647e4aab977a89ed8ead1" PartId="c96266a0686d4029b7157229d4465e8d"/>
    </Part>
    <Part Type="skyrius" Nr="4" Title="PRIEŠ PRIIMANT Į MOKYMO ĮSTAIGĄ ARBA Į DARBĄ ATLIKTINI BŪTINIAUSI SVEIKATOS PATIKRINIMAI" DocPartId="b77cbaa7cff04e29bdcae82688567722" PartId="f511e02c493a45778464059dffb75368">
      <Part Type="punktas" Nr="35" Abbr="12 pr. 35 p." DocPartId="80929f469c064e5a8686591d99a16edf" PartId="438625043f7343f5847f4518d8ba8911"/>
      <Part Type="punktas" Nr="36" Abbr="12 pr. 36 p." DocPartId="51014aaac58745f0aeacf085f509d5ee" PartId="ea457b53610545f681211cd2e82d83bb">
        <Part Type="punktas" Nr="36.1" Abbr="12 pr. 36.1 p." DocPartId="2806ed129f204cc4951d75d134bdd398" PartId="436fdc6c691740a2a38a80178c2e6663">
          <Part Type="punktas" Nr="36.1.1" Abbr="12 pr. 36.1.1 p." DocPartId="628d9a89628c478493a46a4bc02d1b16" PartId="c7088d2f711d4f35ac0fd8b63c2d3a53"/>
          <Part Type="punktas" Nr="36.1.2" Abbr="12 pr. 36.1.2 p." DocPartId="ea82e96fb8b2498990dc593fd45a495e" PartId="8ead3b1e458146ea92b8f6f5c91c165c"/>
          <Part Type="punktas" Nr="36.1.3" Abbr="12 pr. 36.1.3 p." DocPartId="639d6768ba30452e97e73159be5b5e3d" PartId="fef262ddfa454834bb6190db158c8018"/>
          <Part Type="punktas" Nr="36.1.4" Abbr="12 pr. 36.1.4 p." DocPartId="d27cb75ccab44c108593305a8f8faa19" PartId="f34be6369ed541a59d3ce0e4ca17d893"/>
          <Part Type="punktas" Nr="36.1.5" Abbr="12 pr. 36.1.5 p." DocPartId="f201f5779b324ae998dd0384425a32dd" PartId="84038b237eea43568ab8e46a6b6487b1"/>
          <Part Type="punktas" Nr="36.1.6" Abbr="12 pr. 36.1.6 p." DocPartId="21f082a0dccf4fd2b3c23b2004bc0b09" PartId="bb3a2da4dbd0470496c427a5c6e1b5bb">
            <Part Type="punktas" Nr="36.1.6.1" Abbr="12 pr. 36.1.6.1 p." DocPartId="e821b36ec974434da26a0ddb0486cc08" PartId="8d8dc9a994cb4f7ab0e8d808693ba5c5"/>
            <Part Type="punktas" Nr="36.1.6.2" Abbr="12 pr. 36.1.6.2 p." DocPartId="b0c843c50e8e441e9c76b6ea832841ab" PartId="cedb97dab54343dc91f521ca2e6eacad"/>
          </Part>
          <Part Type="punktas" Nr="36.1.7" Abbr="12 pr. 36.1.7 p." DocPartId="1a243bf8d2aa4b49aea1bf5eaedc414b" PartId="58d4c28e82d4424aa84f0f36803c651f"/>
        </Part>
        <Part Type="punktas" Nr="36.2" Abbr="12 pr. 36.2 p." DocPartId="30120d90216f4e5bb880311a7a3a4861" PartId="adc493ee7602418e82ddcc6016f48352">
          <Part Type="punktas" Nr="36.2.1" Abbr="12 pr. 36.2.1 p." DocPartId="6cd069b5c039409c8ca93a862d498e27" PartId="6e694e08feda4b09ba5139da6d00d77c"/>
          <Part Type="punktas" Nr="36.2.2" Abbr="12 pr. 36.2.2 p." DocPartId="419c5fca39704350a75c3c97e99834c6" PartId="9421d8b70184460b97755e5491f2e161"/>
        </Part>
        <Part Type="punktas" Nr="36.3" Abbr="12 pr. 36.3 p." DocPartId="c0add262af6c4475958ed92fd5f99e52" PartId="fbbad57886a84900b5cf926507e125b4">
          <Part Type="punktas" Nr="36.3.1" Abbr="12 pr. 36.3.1 p." DocPartId="931614f79aad4b6bbfc6979ba24571a3" PartId="95751bf7ba1f4743b2fe8ca1e55c1678"/>
          <Part Type="punktas" Nr="36.3.2" Abbr="12 pr. 36.3.2 p." DocPartId="e9a1ff7d620244199a6b2b0a654918de" PartId="46c770e9bd3848d699cdd4267a5e09d4"/>
          <Part Type="punktas" Nr="36.3.3" Abbr="12 pr. 36.3.3 p." DocPartId="366af7b2732445b99ab502d0969081ce" PartId="16b43914f0bb446686ee709b3f6bae73"/>
        </Part>
      </Part>
      <Part Type="punktas" Nr="37" Abbr="12 pr. 37 p." DocPartId="bcc61d54a9724bd890512dcadf2ace27" PartId="f9b98a1c7def47a58e623070b1425812"/>
      <Part Type="punktas" Nr="38" Abbr="12 pr. 38 p." DocPartId="95c3614207524cb692880fb2ee38d134" PartId="8e1129612d0b47828778366a0211f71c"/>
      <Part Type="punktas" Nr="39" Abbr="12 pr. 39 p." DocPartId="16930a756b074b8a932d4da619061de1" PartId="113c3da11b6a4c34a848c7172d22a8bf"/>
      <Part Type="punktas" Nr="40" Abbr="12 pr. 40 p." DocPartId="f4b87a3562df42ca9881eac26acb8a63" PartId="1a4e5914601a44b49188a73d61033b85"/>
      <Part Type="punktas" Nr="41" Abbr="12 pr. 41 p." DocPartId="57c6db5c7e024fff99cf7c1debc382f5" PartId="9641c5fe0f7440ee93fe4b97a62267a0"/>
      <Part Type="punktas" Nr="42" Abbr="12 pr. 42 p." DocPartId="d99eab5360f3445aafaa670f4192dc9f" PartId="8ca96ecdfea14f2ab37d8381cc058b75">
        <Part Type="punktas" Nr="42.1" Abbr="12 pr. 42.1 p." DocPartId="1bd7b94aa6d14a79939ff0efba7463e6" PartId="f2c1a7ef7d4140d1b4a45f1e84356cfc">
          <Part Type="punktas" Nr="42.1.1" Abbr="12 pr. 42.1.1 p." DocPartId="de6fe502a6d744a280b8376cc2a020e0" PartId="9290d05568464b5d9202c5d1297fb6d0"/>
          <Part Type="punktas" Nr="42.1.2" Abbr="12 pr. 42.1.2 p." DocPartId="7b25e1fb7c7d45068ed67c41e1f877ed" PartId="26281daba2404e5da189ac72a3df3245"/>
          <Part Type="punktas" Nr="42.1.3" Abbr="12 pr. 42.1.3 p." DocPartId="f41cdc6a101e4fce990fcda469ea353f" PartId="2706735f1be74d7cb639582aea157c1d"/>
          <Part Type="punktas" Nr="42.1.4" Abbr="12 pr. 42.1.4 p." DocPartId="070864cd514a4813877bc62ab6e8e40f" PartId="e263a1cc2d034797be899618205a0f5d"/>
          <Part Type="punktas" Nr="42.1.5" Abbr="12 pr. 42.1.5 p." DocPartId="08590e5b8a80401ba3345a7057148a60" PartId="3c7ae568824248749f06f7b92655fc20"/>
        </Part>
        <Part Type="punktas" Nr="42.2" Abbr="12 pr. 42.2 p." DocPartId="2446634884284f978999f375c54afcb1" PartId="f929626ae7434ec0a9f0c0630d2edea0"/>
        <Part Type="punktas" Nr="42.3" Abbr="12 pr. 42.3 p." DocPartId="52fb54ff9eb345948df579ce4a5ce438" PartId="7b23a5a8d1ba41af8ef4cd96d897c6e9"/>
        <Part Type="punktas" Nr="42.4" Abbr="12 pr. 42.4 p." DocPartId="fa959a7b6e774dc198c54cb546683acc" PartId="31f0aad933644107ae99e67532fa48bb"/>
      </Part>
      <Part Type="punktas" Nr="43" Abbr="12 pr. 43 p." DocPartId="c04e5b1f6d6e4e3e9ddaa791d7d96ae7" PartId="2dd6e86783d1472883c02f2e5aea0742">
        <Part Type="punktas" Nr="43.1" Abbr="12 pr. 43.1 p." DocPartId="44e3fe81598840dcb3cf82a311a797ed" PartId="da1f038d473c4c028b327a0dbc6acaa1"/>
        <Part Type="punktas" Nr="43.2" Abbr="12 pr. 43.2 p." DocPartId="d45c2d6782e44fcfb07e1a0a651afa15" PartId="c8527ddeebf54589af07f308c9f89e15"/>
      </Part>
      <Part Type="punktas" Nr="44" Abbr="12 pr. 44 p." DocPartId="f4a9116f26a544b5a99099e57ddb92cc" PartId="6ee185065db34791981a24f6744f2763"/>
    </Part>
    <Part Type="skyrius" Nr="5" Title="PERIODINIAI DARBUOTOJŲ SVEIKATOS PATIKRINIMAI IR BŪTINIAUSI PERIODINIO SVEIKATOS PATIKRINIMO REIKALAVIMAI" DocPartId="dac9a6d0255d4b00b8c974d97aa72236" PartId="fd42abe091ab4a17a3eb3f9d60a0bab2">
      <Part Type="punktas" Nr="45" Abbr="12 pr. 45 p." DocPartId="0bb49be9e57645ae808be2b82e15fcdb" PartId="9d79114995a444a6bda6848576ab67b4">
        <Part Type="punktas" Nr="45.1" Abbr="12 pr. 45.1 p." DocPartId="df0a3d5b320d43178f1c44a0e501e17a" PartId="688f59a5e7cc43049855cef0dc48d8f1"/>
        <Part Type="punktas" Nr="45.2" Abbr="12 pr. 45.2 p." DocPartId="0a828c2d5aa8417585c7ffaf10d753ad" PartId="bddf3439affd4ffd85cc3880355e0fe7"/>
        <Part Type="punktas" Nr="45.3" Abbr="12 pr. 45.3 p." DocPartId="a59db0b663f34a6d81e7836c6410cb3a" PartId="f806c7ce52984da4904b4e1be9a25f49"/>
        <Part Type="punktas" Nr="45.4" Abbr="12 pr. 45.4 p." DocPartId="e8c6c0c3068f46f38f0d12aab754a5e7" PartId="b8648f6c80c1491eab90583876816aae"/>
        <Part Type="punktas" Nr="45.5" Abbr="12 pr. 45.5 p." DocPartId="a547bc533f5e424a8578152d8fc1261a" PartId="97101217ec6743d09cd0995ed6b14eec">
          <Part Type="punktas" Nr="45.5.1" Abbr="12 pr. 45.5.1 p." DocPartId="dba3a232be1244ad80922041b9c718bc" PartId="e3ff855a90ba4037af19e845dff49254"/>
          <Part Type="punktas" Nr="45.5.2" Abbr="12 pr. 45.5.2 p." DocPartId="e50506e4e1b0460e94121308da9841e8" PartId="e59f1c0db1ff495d9a3195f62f516f71"/>
          <Part Type="punktas" Nr="45.5.3" Abbr="12 pr. 45.5.3 p." DocPartId="6dba558b46174b0596646e7365187e53" PartId="b71a96452e9a40dcafb8df0c6993081e"/>
          <Part Type="punktas" Nr="45.5.4" Abbr="12 pr. 45.5.4 p." DocPartId="00d51699ec734c429b454c70399d5898" PartId="9e6202146e9e488d8ced80cbfe7ac17c"/>
        </Part>
      </Part>
      <Part Type="punktas" Nr="46" Abbr="12 pr. 46 p." DocPartId="0e169fe23bc64dc393b283acf61583a2" PartId="68fb33d330014086819d7c1344dd8c82">
        <Part Type="punktas" Nr="46.1" Abbr="12 pr. 46.1 p." DocPartId="688c2347a4cb4ff88e5f39dc81cdea58" PartId="1610657fc7e740a381ca5d77b56da028"/>
        <Part Type="punktas" Nr="46.2" Abbr="12 pr. 46.2 p." DocPartId="7d3a5cfcee2543b5848cd85153754977" PartId="9be872f0af4e4c76b9c245f4f801d26f"/>
        <Part Type="punktas" Nr="46.3" Abbr="12 pr. 46.3 p." DocPartId="175a87ff5813402fa358368d84dfc82f" PartId="1fd979c1dd6440948ad27a8e94439c04"/>
        <Part Type="punktas" Nr="46.4" Abbr="12 pr. 46.4 p." DocPartId="b913f9ce6b21498fa297c5476f6a4fcf" PartId="106530b9e9114c57b8aa7e363f7b9834"/>
        <Part Type="punktas" Nr="46.5" Abbr="12 pr. 46.5 p." DocPartId="0c12333d89b04b1fa100b18f99cf8672" PartId="4093d6be72f14eee87cb6f78735f7748"/>
        <Part Type="punktas" Nr="46.6" Abbr="12 pr. 46.6 p." DocPartId="bd4d99302ede42e9af2ad27412faf686" PartId="9e0a9325f4f6487bbab96559a5391e64"/>
      </Part>
    </Part>
    <Part Type="skyrius" Nr="6" Title="BAIGIAMOSIOS NUOSTATOS" DocPartId="d3e13037e90043d486bfbbe80b41d79f" PartId="bfcf35bfff24491fafe2cc312faaee63">
      <Part Type="punktas" Nr="47" Abbr="12 pr. 47 p." DocPartId="4f56054bfbc741f4b9e764b3891f43f2" PartId="b53ae6a954cb4681be092e1c6d58f0b8"/>
      <Part Type="punktas" Nr="48" Abbr="12 pr. 48 p." DocPartId="341ee6a6a35046dabc07e6cdb704a183" PartId="328a178ddb3b47ce80e7bd2c6acb069e"/>
      <Part Type="punktas" Nr="49" Abbr="12 pr. 49 p." DocPartId="5291bbd9e2aa4c9e8c164ee3d4ffda26" PartId="eeb72d2fe9c5460891606b30922ff505"/>
      <Part Type="punktas" Nr="50" Abbr="12 pr. 50 p." DocPartId="db1d60783f694b138ef17df184a1c822" PartId="c9ed5804398d44b980c718b03b5443f0"/>
      <Part Type="lentele" DocPartId="873f717ae1b94e9a9dd143ae2ce12f9b" PartId="f7ff817d826645c9bdc9b5f076af4ee7">
        <Part Type="punktas" Nr="1" Abbr="12 pr. 1 p." DocPartId="9fb821a892004a9c8af9bc54705ff522" PartId="a2a1703406d040a4b7e2d5bfac8f4367"/>
        <Part Type="punktas" Nr="2" Abbr="12 pr. 2 p." DocPartId="cf2bbf1abf0f471f9d27a5487c4f0ccd" PartId="8d7388ed9db7464b946fc272fb1206c0"/>
        <Part Type="punktas" Nr="3" Abbr="12 pr. 3 p." DocPartId="c943929192dd431ca0a55c0b06e10990" PartId="011de965a61048bca96edb3b00b2dd95"/>
      </Part>
      <Part Type="lentele" DocPartId="bbe97a2e11c443f69b32f8b8dd8bb54a" PartId="0c21bcd121574730b780c7f2dc48b52c"/>
    </Part>
  </Part>
  <Part Type="priedas" Nr="13" Abbr="13 pr." Title="ASMENŲ, DIRBANČIŲ DARBO APLINKOJE, KURIOJE GALIMA PROFESINĖ RIZIKA (KENKSMINGŲ VEIKSNIŲ POVEIKIS IR (AR) PAVOJINGAS DARBAS), PRIVALOMO SVEIKATOS TIKRINIMO TVARKOS APRAŠAS" DocPartId="a665bb884ec043e7936f77c673fc2492" PartId="863d39c30cdc4b52a8c6cc4d32d4bdf5">
    <Part Type="skyrius" Nr="1" Title="BENDROSIOS NUOSTATOS" DocPartId="ae9014495e994994a06703c2fab0796d" PartId="5f06be7b7457448182516d0cc4b48329">
      <Part Type="punktas" Nr="1" Abbr="13 pr. 1 p." DocPartId="b719bc1c94f448a6808d0a18da709156" PartId="41be27b444ff4b2fb994620af8dd4310"/>
      <Part Type="punktas" Nr="2" Abbr="13 pr. 2 p." DocPartId="42b069b0d296470fa1809f297d661238" PartId="cdff958ff76f44e9a2f2b5d9532b319d"/>
      <Part Type="punktas" Nr="3" Abbr="13 pr. 3 p." DocPartId="40a1ed09eca046bba1c0f685505a2e47" PartId="4db38ee772db42ae86a8bfcee7342396"/>
      <Part Type="punktas" Nr="4" Abbr="13 pr. 4 p." DocPartId="81492ac278ab438eaabbc3fcbf432f90" PartId="1c039a9bee404d85a49396f9c939d5aa"/>
      <Part Type="punktas" Nr="5" Abbr="13 pr. 5 p." DocPartId="75f621dec49d4982ad435bba864496d7" PartId="28dfbc2a02c04180ab5b358d2f327581">
        <Part Type="punktas" Nr="5.1" Abbr="13 pr. 5.1 p." DocPartId="f5d19306e4bc4efaa1b4a0569c8c2eeb" PartId="9c024c3a8ce94270b36acac793660938"/>
        <Part Type="punktas" Nr="5.2" Abbr="13 pr. 5.2 p." DocPartId="1f28c6d2834d4b3dae703930fc9476af" PartId="2891d33f5d3949dbb20a75777abe1726"/>
        <Part Type="punktas" Nr="5.3" Abbr="13 pr. 5.3 p." DocPartId="8539d7523bb74367b93d55ac23772fe6" PartId="07eb0034cc7e44df90b634cbf4099105"/>
        <Part Type="punktas" Nr="5.4" Abbr="13 pr. 5.4 p." DocPartId="e2764847f6a947c0b3a270d66e83bc62" PartId="444282bd612d41c0acc3cc9d61d1269e"/>
      </Part>
      <Part Type="punktas" Nr="6" Abbr="13 pr. 6 p." DocPartId="d06d82edad094090a22ad95b694b7f13" PartId="a749b58c9b384a1189eae48242a4777d"/>
    </Part>
    <Part Type="skyrius" Nr="2" Title="PRIVALOMO SVEIKATOS TIKRINIMO TVARKA" DocPartId="6c285bd91ded46df8f09bde7e4995783" PartId="9ebb2ce01cc84154a4908eb5fd2cca07">
      <Part Type="punktas" Nr="7" Abbr="13 pr. 7 p." DocPartId="30680798527648cfa6c2736827734f05" PartId="8f6aa7b62f9e4783b75434b089b70cb9">
        <Part Type="punktas" Nr="7.1" Abbr="13 pr. 7.1 p." DocPartId="9913f58f45124fea8bb0bb9916b4f248" PartId="85c087a482b04a348ab0092b594ce724"/>
        <Part Type="punktas" Nr="7.2" Abbr="13 pr. 7.2 p." DocPartId="0cf292a12d6a4ba8adbe3393a40ea9aa" PartId="61682c05cf454b8a870f1756fb58ea64"/>
        <Part Type="punktas" Nr="7.3" Abbr="13 pr. 7.3 p." DocPartId="b0ab1b8ab8844126b4e08274153934f5" PartId="a26b63efab0e4781abed941e26b39f1b"/>
        <Part Type="punktas" Nr="7.4" Abbr="13 pr. 7.4 p." DocPartId="0049d2997ca94b89b7c3d2cc3dafeab5" PartId="8aecf1a8f76d45698c53f4d4ff73e0b8"/>
        <Part Type="punktas" Nr="7.5" Abbr="13 pr. 7.5 p." DocPartId="d3a9f71fe5964dbaad7df6dbb3e8e065" PartId="993fea31494f4f9d8624d2442b99dbe5"/>
      </Part>
      <Part Type="punktas" Nr="8" Abbr="13 pr. 8 p." DocPartId="57a71d9430934e508d250d8005253f99" PartId="fc6c45806ee040729bf833f15545695c"/>
      <Part Type="punktas" Nr="9" Abbr="13 pr. 9 p." DocPartId="acaf84c5085b4b4b8717bc713bedf7ab" PartId="2ff4ab6837be459aabb1d06417a4934c">
        <Part Type="punktas" Nr="9.1" Abbr="13 pr. 9.1 p." DocPartId="a86efe8c450c488dacf42335aaab5825" PartId="ea9b77c0747041d481b019b8da03e7df"/>
        <Part Type="punktas" Nr="9.2" Abbr="13 pr. 9.2 p." DocPartId="73c46465f1524d088a7d06b8c3496464" PartId="51c57afa63bb4416b1c5a3a616c07a9e"/>
        <Part Type="punktas" Nr="9.3" Abbr="13 pr. 9.3 p." DocPartId="c6f0ec3b47d74723b34182dedd9f1131" PartId="44f25c286c1c474fa3a0f525e14fc941"/>
        <Part Type="punktas" Nr="9.4" Abbr="13 pr. 9.4 p." DocPartId="2307bd7931c54a449494c5c130ac4abf" PartId="2529ba8d4c5d4cfdba2ff4d9ff535b70"/>
        <Part Type="papunktis" Nr="9.5" Abbr="9.5 pp." DocPartId="eb8fcbc1df6d47f585396b858e119f3f" PartId="ecd90fb37b19407e839b28c2474140b8"/>
      </Part>
      <Part Type="punktas" Nr="10" Abbr="13 pr. 10 p." DocPartId="183319e4171c4e55af316db0e8a6b844" PartId="39383f72a3a844b0a0459d0785a79a1f">
        <Part Type="punktas" Nr="10.1" Abbr="13 pr. 10.1 p." DocPartId="559eabb679944498a63f58c369856341" PartId="a9b7eb8a78ca47f0ad9380dc55de9936"/>
        <Part Type="punktas" Nr="10.2" Abbr="13 pr. 10.2 p." DocPartId="e8b509baa1c64a5cbf3c41a2385ee4f9" PartId="29f040cf1c644f8fb60fc70a75718a3b"/>
        <Part Type="punktas" Nr="10.3" Abbr="13 pr. 10.3 p." DocPartId="c00f46a13681427286bcedda2211daf3" PartId="22774cdfd4af40a9b6eadb1ddc0597ed"/>
        <Part Type="punktas" Nr="10.4" Abbr="13 pr. 10.4 p." DocPartId="1612858aa219479c96793522dc4c8af2" PartId="6f6426ca9d53490dba3127077b716561"/>
      </Part>
      <Part Type="punktas" Nr="11" Abbr="13 pr. 11 p." DocPartId="594cd81cd0bc482487f228adddb36a8b" PartId="3ff01f25ef364bc8a59d0e34e45004b9"/>
      <Part Type="punktas" Nr="12" Abbr="13 pr. 12 p." DocPartId="8db55781ba5a4c9ea91ec273849b4609" PartId="9034792f355144e18f7ec16d0af11713"/>
      <Part Type="punktas" Nr="13" Abbr="13 pr. 13 p." DocPartId="5c80f85334ef4775bf6cbaa125a1caed" PartId="f7d9d10e0ed54428982d701534bc7025"/>
      <Part Type="punktas" Nr="14" Abbr="13 pr. 14 p." DocPartId="47b5921b74384ec0b688e8ee2fb5640b" PartId="57d9d70244934bd282542798d790af49"/>
      <Part Type="punktas" Nr="15" Abbr="13 pr. 15 p." DocPartId="bd7b185fef614998b870a125626769e3" PartId="d06974d490d44256973f10c2e9473188"/>
      <Part Type="punktas" Nr="16" Abbr="13 pr. 16 p." DocPartId="b7ed9d86cc984c8f9ae485f9f6698bc5" PartId="ac200da4c4664ff0986fc65cd4d63792"/>
      <Part Type="punktas" Nr="17" Abbr="13 pr. 17 p." DocPartId="84c36619c9b54f1b8cc786692f207e4a" PartId="215ed7b52a1044edae884ba078e5063f">
        <Part Type="punktas" Nr="17.1" Abbr="13 pr. 17.1 p." DocPartId="1b01d388e0c14abca4f38c4ea058896c" PartId="9bfaf8fceec64882ba793ce1c455e0da"/>
        <Part Type="punktas" Nr="17.2" Abbr="13 pr. 17.2 p." DocPartId="90d8fb43de6b436da6892af7873e25b7" PartId="4fb737dfe0a34e1db3ba3f6c9ffef544"/>
        <Part Type="punktas" Nr="17.3" Abbr="13 pr. 17.3 p." DocPartId="c2845a653cf9452c9b34600bc80fb6fe" PartId="22ed9193e9b04a2584cb896fabcb2248"/>
        <Part Type="punktas" Nr="17.4" Abbr="13 pr. 17.4 p." DocPartId="8164bd4efa5b4af5a6e64d8748e6a370" PartId="91f52745d0b24fe6bca5366c9f17366d"/>
        <Part Type="punktas" Nr="17.5" Abbr="13 pr. 17.5 p." DocPartId="8058af85913b4044a1b059f7e7382d11" PartId="72184eebbac24ed9bd3179ff90cd5be6"/>
        <Part Type="punktas" Nr="17.6" Abbr="13 pr. 17.6 p." DocPartId="8fdb2d90d23d493084cf85fd488c7474" PartId="c0a9f321358940f58657503fbdcb3353"/>
      </Part>
      <Part Type="punktas" Nr="18" Abbr="13 pr. 18 p." DocPartId="6cc3df896cea4e0cad64a56a60a8d45f" PartId="6f3bf7521a794d05b56dea416a12e9a8"/>
      <Part Type="punktas" Nr="19" Abbr="13 pr. 19 p." DocPartId="6b938baf89104e6ca87b31c8a52c6519" PartId="a3d877e0cd114ec892d3b01867b1eae1">
        <Part Type="papunktis" Nr="19.1" Abbr="19.1 pp." DocPartId="9edb485ad67c42398f80f78422ba7f67" PartId="cb8ee80f82084bbdb61b058855fd2eb7"/>
        <Part Type="papunktis" Nr="19.2" Abbr="19.2 pp." DocPartId="d9d6907d6ab44feba4e3c6224f380d13" PartId="9bcbc80f0fb3408590d5644c6802337a"/>
        <Part Type="papunktis" Nr="19.3" Abbr="19.3 pp." DocPartId="ea82319a690b40ac824144f9602bd27b" PartId="edf1b7aac38647e38f2f74d57fc0cfde"/>
      </Part>
      <Part Type="punktas" Nr="19-1" Abbr="19-1 p." DocPartId="53fe2a66ed2546f7878ae649522397c8" PartId="e186288a75384c44be0e92e8c774ce25"/>
    </Part>
    <Part Type="skyrius" Nr="3" Title="LIGŲ IR SVEIKATOS PROBLEMŲ, DĖL KURIŲ DRAUDŽIAMA DIRBTI DARBO APLINKOJE PROFESINĖS RIZIKOS (KENKSMINGŲ VEIKSNIŲ POVEIKIS IR (AR) PAVOJINGAS DARBAS) SĄLYGOMIS, SĄRAŠAS (BENDROSIOS KONTRAINDIKACIJOS)" DocPartId="22e85093c37141aca93dde7655fd56bc" PartId="8a420506ee0a4fb88ef17ae34c237da7">
      <Part Type="punktas" Nr="20" Abbr="13 pr. 20 p." DocPartId="a62f7bf3d51148f4a018efe25bb55b29" PartId="a32bbbff8bc540388f7566efa337bbda">
        <Part Type="punktas" Nr="20.1" Abbr="13 pr. 20.1 p." DocPartId="341ae1b0216a4553a55f0850611d5e79" PartId="f3ff7fc5cb6148c1b8d9b674b972d7e4"/>
        <Part Type="punktas" Nr="20.2" Abbr="13 pr. 20.2 p." DocPartId="285c3c7ae1d64bd1903e974e19e95b96" PartId="0760fe57aca0494bb634378c2bbb791d"/>
        <Part Type="punktas" Nr="20.3" Abbr="13 pr. 20.3 p." DocPartId="36258db585ec4fa486dc7ed71d8aa615" PartId="6cd69d21c5d24a6096b7b5f2a2e485d9"/>
        <Part Type="punktas" Nr="20.4" Abbr="13 pr. 20.4 p." DocPartId="0c71c3b6e061419182c472ec9110504e" PartId="264cdf4e07434a5595db188583ec76f1"/>
      </Part>
      <Part Type="punktas" Nr="21" Abbr="13 pr. 21 p." DocPartId="f94b787c18bf4579a9553294d7309fbf" PartId="b0b1c7185578481384e00309f53d421a">
        <Part Type="punktas" Nr="21.1" Abbr="13 pr. 21.1 p." DocPartId="ce2ac75aea0547ccbb4d061b9ff61628" PartId="db62ee7a076749e9af6cbafa7e4cfaaa"/>
        <Part Type="punktas" Nr="21.2" Abbr="13 pr. 21.2 p." DocPartId="f70af44825c44123a10730f695fc8b91" PartId="125b5bc5b4c44b32a2a1451cbc526b70"/>
        <Part Type="punktas" Nr="21.3" Abbr="13 pr. 21.3 p." DocPartId="c71de8a5d1704685b9006b5ad53bfe78" PartId="14b34ab46f954395b7d961b481094d7b"/>
        <Part Type="punktas" Nr="21.4" Abbr="13 pr. 21.4 p." DocPartId="2a09036f493542a4baf03b02548d3d68" PartId="2c81ac40b1c44e86aa26ae147f7cc17a">
          <Part Type="punktas" Nr="21.4.1" Abbr="13 pr. 21.4.1 p." DocPartId="d64ef0dbbcbf49bc94109baf93add6f7" PartId="93c5d6bfcb0742ed822492029b065179"/>
          <Part Type="punktas" Nr="21.4.2" Abbr="13 pr. 21.4.2 p." DocPartId="feca1d51fbc941ed96faeb227756fe6d" PartId="0fe85792ae6e4bfdbe3805b5d204553a"/>
          <Part Type="punktas" Nr="21.4.3" Abbr="13 pr. 21.4.3 p." DocPartId="a4f7cf9f3b4449038a826fe34099ccc6" PartId="2a50b04df63f4a5babea9a29bd99e5b5"/>
        </Part>
        <Part Type="punktas" Nr="21.5" Abbr="13 pr. 21.5 p." DocPartId="5a97c8bddf8240d8bdc6b43c5a1894ab" PartId="b4e6ce34c8bb4751a0a428b32d999392"/>
        <Part Type="punktas" Nr="21.6" Abbr="13 pr. 21.6 p." DocPartId="243eb3aaf3e54e31a3654060aaa5f1f8" PartId="8975c739c00049deafc0283be38ec3e8"/>
      </Part>
    </Part>
    <Part Type="skyrius" Nr="4" Title="BAIGIAMOSIOS NUOSTATOS" DocPartId="6364f87fe51247ed8865205f69c610ad" PartId="b5c728a06ab44851b2568b63233e8a70">
      <Part Type="punktas" Nr="22" Abbr="13 pr. 22 p." DocPartId="e2f60361aeeb4a7b80f5ee7e49e12f36" PartId="3fbf9480e64d4e1dafa7ce9a7b7f2eef"/>
      <Part Type="punktas" Nr="23" Abbr="13 pr. 23 p." DocPartId="b2c502bd55224b3d96f55faa8ee2216e" PartId="c8e8cb92b08a4264a5e588d5afe4bfbb"/>
      <Part Type="punktas" Nr="24" Abbr="13 pr. 24 p." DocPartId="dd6f8d7ffce2442d8342cfb8ba54ca70" PartId="29610328ceef454b8ee05c4fff66e229"/>
      <Part Type="punktas" Nr="25" Abbr="13 pr. 25 p." DocPartId="1689c2f61b544607a89105d72235b50a" PartId="a66b32c4e1d748f08bcbb8a667bd83e8"/>
      <Part Type="punktas" Nr="26" Abbr="13 pr. 26 p." DocPartId="ac3f5f8b2857431199dc023b8be5730d" PartId="5806785b971544a681df754010e3098d"/>
      <Part Type="punktas" Nr="27" Abbr="13 pr. 27 p." DocPartId="fa1ffa994ce6473484ea153aa520ddab" PartId="2c3677f1232d494983ffdf60d08d784b"/>
      <Part Type="punktas" Nr="28" Abbr="13 pr. 28 p." DocPartId="c2b35c69aa7845bc93c960d3e4f37d63" PartId="b5607618db764cd3ba5f653deebf282c"/>
      <Part Type="punktas" Nr="29" Abbr="13 pr. 29 p." DocPartId="e606bd45af99426d968b5610f7221d66" PartId="54cf3303a93442c69da2581b7bf3ad43"/>
      <Part Type="punktas" Nr="30" Abbr="13 pr. 30 p." DocPartId="c5855d15a06a4797be5a3556869e5e5d" PartId="c488fd38aad84e1286dd0ad73a145175"/>
      <Part Type="punktas" Nr="31" Abbr="13 pr. 31 p." DocPartId="435357ad3d3e41c9b547c52a1e8d027d" PartId="01bfcdd64dd74bc9b0c2893e6dc6c605"/>
      <Part Type="punktas" Nr="32" Abbr="13 pr. 32 p." DocPartId="b4b27b9e5b42472fb882909879a2613d" PartId="7861c5eb2fbb4d258dc58640112de86e"/>
      <Part Type="punktas" Nr="33" Abbr="13 pr. 33 p." DocPartId="bbcf1a613189404db8921b2fb50c3c18" PartId="f68e0d66bc1d4b57a460d6ec957df00c"/>
      <Part Type="lentele" Nr="1" DocPartId="68c03ab3af1e4a819e23fd442b431297" PartId="3499587077194d49878499fb7fc83cd6"/>
      <Part Type="lentele" Nr="2" DocPartId="5ed6fab794e84cbba18b948369d94066" PartId="c12415770c504feaa9af4b3be98e5e12"/>
      <Part Type="lentele" Nr="3" Title="PAVYZDINIS PROTOKOLAS" DocPartId="8829b828000a4c39a39d6d9d3eb62fc1" PartId="d191563c536c4380a058e5d3a644277e">
        <Part Type="skirsnis" Title="PROTOKOLAS" DocPartId="cd919f96e70a43b680d87b696e68371b" PartId="89c0df95c14c4cd1819ea8a6dc04edb7">
          <Part Type="punktas" Nr="200" Abbr="13 pr. 200 p." DocPartId="a58f46b8285d49089b9c9ceb75f9fa58" PartId="be0958740bd147479ef6b8addb801973"/>
        </Part>
        <Part Type="skirsnis" Title="Dėl asmenų, dirbančių galimos profesinės rizikos sąlygomis, sveikatos tikrinimo" DocPartId="b8e2230101224245b8b7bdb4c9f94ff5" PartId="4d3e7ca4abf24c3393f54bac95296bc3">
          <Part Type="punktas" Nr="1" Abbr="13 pr. 1 p." DocPartId="72109f715e1f4eb1b439856d6362811a" PartId="b73a34da9ca44c2881405de7ac62184c"/>
          <Part Type="punktas" Nr="2" Abbr="13 pr. 2 p." DocPartId="fb9bd4ac02c84f739b2b0ec1cf4e5f6a" PartId="ad7c93319de54f1da04fb75c50f4fb3c"/>
          <Part Type="punktas" Nr="3" Abbr="13 pr. 3 p." DocPartId="00459188ecbc4f0c8a7837113df3ff5b" PartId="adb6e8e62ec844cfb39e03130ff62487"/>
          <Part Type="punktas" Nr="4" Abbr="13 pr. 4 p." DocPartId="a44792d363c04b3ca9b79197b3a30810" PartId="31470062180c4d71b3f5d7f7b735a64d">
            <Part Type="punktas" Nr="4.1" Abbr="13 pr. 4.1 p." DocPartId="de45b15be89548b9af55bf18ca5cced9" PartId="f59816ec77884423b6c9571ff20a5ac3"/>
            <Part Type="punktas" Nr="4.2" Abbr="13 pr. 4.2 p." DocPartId="6475f83a2a9d426baccc05c44a5312f9" PartId="deb46bf600d24d2090065763213bfbf6"/>
            <Part Type="punktas" Nr="4.3" Abbr="13 pr. 4.3 p." DocPartId="511869ecda8945aea0e4d6db0b1fe422" PartId="2984e5fe057947eab12160cf989c762e"/>
          </Part>
        </Part>
        <Part Type="pabaiga" DocPartId="96162ab611124aa4a4177e6e63a32b42" PartId="f9964173ee2a4b89a1a3afa977e4b92e"/>
      </Part>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MEDICINOS PRAKTIKOS LICENCIJĄ, SVEIKATOS TIKRINIMO TVARKA“" DocPartId="da428097ad304c3b917c63a7b9cd59fe" PartId="ad4efd8c177b4a289b600a2975af93d6"/>
  <Part Type="priedas" Nr="16" Abbr="16 pr." Title="ASMENŲ, NORINČIŲ BŪTI ADVOKATAIS, SVEIKATOS TIKRINIMO TVARKA" DocPartId="972d96aff5b140328c87cbb94e6d9132" PartId="7ad791ab7dd94f85be58aa9d4360274a"/>
  <Part Type="priedas" Nr="17" Abbr="17 pr." Title="ASMENŲ, NORINČIŲ SUSITUOKTI, SVEIKATOS TIKRINIMO TVARKA" DocPartId="20707f64cac9423399bf3dc8f67ac8cb" PartId="8b0d19f6b5e94bb7ae372cc42e2efe46">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KAINOS IR GYDYTOJŲ SPECIALISTŲ, TEIKIANČIŲ PROFILAKTINIŲ SVEIKATOS TIKRINIMŲ PASLAUGAS, APMOKAMAS IŠ PRIVALOMOJO SVEIKATOS DRAUDIMO FONDO BIUDŽETO, PASLAUGŲ KAINOS“" DocPartId="c84ba4b4f0764c449991f18e6019364e" PartId="5e54d77e33034274b5a0d0ae5cf9bfe2">
    <Part Type="skyrius" Nr="1" Title="PROFILAKTINIŲ SVEIKATOS TIKRINIMŲ, UŽ KURIUOS MOKA PATS DARBUOTOJAS, DARBDAVYS AR KITI ASMENYS, KAINOS" DocPartId="161c22c08ecf44daa32ed2550d7153df" PartId="da7537f004654b40b74594c1c11422d0"/>
    <Part Type="skyrius" Nr="2" Title="GYDYTOJŲ SPECIALISTŲ, TEIKIANČIŲ PROFILAKTINIŲ SVEIKATOS TIKRINIMŲ PASLAUGAS, APMOKAMAS IŠ PRIVALOMOJO SVEIKATOS DRAUDIMO FONDO BIUDŽETO, PASLAUGŲ KAINOS" DocPartId="4c6f3dbd67e2452eb79027c8b6d83049" PartId="4fe74421a0e5406a99443c2f7d4f5184"/>
  </Part>
</Parts>
</file>

<file path=customXml/itemProps1.xml><?xml version="1.0" encoding="utf-8"?>
<ds:datastoreItem xmlns:ds="http://schemas.openxmlformats.org/officeDocument/2006/customXml" ds:itemID="{84D040C5-9C50-4885-9F1C-CB7608379716}">
  <ds:schemaRefs>
    <ds:schemaRef ds:uri="http://lrs.lt/TAIS/DocParts"/>
  </ds:schemaRefs>
</ds:datastoreItem>
</file>

<file path=docProps/app.xml><?xml version="1.0" encoding="utf-8"?>
<Properties xmlns="http://schemas.openxmlformats.org/officeDocument/2006/extended-properties">
  <Template>Normal.dotm</Template>
  <TotalTime>196</TotalTime>
  <Pages>241</Pages>
  <Words>310988</Words>
  <Characters>177264</Characters>
  <Application>Microsoft Office Word</Application>
  <DocSecurity>0</DocSecurity>
  <Lines>1477</Lines>
  <Paragraphs>974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487278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TAMALIŪNIENĖ Vilija</lastModifiedBy>
  <dcterms:modified xsi:type="dcterms:W3CDTF">2020-09-29T08:48:00Z</dcterms:modified>
  <revision>121</revision>
</coreProperties>
</file>