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2020-10-07 iki 2020-12-29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adbde0b6e32a48f4aa9ac4ef2b04e5b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efd89e1b526c439291da0633d149ccf7"/>
                <w:lock w:val="sdtLocked"/>
                <w:richText/>
              </w:sdtPr>
              <w:sdtContent>
                <w:p>
                  <w:pPr>
                    <w:widowControl w:val="0"/>
                    <w:ind w:firstLine="720"/>
                    <w:jc w:val="both"/>
                    <w:rPr>
                      <w:color w:val="000000"/>
                    </w:rPr>
                  </w:pPr>
                  <w:sdt>
                    <w:sdtPr>
                      <w:alias w:val="Numeris"/>
                      <w:tag w:val="nr_efd89e1b526c439291da0633d149ccf7"/>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ecf4b51920d049b8a9b182c85362311a"/>
                <w:lock w:val="sdtLocked"/>
                <w:richText/>
              </w:sdtPr>
              <w:sdtContent>
                <w:p>
                  <w:pPr>
                    <w:widowControl w:val="0"/>
                    <w:ind w:firstLine="720"/>
                    <w:jc w:val="both"/>
                    <w:rPr>
                      <w:color w:val="000000"/>
                    </w:rPr>
                  </w:pPr>
                  <w:sdt>
                    <w:sdtPr>
                      <w:alias w:val="Numeris"/>
                      <w:tag w:val="nr_ecf4b51920d049b8a9b182c85362311a"/>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d7966e5ef5584c129d9ca2154eb25307"/>
                <w:lock w:val="sdtLocked"/>
                <w:richText/>
              </w:sdtPr>
              <w:sdtContent>
                <w:p>
                  <w:pPr>
                    <w:widowControl w:val="0"/>
                    <w:ind w:firstLine="720"/>
                    <w:jc w:val="both"/>
                    <w:rPr>
                      <w:color w:val="000000"/>
                    </w:rPr>
                  </w:pPr>
                  <w:sdt>
                    <w:sdtPr>
                      <w:alias w:val="Numeris"/>
                      <w:tag w:val="nr_d7966e5ef5584c129d9ca2154eb25307"/>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74a05be7bcb043e79d3f9f5d68184cd5"/>
                <w:lock w:val="sdtLocked"/>
                <w:richText/>
              </w:sdtPr>
              <w:sdtContent>
                <w:p>
                  <w:pPr>
                    <w:widowControl w:val="0"/>
                    <w:ind w:firstLine="720"/>
                    <w:jc w:val="both"/>
                    <w:rPr>
                      <w:color w:val="000000"/>
                    </w:rPr>
                  </w:pPr>
                  <w:sdt>
                    <w:sdtPr>
                      <w:alias w:val="Numeris"/>
                      <w:tag w:val="nr_74a05be7bcb043e79d3f9f5d68184cd5"/>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952dcf6b29c84b1fabc67e5428740fa2"/>
                <w:lock w:val="sdtLocked"/>
                <w:richText/>
              </w:sdtPr>
              <w:sdtContent>
                <w:p>
                  <w:pPr>
                    <w:widowControl w:val="0"/>
                    <w:ind w:firstLine="720"/>
                    <w:jc w:val="both"/>
                    <w:rPr>
                      <w:color w:val="000000"/>
                    </w:rPr>
                  </w:pPr>
                  <w:sdt>
                    <w:sdtPr>
                      <w:alias w:val="Numeris"/>
                      <w:tag w:val="nr_952dcf6b29c84b1fabc67e5428740fa2"/>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6e52abfa904b42a79dde061962514ac7"/>
                <w:lock w:val="sdtLocked"/>
                <w:richText/>
              </w:sdtPr>
              <w:sdtContent>
                <w:p>
                  <w:pPr>
                    <w:widowControl w:val="0"/>
                    <w:ind w:firstLine="720"/>
                    <w:jc w:val="both"/>
                    <w:rPr>
                      <w:color w:val="000000"/>
                    </w:rPr>
                  </w:pPr>
                  <w:sdt>
                    <w:sdtPr>
                      <w:alias w:val="Numeris"/>
                      <w:tag w:val="nr_6e52abfa904b42a79dde061962514ac7"/>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ebabd85eeadd427fb1f3ccc26a0e7153"/>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ebabd85eeadd427fb1f3ccc26a0e7153"/>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ebabd85eeadd427fb1f3ccc26a0e7153"/>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682b3a33a62a41e7970732757e845b6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82b3a33a62a41e7970732757e845b61"/>
                          <w:lock w:val="sdtLocked"/>
                          <w:richText/>
                        </w:sdt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ca7a93b731ba4db6b5a98275787d8727"/>
                    <w:lock w:val="sdtLocked"/>
                    <w:richText/>
                  </w:sdtPr>
                  <w:sdtContent>
                    <w:p>
                      <w:pPr>
                        <w:ind w:firstLine="720"/>
                        <w:jc w:val="both"/>
                        <w:rPr>
                          <w:color w:val="000000"/>
                        </w:rPr>
                      </w:pPr>
                      <w:sdt>
                        <w:sdtPr>
                          <w:alias w:val="Numeris"/>
                          <w:tag w:val="nr_ca7a93b731ba4db6b5a98275787d8727"/>
                          <w:lock w:val="sdtLocked"/>
                          <w:richText/>
                        </w:sdtPr>
                        <w:sdtContent>
                          <w:r>
                            <w:rPr>
                              <w:szCs w:val="24"/>
                              <w:lang w:eastAsia="lt-LT"/>
                            </w:rPr>
                            <w:t>5.3</w:t>
                          </w:r>
                        </w:sdtContent>
                      </w:sdt>
                      <w:r>
                        <w:rPr>
                          <w:szCs w:val="24"/>
                          <w:lang w:eastAsia="lt-LT"/>
                        </w:rPr>
                        <w:t>. Profilaktinių sveikatos tikrinimų kainos ir gydytojų specialistų, teikiančių profilaktinių sveikatos tikrinimų paslaugas, apmokamas iš Privalomojo sveikatos draudimo fondo biudžeto, paslaugų kainos (18 priedas) nurodytos Lietuvos Respublikos sveikatos apsaugos ministro 2000 m. gegužės 31 d. įsakymo Nr. 301 „Dėl profilaktinių sveikatos tikrinimų sveikatos priežiūros įstaigose“ I skyriuje „Profilaktinių sveikatos tikrinimų, už kuriuos moka pats darbuotojas, darbdavys ar kiti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Kainos gali būti indeksuojamos, kai koeficientas yra ne mažesnis kaip 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04ba00249cb64e58875b193c97098d83"/>
        <w:lock w:val="sdtLocked"/>
        <w:richText/>
      </w:sdtPr>
      <w:sdtContent>
        <w:p>
          <w:pPr>
            <w:tabs>
              <w:tab w:val="left" w:pos="6521"/>
            </w:tabs>
            <w:ind w:left="3888" w:firstLine="2633"/>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567" w:bottom="1134" w:left="1701" w:header="1134" w:footer="1134" w:gutter="0"/>
              <w:cols w:space="720"/>
              <w:titlePg/>
            </w:sectPr>
          </w:pPr>
        </w:p>
        <w:p>
          <w:pPr>
            <w:tabs>
              <w:tab w:val="left" w:pos="6521"/>
            </w:tabs>
            <w:ind w:left="3894" w:firstLine="1776"/>
            <w:rPr>
              <w:szCs w:val="24"/>
            </w:rPr>
          </w:pPr>
          <w:r>
            <w:rPr>
              <w:szCs w:val="24"/>
            </w:rPr>
            <w:t>PATVIRTINTA</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3894" w:firstLine="1776"/>
            <w:jc w:val="both"/>
            <w:rPr>
              <w:szCs w:val="24"/>
            </w:rPr>
          </w:pPr>
          <w:r>
            <w:rPr>
              <w:szCs w:val="24"/>
            </w:rPr>
            <w:t xml:space="preserve">2000 m. gegužės 31 d. įsakymu Nr. 301 </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5670"/>
            <w:jc w:val="both"/>
            <w:rPr>
              <w:szCs w:val="24"/>
            </w:rPr>
          </w:pPr>
          <w:r>
            <w:rPr>
              <w:szCs w:val="24"/>
            </w:rPr>
            <w:t>2015 m. kovo 23 d. įsakymo</w:t>
          </w:r>
        </w:p>
        <w:p>
          <w:pPr>
            <w:ind w:left="5670"/>
            <w:jc w:val="both"/>
            <w:rPr>
              <w:szCs w:val="24"/>
            </w:rPr>
          </w:pPr>
          <w:r>
            <w:rPr>
              <w:szCs w:val="24"/>
            </w:rPr>
            <w:t>Nr. V-383 redakcija)</w:t>
          </w:r>
        </w:p>
        <w:p>
          <w:pPr>
            <w:ind w:left="5670"/>
            <w:jc w:val="both"/>
            <w:rPr>
              <w:szCs w:val="24"/>
            </w:rPr>
          </w:pPr>
          <w:sdt>
            <w:sdtPr>
              <w:alias w:val="Numeris"/>
              <w:tag w:val="nr_04ba00249cb64e58875b193c97098d83"/>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04ba00249cb64e58875b193c97098d83"/>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a049b2d0aaf94017b371316a52daa4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a049b2d0aaf94017b371316a52daa436"/>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 xml:space="preserve">elektroninės sveikatos paslaugų ir bendradarbiavimo infrastruktūros informacinėje sistemoje (toliau – ESPBI IS) užpildoma </w:t>
                  </w:r>
                  <w:r>
                    <w:rPr>
                      <w:szCs w:val="24"/>
                    </w:rPr>
                    <w:t xml:space="preserve">elektroninės statistinės apskaitos forma Nr. E027-1 „Mokinio sveikatos pažymėjimas“, patvirtinta </w:t>
                  </w:r>
                  <w:r>
                    <w:rPr>
                      <w:szCs w:val="24"/>
                      <w:lang w:eastAsia="lt-LT"/>
                    </w:rPr>
                    <w:t>Lietuvos Respublikos sveikatos apsaugos ministro 2004 m. gruodžio 24 d. įsakymu Nr. V-951 „Dėl e</w:t>
                  </w:r>
                  <w:r>
                    <w:rPr>
                      <w:szCs w:val="24"/>
                    </w:rPr>
                    <w:t>lektroninės statistinės apskaitos formos Nr. E027-1 „Mokinio sveikatos pažymėjimas“</w:t>
                  </w:r>
                  <w:r>
                    <w:rPr>
                      <w:szCs w:val="24"/>
                      <w:lang w:eastAsia="lt-LT"/>
                    </w:rPr>
                    <w:t xml:space="preserve"> patvirtinimo“ (toliau – forma E027-1), kurioje įrašomi reikiami duomenys, išvados ir rekomendacijos švietimo ar kitai ugdymo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bfed02ba411eabe008ea93139d588">
                    <w:r w:rsidRPr="00532B9F">
                      <w:rPr>
                        <w:rFonts w:ascii="Times New Roman" w:eastAsia="MS Mincho" w:hAnsi="Times New Roman"/>
                        <w:sz w:val="20"/>
                        <w:i/>
                        <w:iCs/>
                        <w:color w:val="0000FF" w:themeColor="hyperlink"/>
                        <w:u w:val="single"/>
                      </w:rPr>
                      <w:t>V-1535</w:t>
                    </w:r>
                  </w:fldSimple>
                  <w:r>
                    <w:rPr>
                      <w:rFonts w:ascii="Times New Roman" w:eastAsia="MS Mincho" w:hAnsi="Times New Roman"/>
                      <w:sz w:val="20"/>
                      <w:i/>
                      <w:iCs/>
                    </w:rPr>
                    <w:t>,
2019-12-30,
paskelbta TAR 2019-12-31, i. k. 2019-21774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9-1 p."/>
                <w:tag w:val="part_0351775175ec4b8b867f6171dceea24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351775175ec4b8b867f6171dceea24d"/>
                      <w:lock w:val="sdtLocked"/>
                      <w:richText/>
                    </w:sdtPr>
                    <w:sdtContent>
                      <w:r>
                        <w:rPr>
                          <w:color w:val="000000"/>
                          <w:szCs w:val="24"/>
                          <w:lang w:eastAsia="lt-LT"/>
                        </w:rPr>
                        <w:t>29</w:t>
                      </w:r>
                      <w:r>
                        <w:rPr>
                          <w:color w:val="000000"/>
                          <w:szCs w:val="24"/>
                          <w:vertAlign w:val="superscript"/>
                          <w:lang w:eastAsia="lt-LT"/>
                        </w:rPr>
                        <w:t>1</w:t>
                      </w:r>
                    </w:sdtContent>
                  </w:sdt>
                  <w:r>
                    <w:rPr>
                      <w:color w:val="000000"/>
                      <w:szCs w:val="24"/>
                      <w:lang w:eastAsia="lt-LT"/>
                    </w:rPr>
                    <w:t xml:space="preserve">. Jei </w:t>
                  </w:r>
                  <w:r>
                    <w:rPr>
                      <w:szCs w:val="24"/>
                    </w:rPr>
                    <w:t xml:space="preserve">Lietuvos Respublikos Vyriausybei paskelbus valstybės lygio ekstremaliąją situaciją ir (ar) karantiną visos Lietuvos Respublikos mastu </w:t>
                  </w:r>
                  <w:r>
                    <w:rPr>
                      <w:color w:val="000000"/>
                      <w:szCs w:val="24"/>
                      <w:lang w:eastAsia="lt-LT"/>
                    </w:rPr>
                    <w:t>sustabdomas arba apribojamas vaikų profilaktinio patikrinimo paslaugų teikimas, iki karantino ir (ar) ekstremaliosios situacijos paskelbimo dienos paskutinė išduota forma Nr. E027-1 laikoma galiojančia iki einamųjų metų pabaigos toliau nurodytas sąlygas atitinkantiems pilnamečiams mokiniams ir vaikams, lankantiems švietimo ar kitą ugdymo įstaigą:</w:t>
                  </w:r>
                </w:p>
                <w:sdt>
                  <w:sdtPr>
                    <w:alias w:val="29-1.1 pp."/>
                    <w:tag w:val="part_0ba28f4b4291473a96ab136c685fb4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ba28f4b4291473a96ab136c685fb4a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kurių ugdymas naujais mokslo metais bus tęsiamas toje pačioje švietimo įstaigoje arba toje pačioje ugdymo įstaigoje;</w:t>
                      </w:r>
                    </w:p>
                  </w:sdtContent>
                </w:sdt>
                <w:sdt>
                  <w:sdtPr>
                    <w:alias w:val="29-1.2 pp."/>
                    <w:tag w:val="part_e1965469061a46bfa9f804aac3de40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1965469061a46bfa9f804aac3de40f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.2</w:t>
                          </w:r>
                        </w:sdtContent>
                      </w:sdt>
                      <w:r>
                        <w:rPr>
                          <w:color w:val="000000"/>
                          <w:szCs w:val="24"/>
                          <w:lang w:eastAsia="lt-LT"/>
                        </w:rPr>
                        <w:t>. kurių sveikatos būklė nuo paskutinio privalomo profilaktinio sveikatos tikrinimo nepasikeitė taip, kad reikėtų keisti jų fizinio ugdymo grupę, arba neatsirado naujų bendrų arba specialių rekomendacijų, kurių turi būti laikomasi jiems dalyvaujant ugdymo veikloje.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1e6f2f143efc40b993e6e173b5c83d4d"/>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tabs>
              <w:tab w:val="left" w:pos="5812"/>
            </w:tabs>
            <w:ind w:left="7655"/>
            <w:rPr>
              <w:bCs/>
              <w:szCs w:val="24"/>
            </w:rPr>
          </w:pPr>
          <w:r>
            <w:rPr>
              <w:szCs w:val="24"/>
            </w:rPr>
            <w:t xml:space="preserve">Vaikų </w:t>
          </w:r>
          <w:r>
            <w:rPr>
              <w:bCs/>
              <w:szCs w:val="24"/>
            </w:rPr>
            <w:t xml:space="preserve">ir pilnamečių mokinių, ugdomų </w:t>
          </w:r>
        </w:p>
        <w:p>
          <w:pPr>
            <w:tabs>
              <w:tab w:val="left" w:pos="5812"/>
            </w:tabs>
            <w:ind w:left="7655"/>
            <w:rPr>
              <w:szCs w:val="24"/>
            </w:rPr>
          </w:pPr>
          <w:r>
            <w:rPr>
              <w:bCs/>
              <w:szCs w:val="24"/>
            </w:rPr>
            <w:t>pagal bendrojo ugdymo programas,</w:t>
          </w:r>
          <w:r>
            <w:rPr>
              <w:szCs w:val="24"/>
            </w:rPr>
            <w:t xml:space="preserve"> </w:t>
          </w:r>
        </w:p>
        <w:p>
          <w:pPr>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1e6f2f143efc40b993e6e173b5c83d4d"/>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20"/>
            </w:trPr>
            <w:tc>
              <w:tcPr>
                <w:tcW w:w="568" w:type="dxa"/>
                <w:vMerge w:val="restart"/>
                <w:tcBorders>
                  <w:bottom w:val="single" w:sz="4" w:space="0" w:color="auto"/>
                </w:tcBorders>
              </w:tcPr>
              <w:p>
                <w:pPr>
                  <w:tabs>
                    <w:tab w:val="center" w:pos="4819"/>
                    <w:tab w:val="right" w:pos="9638"/>
                  </w:tabs>
                  <w:jc w:val="center"/>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Borders>
                  <w:bottom w:val="single" w:sz="4" w:space="0" w:color="auto"/>
                </w:tcBorders>
              </w:tcPr>
              <w:p>
                <w:pPr>
                  <w:rPr>
                    <w:szCs w:val="24"/>
                    <w:lang w:eastAsia="lt-LT"/>
                  </w:rPr>
                </w:pPr>
                <w:r>
                  <w:rPr>
                    <w:szCs w:val="24"/>
                    <w:lang w:eastAsia="lt-LT"/>
                  </w:rPr>
                  <w:t>Paauglys, pilnametis mokinys</w:t>
                </w: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5.1. Kiekvieno apsilankymo metu įvertinti paciento sveikatos būklę, fizinę būklę, lytinį brendimą, augimą, nubrėžiant  asmenines ūgio ir svorio bei  svorio priklausomybės nuo ūgio kitimo kreives pagal lytį; įvertinti KMI, 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rPr>
                    <w:color w:val="000000"/>
                    <w:szCs w:val="24"/>
                  </w:rPr>
                </w:pPr>
                <w:r>
                  <w:rPr>
                    <w:color w:val="000000"/>
                    <w:szCs w:val="24"/>
                  </w:rPr>
                  <w:t xml:space="preserve">5.1.3. miego ir budrumo režimo; </w:t>
                </w:r>
              </w:p>
              <w:p>
                <w:pPr>
                  <w:rPr>
                    <w:color w:val="000000"/>
                    <w:szCs w:val="24"/>
                  </w:rPr>
                </w:pPr>
                <w:r>
                  <w:rPr>
                    <w:color w:val="000000"/>
                    <w:szCs w:val="24"/>
                  </w:rPr>
                  <w:t>5.1.4. burnos sveikatos;</w:t>
                </w:r>
              </w:p>
              <w:p>
                <w:pPr>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rPr>
                    <w:color w:val="000000"/>
                    <w:szCs w:val="24"/>
                  </w:rPr>
                </w:pPr>
                <w:r>
                  <w:rPr>
                    <w:color w:val="000000"/>
                    <w:szCs w:val="24"/>
                  </w:rPr>
                  <w:t>5.1.9. atsparumo rizikingai sveikatai elgsenai;</w:t>
                </w:r>
              </w:p>
              <w:p>
                <w:pPr>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Borders>
                  <w:bottom w:val="single" w:sz="4" w:space="0" w:color="auto"/>
                </w:tcBorders>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 xml:space="preserve">1 kartą per 2 metus </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pacientas sportuoja, gyvena blogomis socialinėmis sąlygomis, augimo spurto metu ir jei paauglys netenka kūno masės;</w:t>
                </w:r>
              </w:p>
              <w:p>
                <w:pPr>
                  <w:rPr>
                    <w:color w:val="000000"/>
                    <w:szCs w:val="24"/>
                  </w:rPr>
                </w:pPr>
                <w:r>
                  <w:rPr>
                    <w:color w:val="000000"/>
                    <w:szCs w:val="24"/>
                  </w:rPr>
                  <w:t>5.2.2. kapiliarinės glikemijos tyrimą, jei yra šie klinikiniai simptomai: poliurija, polidipsija, svorio kritimas, nuovargis; nuo 10 metų arba prasidėjus lytiniam brendimui, kai KMI viršija 85 procentilę ir yra rizikos veiksnių,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rPr>
                  <w:t>visiems, kurių KMI viršija 95 procentilę pagal amžių ir lytį;</w:t>
                </w:r>
              </w:p>
              <w:p>
                <w:pPr>
                  <w:rPr>
                    <w:color w:val="000000"/>
                    <w:szCs w:val="24"/>
                  </w:rPr>
                </w:pPr>
                <w:r>
                  <w:rPr>
                    <w:color w:val="000000"/>
                    <w:szCs w:val="24"/>
                  </w:rPr>
                  <w:t>5.2.3. bendrą šlapimo tyrimą.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 gydytojas odontologas specialistas arba burnos higienistas</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5.3. Atlikti dantų ėduonies diagnostiką, krūminių dantų silantavimą – priklausomai nuo dantų dygimo laiko, jei reikia, pagydyti ar skirti gydymo laiką / siųsti gydyti. </w:t>
                </w:r>
              </w:p>
              <w:p>
                <w:pPr>
                  <w:rPr>
                    <w:color w:val="000000"/>
                    <w:szCs w:val="24"/>
                  </w:rPr>
                </w:pPr>
                <w:r>
                  <w:rPr>
                    <w:color w:val="000000"/>
                    <w:szCs w:val="24"/>
                  </w:rPr>
                  <w:t xml:space="preserve">5.4. Įvertinti nuolatinių dantų sąkandį, nustatyti, ar nėra sąkandžio anomalijų, jei reikia, pagydyti ar siųsti konsultacijos / gydyti.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gydytojas odontologas specialistas</w:t>
                </w:r>
              </w:p>
              <w:p>
                <w:pPr>
                  <w:rPr>
                    <w:color w:val="000000"/>
                    <w:szCs w:val="24"/>
                  </w:rPr>
                </w:pPr>
                <w:r>
                  <w:rPr>
                    <w:color w:val="000000"/>
                    <w:szCs w:val="24"/>
                  </w:rPr>
                  <w:t xml:space="preserve">arba burnos higienistas </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5.5. Atlikti dantų ėduonies profilaktiką.  </w:t>
                </w:r>
              </w:p>
              <w:p>
                <w:pPr>
                  <w:rPr>
                    <w:color w:val="000000"/>
                    <w:szCs w:val="24"/>
                  </w:rPr>
                </w:pPr>
                <w:r>
                  <w:rPr>
                    <w:color w:val="000000"/>
                    <w:szCs w:val="24"/>
                  </w:rPr>
                  <w:t>5.6. Įvertinti burnos higienos būklę ir pamokyti burnos higienos ir racionalios mitybos pagrindų, informuoti apie deimantų ant dantų, auskarų liežuvyje žalą.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Slaugytojas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5.7. Kiekvieno apsilankymo metu pamatuoti paciento AKS, ūgį bei svorį ir šiuos duomenis įrašyti į asmeninę svorio priklausomybės nuo ūgio kitimo diagramą pagal lytį, apskaičiuoti KMI.</w:t>
                </w:r>
              </w:p>
              <w:p>
                <w:pPr>
                  <w:rPr>
                    <w:color w:val="000000"/>
                    <w:szCs w:val="24"/>
                  </w:rPr>
                </w:pPr>
                <w:r>
                  <w:rPr>
                    <w:color w:val="000000"/>
                    <w:szCs w:val="24"/>
                  </w:rPr>
                  <w:t>5.8. Pagal amžiaus ir lyties ypatumus padėti pacientui susiformuoti racionalios mitybos, fizinio aktyvumo, sveiko gyvenimo būdo nuostatas.</w:t>
                </w:r>
              </w:p>
              <w:p>
                <w:pPr>
                  <w:rPr>
                    <w:color w:val="000000"/>
                    <w:szCs w:val="24"/>
                  </w:rPr>
                </w:pPr>
                <w:r>
                  <w:rPr>
                    <w:color w:val="000000"/>
                    <w:szCs w:val="24"/>
                  </w:rPr>
                  <w:t>5.9. Informuoti apie sveiką gyvenimo būdą,  ligų ir žalingų sveikatai įpročių profilaktiką, imunoprofilaktiką, lytinės elgsenos saugumą.“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f3a0a0015a11ebb74de75171d26d52">
            <w:r w:rsidRPr="00532B9F">
              <w:rPr>
                <w:rFonts w:ascii="Times New Roman" w:eastAsia="MS Mincho" w:hAnsi="Times New Roman"/>
                <w:sz w:val="20"/>
                <w:i/>
                <w:iCs/>
                <w:color w:val="0000FF" w:themeColor="hyperlink"/>
                <w:u w:val="single"/>
              </w:rPr>
              <w:t>V-2130</w:t>
            </w:r>
          </w:fldSimple>
          <w:r>
            <w:rPr>
              <w:rFonts w:ascii="Times New Roman" w:eastAsia="MS Mincho" w:hAnsi="Times New Roman"/>
              <w:sz w:val="20"/>
              <w:i/>
              <w:iCs/>
            </w:rPr>
            <w:t>,
2020-09-28,
paskelbta TAR 2020-09-28, i. k. 2020-20108            </w:t>
          </w:r>
        </w:p>
        <w:p/>
      </w:sdtContent>
    </w:sdt>
    <w:sdt>
      <w:sdtPr>
        <w:alias w:val="2 pr."/>
        <w:tag w:val="part_51e5c2e6cd984c3cbd0b841426e01d3a"/>
        <w:lock w:val="sdtLocked"/>
        <w:richText/>
      </w:sdtPr>
      <w:sdtContent>
        <w:p>
          <w:pPr>
            <w:ind w:left="11907"/>
            <w:sectPr>
              <w:headerReference w:type="even" r:id="rId100"/>
              <w:headerReference w:type="default" r:id="rId101"/>
              <w:headerReference w:type="first" r:id="rId102"/>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51e5c2e6cd984c3cbd0b841426e01d3a"/>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51e5c2e6cd984c3cbd0b841426e01d3a"/>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4"/>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5"/>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6"/>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7"/>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18"/>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19"/>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20"/>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1"/>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2"/>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3"/>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4"/>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5"/>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6"/>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7"/>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8"/>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29"/>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0"/>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1"/>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2"/>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3"/>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4"/>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0"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1"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9336be216cb14c47a44eec0993201d0f"/>
        <w:lock w:val="sdtLocked"/>
        <w:richText/>
      </w:sdtPr>
      <w:sdtContent>
        <w:p>
          <w:pPr>
            <w:keepLines/>
            <w:widowControl w:val="0"/>
            <w:suppressAutoHyphens/>
            <w:ind w:left="5102"/>
            <w:sectPr>
              <w:headerReference w:type="even" r:id="rId42"/>
              <w:headerReference w:type="default" r:id="rId43"/>
              <w:footerReference w:type="even" r:id="rId44"/>
              <w:footerReference w:type="default" r:id="rId45"/>
              <w:headerReference w:type="first" r:id="rId46"/>
              <w:footerReference w:type="first" r:id="rId47"/>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9336be216cb14c47a44eec0993201d0f"/>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9336be216cb14c47a44eec0993201d0f"/>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4"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5"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8" w:tgtFrame="_blank" w:history="1">
                    <w:r>
                      <w:rPr>
                        <w:color w:val="0000FF" w:themeColor="hyperlink"/>
                        <w:u w:val="single"/>
                      </w:rPr>
                      <w:t>92-2883</w:t>
                    </w:r>
                  </w:hyperlink>
                  <w:r>
                    <w:t xml:space="preserve">; 2007, Nr. </w:t>
                  </w:r>
                  <w:hyperlink r:id="rId59"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60"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61" w:tgtFrame="_blank" w:history="1">
                    <w:r>
                      <w:rPr>
                        <w:color w:val="0000FF" w:themeColor="hyperlink"/>
                        <w:u w:val="single"/>
                      </w:rPr>
                      <w:t>13-308</w:t>
                    </w:r>
                  </w:hyperlink>
                  <w:r>
                    <w:t xml:space="preserve">; 2000, Nr. </w:t>
                  </w:r>
                  <w:hyperlink r:id="rId62"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da39e86e0365404c80191091e05e5124"/>
        <w:lock w:val="sdtLocked"/>
        <w:richText/>
      </w:sdtPr>
      <w:sdtContent>
        <w:p>
          <w:pPr>
            <w:tabs>
              <w:tab w:val="left" w:pos="8789"/>
            </w:tabs>
            <w:spacing w:line="276" w:lineRule="auto"/>
            <w:ind w:left="4895"/>
            <w:jc w:val="right"/>
            <w:sectPr>
              <w:pgSz w:w="11907" w:h="16840" w:code="9"/>
              <w:pgMar w:top="1134" w:right="1134" w:bottom="1134" w:left="1079" w:header="567" w:footer="567" w:gutter="0"/>
              <w:pgNumType w:start="1"/>
              <w:cols w:space="1296"/>
              <w:titlePg/>
              <w:docGrid w:linePitch="360"/>
            </w:sectPr>
          </w:pPr>
        </w:p>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e950408d9c76469d9e0c98fd7189996e"/>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e950408d9c76469d9e0c98fd7189996e"/>
              <w:lock w:val="sdtLocked"/>
              <w:richText/>
            </w:sdtPr>
            <w:sdtContent>
              <w:r>
                <w:t>3</w:t>
              </w:r>
            </w:sdtContent>
          </w:sdt>
          <w:r>
            <w:t xml:space="preserve"> lentelė</w:t>
          </w:r>
        </w:p>
        <w:p>
          <w:pPr>
            <w:jc w:val="both"/>
            <w:rPr>
              <w:bCs/>
            </w:rPr>
          </w:pPr>
        </w:p>
        <w:p>
          <w:pPr>
            <w:jc w:val="center"/>
            <w:rPr>
              <w:b/>
              <w:bCs/>
            </w:rPr>
          </w:pPr>
          <w:sdt>
            <w:sdtPr>
              <w:alias w:val="Pavadinimas"/>
              <w:tag w:val="title_e950408d9c76469d9e0c98fd7189996e"/>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ASMENYS, TURINTYS JUDĖJIMO SUTRIKIMŲ</w:t>
                </w:r>
              </w:p>
              <w:p>
                <w:pPr>
                  <w:jc w:val="both"/>
                  <w:rPr>
                    <w:bCs/>
                    <w:sz w:val="22"/>
                    <w:szCs w:val="22"/>
                  </w:rPr>
                </w:pPr>
                <w:r>
                  <w:rPr>
                    <w:bCs/>
                    <w:sz w:val="22"/>
                    <w:szCs w:val="22"/>
                  </w:rPr>
                  <w:t>Vairuotojo pažymėjimai neišduodami kandidatams į vairuotojus ir neatnaujinami vairuotojams, kuriems nustatyti judėjimo sistemos sutrikimai, keliantys pavojų saugiam variklio varomos priemonės vairavimui.</w:t>
                </w:r>
              </w:p>
              <w:p>
                <w:pPr>
                  <w:jc w:val="both"/>
                  <w:rPr>
                    <w:bCs/>
                    <w:sz w:val="22"/>
                    <w:szCs w:val="22"/>
                  </w:rPr>
                </w:pPr>
                <w:r>
                  <w:rPr>
                    <w:bCs/>
                    <w:sz w:val="22"/>
                    <w:szCs w:val="22"/>
                  </w:rPr>
                  <w:t>1 grupė:</w:t>
                </w:r>
              </w:p>
              <w:p>
                <w:pPr>
                  <w:jc w:val="both"/>
                  <w:rPr>
                    <w:bCs/>
                    <w:sz w:val="22"/>
                    <w:szCs w:val="22"/>
                  </w:rPr>
                </w:pPr>
                <w:r>
                  <w:rPr>
                    <w:bCs/>
                    <w:sz w:val="22"/>
                    <w:szCs w:val="22"/>
                  </w:rPr>
                  <w:t xml:space="preserve">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 </w:t>
                </w:r>
              </w:p>
              <w:p>
                <w:pPr>
                  <w:jc w:val="both"/>
                  <w:rPr>
                    <w:bCs/>
                    <w:sz w:val="22"/>
                    <w:szCs w:val="22"/>
                  </w:rPr>
                </w:pPr>
                <w:r>
                  <w:rPr>
                    <w:bCs/>
                    <w:sz w:val="22"/>
                    <w:szCs w:val="22"/>
                  </w:rPr>
                  <w:t>Ši išvada turi remtis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bCs/>
                    <w:sz w:val="22"/>
                    <w:szCs w:val="22"/>
                  </w:rPr>
                </w:pPr>
                <w:r>
                  <w:rPr>
                    <w:bCs/>
                    <w:sz w:val="22"/>
                    <w:szCs w:val="22"/>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bCs/>
                    <w:sz w:val="22"/>
                    <w:szCs w:val="22"/>
                  </w:rPr>
                </w:pPr>
                <w:r>
                  <w:rPr>
                    <w:bCs/>
                    <w:sz w:val="22"/>
                    <w:szCs w:val="22"/>
                  </w:rPr>
                  <w:t>Jeigu asmuo, turintis judėjimo sutrikimų, gali vairuoti tik transporto priemonę su automatine pavarų dėže, išvadoje įrašomas transporto priemonės pritaikymo kodas 10.02 (automatinis pavaros perdavimo skaičiaus parinkimas).</w:t>
                </w:r>
              </w:p>
              <w:p>
                <w:pPr>
                  <w:jc w:val="both"/>
                  <w:rPr>
                    <w:bCs/>
                    <w:sz w:val="22"/>
                    <w:szCs w:val="22"/>
                  </w:rPr>
                </w:pPr>
                <w:r>
                  <w:rPr>
                    <w:bCs/>
                    <w:sz w:val="22"/>
                    <w:szCs w:val="22"/>
                  </w:rPr>
                  <w:t>Jeigu asmuo, turintis judėjimo sutrikimų, gali vairuoti tik transporto priemonę su rankinio valdymo sistema, priklausomai nuo to, ar asmuo planuoja vairuoti automobilį su automatine ar mechanine pavarų dėžę, išvadoje įrašomi 3 transporto priemonės pritaikymo kodai:</w:t>
                </w:r>
              </w:p>
              <w:p>
                <w:pPr>
                  <w:jc w:val="both"/>
                  <w:rPr>
                    <w:bCs/>
                    <w:sz w:val="22"/>
                    <w:szCs w:val="22"/>
                  </w:rPr>
                </w:pPr>
                <w:r>
                  <w:rPr>
                    <w:bCs/>
                    <w:sz w:val="22"/>
                    <w:szCs w:val="22"/>
                  </w:rPr>
                  <w:t>a) 20.06 (ranka valdomas stabdys), 25.04 (ranka valdomas akseleratorius) ir 10.02 (automatinis pavaros perdavimo skaičiaus parinkimas) – transporto priemonei su automatine pavarų dėže;</w:t>
                </w:r>
              </w:p>
              <w:p>
                <w:pPr>
                  <w:jc w:val="both"/>
                  <w:rPr>
                    <w:bCs/>
                    <w:sz w:val="22"/>
                    <w:szCs w:val="22"/>
                  </w:rPr>
                </w:pPr>
                <w:r>
                  <w:rPr>
                    <w:bCs/>
                    <w:sz w:val="22"/>
                    <w:szCs w:val="22"/>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bCs/>
                    <w:sz w:val="22"/>
                    <w:szCs w:val="22"/>
                  </w:rPr>
                </w:pPr>
                <w:r>
                  <w:rPr>
                    <w:bCs/>
                    <w:sz w:val="22"/>
                    <w:szCs w:val="22"/>
                  </w:rPr>
                  <w:t>Jeigu gydytojų komisija nusprendžia, kad išvadai dėl tikrinamo asmens sveikatos būklės tinkamumo vairuoti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p>
                <w:pPr>
                  <w:jc w:val="both"/>
                  <w:rPr>
                    <w:bCs/>
                    <w:sz w:val="22"/>
                    <w:szCs w:val="22"/>
                  </w:rPr>
                </w:pPr>
                <w:r>
                  <w:rPr>
                    <w:bCs/>
                    <w:sz w:val="22"/>
                    <w:szCs w:val="22"/>
                  </w:rPr>
                  <w:t>2 grupė:</w:t>
                </w:r>
              </w:p>
              <w:p>
                <w:pPr>
                  <w:jc w:val="both"/>
                  <w:rPr>
                    <w:bCs/>
                    <w:sz w:val="22"/>
                    <w:szCs w:val="22"/>
                  </w:rPr>
                </w:pPr>
                <w:r>
                  <w:rPr>
                    <w:bCs/>
                    <w:sz w:val="22"/>
                    <w:szCs w:val="22"/>
                  </w:rPr>
                  <w:t>2. Gydytojų komisija įvertina papildomą riziką ir pavojus, kurie kyla vairuojant prie šios grupės priskiriamas transporto priemones.</w:t>
                </w:r>
              </w:p>
              <w:p>
                <w:pPr>
                  <w:jc w:val="both"/>
                  <w:rPr>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Rankos, kojos, plaštakos, pėdos ar abiejų plaštakų, pėdų trūkumas, žymios deformacijos, dėl kurių yra sutrikusi lokomotorinė funkcija: Z89.1, Z 89.2, Z 89.3, Z 89.4, Z 89.5, Z 89.6, Z 89.7, Z 89.8, Z 89.9 </w:t>
                </w:r>
              </w:p>
              <w:p>
                <w:pPr>
                  <w:jc w:val="both"/>
                  <w:rPr>
                    <w:bCs/>
                    <w:sz w:val="22"/>
                    <w:szCs w:val="22"/>
                  </w:rPr>
                </w:pPr>
                <w:r>
                  <w:rPr>
                    <w:bCs/>
                    <w:sz w:val="22"/>
                    <w:szCs w:val="22"/>
                  </w:rPr>
                  <w:t xml:space="preserve">PASTABA: </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reikiamą apribojimą</w:t>
                </w:r>
              </w:p>
              <w:p>
                <w:pPr>
                  <w:jc w:val="center"/>
                  <w:rPr>
                    <w:sz w:val="22"/>
                    <w:szCs w:val="22"/>
                  </w:rPr>
                </w:pPr>
                <w:r>
                  <w:rPr>
                    <w:sz w:val="22"/>
                    <w:szCs w:val="22"/>
                  </w:rPr>
                  <w:t>03.01, 03.02</w:t>
                </w:r>
              </w:p>
              <w:p>
                <w:pPr>
                  <w:jc w:val="center"/>
                  <w:rPr>
                    <w:sz w:val="22"/>
                    <w:szCs w:val="22"/>
                  </w:rPr>
                </w:pPr>
                <w:r>
                  <w:rPr>
                    <w:sz w:val="22"/>
                    <w:szCs w:val="22"/>
                  </w:rPr>
                  <w:t>bei nurodant reikalingą transporto priemonės pritaikymo kodą (nuo 10 iki 50), nurodytą 5 lentelėje</w:t>
                </w:r>
              </w:p>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jc w:val="both"/>
                  <w:rPr>
                    <w:b/>
                    <w:bCs/>
                    <w:sz w:val="22"/>
                    <w:szCs w:val="22"/>
                  </w:rPr>
                </w:pPr>
                <w:r>
                  <w:rPr>
                    <w:b/>
                    <w:bCs/>
                    <w:sz w:val="22"/>
                    <w:szCs w:val="22"/>
                  </w:rPr>
                  <w:t>PASTABA:</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jc w:val="both"/>
                  <w:rPr>
                    <w:b/>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apribojimą 03.01</w:t>
                </w:r>
              </w:p>
              <w:p>
                <w:pPr>
                  <w:jc w:val="center"/>
                  <w:rPr>
                    <w:sz w:val="22"/>
                    <w:szCs w:val="22"/>
                  </w:rPr>
                </w:pPr>
                <w:r>
                  <w:rPr>
                    <w:sz w:val="22"/>
                    <w:szCs w:val="22"/>
                  </w:rPr>
                  <w:t>bei nurodant reikalingą transporto priemonės pritaikymo kodą (nuo 10 iki 50), nurodytą 5 lentelėje</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7.10.</w:t>
                </w:r>
              </w:p>
            </w:tc>
            <w:tc>
              <w:tcPr>
                <w:tcW w:w="9109" w:type="dxa"/>
                <w:tcBorders>
                  <w:top w:val="single" w:sz="6" w:space="0" w:color="auto"/>
                  <w:left w:val="single" w:sz="6" w:space="0" w:color="auto"/>
                  <w:bottom w:val="single" w:sz="6" w:space="0" w:color="auto"/>
                  <w:right w:val="single" w:sz="6" w:space="0" w:color="auto"/>
                </w:tcBorders>
              </w:tcPr>
              <w:p>
                <w:pPr>
                  <w:rPr>
                    <w:strike/>
                    <w:sz w:val="22"/>
                    <w:szCs w:val="22"/>
                    <w:lang w:eastAsia="lt-LT"/>
                  </w:rPr>
                </w:pPr>
                <w:r>
                  <w:rPr>
                    <w:sz w:val="22"/>
                    <w:szCs w:val="22"/>
                    <w:lang w:eastAsia="lt-LT"/>
                  </w:rPr>
                  <w:t xml:space="preserve">Protinis atsilikimas F70–F71 </w:t>
                </w:r>
              </w:p>
              <w:p>
                <w:pPr>
                  <w:rPr>
                    <w:sz w:val="22"/>
                    <w:szCs w:val="22"/>
                    <w:lang w:eastAsia="lt-LT"/>
                  </w:rPr>
                </w:pPr>
                <w:r>
                  <w:rPr>
                    <w:sz w:val="22"/>
                    <w:szCs w:val="22"/>
                    <w:lang w:eastAsia="lt-LT"/>
                  </w:rPr>
                  <w:t>(dėl leidimo vairuoti A, A1, A2, AM, B, B1, BE kategorijų transporto priemones (be teisės užsiimti transporto ūkine veikla), traktorių, remiantis gydytojo psichiatro išvada, sprendžiama individualiai, atsižvelgiant į praktinius vairavimo įgūdžius bei adaptacijos kokybę).</w:t>
                </w:r>
              </w:p>
              <w:p>
                <w:pPr>
                  <w:rPr>
                    <w:sz w:val="22"/>
                    <w:szCs w:val="22"/>
                  </w:rPr>
                </w:pPr>
                <w:r>
                  <w:rPr>
                    <w:sz w:val="22"/>
                    <w:szCs w:val="22"/>
                    <w:lang w:eastAsia="lt-LT"/>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PASTABA: Psichozinio lygio sutrikimų atveju kokybiška remisija turėtų trukti ne trumpiau kaip 3 metus Nepsichozinio lygio psichikos sutrikimų atveju remisija turėtų trukti ne trumpiau kaip 1 metus Galima taikyti 68 apribojimą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ALKOHOLIS</w:t>
                </w:r>
              </w:p>
              <w:p>
                <w:pPr>
                  <w:rPr>
                    <w:sz w:val="22"/>
                    <w:szCs w:val="22"/>
                  </w:rPr>
                </w:pPr>
                <w:r>
                  <w:rPr>
                    <w:sz w:val="22"/>
                    <w:szCs w:val="22"/>
                  </w:rPr>
                  <w:t>Alkoholio vartojimas kelia didžiulį pavojų kelių eismo saugumui. Atsižvelgiant į problemos mastą, medikai turi būti ypač budrūs.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priklausomiems nuo alkoholio arba negalintiems susilaikyti negėrus ir nevairavus esant neblaiviems.</w:t>
                </w:r>
              </w:p>
              <w:p>
                <w:pPr>
                  <w:rPr>
                    <w:sz w:val="22"/>
                    <w:szCs w:val="22"/>
                  </w:rPr>
                </w:pPr>
                <w:r>
                  <w:rPr>
                    <w:sz w:val="22"/>
                    <w:szCs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Priklausomybės ligos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NARKOTIKAI IR VAISTAI</w:t>
                </w:r>
              </w:p>
              <w:p>
                <w:pPr>
                  <w:rPr>
                    <w:sz w:val="22"/>
                    <w:szCs w:val="22"/>
                  </w:rPr>
                </w:pPr>
                <w:r>
                  <w:rPr>
                    <w:sz w:val="22"/>
                    <w:szCs w:val="22"/>
                  </w:rPr>
                  <w:t>Piktnaudžiavimas:</w:t>
                </w:r>
              </w:p>
              <w:p>
                <w:pPr>
                  <w:rPr>
                    <w:sz w:val="22"/>
                    <w:szCs w:val="22"/>
                  </w:rPr>
                </w:pPr>
                <w:r>
                  <w:rPr>
                    <w:sz w:val="22"/>
                    <w:szCs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Piktnaudžiavimas narkotikais ir vaistais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 xml:space="preserve">Sergantiesiems priklausomybės liga turi būti ne trumpesnė kaip 3 metų remisija. </w:t>
                </w:r>
              </w:p>
              <w:p>
                <w:pPr>
                  <w:rPr>
                    <w:sz w:val="22"/>
                    <w:szCs w:val="22"/>
                  </w:rPr>
                </w:pPr>
                <w:r>
                  <w:rPr>
                    <w:sz w:val="22"/>
                    <w:szCs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2a5cc77725464ab3061b5460210de5"/>
            <w:lock w:val="sdtLocked"/>
            <w:richText/>
          </w:sdtPr>
          <w:sdtContent>
            <w:p>
              <w:pPr>
                <w:jc w:val="both"/>
                <w:rPr>
                  <w:sz w:val="22"/>
                </w:rPr>
              </w:pPr>
              <w:r>
                <w:rPr>
                  <w:sz w:val="22"/>
                </w:rPr>
                <w:t>Pastabos:</w:t>
              </w:r>
            </w:p>
          </w:sdtContent>
        </w:sdt>
        <w:sdt>
          <w:sdtPr>
            <w:alias w:val="1 p."/>
            <w:tag w:val="part_91f7c691844a4270896e1adf8e1ddf81"/>
            <w:lock w:val="sdtLocked"/>
            <w:richText/>
          </w:sdtPr>
          <w:sdtContent>
            <w:p>
              <w:pPr>
                <w:jc w:val="both"/>
                <w:rPr>
                  <w:sz w:val="22"/>
                </w:rPr>
              </w:pPr>
              <w:sdt>
                <w:sdtPr>
                  <w:alias w:val="Numeris"/>
                  <w:tag w:val="nr_91f7c691844a4270896e1adf8e1ddf81"/>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95dab9f62a8746c5b88ee15bc28813f8"/>
            <w:lock w:val="sdtLocked"/>
            <w:richText/>
          </w:sdtPr>
          <w:sdtContent>
            <w:p>
              <w:pPr>
                <w:jc w:val="both"/>
                <w:rPr>
                  <w:sz w:val="22"/>
                </w:rPr>
              </w:pPr>
              <w:sdt>
                <w:sdtPr>
                  <w:alias w:val="Numeris"/>
                  <w:tag w:val="nr_95dab9f62a8746c5b88ee15bc28813f8"/>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91c0a009624d44db9eaeb52843343851"/>
            <w:lock w:val="sdtLocked"/>
            <w:richText/>
          </w:sdtPr>
          <w:sdtContent>
            <w:p>
              <w:pPr>
                <w:jc w:val="both"/>
              </w:pPr>
              <w:sdt>
                <w:sdtPr>
                  <w:alias w:val="Numeris"/>
                  <w:tag w:val="nr_91c0a009624d44db9eaeb52843343851"/>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f99f630dd4494ea8a0278039b27fdecd"/>
        <w:lock w:val="sdtLocked"/>
        <w:richText/>
      </w:sdtPr>
      <w:sdtContent>
        <w:p>
          <w:pPr>
            <w:suppressAutoHyphens/>
            <w:ind w:left="1134"/>
            <w:jc w:val="right"/>
            <w:textAlignment w:val="center"/>
            <w:sectPr>
              <w:pgSz w:w="11906" w:h="16838"/>
              <w:pgMar w:top="1134" w:right="1134" w:bottom="1134" w:left="1701" w:header="567" w:footer="567" w:gutter="0"/>
              <w:pgNumType w:start="1"/>
              <w:cols w:space="1296"/>
              <w:noEndnote/>
              <w:titlePg/>
              <w:docGrid w:linePitch="326"/>
            </w:sectPr>
          </w:pPr>
        </w:p>
        <w:p>
          <w:pPr>
            <w:suppressAutoHyphens/>
            <w:ind w:left="1134"/>
            <w:jc w:val="right"/>
            <w:textAlignment w:val="center"/>
            <w:rPr>
              <w:bCs/>
              <w:szCs w:val="24"/>
              <w:lang w:eastAsia="lt-LT"/>
            </w:rPr>
          </w:pPr>
          <w:sdt>
            <w:sdtPr>
              <w:alias w:val="Numeris"/>
              <w:tag w:val="nr_f99f630dd4494ea8a0278039b27fdecd"/>
              <w:lock w:val="sdtLocked"/>
              <w:richText/>
            </w:sdtPr>
            <w:sdtContent>
              <w:r>
                <w:rPr>
                  <w:bCs/>
                  <w:szCs w:val="24"/>
                  <w:lang w:eastAsia="lt-LT"/>
                </w:rPr>
                <w:t>5</w:t>
              </w:r>
            </w:sdtContent>
          </w:sdt>
          <w:r>
            <w:rPr>
              <w:bCs/>
              <w:szCs w:val="24"/>
              <w:lang w:eastAsia="lt-LT"/>
            </w:rPr>
            <w:t xml:space="preserve"> lentelė</w:t>
          </w:r>
        </w:p>
        <w:p>
          <w:pPr>
            <w:suppressAutoHyphens/>
            <w:ind w:left="1134"/>
            <w:jc w:val="center"/>
            <w:textAlignment w:val="center"/>
            <w:rPr>
              <w:b/>
              <w:bCs/>
              <w:szCs w:val="24"/>
              <w:lang w:eastAsia="lt-LT"/>
            </w:rPr>
          </w:pPr>
          <w:sdt>
            <w:sdtPr>
              <w:alias w:val="Pavadinimas"/>
              <w:tag w:val="title_f99f630dd4494ea8a0278039b27fdecd"/>
              <w:lock w:val="sdtLocked"/>
              <w:richText/>
            </w:sdtPr>
            <w:sdtContent>
              <w:r>
                <w:rPr>
                  <w:b/>
                  <w:bCs/>
                  <w:szCs w:val="24"/>
                  <w:lang w:eastAsia="lt-LT"/>
                </w:rPr>
                <w:t>VAIRUOTOJUI TAIKOMŲ APRIBOJIMŲ KODAI</w:t>
              </w:r>
            </w:sdtContent>
          </w:sdt>
        </w:p>
        <w:p>
          <w:pPr>
            <w:suppressAutoHyphens/>
            <w:jc w:val="center"/>
            <w:textAlignment w:val="center"/>
            <w:rPr>
              <w:szCs w:val="24"/>
              <w:lang w:eastAsia="lt-LT"/>
            </w:rPr>
          </w:pPr>
        </w:p>
        <w:tbl>
          <w:tblPr>
            <w:tblW w:w="9356" w:type="dxa"/>
            <w:tblInd w:w="40" w:type="dxa"/>
            <w:tblLayout w:type="fixed"/>
            <w:tblCellMar>
              <w:left w:w="0" w:type="dxa"/>
              <w:right w:w="0" w:type="dxa"/>
            </w:tblCellMar>
            <w:tblLook w:val="04A0" w:firstRow="1" w:lastRow="0" w:firstColumn="1" w:lastColumn="0" w:noHBand="0" w:noVBand="1"/>
          </w:tblPr>
          <w:tblGrid>
            <w:gridCol w:w="1703"/>
            <w:gridCol w:w="7653"/>
          </w:tblGrid>
          <w:tr>
            <w:trPr>
              <w:trHeight w:val="23"/>
            </w:trPr>
            <w:tc>
              <w:tcPr>
                <w:tcW w:w="910"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pPr>
                  <w:ind w:firstLine="62"/>
                  <w:jc w:val="both"/>
                  <w:rPr>
                    <w:b/>
                    <w:szCs w:val="24"/>
                    <w:lang w:eastAsia="lt-LT"/>
                  </w:rPr>
                </w:pPr>
                <w:r>
                  <w:rPr>
                    <w:b/>
                    <w:bCs/>
                    <w:szCs w:val="24"/>
                    <w:lang w:eastAsia="lt-LT"/>
                  </w:rPr>
                  <w:t>Kodas</w:t>
                </w:r>
              </w:p>
            </w:tc>
            <w:tc>
              <w:tcPr>
                <w:tcW w:w="4090" w:type="pct"/>
                <w:tcBorders>
                  <w:top w:val="single" w:sz="8" w:space="0" w:color="auto"/>
                  <w:left w:val="nil"/>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Vairuotojui taikomas apribojimas</w:t>
                </w:r>
                <w:r>
                  <w:rPr>
                    <w:b/>
                    <w:bCs/>
                    <w:szCs w:val="24"/>
                    <w:vertAlign w:val="superscript"/>
                    <w:lang w:eastAsia="lt-LT"/>
                  </w:rPr>
                  <w:t>*</w:t>
                </w:r>
                <w:r>
                  <w:rPr>
                    <w:b/>
                    <w:bCs/>
                    <w:szCs w:val="24"/>
                    <w:lang w:eastAsia="lt-LT"/>
                  </w:rPr>
                  <w:t xml:space="preserve"> </w:t>
                </w:r>
              </w:p>
              <w:p>
                <w:pPr>
                  <w:jc w:val="center"/>
                  <w:rPr>
                    <w:b/>
                    <w:szCs w:val="24"/>
                    <w:lang w:eastAsia="lt-LT"/>
                  </w:rPr>
                </w:pP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szCs w:val="24"/>
                    <w:lang w:eastAsia="lt-LT"/>
                  </w:rPr>
                </w:pPr>
                <w:r>
                  <w:rPr>
                    <w:b/>
                    <w:bCs/>
                    <w:szCs w:val="24"/>
                    <w:lang w:eastAsia="lt-LT"/>
                  </w:rPr>
                  <w:t>Dėl medicininių priežasčių</w:t>
                </w:r>
              </w:p>
              <w:p>
                <w:pPr>
                  <w:jc w:val="center"/>
                  <w:rPr>
                    <w:szCs w:val="24"/>
                    <w:lang w:eastAsia="lt-LT"/>
                  </w:rPr>
                </w:pPr>
                <w:r>
                  <w:rPr>
                    <w:szCs w:val="24"/>
                    <w:lang w:eastAsia="lt-LT"/>
                  </w:rPr>
                  <w:t>(Išvadą pateikia sveikatos priežiūros įstaiga)</w:t>
                </w:r>
              </w:p>
              <w:p>
                <w:pPr>
                  <w:jc w:val="center"/>
                  <w:rPr>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Regos korekcija ir (arba) apsauga</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Kontaktinis (-iai) lęšis (-iai)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01.05</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Akies raištis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01.06</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 arba kontaktiniai lęšiai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01.07</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Speciali optinė pagalbinė priemonė</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Klausos ir susikalbėjimo pagalbinė priemonė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Galūnių protezai arba korekcijos įtaisai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Viršutinės galūnės protezas arba korekcijos įtaisas (papildomai nurodomos reikiamos raidės a, b, c, f, g)</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Apatinės galūnės protezas arba korekcijos įtaisas (papildomai nurodomos reikiamos raidės a, b, d)</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pritaikymas</w:t>
                </w:r>
              </w:p>
              <w:p>
                <w:pPr>
                  <w:jc w:val="center"/>
                  <w:rPr>
                    <w:b/>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Nuo 10 iki 50</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 xml:space="preserve">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naudojimo ribojimo kodai</w:t>
                </w:r>
              </w:p>
              <w:p>
                <w:pPr>
                  <w:jc w:val="center"/>
                  <w:rPr>
                    <w:b/>
                    <w:szCs w:val="24"/>
                    <w:lang w:eastAsia="lt-LT"/>
                  </w:rPr>
                </w:pPr>
              </w:p>
            </w:tc>
          </w:tr>
          <w:tr>
            <w:trPr>
              <w:trHeight w:val="23"/>
            </w:trPr>
            <w:tc>
              <w:tcPr>
                <w:tcW w:w="910" w:type="pct"/>
                <w:tcBorders>
                  <w:top w:val="nil"/>
                  <w:left w:val="single" w:sz="8" w:space="0" w:color="auto"/>
                  <w:bottom w:val="single" w:sz="4"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68</w:t>
                </w:r>
              </w:p>
            </w:tc>
            <w:tc>
              <w:tcPr>
                <w:tcW w:w="4090" w:type="pct"/>
                <w:tcBorders>
                  <w:top w:val="nil"/>
                  <w:left w:val="nil"/>
                  <w:bottom w:val="single" w:sz="4" w:space="0" w:color="auto"/>
                  <w:right w:val="single" w:sz="8" w:space="0" w:color="auto"/>
                </w:tcBorders>
                <w:tcMar>
                  <w:top w:w="0" w:type="dxa"/>
                  <w:left w:w="40" w:type="dxa"/>
                  <w:bottom w:w="0" w:type="dxa"/>
                  <w:right w:w="40" w:type="dxa"/>
                </w:tcMar>
                <w:hideMark/>
              </w:tcPr>
              <w:p>
                <w:pPr>
                  <w:jc w:val="both"/>
                  <w:rPr>
                    <w:szCs w:val="24"/>
                    <w:lang w:eastAsia="lt-LT"/>
                  </w:rPr>
                </w:pPr>
                <w:r>
                  <w:rPr>
                    <w:szCs w:val="24"/>
                    <w:lang w:eastAsia="lt-LT"/>
                  </w:rPr>
                  <w:t>Draudžiama vairuoti išgėrus alkoholio</w:t>
                </w:r>
              </w:p>
            </w:tc>
          </w:tr>
        </w:tbl>
        <w:p>
          <w:pPr>
            <w:ind w:firstLine="1296"/>
            <w:rPr>
              <w:szCs w:val="24"/>
              <w:lang w:eastAsia="lt-LT"/>
            </w:rPr>
          </w:pPr>
        </w:p>
        <w:p>
          <w:pPr>
            <w:suppressAutoHyphens/>
            <w:ind w:left="1134"/>
            <w:textAlignment w:val="center"/>
            <w:rPr>
              <w:szCs w:val="24"/>
              <w:lang w:eastAsia="lt-LT"/>
            </w:rPr>
          </w:pPr>
          <w:r>
            <w:rPr>
              <w:szCs w:val="24"/>
              <w:vertAlign w:val="superscript"/>
              <w:lang w:eastAsia="lt-LT"/>
            </w:rPr>
            <w:t>*</w:t>
          </w:r>
          <w:r>
            <w:rPr>
              <w:szCs w:val="24"/>
              <w:lang w:eastAsia="lt-LT"/>
            </w:rPr>
            <w:t>Lentelėje naudojamų raidžių reikšmės:</w:t>
          </w:r>
        </w:p>
        <w:p>
          <w:pPr>
            <w:suppressAutoHyphens/>
            <w:ind w:left="1134"/>
            <w:textAlignment w:val="center"/>
            <w:rPr>
              <w:szCs w:val="24"/>
              <w:lang w:eastAsia="lt-LT"/>
            </w:rPr>
          </w:pPr>
          <w:r>
            <w:rPr>
              <w:szCs w:val="24"/>
              <w:lang w:eastAsia="lt-LT"/>
            </w:rPr>
            <w:t>a – kairė</w:t>
          </w:r>
        </w:p>
        <w:p>
          <w:pPr>
            <w:suppressAutoHyphens/>
            <w:ind w:left="1134"/>
            <w:textAlignment w:val="center"/>
            <w:rPr>
              <w:szCs w:val="24"/>
              <w:lang w:eastAsia="lt-LT"/>
            </w:rPr>
          </w:pPr>
          <w:r>
            <w:rPr>
              <w:szCs w:val="24"/>
              <w:lang w:eastAsia="lt-LT"/>
            </w:rPr>
            <w:t>b – dešinė</w:t>
          </w:r>
        </w:p>
        <w:p>
          <w:pPr>
            <w:suppressAutoHyphens/>
            <w:ind w:left="1134"/>
            <w:textAlignment w:val="center"/>
            <w:rPr>
              <w:szCs w:val="24"/>
              <w:lang w:eastAsia="lt-LT"/>
            </w:rPr>
          </w:pPr>
          <w:r>
            <w:rPr>
              <w:szCs w:val="24"/>
              <w:lang w:eastAsia="lt-LT"/>
            </w:rPr>
            <w:t>c – plaštaka</w:t>
          </w:r>
        </w:p>
        <w:p>
          <w:pPr>
            <w:suppressAutoHyphens/>
            <w:ind w:left="1134"/>
            <w:textAlignment w:val="center"/>
            <w:rPr>
              <w:szCs w:val="24"/>
              <w:lang w:eastAsia="lt-LT"/>
            </w:rPr>
          </w:pPr>
          <w:r>
            <w:rPr>
              <w:szCs w:val="24"/>
              <w:lang w:eastAsia="lt-LT"/>
            </w:rPr>
            <w:t>d – pėda</w:t>
          </w:r>
        </w:p>
        <w:p>
          <w:pPr>
            <w:suppressAutoHyphens/>
            <w:ind w:left="1134"/>
            <w:textAlignment w:val="center"/>
            <w:rPr>
              <w:szCs w:val="24"/>
              <w:lang w:eastAsia="lt-LT"/>
            </w:rPr>
          </w:pPr>
          <w:r>
            <w:rPr>
              <w:szCs w:val="24"/>
              <w:lang w:eastAsia="lt-LT"/>
            </w:rPr>
            <w:t>f – ranka</w:t>
          </w:r>
        </w:p>
        <w:p>
          <w:pPr>
            <w:suppressAutoHyphens/>
            <w:ind w:left="1134"/>
            <w:textAlignment w:val="center"/>
          </w:pPr>
          <w:r>
            <w:rPr>
              <w:szCs w:val="24"/>
              <w:lang w:eastAsia="lt-LT"/>
            </w:rPr>
            <w:t>g – nykštys</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8"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9"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0"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1"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43cc33497961491f8cea2b436cc9b0bd"/>
        <w:lock w:val="sdtLocked"/>
        <w:richText/>
      </w:sdtPr>
      <w:sdtContent>
        <w:p>
          <w:pPr>
            <w:tabs>
              <w:tab w:val="left" w:pos="1304"/>
              <w:tab w:val="left" w:pos="1457"/>
              <w:tab w:val="left" w:pos="1604"/>
              <w:tab w:val="left" w:pos="1757"/>
            </w:tabs>
            <w:ind w:left="5102"/>
            <w:sectPr>
              <w:headerReference w:type="even" r:id="rId52"/>
              <w:headerReference w:type="default" r:id="rId53"/>
              <w:footerReference w:type="even" r:id="rId54"/>
              <w:footerReference w:type="default" r:id="rId55"/>
              <w:headerReference w:type="first" r:id="rId56"/>
              <w:footerReference w:type="first" r:id="rId57"/>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43cc33497961491f8cea2b436cc9b0bd"/>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43cc33497961491f8cea2b436cc9b0bd"/>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15b02405709a40e4a0e3ff4abccc2257"/>
        <w:lock w:val="sdtLocked"/>
        <w:richText/>
      </w:sdtPr>
      <w:sdtContent>
        <w:p>
          <w:pPr>
            <w:ind w:left="720" w:hanging="11"/>
            <w:jc w:val="center"/>
            <w:rPr>
              <w:szCs w:val="24"/>
            </w:rPr>
          </w:pPr>
        </w:p>
        <w:p>
          <w:pPr>
            <w:ind w:right="27"/>
            <w:jc w:val="both"/>
            <w:rPr>
              <w:sz w:val="20"/>
              <w:szCs w:val="24"/>
            </w:rPr>
            <w:sectPr>
              <w:headerReference w:type="even" r:id="rId96"/>
              <w:headerReference w:type="default" r:id="rId97"/>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15b02405709a40e4a0e3ff4abccc2257"/>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2213a545e1d742f699b0414601f0ec61"/>
        <w:lock w:val="sdtLocked"/>
        <w:richText/>
      </w:sdtPr>
      <w:sdtContent>
        <w:p>
          <w:pPr>
            <w:ind w:left="5184"/>
            <w:jc w:val="both"/>
            <w:sectPr>
              <w:headerReference w:type="even" r:id="rId98"/>
              <w:headerReference w:type="default" r:id="rId99"/>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2213a545e1d742f699b0414601f0ec61"/>
              <w:lock w:val="sdtLocked"/>
              <w:richText/>
            </w:sdtPr>
            <w:sdtContent>
              <w:r>
                <w:rPr>
                  <w:szCs w:val="24"/>
                </w:rPr>
                <w:t>2</w:t>
              </w:r>
            </w:sdtContent>
          </w:sdt>
          <w:r>
            <w:rPr>
              <w:szCs w:val="24"/>
            </w:rPr>
            <w:t xml:space="preserve"> priedas</w:t>
          </w:r>
        </w:p>
        <w:p>
          <w:pPr>
            <w:jc w:val="center"/>
            <w:rPr>
              <w:b/>
              <w:szCs w:val="24"/>
            </w:rPr>
          </w:pPr>
        </w:p>
        <w:sdt>
          <w:sdtPr>
            <w:alias w:val="Pavadinimas"/>
            <w:tag w:val="title_2213a545e1d742f699b0414601f0ec61"/>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3" w:tgtFrame="_blank" w:history="1">
                    <w:r>
                      <w:rPr>
                        <w:color w:val="0000FF" w:themeColor="hyperlink"/>
                        <w:u w:val="single"/>
                      </w:rPr>
                      <w:t>4-27</w:t>
                    </w:r>
                  </w:hyperlink>
                  <w:r>
                    <w:rPr>
                      <w:color w:val="000000"/>
                    </w:rPr>
                    <w:t xml:space="preserve">; 2006, Nr. </w:t>
                  </w:r>
                  <w:hyperlink r:id="rId64"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5" w:tgtFrame="_blank" w:history="1">
                    <w:r>
                      <w:rPr>
                        <w:color w:val="0000FF" w:themeColor="hyperlink"/>
                        <w:u w:val="single"/>
                      </w:rPr>
                      <w:t>47-1365</w:t>
                    </w:r>
                  </w:hyperlink>
                  <w:r>
                    <w:rPr>
                      <w:color w:val="000000"/>
                    </w:rPr>
                    <w:t xml:space="preserve">; 2009, Nr. </w:t>
                  </w:r>
                  <w:hyperlink r:id="rId66"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7"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8"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9"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70"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71"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72"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3"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4"/>
                          <w:footerReference w:type="default" r:id="rId75"/>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cdff958ff76f44e9a2f2b5d9532b319d"/>
                <w:lock w:val="sdtLocked"/>
                <w:richText/>
              </w:sdtPr>
              <w:sdtContent>
                <w:p>
                  <w:pPr>
                    <w:ind w:firstLine="567"/>
                    <w:jc w:val="both"/>
                    <w:rPr>
                      <w:color w:val="000000"/>
                    </w:rPr>
                  </w:pPr>
                  <w:sdt>
                    <w:sdtPr>
                      <w:alias w:val="Numeris"/>
                      <w:tag w:val="nr_cdff958ff76f44e9a2f2b5d9532b319d"/>
                      <w:lock w:val="sdtLocked"/>
                      <w:richText/>
                    </w:sdtPr>
                    <w:sdtContent>
                      <w:r>
                        <w:rPr>
                          <w:color w:val="000000"/>
                          <w:szCs w:val="24"/>
                        </w:rPr>
                        <w:t>2</w:t>
                      </w:r>
                    </w:sdtContent>
                  </w:sdt>
                  <w:r>
                    <w:rPr>
                      <w:color w:val="000000"/>
                      <w:szCs w:val="24"/>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arba darbo aplinkoje, kurioje įvertinus riziką, atsižvelgiant į Profesinės rizikos vertinimo bendruosius nuostatus, patvirtintus Lietuvos Respublikos socialinės apsaugos ir darbo ministro ir Lietuvos Respublikos sveikatos apsaugos ministro 2012 m. spalio 25 d. įsakymu Nr. </w:t>
                  </w:r>
                  <w:r>
                    <w:rPr>
                      <w:color w:val="000000"/>
                      <w:szCs w:val="24"/>
                      <w:lang w:eastAsia="lt-LT"/>
                    </w:rPr>
                    <w:t>A1-457/V-961</w:t>
                  </w:r>
                  <w:r>
                    <w:rPr>
                      <w:color w:val="000000"/>
                      <w:szCs w:val="24"/>
                    </w:rPr>
                    <w:t xml:space="preserve"> „Dėl Profesinės rizikos vertinimo bendrųjų nuostatų patvirtinimo“,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įforminimo ir kontrolės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6"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7"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9f93e41afcdf463796433c74dd2a44d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9f93e41afcdf463796433c74dd2a44da"/>
                      <w:lock w:val="sdtLocked"/>
                      <w:richText/>
                    </w:sdtPr>
                    <w:sdtContent>
                      <w:r>
                        <w:rPr>
                          <w:szCs w:val="24"/>
                        </w:rPr>
                        <w:t>4</w:t>
                      </w:r>
                    </w:sdtContent>
                  </w:sdt>
                  <w:r>
                    <w:rPr>
                      <w:szCs w:val="24"/>
                    </w:rPr>
                    <w:t>.</w:t>
                  </w:r>
                  <w:r>
                    <w:rPr>
                      <w:color w:val="000000"/>
                      <w:szCs w:val="24"/>
                    </w:rPr>
                    <w:t xml:space="preserve"> Aprašu nustatyta tvarka taikoma atsižvelgiant į konkretų pavojingą darbą ir (ar) kenksmingą veiksnį.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 išskyrus atvejus, kai dėl žmonių užkrečiamųjų ligų plitimo grėsmės Lietuvos Respublikos Vyriausybės yra paskelbta valstybės lygio ekstremalioji situacija ir (ar) karantinas visoje Lietuvos Respublikos teritorijoje (toliau – ypatingi įvykiai), </w:t>
                  </w:r>
                  <w:r>
                    <w:rPr>
                      <w:szCs w:val="24"/>
                    </w:rPr>
                    <w:t xml:space="preserve">– šiais atvejais Aprašo 1 ir 2 lentelėse nurodytas darbuotojų sveikatos tikrinimo periodiškumas netaikomas ir darbuotojams išduotos F Nr. 047/a ir F Nr. 048/a, kurių galiojimas baigėsi ne anksčiau kaip prieš vieną mėnesį iki ypatingo įvykio paskelbimo dienos arba jo paskelbimo metu, laikomos galiojančiomis </w:t>
                  </w:r>
                  <w:r>
                    <w:rPr>
                      <w:color w:val="000000"/>
                      <w:szCs w:val="24"/>
                      <w:shd w:val="clear" w:color="auto" w:fill="FFFFFF"/>
                    </w:rPr>
                    <w:t>ypatingo įvykio paskelbimo laikotarpiu</w:t>
                  </w:r>
                  <w:r>
                    <w:rPr>
                      <w:szCs w:val="24"/>
                    </w:rPr>
                    <w:t xml:space="preserve"> ir 3 mėnesius po jo pabaigos. Ypatingų įvykių paskelbimo metu įsidarbinančių asmenų, siekiančių dirbti tokioje veiklos srityje, kurioje dirbant patiriamas Aprašo 2 lentelės 2–5 punktuose (išskyrus 3.1 ir 3.8 papunkčius) nurodytų kenksmingų rizikos veiksnių poveikis, privalomas sveikatos patikrinimas gali būti atliktas jiems pradėjus dirbti, bet ne vėliau kaip per 6 mėn. nuo jų įdarbinimo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5f42a0ee9f11eaa12ad7c04a383ca0">
                    <w:r w:rsidRPr="00532B9F">
                      <w:rPr>
                        <w:rFonts w:ascii="Times New Roman" w:eastAsia="MS Mincho" w:hAnsi="Times New Roman"/>
                        <w:sz w:val="20"/>
                        <w:i/>
                        <w:iCs/>
                        <w:color w:val="0000FF" w:themeColor="hyperlink"/>
                        <w:u w:val="single"/>
                      </w:rPr>
                      <w:t>V-1978</w:t>
                    </w:r>
                  </w:fldSimple>
                  <w:r>
                    <w:rPr>
                      <w:rFonts w:ascii="Times New Roman" w:eastAsia="MS Mincho" w:hAnsi="Times New Roman"/>
                      <w:sz w:val="20"/>
                      <w:i/>
                      <w:iCs/>
                    </w:rPr>
                    <w:t>,
2020-09-04,
paskelbta TAR 2020-09-04, i. k. 2020-18795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67da0079e11ebb74de75171d26d52">
                    <w:r w:rsidRPr="00532B9F">
                      <w:rPr>
                        <w:rFonts w:ascii="Times New Roman" w:eastAsia="MS Mincho" w:hAnsi="Times New Roman"/>
                        <w:sz w:val="20"/>
                        <w:i/>
                        <w:iCs/>
                        <w:color w:val="0000FF" w:themeColor="hyperlink"/>
                        <w:u w:val="single"/>
                      </w:rPr>
                      <w:t>V-2191</w:t>
                    </w:r>
                  </w:fldSimple>
                  <w:r>
                    <w:rPr>
                      <w:rFonts w:ascii="Times New Roman" w:eastAsia="MS Mincho" w:hAnsi="Times New Roman"/>
                      <w:sz w:val="20"/>
                      <w:i/>
                      <w:iCs/>
                    </w:rPr>
                    <w:t>,
2020-10-06,
paskelbta TAR 2020-10-06, i. k. 2020-20813            </w:t>
                  </w:r>
                </w:p>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8"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9"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2529ba8d4c5d4cfdba2ff4d9ff535b70"/>
                    <w:lock w:val="sdtLocked"/>
                    <w:richText/>
                  </w:sdtPr>
                  <w:sdtContent>
                    <w:p>
                      <w:pPr>
                        <w:widowControl w:val="0"/>
                        <w:suppressAutoHyphens/>
                        <w:ind w:firstLine="567"/>
                        <w:jc w:val="both"/>
                      </w:pPr>
                      <w:sdt>
                        <w:sdtPr>
                          <w:alias w:val="Numeris"/>
                          <w:tag w:val="nr_2529ba8d4c5d4cfdba2ff4d9ff535b70"/>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
                  <w:sdtPr>
                    <w:alias w:val="9.5 pp."/>
                    <w:tag w:val="part_ecd90fb37b19407e839b28c2474140b8"/>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cd90fb37b19407e839b28c2474140b8"/>
                          <w:lock w:val="sdtLocked"/>
                          <w:richText/>
                        </w:sdtPr>
                        <w:sdtContent>
                          <w:r>
                            <w:rPr>
                              <w:szCs w:val="24"/>
                              <w:lang w:eastAsia="lt-LT"/>
                            </w:rPr>
                            <w:t>9.5</w:t>
                          </w:r>
                        </w:sdtContent>
                      </w:sdt>
                      <w:r>
                        <w:rPr>
                          <w:szCs w:val="24"/>
                          <w:lang w:eastAsia="lt-LT"/>
                        </w:rPr>
                        <w:t xml:space="preserve">. jeigu reikalinga gydytojo </w:t>
                      </w:r>
                      <w:r>
                        <w:rPr>
                          <w:szCs w:val="24"/>
                        </w:rPr>
                        <w:t xml:space="preserve">išvada dėl sunkų ar vidutinį neįgalumo lygį ar 40 procentų neviršijantį darbingumo lygį </w:t>
                      </w:r>
                      <w:r>
                        <w:rPr>
                          <w:szCs w:val="24"/>
                          <w:lang w:eastAsia="lt-LT"/>
                        </w:rPr>
                        <w:t xml:space="preserve">arba didelių ar vidutinių specialiųjų poreikių lygį </w:t>
                      </w:r>
                      <w:r>
                        <w:rPr>
                          <w:szCs w:val="24"/>
                        </w:rPr>
                        <w:t xml:space="preserve">turinčių darbuotojų negalios pobūdžio, darbo funkcijos socialinėje įmonėje, kurios neįgalus darbuotojas negali atlikti be asistento pagalbos </w:t>
                      </w:r>
                      <w:r>
                        <w:rPr>
                          <w:color w:val="000000"/>
                          <w:szCs w:val="24"/>
                        </w:rPr>
                        <w:t>–</w:t>
                      </w:r>
                      <w:r>
                        <w:rPr>
                          <w:szCs w:val="24"/>
                        </w:rPr>
                        <w:t xml:space="preserve"> darbdaviui atstovaujančio ar jo įgalioto asmens raštą, kuriame išvardytos tos darbuotojo funkcijos, dėl kurių prašoma gydytojo išvados.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80"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1"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2"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3"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a3d877e0cd114ec892d3b01867b1eae1"/>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a3d877e0cd114ec892d3b01867b1eae1"/>
                      <w:lock w:val="sdtLocked"/>
                      <w:richText/>
                    </w:sdtPr>
                    <w:sdtContent>
                      <w:r>
                        <w:rPr>
                          <w:szCs w:val="24"/>
                        </w:rPr>
                        <w:t>19</w:t>
                      </w:r>
                    </w:sdtContent>
                  </w:sdt>
                  <w:r>
                    <w:rPr>
                      <w:szCs w:val="24"/>
                    </w:rPr>
                    <w:t xml:space="preserve">. </w:t>
                  </w:r>
                  <w:r>
                    <w:rPr>
                      <w:color w:val="000000"/>
                      <w:szCs w:val="24"/>
                      <w:lang w:eastAsia="lt-LT"/>
                    </w:rPr>
                    <w:t>Asmenų iki aštuoniolikos metų, nėščių, neseniai pagimdžiusių ar krūtimi maitinančių darbuotojų, neįgaliųjų ir asmenų, kuriems nustatytas sumažėjęs darbingumo lygis, privalomi sveikatos tikrinimai:</w:t>
                  </w:r>
                </w:p>
                <w:sdt>
                  <w:sdtPr>
                    <w:alias w:val="19.1 pp."/>
                    <w:tag w:val="part_cb8ee80f82084bbdb61b058855fd2eb7"/>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b8ee80f82084bbdb61b058855fd2eb7"/>
                          <w:lock w:val="sdtLocked"/>
                          <w:richText/>
                        </w:sdtPr>
                        <w:sdtContent>
                          <w:r>
                            <w:rPr>
                              <w:color w:val="000000"/>
                              <w:szCs w:val="24"/>
                            </w:rPr>
                            <w:t>19.1</w:t>
                          </w:r>
                        </w:sdtContent>
                      </w:sdt>
                      <w:r>
                        <w:rPr>
                          <w:color w:val="000000"/>
                          <w:szCs w:val="24"/>
                        </w:rPr>
                        <w:t xml:space="preserve">. tikrinant asmenų iki 18 metų amžiaus sveikatą vadovaujamasi </w:t>
                      </w:r>
                      <w:r>
                        <w:rPr>
                          <w:szCs w:val="24"/>
                        </w:rPr>
                        <w:t>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w:t>
                      </w:r>
                    </w:p>
                  </w:sdtContent>
                </w:sdt>
                <w:sdt>
                  <w:sdtPr>
                    <w:alias w:val="19.2 pp."/>
                    <w:tag w:val="part_9bcbc80f0fb3408590d5644c6802337a"/>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9bcbc80f0fb3408590d5644c6802337a"/>
                          <w:lock w:val="sdtLocked"/>
                          <w:richText/>
                        </w:sdtPr>
                        <w:sdtContent>
                          <w:r>
                            <w:rPr>
                              <w:color w:val="000000"/>
                              <w:szCs w:val="24"/>
                            </w:rPr>
                            <w:t>19.2</w:t>
                          </w:r>
                        </w:sdtContent>
                      </w:sdt>
                      <w:r>
                        <w:rPr>
                          <w:color w:val="000000"/>
                          <w:szCs w:val="24"/>
                        </w:rPr>
                        <w:t xml:space="preserve">. tikrinant nėščiųjų, neseniai pagimdžiusių ar krūtimi maitinančių darbuotojų sveikatą vadovaujamasi </w:t>
                      </w:r>
                      <w:r>
                        <w:rPr>
                          <w:szCs w:val="24"/>
                        </w:rPr>
                        <w:t>Nėščių, neseniai pagimdžiusių, krūtimi maitinančių darbuotojų darbo sąlygų aprašu, patvirtintu Lietuvos Respublikos Vyriausybės 2017 m. birželio 21 d. nutarimu Nr. 469 „Dėl Nėščių, neseniai pagimdžiusių, krūtimi maitinančių darbuotojų darbo sąlygų aprašo patvirtinimo“;</w:t>
                      </w:r>
                    </w:p>
                  </w:sdtContent>
                </w:sdt>
                <w:sdt>
                  <w:sdtPr>
                    <w:alias w:val="19.3 pp."/>
                    <w:tag w:val="part_edf1b7aac38647e38f2f74d57fc0cfde"/>
                    <w:lock w:val="sdtLocked"/>
                    <w:richText/>
                  </w:sdtPr>
                  <w:sdtContent>
                    <w:p>
                      <w:pPr>
                        <w:ind w:firstLine="567"/>
                        <w:jc w:val="both"/>
                        <w:rPr>
                          <w:color w:val="000000"/>
                        </w:rPr>
                      </w:pPr>
                      <w:sdt>
                        <w:sdtPr>
                          <w:alias w:val="Numeris"/>
                          <w:tag w:val="nr_edf1b7aac38647e38f2f74d57fc0cfde"/>
                          <w:lock w:val="sdtLocked"/>
                          <w:richText/>
                        </w:sdtPr>
                        <w:sdtContent>
                          <w:r>
                            <w:rPr>
                              <w:color w:val="000000"/>
                              <w:szCs w:val="24"/>
                              <w:lang w:eastAsia="lt-LT"/>
                            </w:rPr>
                            <w:t>19.3</w:t>
                          </w:r>
                        </w:sdtContent>
                      </w:sdt>
                      <w:r>
                        <w:rPr>
                          <w:color w:val="000000"/>
                          <w:szCs w:val="24"/>
                          <w:lang w:eastAsia="lt-LT"/>
                        </w:rPr>
                        <w:t xml:space="preserve">. dėl neįgaliųjų asmenų ar asmenų, netekusių dalies darbingumo, galimybės dirbti konkretų darbą sprendžia Aprašo 10.4 papunktyje nurodytas gydytojas, gavęs Neįgalumo ir darbingumo nustatymo tarnybos prie Socialinės apsaugos ir darbo ministerijos rekomendacijas ir atitinkamos profesinės kvalifikacijos gydytojo išvadą. Jeigu buvo pateiktas Aprašo 9.5 papunktyje nurodytas </w:t>
                      </w:r>
                      <w:r>
                        <w:rPr>
                          <w:szCs w:val="24"/>
                        </w:rPr>
                        <w:t>darbdaviui atstovaujančio ar jo įgalioto asmens raštas, Aprašo 10.4 papunktyje nurodytas gydytojas F Nr. 047/a arba F Nr. 048/a papildomai įrašo išvadą dėl darbo funkcijos (-ų), kurios (-ių) darbuotojas dėl savo negalios pobūdžio negali atlikti be asistento pagalbos.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9-1 p."/>
                <w:tag w:val="part_e186288a75384c44be0e92e8c774ce25"/>
                <w:lock w:val="sdtLocked"/>
                <w:richText/>
              </w:sdtPr>
              <w:sdtContent>
                <w:p>
                  <w:pPr>
                    <w:tabs>
                      <w:tab w:val="left" w:pos="1134"/>
                    </w:tabs>
                    <w:ind w:firstLine="567"/>
                    <w:jc w:val="both"/>
                    <w:rPr>
                      <w:color w:val="000000"/>
                    </w:rPr>
                  </w:pPr>
                  <w:sdt>
                    <w:sdtPr>
                      <w:alias w:val="Numeris"/>
                      <w:tag w:val="nr_e186288a75384c44be0e92e8c774ce25"/>
                      <w:lock w:val="sdtLocked"/>
                      <w:richText/>
                    </w:sdtPr>
                    <w:sdtContent>
                      <w:r>
                        <w:rPr>
                          <w:szCs w:val="24"/>
                        </w:rPr>
                        <w:t>19</w:t>
                      </w:r>
                      <w:r>
                        <w:rPr>
                          <w:szCs w:val="24"/>
                          <w:vertAlign w:val="superscript"/>
                        </w:rPr>
                        <w:t>1</w:t>
                      </w:r>
                    </w:sdtContent>
                  </w:sdt>
                  <w:r>
                    <w:rPr>
                      <w:szCs w:val="24"/>
                    </w:rPr>
                    <w:t xml:space="preserve">. Tikrinant asmenų, siekiančių verstis ar besiverčiančių bendrosios slaugos praktika, akušerijos praktika ar medicinos praktika sveikatą, papildomai vadovautis Ligų, trukdančių verstis bendrosios slaugos praktika, akušerijos praktika ar medicinos praktika sąrašu, patvirtintu Lietuvos Respublikos sveikatos apsaugos ministro 2010 m. </w:t>
                  </w:r>
                  <w:r>
                    <w:rPr>
                      <w:bCs/>
                      <w:szCs w:val="24"/>
                    </w:rPr>
                    <w:t xml:space="preserve">rugpjūčio 12 </w:t>
                  </w:r>
                  <w:r>
                    <w:rPr>
                      <w:szCs w:val="24"/>
                    </w:rPr>
                    <w:t>d. įsakymu Nr. V-720 „Dėl Ligų, trukdančių verstis bendrosios slaugos praktika, akušerijos praktika ar medicinos praktika,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4"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5"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6"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7" w:tgtFrame="_blank" w:history="1">
                          <w:r>
                            <w:rPr>
                              <w:color w:val="0000FF" w:themeColor="hyperlink"/>
                              <w:sz w:val="18"/>
                              <w:szCs w:val="18"/>
                              <w:u w:val="single"/>
                            </w:rPr>
                            <w:t>47-1365</w:t>
                          </w:r>
                        </w:hyperlink>
                        <w:r>
                          <w:rPr>
                            <w:sz w:val="18"/>
                            <w:szCs w:val="18"/>
                          </w:rPr>
                          <w:t xml:space="preserve">; 2005, Nr. </w:t>
                        </w:r>
                        <w:hyperlink r:id="rId88" w:tgtFrame="_blank" w:history="1">
                          <w:r>
                            <w:rPr>
                              <w:color w:val="0000FF" w:themeColor="hyperlink"/>
                              <w:sz w:val="18"/>
                              <w:szCs w:val="18"/>
                              <w:u w:val="single"/>
                            </w:rPr>
                            <w:t>128-4637</w:t>
                          </w:r>
                        </w:hyperlink>
                        <w:r>
                          <w:rPr>
                            <w:sz w:val="18"/>
                            <w:szCs w:val="18"/>
                          </w:rPr>
                          <w:t xml:space="preserve">; 2008, Nr. </w:t>
                        </w:r>
                        <w:hyperlink r:id="rId89"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0" w:tgtFrame="_blank" w:history="1">
                          <w:r>
                            <w:rPr>
                              <w:color w:val="0000FF" w:themeColor="hyperlink"/>
                              <w:sz w:val="18"/>
                              <w:szCs w:val="18"/>
                              <w:u w:val="single"/>
                            </w:rPr>
                            <w:t>47-1365</w:t>
                          </w:r>
                        </w:hyperlink>
                        <w:r>
                          <w:rPr>
                            <w:sz w:val="18"/>
                            <w:szCs w:val="18"/>
                          </w:rPr>
                          <w:t xml:space="preserve">; 2005, Nr. </w:t>
                        </w:r>
                        <w:hyperlink r:id="rId91" w:tgtFrame="_blank" w:history="1">
                          <w:r>
                            <w:rPr>
                              <w:color w:val="0000FF" w:themeColor="hyperlink"/>
                              <w:sz w:val="18"/>
                              <w:szCs w:val="18"/>
                              <w:u w:val="single"/>
                            </w:rPr>
                            <w:t>128-4637</w:t>
                          </w:r>
                        </w:hyperlink>
                        <w:r>
                          <w:rPr>
                            <w:sz w:val="18"/>
                            <w:szCs w:val="18"/>
                          </w:rPr>
                          <w:t xml:space="preserve">; 2008, Nr. </w:t>
                        </w:r>
                        <w:hyperlink r:id="rId92"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3"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4fe74421a0e5406a99443c2f7d4f5184"/>
            <w:lock w:val="sdtLocked"/>
            <w:richText/>
          </w:sdtPr>
          <w:sdtContent>
            <w:p>
              <w:pPr>
                <w:jc w:val="center"/>
                <w:rPr>
                  <w:b/>
                  <w:szCs w:val="24"/>
                </w:rPr>
              </w:pPr>
              <w:sdt>
                <w:sdtPr>
                  <w:alias w:val="Numeris"/>
                  <w:tag w:val="nr_4fe74421a0e5406a99443c2f7d4f5184"/>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4fe74421a0e5406a99443c2f7d4f5184"/>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rPr>
                  <w:trHeight w:val="428"/>
                </w:trP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1</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rPr>
                        <w:szCs w:val="24"/>
                      </w:rPr>
                    </w:pPr>
                    <w:r>
                      <w:rPr>
                        <w:szCs w:val="24"/>
                      </w:rPr>
                      <w:t>Gydytojo specialisto</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9,13</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3b540529011e7846ef01bfffb9b64">
                <w:r w:rsidRPr="00532B9F">
                  <w:rPr>
                    <w:rFonts w:ascii="Times New Roman" w:eastAsia="MS Mincho" w:hAnsi="Times New Roman"/>
                    <w:sz w:val="20"/>
                    <w:i/>
                    <w:iCs/>
                    <w:color w:val="0000FF" w:themeColor="hyperlink"/>
                    <w:u w:val="single"/>
                  </w:rPr>
                  <w:t>V-715</w:t>
                </w:r>
              </w:fldSimple>
              <w:r>
                <w:rPr>
                  <w:rFonts w:ascii="Times New Roman" w:eastAsia="MS Mincho" w:hAnsi="Times New Roman"/>
                  <w:sz w:val="20"/>
                  <w:i/>
                  <w:iCs/>
                </w:rPr>
                <w:t>,
2017-06-14,
paskelbta TAR 2017-06-19, i. k. 2017-10169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27960447e11e8ad2f97b2a095557a">
                <w:r w:rsidRPr="00532B9F">
                  <w:rPr>
                    <w:rFonts w:ascii="Times New Roman" w:eastAsia="MS Mincho" w:hAnsi="Times New Roman"/>
                    <w:sz w:val="20"/>
                    <w:i/>
                    <w:iCs/>
                    <w:color w:val="0000FF" w:themeColor="hyperlink"/>
                    <w:u w:val="single"/>
                  </w:rPr>
                  <w:t>V-458</w:t>
                </w:r>
              </w:fldSimple>
              <w:r>
                <w:rPr>
                  <w:rFonts w:ascii="Times New Roman" w:eastAsia="MS Mincho" w:hAnsi="Times New Roman"/>
                  <w:sz w:val="20"/>
                  <w:i/>
                  <w:iCs/>
                </w:rPr>
                <w:t>,
2018-04-19,
paskelbta TAR 2018-04-20, i. k. 2018-06362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383fb0a9f911e9964cdd77475976b0">
                <w:r w:rsidRPr="00532B9F">
                  <w:rPr>
                    <w:rFonts w:ascii="Times New Roman" w:eastAsia="MS Mincho" w:hAnsi="Times New Roman"/>
                    <w:sz w:val="20"/>
                    <w:i/>
                    <w:iCs/>
                    <w:color w:val="0000FF" w:themeColor="hyperlink"/>
                    <w:u w:val="single"/>
                  </w:rPr>
                  <w:t>V-844</w:t>
                </w:r>
              </w:fldSimple>
              <w:r>
                <w:rPr>
                  <w:rFonts w:ascii="Times New Roman" w:eastAsia="MS Mincho" w:hAnsi="Times New Roman"/>
                  <w:sz w:val="20"/>
                  <w:i/>
                  <w:iCs/>
                </w:rPr>
                <w:t>,
2019-07-18,
paskelbta TAR 2019-07-19, i. k. 2019-11907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595bc076f111e9b81587fcbd5a76f6">
            <w:r w:rsidRPr="00532B9F">
              <w:rPr>
                <w:rFonts w:ascii="Times New Roman" w:eastAsia="MS Mincho" w:hAnsi="Times New Roman"/>
                <w:sz w:val="20"/>
                <w:iCs/>
                <w:color w:val="0000FF" w:themeColor="hyperlink"/>
                <w:u w:val="single"/>
              </w:rPr>
              <w:t>V-566</w:t>
            </w:r>
          </w:fldSimple>
          <w:r>
            <w:rPr>
              <w:rFonts w:ascii="Times New Roman" w:eastAsia="MS Mincho" w:hAnsi="Times New Roman"/>
              <w:sz w:val="20"/>
              <w:iCs/>
            </w:rPr>
            <w:t>,
2019-05-14,
paskelbta TAR 2019-05-15, i. k. 2019-07703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383fb0a9f911e9964cdd77475976b0">
            <w:r w:rsidRPr="00532B9F">
              <w:rPr>
                <w:rFonts w:ascii="Times New Roman" w:eastAsia="MS Mincho" w:hAnsi="Times New Roman"/>
                <w:sz w:val="20"/>
                <w:iCs/>
                <w:color w:val="0000FF" w:themeColor="hyperlink"/>
                <w:u w:val="single"/>
              </w:rPr>
              <w:t>V-844</w:t>
            </w:r>
          </w:fldSimple>
          <w:r>
            <w:rPr>
              <w:rFonts w:ascii="Times New Roman" w:eastAsia="MS Mincho" w:hAnsi="Times New Roman"/>
              <w:sz w:val="20"/>
              <w:iCs/>
            </w:rPr>
            <w:t>,
2019-07-18,
paskelbta TAR 2019-07-19, i. k. 2019-11907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331b102b1511eabe008ea93139d588">
            <w:r w:rsidRPr="00532B9F">
              <w:rPr>
                <w:rFonts w:ascii="Times New Roman" w:eastAsia="MS Mincho" w:hAnsi="Times New Roman"/>
                <w:sz w:val="20"/>
                <w:iCs/>
                <w:color w:val="0000FF" w:themeColor="hyperlink"/>
                <w:u w:val="single"/>
              </w:rPr>
              <w:t>V-1512</w:t>
            </w:r>
          </w:fldSimple>
          <w:r>
            <w:rPr>
              <w:rFonts w:ascii="Times New Roman" w:eastAsia="MS Mincho" w:hAnsi="Times New Roman"/>
              <w:sz w:val="20"/>
              <w:iCs/>
            </w:rPr>
            <w:t>,
2019-12-30,
paskelbta TAR 2019-12-31, i. k. 2019-21686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e619f0322711eabe008ea93139d588">
            <w:r w:rsidRPr="00532B9F">
              <w:rPr>
                <w:rFonts w:ascii="Times New Roman" w:eastAsia="MS Mincho" w:hAnsi="Times New Roman"/>
                <w:sz w:val="20"/>
                <w:iCs/>
                <w:color w:val="0000FF" w:themeColor="hyperlink"/>
                <w:u w:val="single"/>
              </w:rPr>
              <w:t>V-20</w:t>
            </w:r>
          </w:fldSimple>
          <w:r>
            <w:rPr>
              <w:rFonts w:ascii="Times New Roman" w:eastAsia="MS Mincho" w:hAnsi="Times New Roman"/>
              <w:sz w:val="20"/>
              <w:iCs/>
            </w:rPr>
            <w:t>,
2020-01-07,
paskelbta TAR 2020-01-09, i. k. 2020-00251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bfed02ba411eabe008ea93139d588">
            <w:r w:rsidRPr="00532B9F">
              <w:rPr>
                <w:rFonts w:ascii="Times New Roman" w:eastAsia="MS Mincho" w:hAnsi="Times New Roman"/>
                <w:sz w:val="20"/>
                <w:iCs/>
                <w:color w:val="0000FF" w:themeColor="hyperlink"/>
                <w:u w:val="single"/>
              </w:rPr>
              <w:t>V-1535</w:t>
            </w:r>
          </w:fldSimple>
          <w:r>
            <w:rPr>
              <w:rFonts w:ascii="Times New Roman" w:eastAsia="MS Mincho" w:hAnsi="Times New Roman"/>
              <w:sz w:val="20"/>
              <w:iCs/>
            </w:rPr>
            <w:t>,
2019-12-30,
paskelbta TAR 2019-12-31, i. k. 2019-21774                </w:t>
          </w:r>
        </w:p>
        <w:p>
          <w:pPr>
            <w:jc w:val="both"/>
            <w:rPr>
              <w:rFonts w:ascii="Times New Roman" w:hAnsi="Times New Roman"/>
            </w:rPr>
          </w:pPr>
          <w:r>
            <w:rPr>
              <w:rFonts w:ascii="Times New Roman" w:hAnsi="Times New Roman"/>
              <w:sz w:val="20"/>
            </w:rPr>
            <w:t>Dėl Lietuvos Respublikos sveikatos apsaugos ministro 2019 m. gegužės 14 d. įsakymo Nr. V-566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fc9970c0f011ea9815f635b9c0dcef">
            <w:r w:rsidRPr="00532B9F">
              <w:rPr>
                <w:rFonts w:ascii="Times New Roman" w:eastAsia="MS Mincho" w:hAnsi="Times New Roman"/>
                <w:sz w:val="20"/>
                <w:iCs/>
                <w:color w:val="0000FF" w:themeColor="hyperlink"/>
                <w:u w:val="single"/>
              </w:rPr>
              <w:t>V-1615</w:t>
            </w:r>
          </w:fldSimple>
          <w:r>
            <w:rPr>
              <w:rFonts w:ascii="Times New Roman" w:eastAsia="MS Mincho" w:hAnsi="Times New Roman"/>
              <w:sz w:val="20"/>
              <w:iCs/>
            </w:rPr>
            <w:t>,
2020-07-07,
paskelbta TAR 2020-07-08, i. k. 2020-15197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5f42a0ee9f11eaa12ad7c04a383ca0">
            <w:r w:rsidRPr="00532B9F">
              <w:rPr>
                <w:rFonts w:ascii="Times New Roman" w:eastAsia="MS Mincho" w:hAnsi="Times New Roman"/>
                <w:sz w:val="20"/>
                <w:iCs/>
                <w:color w:val="0000FF" w:themeColor="hyperlink"/>
                <w:u w:val="single"/>
              </w:rPr>
              <w:t>V-1978</w:t>
            </w:r>
          </w:fldSimple>
          <w:r>
            <w:rPr>
              <w:rFonts w:ascii="Times New Roman" w:eastAsia="MS Mincho" w:hAnsi="Times New Roman"/>
              <w:sz w:val="20"/>
              <w:iCs/>
            </w:rPr>
            <w:t>,
2020-09-04,
paskelbta TAR 2020-09-04, i. k. 2020-18795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f3a0a0015a11ebb74de75171d26d52">
            <w:r w:rsidRPr="00532B9F">
              <w:rPr>
                <w:rFonts w:ascii="Times New Roman" w:eastAsia="MS Mincho" w:hAnsi="Times New Roman"/>
                <w:sz w:val="20"/>
                <w:iCs/>
                <w:color w:val="0000FF" w:themeColor="hyperlink"/>
                <w:u w:val="single"/>
              </w:rPr>
              <w:t>V-2130</w:t>
            </w:r>
          </w:fldSimple>
          <w:r>
            <w:rPr>
              <w:rFonts w:ascii="Times New Roman" w:eastAsia="MS Mincho" w:hAnsi="Times New Roman"/>
              <w:sz w:val="20"/>
              <w:iCs/>
            </w:rPr>
            <w:t>,
2020-09-28,
paskelbta TAR 2020-09-28, i. k. 2020-20108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867da0079e11ebb74de75171d26d52">
            <w:r w:rsidRPr="00532B9F">
              <w:rPr>
                <w:rFonts w:ascii="Times New Roman" w:eastAsia="MS Mincho" w:hAnsi="Times New Roman"/>
                <w:sz w:val="20"/>
                <w:iCs/>
                <w:color w:val="0000FF" w:themeColor="hyperlink"/>
                <w:u w:val="single"/>
              </w:rPr>
              <w:t>V-2191</w:t>
            </w:r>
          </w:fldSimple>
          <w:r>
            <w:rPr>
              <w:rFonts w:ascii="Times New Roman" w:eastAsia="MS Mincho" w:hAnsi="Times New Roman"/>
              <w:sz w:val="20"/>
              <w:iCs/>
            </w:rPr>
            <w:t>,
2020-10-06,
paskelbta TAR 2020-10-06, i. k. 2020-20813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2"/>
        <w:szCs w:val="22"/>
      </w:rPr>
    </w:pPr>
  </w:p>
  <w:p>
    <w:pPr>
      <w:tabs>
        <w:tab w:val="center" w:pos="4819"/>
        <w:tab w:val="right" w:pos="9638"/>
      </w:tabs>
      <w:rPr>
        <w:sz w:val="22"/>
        <w:szCs w:val="22"/>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7"/>
  <w:hideSpellingErrors/>
  <w:hideGrammaticalErrors/>
  <w:proofState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819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8192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00" Type="http://schemas.openxmlformats.org/officeDocument/2006/relationships/header" Target="header327.xml"/>
  <Relationship Id="rId101" Type="http://schemas.openxmlformats.org/officeDocument/2006/relationships/header" Target="header328.xml"/>
  <Relationship Id="rId102" Type="http://schemas.openxmlformats.org/officeDocument/2006/relationships/header" Target="header329.xml"/>
  <Relationship Id="rId103" Type="http://schemas.openxmlformats.org/officeDocument/2006/relationships/image" Target="media/image289.png"/>
  <Relationship Id="rId104" Type="http://schemas.openxmlformats.org/officeDocument/2006/relationships/image" Target="media/image290.png"/>
  <Relationship Id="rId105" Type="http://schemas.openxmlformats.org/officeDocument/2006/relationships/image" Target="media/image291.png"/>
  <Relationship Id="rId106" Type="http://schemas.openxmlformats.org/officeDocument/2006/relationships/image" Target="media/image292.png"/>
  <Relationship Id="rId107" Type="http://schemas.openxmlformats.org/officeDocument/2006/relationships/image" Target="media/image293.png"/>
  <Relationship Id="rId108" Type="http://schemas.openxmlformats.org/officeDocument/2006/relationships/image" Target="media/image294.png"/>
  <Relationship Id="rId109" Type="http://schemas.openxmlformats.org/officeDocument/2006/relationships/image" Target="media/image295.png"/>
  <Relationship Id="rId11" Type="http://schemas.openxmlformats.org/officeDocument/2006/relationships/hyperlink" TargetMode="External" Target="https://www.e-tar.lt/portal/lt/legalAct/TAR.95C79D036AA4"/>
  <Relationship Id="rId110" Type="http://schemas.openxmlformats.org/officeDocument/2006/relationships/image" Target="media/image296.png"/>
  <Relationship Id="rId111" Type="http://schemas.openxmlformats.org/officeDocument/2006/relationships/image" Target="media/image297.png"/>
  <Relationship Id="rId112" Type="http://schemas.openxmlformats.org/officeDocument/2006/relationships/image" Target="media/image298.png"/>
  <Relationship Id="rId113" Type="http://schemas.openxmlformats.org/officeDocument/2006/relationships/image" Target="media/image299.png"/>
  <Relationship Id="rId114" Type="http://schemas.openxmlformats.org/officeDocument/2006/relationships/image" Target="media/image300.png"/>
  <Relationship Id="rId115" Type="http://schemas.openxmlformats.org/officeDocument/2006/relationships/image" Target="media/image301.png"/>
  <Relationship Id="rId116" Type="http://schemas.openxmlformats.org/officeDocument/2006/relationships/image" Target="media/image302.png"/>
  <Relationship Id="rId117" Type="http://schemas.openxmlformats.org/officeDocument/2006/relationships/image" Target="media/image303.png"/>
  <Relationship Id="rId118" Type="http://schemas.openxmlformats.org/officeDocument/2006/relationships/image" Target="media/image304.png"/>
  <Relationship Id="rId119" Type="http://schemas.openxmlformats.org/officeDocument/2006/relationships/image" Target="media/image305.png"/>
  <Relationship Id="rId12" Type="http://schemas.openxmlformats.org/officeDocument/2006/relationships/hyperlink" TargetMode="External" Target="https://www.e-tar.lt/portal/lt/legalAct/TAR.E2B2957B9182"/>
  <Relationship Id="rId120" Type="http://schemas.openxmlformats.org/officeDocument/2006/relationships/image" Target="media/image306.png"/>
  <Relationship Id="rId121" Type="http://schemas.openxmlformats.org/officeDocument/2006/relationships/image" Target="media/image307.png"/>
  <Relationship Id="rId122" Type="http://schemas.openxmlformats.org/officeDocument/2006/relationships/image" Target="media/image308.png"/>
  <Relationship Id="rId123" Type="http://schemas.openxmlformats.org/officeDocument/2006/relationships/image" Target="media/image309.png"/>
  <Relationship Id="rId124" Type="http://schemas.openxmlformats.org/officeDocument/2006/relationships/image" Target="media/image310.png"/>
  <Relationship Id="rId125" Type="http://schemas.openxmlformats.org/officeDocument/2006/relationships/image" Target="media/image311.png"/>
  <Relationship Id="rId126" Type="http://schemas.openxmlformats.org/officeDocument/2006/relationships/image" Target="media/image312.png"/>
  <Relationship Id="rId127" Type="http://schemas.openxmlformats.org/officeDocument/2006/relationships/image" Target="media/image313.png"/>
  <Relationship Id="rId128" Type="http://schemas.openxmlformats.org/officeDocument/2006/relationships/image" Target="media/image314.png"/>
  <Relationship Id="rId129" Type="http://schemas.openxmlformats.org/officeDocument/2006/relationships/image" Target="media/image315.png"/>
  <Relationship Id="rId13" Type="http://schemas.openxmlformats.org/officeDocument/2006/relationships/hyperlink" TargetMode="External" Target="https://www.e-tar.lt/portal/lt/legalAct/TAR.E964CE7A637A"/>
  <Relationship Id="rId130" Type="http://schemas.openxmlformats.org/officeDocument/2006/relationships/image" Target="media/image316.png"/>
  <Relationship Id="rId131" Type="http://schemas.openxmlformats.org/officeDocument/2006/relationships/image" Target="media/image317.png"/>
  <Relationship Id="rId132" Type="http://schemas.openxmlformats.org/officeDocument/2006/relationships/image" Target="media/image318.png"/>
  <Relationship Id="rId133" Type="http://schemas.openxmlformats.org/officeDocument/2006/relationships/image" Target="media/image319.png"/>
  <Relationship Id="rId134" Type="http://schemas.openxmlformats.org/officeDocument/2006/relationships/image" Target="media/image320.png"/>
  <Relationship Id="rId135" Type="http://schemas.openxmlformats.org/officeDocument/2006/relationships/customXml" Target="../customXml/item1.xml"/>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84.xml"/>
  <Relationship Id="rId23" Type="http://schemas.openxmlformats.org/officeDocument/2006/relationships/header" Target="header85.xml"/>
  <Relationship Id="rId24" Type="http://schemas.openxmlformats.org/officeDocument/2006/relationships/footer" Target="footer79.xml"/>
  <Relationship Id="rId25" Type="http://schemas.openxmlformats.org/officeDocument/2006/relationships/footer" Target="footer80.xml"/>
  <Relationship Id="rId26" Type="http://schemas.openxmlformats.org/officeDocument/2006/relationships/header" Target="header86.xml"/>
  <Relationship Id="rId27" Type="http://schemas.openxmlformats.org/officeDocument/2006/relationships/footer" Target="footer81.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eader" Target="header123.xml"/>
  <Relationship Id="rId35" Type="http://schemas.openxmlformats.org/officeDocument/2006/relationships/header" Target="header124.xml"/>
  <Relationship Id="rId36" Type="http://schemas.openxmlformats.org/officeDocument/2006/relationships/footer" Target="footer118.xml"/>
  <Relationship Id="rId37" Type="http://schemas.openxmlformats.org/officeDocument/2006/relationships/footer" Target="footer119.xml"/>
  <Relationship Id="rId38" Type="http://schemas.openxmlformats.org/officeDocument/2006/relationships/header" Target="header125.xml"/>
  <Relationship Id="rId39" Type="http://schemas.openxmlformats.org/officeDocument/2006/relationships/footer" Target="footer120.xml"/>
  <Relationship Id="rId4" Type="http://schemas.openxmlformats.org/officeDocument/2006/relationships/settings" Target="settings.xml"/>
  <Relationship Id="rId40" Type="http://schemas.openxmlformats.org/officeDocument/2006/relationships/hyperlink" TargetMode="External" Target="https://www.e-tar.lt/portal/lt/legalAct/TAR.FC348F73C47A"/>
  <Relationship Id="rId41" Type="http://schemas.openxmlformats.org/officeDocument/2006/relationships/hyperlink" TargetMode="External" Target="https://www.e-tar.lt/portal/lt/legalAct/TAR.FC348F73C47A"/>
  <Relationship Id="rId42" Type="http://schemas.openxmlformats.org/officeDocument/2006/relationships/header" Target="header216.xml"/>
  <Relationship Id="rId43" Type="http://schemas.openxmlformats.org/officeDocument/2006/relationships/header" Target="header217.xml"/>
  <Relationship Id="rId44" Type="http://schemas.openxmlformats.org/officeDocument/2006/relationships/footer" Target="footer211.xml"/>
  <Relationship Id="rId45" Type="http://schemas.openxmlformats.org/officeDocument/2006/relationships/footer" Target="footer212.xml"/>
  <Relationship Id="rId46" Type="http://schemas.openxmlformats.org/officeDocument/2006/relationships/header" Target="header218.xml"/>
  <Relationship Id="rId47" Type="http://schemas.openxmlformats.org/officeDocument/2006/relationships/footer" Target="footer213.xml"/>
  <Relationship Id="rId48" Type="http://schemas.openxmlformats.org/officeDocument/2006/relationships/hyperlink" TargetMode="External" Target="https://www.e-tar.lt/portal/lt/legalAct/TAR.3394CBFC359C"/>
  <Relationship Id="rId49" Type="http://schemas.openxmlformats.org/officeDocument/2006/relationships/hyperlink" TargetMode="External" Target="http://www3.lrs.lt/cgi-bin/preps2?a=51605&amp;b="/>
  <Relationship Id="rId5" Type="http://schemas.openxmlformats.org/officeDocument/2006/relationships/styles" Target="styles.xml"/>
  <Relationship Id="rId50" Type="http://schemas.openxmlformats.org/officeDocument/2006/relationships/hyperlink" TargetMode="External" Target="https://www.e-tar.lt/portal/lt/legalAct/TAR.B7D7BAACDE6B"/>
  <Relationship Id="rId51" Type="http://schemas.openxmlformats.org/officeDocument/2006/relationships/hyperlink" TargetMode="External" Target="http://www3.lrs.lt/cgi-bin/preps2?a=69596&amp;b="/>
  <Relationship Id="rId52" Type="http://schemas.openxmlformats.org/officeDocument/2006/relationships/header" Target="header225.xml"/>
  <Relationship Id="rId53" Type="http://schemas.openxmlformats.org/officeDocument/2006/relationships/header" Target="header226.xml"/>
  <Relationship Id="rId54" Type="http://schemas.openxmlformats.org/officeDocument/2006/relationships/footer" Target="footer220.xml"/>
  <Relationship Id="rId55" Type="http://schemas.openxmlformats.org/officeDocument/2006/relationships/footer" Target="footer221.xml"/>
  <Relationship Id="rId56" Type="http://schemas.openxmlformats.org/officeDocument/2006/relationships/header" Target="header227.xml"/>
  <Relationship Id="rId57" Type="http://schemas.openxmlformats.org/officeDocument/2006/relationships/footer" Target="footer222.xml"/>
  <Relationship Id="rId58" Type="http://schemas.openxmlformats.org/officeDocument/2006/relationships/hyperlink" TargetMode="External" Target="https://www.e-tar.lt/portal/lt/legalAct/TAR.5DC1759E42CB"/>
  <Relationship Id="rId59" Type="http://schemas.openxmlformats.org/officeDocument/2006/relationships/hyperlink" TargetMode="External" Target="https://www.e-tar.lt/portal/lt/legalAct/TAR.8D97CD7E1857"/>
  <Relationship Id="rId6" Type="http://schemas.microsoft.com/office/2007/relationships/stylesWithEffects" Target="stylesWithEffects.xml"/>
  <Relationship Id="rId60" Type="http://schemas.openxmlformats.org/officeDocument/2006/relationships/hyperlink" TargetMode="External" Target="https://www.e-tar.lt/portal/lt/legalAct/TAR.DC61D74561C5"/>
  <Relationship Id="rId61" Type="http://schemas.openxmlformats.org/officeDocument/2006/relationships/hyperlink" TargetMode="External" Target="https://www.e-tar.lt/portal/lt/legalAct/TAR.67B5099C5848"/>
  <Relationship Id="rId62" Type="http://schemas.openxmlformats.org/officeDocument/2006/relationships/hyperlink" TargetMode="External" Target="https://www.e-tar.lt/portal/lt/legalAct/TAR.78FAC7B20AD8"/>
  <Relationship Id="rId63" Type="http://schemas.openxmlformats.org/officeDocument/2006/relationships/hyperlink" TargetMode="External" Target="https://www.e-tar.lt/portal/lt/legalAct/TAR.C7A984833333"/>
  <Relationship Id="rId64" Type="http://schemas.openxmlformats.org/officeDocument/2006/relationships/hyperlink" TargetMode="External" Target="https://www.e-tar.lt/portal/lt/legalAct/TAR.33907EA7C2DC"/>
  <Relationship Id="rId65" Type="http://schemas.openxmlformats.org/officeDocument/2006/relationships/hyperlink" TargetMode="External" Target="https://www.e-tar.lt/portal/lt/legalAct/TAR.DC61D74561C5"/>
  <Relationship Id="rId66" Type="http://schemas.openxmlformats.org/officeDocument/2006/relationships/hyperlink" TargetMode="External" Target="https://www.e-tar.lt/portal/lt/legalAct/TAR.723F49D02CD8"/>
  <Relationship Id="rId67" Type="http://schemas.openxmlformats.org/officeDocument/2006/relationships/hyperlink" TargetMode="External" Target="https://www.e-tar.lt/portal/lt/legalAct/TAR.6A8A7A3BBCDC"/>
  <Relationship Id="rId68" Type="http://schemas.openxmlformats.org/officeDocument/2006/relationships/hyperlink" TargetMode="External" Target="https://www.e-tar.lt/portal/lt/legalAct/TAR.F1D86F455636"/>
  <Relationship Id="rId69" Type="http://schemas.openxmlformats.org/officeDocument/2006/relationships/hyperlink" TargetMode="External" Target="https://www.e-tar.lt/portal/lt/legalAct/TAR.5E3842DF67F8"/>
  <Relationship Id="rId7" Type="http://schemas.openxmlformats.org/officeDocument/2006/relationships/theme" Target="theme/theme1.xml"/>
  <Relationship Id="rId70" Type="http://schemas.openxmlformats.org/officeDocument/2006/relationships/hyperlink" TargetMode="External" Target="https://www.e-tar.lt/portal/lt/legalAct/TAR.668CEF058FF8"/>
  <Relationship Id="rId71" Type="http://schemas.openxmlformats.org/officeDocument/2006/relationships/hyperlink" TargetMode="External" Target="https://www.e-tar.lt/portal/lt/legalAct/TAR.DC61D74561C5"/>
  <Relationship Id="rId72" Type="http://schemas.openxmlformats.org/officeDocument/2006/relationships/hyperlink" TargetMode="External" Target="https://www.e-tar.lt/portal/lt/legalAct/TAR.C6E4170DB704"/>
  <Relationship Id="rId73" Type="http://schemas.openxmlformats.org/officeDocument/2006/relationships/hyperlink" TargetMode="External" Target="https://www.e-tar.lt/portal/lt/legalAct/TAR.668CEF058FF8"/>
  <Relationship Id="rId74" Type="http://schemas.openxmlformats.org/officeDocument/2006/relationships/header" Target="header252.xml"/>
  <Relationship Id="rId75" Type="http://schemas.openxmlformats.org/officeDocument/2006/relationships/footer" Target="footer247.xml"/>
  <Relationship Id="rId76" Type="http://schemas.openxmlformats.org/officeDocument/2006/relationships/hyperlink" TargetMode="External" Target="https://www.e-tar.lt/portal/lt/legalAct/TAR.7083DB116A2E"/>
  <Relationship Id="rId77" Type="http://schemas.openxmlformats.org/officeDocument/2006/relationships/hyperlink" TargetMode="External" Target="https://www.e-tar.lt/portal/lt/legalAct/TAR.6A8A7A3BBCDC"/>
  <Relationship Id="rId78" Type="http://schemas.openxmlformats.org/officeDocument/2006/relationships/hyperlink" TargetMode="External" Target="https://www.e-tar.lt/portal/lt/legalAct/TAR.F1D86F455636"/>
  <Relationship Id="rId79" Type="http://schemas.openxmlformats.org/officeDocument/2006/relationships/hyperlink" TargetMode="External" Target="https://www.e-tar.lt/portal/lt/legalAct/TAR.751B6F8BF451"/>
  <Relationship Id="rId8" Type="http://schemas.openxmlformats.org/officeDocument/2006/relationships/webSettings" Target="webSettings.xml"/>
  <Relationship Id="rId80" Type="http://schemas.openxmlformats.org/officeDocument/2006/relationships/hyperlink" TargetMode="External" Target="https://www.e-tar.lt/portal/lt/legalAct/TAR.313208361D5D"/>
  <Relationship Id="rId81" Type="http://schemas.openxmlformats.org/officeDocument/2006/relationships/hyperlink" TargetMode="External" Target="https://www.e-tar.lt/portal/lt/legalAct/TAR.64EB889A3B24"/>
  <Relationship Id="rId82" Type="http://schemas.openxmlformats.org/officeDocument/2006/relationships/hyperlink" TargetMode="External" Target="https://www.e-tar.lt/portal/lt/legalAct/TAR.5ED52629C3C4"/>
  <Relationship Id="rId83" Type="http://schemas.openxmlformats.org/officeDocument/2006/relationships/hyperlink" TargetMode="External" Target="https://www.e-tar.lt/portal/lt/legalAct/TAR.0630DF325F2F"/>
  <Relationship Id="rId84" Type="http://schemas.openxmlformats.org/officeDocument/2006/relationships/hyperlink" TargetMode="External" Target="https://www.e-tar.lt/portal/lt/legalAct/TAR.04551A50A76D"/>
  <Relationship Id="rId85" Type="http://schemas.openxmlformats.org/officeDocument/2006/relationships/hyperlink" TargetMode="External" Target="https://www.e-tar.lt/portal/lt/legalAct/TAR.C6E4170DB704"/>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DC61D74561C5"/>
  <Relationship Id="rId88" Type="http://schemas.openxmlformats.org/officeDocument/2006/relationships/hyperlink" TargetMode="External" Target="https://www.e-tar.lt/portal/lt/legalAct/TAR.9A2A80746DED"/>
  <Relationship Id="rId89" Type="http://schemas.openxmlformats.org/officeDocument/2006/relationships/hyperlink" TargetMode="External" Target="https://www.e-tar.lt/portal/lt/legalAct/TAR.F7E759DF5DFE"/>
  <Relationship Id="rId9" Type="http://schemas.openxmlformats.org/officeDocument/2006/relationships/image" Target="media/image3.wmf"/>
  <Relationship Id="rId90" Type="http://schemas.openxmlformats.org/officeDocument/2006/relationships/hyperlink" TargetMode="External" Target="https://www.e-tar.lt/portal/lt/legalAct/TAR.DC61D74561C5"/>
  <Relationship Id="rId91" Type="http://schemas.openxmlformats.org/officeDocument/2006/relationships/hyperlink" TargetMode="External" Target="https://www.e-tar.lt/portal/lt/legalAct/TAR.9A2A80746DED"/>
  <Relationship Id="rId92" Type="http://schemas.openxmlformats.org/officeDocument/2006/relationships/hyperlink" TargetMode="External" Target="https://www.e-tar.lt/portal/lt/legalAct/TAR.F7E759DF5DFE"/>
  <Relationship Id="rId93" Type="http://schemas.openxmlformats.org/officeDocument/2006/relationships/hyperlink" TargetMode="External" Target="https://www.e-tar.lt/portal/lt/legalAct/TAR.C6E4170DB704"/>
  <Relationship Id="rId94" Type="http://schemas.openxmlformats.org/officeDocument/2006/relationships/hyperlink" TargetMode="External" Target="https://www.e-tar.lt/portal/lt/legalAct/TAR.6CFC2AC8617C"/>
  <Relationship Id="rId95" Type="http://schemas.openxmlformats.org/officeDocument/2006/relationships/hyperlink" TargetMode="External" Target="https://www.e-tar.lt/portal/lt/legalAct/TAR.9BB254501DB8"/>
  <Relationship Id="rId96" Type="http://schemas.openxmlformats.org/officeDocument/2006/relationships/header" Target="header262.xml"/>
  <Relationship Id="rId97" Type="http://schemas.openxmlformats.org/officeDocument/2006/relationships/header" Target="header263.xml"/>
  <Relationship Id="rId98" Type="http://schemas.openxmlformats.org/officeDocument/2006/relationships/header" Target="header296.xml"/>
  <Relationship Id="rId99" Type="http://schemas.openxmlformats.org/officeDocument/2006/relationships/header" Target="header297.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adbde0b6e32a48f4aa9ac4ef2b04e5b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efd89e1b526c439291da0633d149ccf7"/>
      <Part Type="punktas" Nr="3.3" Abbr="3.3 p." DocPartId="c4b4309c5c4c4fe6a7b2c342fbc49d92" PartId="ecf4b51920d049b8a9b182c85362311a"/>
      <Part Type="punktas" Nr="3.4" Abbr="3.4 p." DocPartId="fbf40d2974944be182634cca768d3bc8" PartId="38f3df114b9346ccba005ba5d67dd756"/>
      <Part Type="punktas" Nr="3.5" Abbr="3.5 p." DocPartId="0b6a564d38c14fe19bac3ce70609ffcd" PartId="d7966e5ef5584c129d9ca2154eb25307"/>
      <Part Type="punktas" Nr="3.6" Abbr="3.6 p." DocPartId="1bbf7d600cfa4831b4726a029016865b" PartId="74a05be7bcb043e79d3f9f5d68184cd5"/>
      <Part Type="punktas" Nr="3.7" Abbr="3.7 p." DocPartId="be93755587af4307ae979b94d01d43d7" PartId="952dcf6b29c84b1fabc67e5428740fa2"/>
      <Part Type="punktas" Nr="3.8" Abbr="3.8 p." DocPartId="b08d04bef75c47919c1cf6565c2f5332" PartId="b7ecf5c4981f4e4d90746a358ecdf685"/>
      <Part Type="punktas" Nr="3.9" Abbr="3.9 p." DocPartId="3251573119fc4bbc8c549ec65c85bb98" PartId="6e52abfa904b42a79dde061962514ac7"/>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ebabd85eeadd427fb1f3ccc26a0e7153">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682b3a33a62a41e7970732757e845b61"/>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ca7a93b731ba4db6b5a98275787d8727"/>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IR PILNAMEČIŲ MOKINIŲ, UGDOMŲ PAGAL BENDROJO UGDYMO PROGRAMAS, SVEIKATOS TIKRINIMO TVARKOS APRAŠAS“." DocPartId="957f1ca1d35843c095d59efb3391897b" PartId="04ba00249cb64e58875b193c97098d83">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a049b2d0aaf94017b371316a52daa436"/>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29-1" Abbr="29-1 p." DocPartId="03c91cb296fc48319543d83ce24eaa13" PartId="0351775175ec4b8b867f6171dceea24d">
        <Part Type="papunktis" Nr="29-1.1" Abbr="29-1.1 pp." DocPartId="3681ec2d956a4b1d989e7b29280b8dcb" PartId="0ba28f4b4291473a96ab136c685fb4ae"/>
        <Part Type="papunktis" Nr="29-1.2" Abbr="29-1.2 pp." DocPartId="dcd6e34307e64f568d512cedf4420ba3" PartId="e1965469061a46bfa9f804aac3de40fe"/>
      </Part>
      <Part Type="punktas" Nr="30" Abbr="3 pr. 30 p." DocPartId="0804394be4c641a3947b3e529b317296" PartId="fbfc8fe1fcff4eda8a8b2a87b2d3d1e5"/>
    </Part>
  </Part>
  <Part Type="priedas" Nr="1" Abbr="1 pr." Title="PROFILAKTINIO VAIKŲ SVEIKATOS TIKRINIMO REIKALAVIMAI" DocPartId="ac2b2da24049474eae9a2f50226f9ad7" PartId="1e6f2f143efc40b993e6e173b5c83d4d"/>
  <Part Type="priedas" Nr="2" Abbr="2 pr." Title="VAIKO PSICHOMOTORINĖS RAIDOS TIKRINIMO LAPAS (KŪDIKIS)" DocPartId="c8665e5b69ff4dceac89b89c0be3ac6c" PartId="51e5c2e6cd984c3cbd0b841426e01d3a"/>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9336be216cb14c47a44eec0993201d0f">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7de7cb5508eb4487b95e24594c81804a"/>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da39e86e0365404c80191091e05e5124"/>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e950408d9c76469d9e0c98fd7189996e">
    <Part Type="pastraipa" DocPartId="557567d3ded24cc8a831a99680be6b7b" PartId="a12a5cc77725464ab3061b5460210de5"/>
    <Part Type="punktas" Nr="1" Abbr="1 p." DocPartId="11f675b1e99f4a58bc0fcdd411f2f896" PartId="91f7c691844a4270896e1adf8e1ddf81"/>
    <Part Type="punktas" Nr="2" Abbr="2 p." DocPartId="5ecaa926b6444e0fbb5b5057a7e87da3" PartId="95dab9f62a8746c5b88ee15bc28813f8"/>
    <Part Type="punktas" Nr="3" Abbr="3 p." DocPartId="15e15844b787420c998fe34c2343d55f" PartId="91c0a009624d44db9eaeb52843343851"/>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f99f630dd4494ea8a0278039b27fdecd"/>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43cc33497961491f8cea2b436cc9b0bd">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15b02405709a40e4a0e3ff4abccc2257"/>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2213a545e1d742f699b0414601f0ec61"/>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cdff958ff76f44e9a2f2b5d9532b319d"/>
      <Part Type="punktas" Nr="3" Abbr="13 pr. 3 p." DocPartId="40a1ed09eca046bba1c0f685505a2e47" PartId="4db38ee772db42ae86a8bfcee7342396"/>
      <Part Type="punktas" Nr="4" Abbr="13 pr. 4 p." DocPartId="81492ac278ab438eaabbc3fcbf432f90" PartId="9f93e41afcdf463796433c74dd2a44da"/>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2529ba8d4c5d4cfdba2ff4d9ff535b70"/>
        <Part Type="papunktis" Nr="9.5" Abbr="9.5 pp." DocPartId="eb8fcbc1df6d47f585396b858e119f3f" PartId="ecd90fb37b19407e839b28c2474140b8"/>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a3d877e0cd114ec892d3b01867b1eae1">
        <Part Type="papunktis" Nr="19.1" Abbr="19.1 pp." DocPartId="9edb485ad67c42398f80f78422ba7f67" PartId="cb8ee80f82084bbdb61b058855fd2eb7"/>
        <Part Type="papunktis" Nr="19.2" Abbr="19.2 pp." DocPartId="d9d6907d6ab44feba4e3c6224f380d13" PartId="9bcbc80f0fb3408590d5644c6802337a"/>
        <Part Type="papunktis" Nr="19.3" Abbr="19.3 pp." DocPartId="ea82319a690b40ac824144f9602bd27b" PartId="edf1b7aac38647e38f2f74d57fc0cfde"/>
      </Part>
      <Part Type="punktas" Nr="19-1" Abbr="19-1 p." DocPartId="53fe2a66ed2546f7878ae649522397c8" PartId="e186288a75384c44be0e92e8c774ce25"/>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4fe74421a0e5406a99443c2f7d4f5184"/>
  </Part>
</Parts>
</file>

<file path=customXml/itemProps1.xml><?xml version="1.0" encoding="utf-8"?>
<ds:datastoreItem xmlns:ds="http://schemas.openxmlformats.org/officeDocument/2006/customXml" ds:itemID="{8AD2BBD1-67B5-409F-B13A-B081C6079319}">
  <ds:schemaRefs>
    <ds:schemaRef ds:uri="http://lrs.lt/TAIS/DocParts"/>
  </ds:schemaRefs>
</ds:datastoreItem>
</file>

<file path=docProps/app.xml><?xml version="1.0" encoding="utf-8"?>
<Properties xmlns="http://schemas.openxmlformats.org/officeDocument/2006/extended-properties">
  <Template>Normal.dotm</Template>
  <TotalTime>196</TotalTime>
  <Pages>234</Pages>
  <Words>302447</Words>
  <Characters>172395</Characters>
  <Application>Microsoft Office Word</Application>
  <DocSecurity>0</DocSecurity>
  <Lines>1436</Lines>
  <Paragraphs>947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473895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2020-10-07T10:46:00Z</dcterms:modified>
  <revision>122</revision>
</coreProperties>
</file>