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2011-06-03 iki 2014-04-30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5298bba560a48ab939fbc7d606c550b"/>
                <w:lock w:val="sdtLocked"/>
                <w:richText/>
              </w:sdtPr>
              <w:sdtContent>
                <w:p>
                  <w:pPr>
                    <w:widowControl w:val="0"/>
                    <w:suppressAutoHyphens/>
                    <w:ind w:firstLine="709"/>
                    <w:jc w:val="both"/>
                    <w:rPr>
                      <w:color w:val="000000"/>
                    </w:rPr>
                  </w:pPr>
                  <w:sdt>
                    <w:sdtPr>
                      <w:alias w:val="Numeris"/>
                      <w:tag w:val="nr_45298bba560a48ab939fbc7d606c550b"/>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c58e18ec32462998f249a6909cd66b"/>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c58e18ec32462998f249a6909cd66b"/>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c58e18ec32462998f249a6909cd66b"/>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8667bbe92cbb4383b9d0da61741a313b"/>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8667bbe92cbb4383b9d0da61741a313b"/>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67bbe92cbb4383b9d0da61741a313b"/>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1f3f7767e89e47d582bce088ca57f244"/>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3f7767e89e47d582bce088ca57f244"/>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f3f7767e89e47d582bce088ca57f244"/>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db1078a13c0748119ef612e6289891c9"/>
            <w:lock w:val="sdtLocked"/>
            <w:richText/>
          </w:sdtPr>
          <w:sdtContent>
            <w:sdt>
              <w:sdtPr>
                <w:alias w:val="Pavadinimas"/>
                <w:tag w:val="title_db1078a13c0748119ef612e6289891c9"/>
                <w:lock w:val="sdtLocked"/>
                <w:richText/>
              </w:sdtPr>
              <w:sdtContent>
                <w:p>
                  <w:pPr>
                    <w:jc w:val="center"/>
                    <w:rPr>
                      <w:b/>
                      <w:caps/>
                      <w:color w:val="000000"/>
                    </w:rPr>
                  </w:pPr>
                  <w:sdt>
                    <w:sdtPr>
                      <w:alias w:val="Numeris"/>
                      <w:tag w:val="nr_db1078a13c0748119ef612e6289891c9"/>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1"/>
                <w:gridCol w:w="1289"/>
                <w:gridCol w:w="1723"/>
                <w:gridCol w:w="756"/>
                <w:gridCol w:w="756"/>
                <w:gridCol w:w="756"/>
                <w:gridCol w:w="756"/>
                <w:gridCol w:w="756"/>
                <w:gridCol w:w="771"/>
                <w:gridCol w:w="1239"/>
              </w:tblGrid>
              <w:tr>
                <w:trPr>
                  <w:tblHeader/>
                </w:trPr>
                <w:tc>
                  <w:tcPr>
                    <w:tcW w:w="1371" w:type="dxa"/>
                    <w:vMerge w:val="restart"/>
                    <w:shd w:val="clear" w:color="auto" w:fill="auto"/>
                  </w:tcPr>
                  <w:p>
                    <w:pPr>
                      <w:widowControl w:val="0"/>
                      <w:ind w:left="360"/>
                      <w:jc w:val="center"/>
                      <w:rPr>
                        <w:sz w:val="14"/>
                      </w:rPr>
                    </w:pPr>
                    <w:r>
                      <w:rPr>
                        <w:sz w:val="14"/>
                      </w:rPr>
                      <w:t>Eil. Nr.</w:t>
                    </w:r>
                  </w:p>
                </w:tc>
                <w:tc>
                  <w:tcPr>
                    <w:tcW w:w="1289" w:type="dxa"/>
                    <w:vMerge w:val="restart"/>
                    <w:shd w:val="clear" w:color="auto" w:fill="auto"/>
                  </w:tcPr>
                  <w:p>
                    <w:pPr>
                      <w:widowControl w:val="0"/>
                      <w:ind w:left="360"/>
                      <w:jc w:val="center"/>
                      <w:rPr>
                        <w:sz w:val="14"/>
                      </w:rPr>
                    </w:pPr>
                    <w:r>
                      <w:rPr>
                        <w:sz w:val="14"/>
                      </w:rPr>
                      <w:t>Susirgimas</w:t>
                    </w:r>
                  </w:p>
                </w:tc>
                <w:tc>
                  <w:tcPr>
                    <w:tcW w:w="6274" w:type="dxa"/>
                    <w:gridSpan w:val="7"/>
                    <w:shd w:val="clear" w:color="auto" w:fill="auto"/>
                  </w:tcPr>
                  <w:p>
                    <w:pPr>
                      <w:widowControl w:val="0"/>
                      <w:ind w:left="360"/>
                      <w:jc w:val="center"/>
                      <w:rPr>
                        <w:sz w:val="14"/>
                      </w:rPr>
                    </w:pPr>
                    <w:r>
                      <w:rPr>
                        <w:sz w:val="14"/>
                      </w:rPr>
                      <w:t>Profesinės grupės</w:t>
                    </w:r>
                  </w:p>
                </w:tc>
                <w:tc>
                  <w:tcPr>
                    <w:tcW w:w="1239" w:type="dxa"/>
                    <w:shd w:val="clear" w:color="auto" w:fill="auto"/>
                  </w:tcPr>
                  <w:p>
                    <w:pPr>
                      <w:widowControl w:val="0"/>
                      <w:ind w:left="360" w:right="425"/>
                      <w:jc w:val="center"/>
                      <w:rPr>
                        <w:sz w:val="14"/>
                      </w:rPr>
                    </w:pPr>
                    <w:r>
                      <w:rPr>
                        <w:sz w:val="14"/>
                      </w:rPr>
                      <w:t>Pastabos</w:t>
                    </w: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I</w:t>
                    </w:r>
                  </w:p>
                </w:tc>
                <w:tc>
                  <w:tcPr>
                    <w:tcW w:w="756" w:type="dxa"/>
                    <w:shd w:val="clear" w:color="auto" w:fill="auto"/>
                  </w:tcPr>
                  <w:p>
                    <w:pPr>
                      <w:widowControl w:val="0"/>
                      <w:ind w:left="360"/>
                      <w:rPr>
                        <w:sz w:val="14"/>
                      </w:rPr>
                    </w:pPr>
                    <w:r>
                      <w:rPr>
                        <w:sz w:val="14"/>
                      </w:rPr>
                      <w:t>II</w:t>
                    </w:r>
                  </w:p>
                </w:tc>
                <w:tc>
                  <w:tcPr>
                    <w:tcW w:w="756" w:type="dxa"/>
                    <w:shd w:val="clear" w:color="auto" w:fill="auto"/>
                  </w:tcPr>
                  <w:p>
                    <w:pPr>
                      <w:widowControl w:val="0"/>
                      <w:ind w:left="360"/>
                      <w:rPr>
                        <w:sz w:val="14"/>
                      </w:rPr>
                    </w:pPr>
                    <w:r>
                      <w:rPr>
                        <w:sz w:val="14"/>
                      </w:rPr>
                      <w:t>III</w:t>
                    </w:r>
                  </w:p>
                </w:tc>
                <w:tc>
                  <w:tcPr>
                    <w:tcW w:w="756" w:type="dxa"/>
                    <w:shd w:val="clear" w:color="auto" w:fill="auto"/>
                  </w:tcPr>
                  <w:p>
                    <w:pPr>
                      <w:widowControl w:val="0"/>
                      <w:ind w:left="360"/>
                      <w:rPr>
                        <w:sz w:val="14"/>
                      </w:rPr>
                    </w:pPr>
                    <w:r>
                      <w:rPr>
                        <w:sz w:val="14"/>
                      </w:rPr>
                      <w:t>IV</w:t>
                    </w:r>
                  </w:p>
                </w:tc>
                <w:tc>
                  <w:tcPr>
                    <w:tcW w:w="756" w:type="dxa"/>
                    <w:shd w:val="clear" w:color="auto" w:fill="auto"/>
                  </w:tcPr>
                  <w:p>
                    <w:pPr>
                      <w:widowControl w:val="0"/>
                      <w:ind w:left="360"/>
                      <w:rPr>
                        <w:sz w:val="14"/>
                      </w:rPr>
                    </w:pPr>
                    <w:r>
                      <w:rPr>
                        <w:sz w:val="14"/>
                      </w:rPr>
                      <w:t>V</w:t>
                    </w:r>
                  </w:p>
                </w:tc>
                <w:tc>
                  <w:tcPr>
                    <w:tcW w:w="756" w:type="dxa"/>
                    <w:shd w:val="clear" w:color="auto" w:fill="auto"/>
                  </w:tcPr>
                  <w:p>
                    <w:pPr>
                      <w:widowControl w:val="0"/>
                      <w:ind w:left="360"/>
                      <w:rPr>
                        <w:sz w:val="14"/>
                      </w:rPr>
                    </w:pPr>
                    <w:r>
                      <w:rPr>
                        <w:sz w:val="14"/>
                      </w:rPr>
                      <w:t>VI</w:t>
                    </w:r>
                  </w:p>
                </w:tc>
                <w:tc>
                  <w:tcPr>
                    <w:tcW w:w="771" w:type="dxa"/>
                    <w:shd w:val="clear" w:color="auto" w:fill="auto"/>
                  </w:tcPr>
                  <w:p>
                    <w:pPr>
                      <w:widowControl w:val="0"/>
                      <w:ind w:left="360"/>
                      <w:rPr>
                        <w:sz w:val="14"/>
                      </w:rPr>
                    </w:pPr>
                    <w:r>
                      <w:rPr>
                        <w:sz w:val="14"/>
                      </w:rPr>
                      <w:t>VII</w:t>
                    </w:r>
                  </w:p>
                </w:tc>
                <w:tc>
                  <w:tcPr>
                    <w:tcW w:w="1239" w:type="dxa"/>
                    <w:shd w:val="clear" w:color="auto" w:fill="auto"/>
                  </w:tcPr>
                  <w:p>
                    <w:pPr>
                      <w:widowControl w:val="0"/>
                      <w:ind w:left="360"/>
                      <w:rPr>
                        <w:sz w:val="14"/>
                      </w:rPr>
                    </w:pP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71" w:type="dxa"/>
                    <w:shd w:val="clear" w:color="auto" w:fill="auto"/>
                  </w:tcPr>
                  <w:p>
                    <w:pPr>
                      <w:widowControl w:val="0"/>
                      <w:ind w:left="360"/>
                      <w:rPr>
                        <w:sz w:val="14"/>
                      </w:rPr>
                    </w:pPr>
                    <w:r>
                      <w:rPr>
                        <w:sz w:val="14"/>
                      </w:rPr>
                      <w:t>NS</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w:t>
                    </w:r>
                  </w:p>
                </w:tc>
                <w:tc>
                  <w:tcPr>
                    <w:tcW w:w="1289" w:type="dxa"/>
                    <w:shd w:val="clear" w:color="auto" w:fill="auto"/>
                  </w:tcPr>
                  <w:p>
                    <w:pPr>
                      <w:widowControl w:val="0"/>
                      <w:ind w:left="360"/>
                      <w:rPr>
                        <w:sz w:val="14"/>
                      </w:rPr>
                    </w:pPr>
                    <w:r>
                      <w:rPr>
                        <w:sz w:val="14"/>
                      </w:rPr>
                      <w:t xml:space="preserve">Širdies ligos (įvairios etiologijos miokarditas,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val="restart"/>
                    <w:shd w:val="clear" w:color="auto" w:fill="auto"/>
                  </w:tcPr>
                  <w:p>
                    <w:pPr>
                      <w:widowControl w:val="0"/>
                      <w:rPr>
                        <w:sz w:val="14"/>
                      </w:rPr>
                    </w:pPr>
                    <w:r>
                      <w:rPr>
                        <w:sz w:val="14"/>
                      </w:rPr>
                      <w:t>Diagnozė patvirtinama elektrokardiografijos, echokardiografijos,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perikarditas, miokardo distrofija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krūvio mėginiais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Širdies ritmo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kompensuotos kraujo apytakos stadija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dekompensuotos kraujo apytakos stadija</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Širdies ritmo sutrikimai (virpamoji aritmija, </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paroksizminė tachikardija)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Širdies dirglumo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pavienės, retos (iki 4-5 per minutę)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rPr>
                        <w:sz w:val="14"/>
                      </w:rPr>
                    </w:pPr>
                    <w:r>
                      <w:rPr>
                        <w:sz w:val="14"/>
                      </w:rPr>
                      <w:t>atsižvelgiant į pagrindinį susirgimą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ekstrasistolės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dažnos grupinės ir kt. ekstrasistolės</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1.4</w:t>
                    </w:r>
                  </w:p>
                </w:tc>
                <w:tc>
                  <w:tcPr>
                    <w:tcW w:w="1289" w:type="dxa"/>
                    <w:shd w:val="clear" w:color="auto" w:fill="auto"/>
                  </w:tcPr>
                  <w:p>
                    <w:pPr>
                      <w:widowControl w:val="0"/>
                      <w:ind w:left="360"/>
                      <w:rPr>
                        <w:sz w:val="14"/>
                      </w:rPr>
                    </w:pPr>
                    <w:r>
                      <w:rPr>
                        <w:sz w:val="14"/>
                      </w:rPr>
                      <w:t>Širdies laidumo sutrikimai (širdies blokados):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A-V blokada I-III</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dalinė bet kurios Hiso pluošto kojytės blokada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visiška bet kurios Hiso pluošto kojytės blokada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w:t>
                    </w:r>
                  </w:p>
                </w:tc>
                <w:tc>
                  <w:tcPr>
                    <w:tcW w:w="1289"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723"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71" w:type="dxa"/>
                    <w:shd w:val="clear" w:color="auto" w:fill="auto"/>
                  </w:tcPr>
                  <w:p>
                    <w:pPr>
                      <w:rPr>
                        <w:sz w:val="14"/>
                        <w:szCs w:val="14"/>
                        <w:lang w:eastAsia="lt-LT"/>
                      </w:rPr>
                    </w:pPr>
                    <w:r>
                      <w:rPr>
                        <w:sz w:val="14"/>
                        <w:szCs w:val="14"/>
                        <w:lang w:eastAsia="lt-LT"/>
                      </w:rPr>
                      <w:t>33</w:t>
                    </w:r>
                  </w:p>
                </w:tc>
                <w:tc>
                  <w:tcPr>
                    <w:tcW w:w="1239"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371" w:type="dxa"/>
                    <w:shd w:val="clear" w:color="auto" w:fill="auto"/>
                  </w:tcPr>
                  <w:p>
                    <w:pPr>
                      <w:widowControl w:val="0"/>
                      <w:ind w:left="360"/>
                      <w:rPr>
                        <w:sz w:val="14"/>
                      </w:rPr>
                    </w:pPr>
                  </w:p>
                </w:tc>
                <w:tc>
                  <w:tcPr>
                    <w:tcW w:w="1289" w:type="dxa"/>
                    <w:shd w:val="clear" w:color="auto" w:fill="auto"/>
                  </w:tcPr>
                  <w:p>
                    <w:pPr>
                      <w:rPr>
                        <w:sz w:val="14"/>
                        <w:szCs w:val="14"/>
                        <w:lang w:eastAsia="lt-LT"/>
                      </w:rPr>
                    </w:pPr>
                  </w:p>
                </w:tc>
                <w:tc>
                  <w:tcPr>
                    <w:tcW w:w="1723"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71" w:type="dxa"/>
                    <w:shd w:val="clear" w:color="auto" w:fill="auto"/>
                  </w:tcPr>
                  <w:p>
                    <w:pPr>
                      <w:rPr>
                        <w:sz w:val="14"/>
                        <w:szCs w:val="14"/>
                        <w:lang w:eastAsia="lt-LT"/>
                      </w:rPr>
                    </w:pPr>
                  </w:p>
                </w:tc>
                <w:tc>
                  <w:tcPr>
                    <w:tcW w:w="1239"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371" w:type="dxa"/>
                    <w:shd w:val="clear" w:color="auto" w:fill="auto"/>
                  </w:tcPr>
                  <w:p>
                    <w:pPr>
                      <w:widowControl w:val="0"/>
                      <w:ind w:left="360"/>
                      <w:rPr>
                        <w:sz w:val="14"/>
                      </w:rPr>
                    </w:pPr>
                    <w:r>
                      <w:rPr>
                        <w:sz w:val="14"/>
                      </w:rPr>
                      <w:t>3.</w:t>
                    </w:r>
                  </w:p>
                </w:tc>
                <w:tc>
                  <w:tcPr>
                    <w:tcW w:w="1289" w:type="dxa"/>
                    <w:shd w:val="clear" w:color="auto" w:fill="auto"/>
                  </w:tcPr>
                  <w:p>
                    <w:pPr>
                      <w:widowControl w:val="0"/>
                      <w:ind w:left="360"/>
                      <w:rPr>
                        <w:sz w:val="14"/>
                      </w:rPr>
                    </w:pPr>
                    <w:r>
                      <w:rPr>
                        <w:sz w:val="14"/>
                      </w:rPr>
                      <w:t>Pirminė arterinė hipertenzija: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II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dirbantys asmenys, neturintys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ritmo ir laidumo sutrikimų bei krūtinės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anginos priepuolių,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tai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III stadija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w:t>
                    </w:r>
                  </w:p>
                </w:tc>
                <w:tc>
                  <w:tcPr>
                    <w:tcW w:w="1289" w:type="dxa"/>
                    <w:shd w:val="clear" w:color="auto" w:fill="auto"/>
                  </w:tcPr>
                  <w:p>
                    <w:pPr>
                      <w:widowControl w:val="0"/>
                      <w:ind w:left="360"/>
                      <w:rPr>
                        <w:sz w:val="14"/>
                      </w:rPr>
                    </w:pPr>
                    <w:r>
                      <w:rPr>
                        <w:sz w:val="14"/>
                      </w:rPr>
                      <w:t>Įgimtos bei įgytos širdies ir stambiųjų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kraujagyslių ydos: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I-II laipsnio mitralinio vožtuvo prolapsas be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hemodinamikos ir ritmo 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WPW sindromas be hemodinamikos ir ritmo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5.</w:t>
                    </w:r>
                  </w:p>
                </w:tc>
                <w:tc>
                  <w:tcPr>
                    <w:tcW w:w="1289" w:type="dxa"/>
                    <w:shd w:val="clear" w:color="auto" w:fill="auto"/>
                  </w:tcPr>
                  <w:p>
                    <w:pPr>
                      <w:widowControl w:val="0"/>
                      <w:ind w:left="360"/>
                      <w:rPr>
                        <w:sz w:val="14"/>
                      </w:rPr>
                    </w:pPr>
                    <w:r>
                      <w:rPr>
                        <w:sz w:val="14"/>
                      </w:rPr>
                      <w:t xml:space="preserve">Kvėpavimo organų ligos (lėtinis bronchitas,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Lengvo laipsnio plaučių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pneumosklerozė, bronchektazinė liga, plaučių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nepakankamumo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emfizema) esant plaučių ir širdies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bet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apie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persirgusių plaučių uždegimu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dirbti laivyne sprendžiama praėjus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mėnesiams po ligos</w:t>
                    </w:r>
                  </w:p>
                </w:tc>
              </w:tr>
              <w:tr>
                <w:tc>
                  <w:tcPr>
                    <w:tcW w:w="1371" w:type="dxa"/>
                    <w:shd w:val="clear" w:color="auto" w:fill="auto"/>
                  </w:tcPr>
                  <w:p>
                    <w:pPr>
                      <w:widowControl w:val="0"/>
                      <w:ind w:left="360"/>
                      <w:rPr>
                        <w:sz w:val="14"/>
                      </w:rPr>
                    </w:pPr>
                    <w:r>
                      <w:rPr>
                        <w:sz w:val="14"/>
                      </w:rPr>
                      <w:t>6.</w:t>
                    </w:r>
                  </w:p>
                </w:tc>
                <w:tc>
                  <w:tcPr>
                    <w:tcW w:w="1289" w:type="dxa"/>
                    <w:shd w:val="clear" w:color="auto" w:fill="auto"/>
                  </w:tcPr>
                  <w:p>
                    <w:pPr>
                      <w:widowControl w:val="0"/>
                      <w:ind w:left="360"/>
                      <w:rPr>
                        <w:sz w:val="14"/>
                      </w:rPr>
                    </w:pPr>
                    <w:r>
                      <w:rPr>
                        <w:sz w:val="14"/>
                      </w:rPr>
                      <w:t xml:space="preserve">Virškinimo sistemos ligos (dvylikapirštės žarnos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a) Po gydymo esant nuolatinei remisijai,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ir skrandžio opaligė, gastritai, gastroduodenitai,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ne anksčiau kaip po 6 mėnesių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neinfekcinės kilmės enteritai, kolitai, lėtinės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kepenų, tulžies pūslės, kasos ir kt. ligos)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persirgusius dvylikapirštės žarnos ir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skrandžio opalige,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dvylikapirštės žarnos arba skrandžio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opaligės gydymo, esant nuolatinei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remisijai, tačiau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dirbti laivyne</w:t>
                    </w:r>
                  </w:p>
                </w:tc>
              </w:tr>
              <w:tr>
                <w:tc>
                  <w:tcPr>
                    <w:tcW w:w="1371" w:type="dxa"/>
                    <w:shd w:val="clear" w:color="auto" w:fill="auto"/>
                  </w:tcPr>
                  <w:p>
                    <w:pPr>
                      <w:widowControl w:val="0"/>
                      <w:ind w:left="360"/>
                      <w:rPr>
                        <w:sz w:val="14"/>
                      </w:rPr>
                    </w:pPr>
                    <w:r>
                      <w:rPr>
                        <w:sz w:val="14"/>
                      </w:rPr>
                      <w:t>7.</w:t>
                    </w:r>
                  </w:p>
                </w:tc>
                <w:tc>
                  <w:tcPr>
                    <w:tcW w:w="1289" w:type="dxa"/>
                    <w:shd w:val="clear" w:color="auto" w:fill="auto"/>
                  </w:tcPr>
                  <w:p>
                    <w:pPr>
                      <w:widowControl w:val="0"/>
                      <w:ind w:left="360"/>
                      <w:rPr>
                        <w:sz w:val="14"/>
                      </w:rPr>
                    </w:pPr>
                    <w:r>
                      <w:rPr>
                        <w:sz w:val="14"/>
                      </w:rPr>
                      <w:t>Tulžės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nesant konkrementų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seniai dirbantys visų profesinių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grupių asmenys gali dirbti laivyne</w:t>
                    </w:r>
                  </w:p>
                </w:tc>
              </w:tr>
              <w:tr>
                <w:tc>
                  <w:tcPr>
                    <w:tcW w:w="1371" w:type="dxa"/>
                    <w:shd w:val="clear" w:color="auto" w:fill="auto"/>
                  </w:tcPr>
                  <w:p>
                    <w:pPr>
                      <w:widowControl w:val="0"/>
                      <w:ind w:left="360"/>
                      <w:rPr>
                        <w:sz w:val="14"/>
                      </w:rPr>
                    </w:pPr>
                    <w:r>
                      <w:rPr>
                        <w:sz w:val="14"/>
                      </w:rPr>
                      <w:t>8.</w:t>
                    </w:r>
                  </w:p>
                </w:tc>
                <w:tc>
                  <w:tcPr>
                    <w:tcW w:w="1289" w:type="dxa"/>
                    <w:shd w:val="clear" w:color="auto" w:fill="auto"/>
                  </w:tcPr>
                  <w:p>
                    <w:pPr>
                      <w:widowControl w:val="0"/>
                      <w:ind w:left="360"/>
                      <w:rPr>
                        <w:sz w:val="14"/>
                      </w:rPr>
                    </w:pPr>
                    <w:r>
                      <w:rPr>
                        <w:sz w:val="14"/>
                      </w:rPr>
                      <w:t>Endokrininės sistemos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turintys lengvo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laipsnio funkcinių sutrikimų,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antinksčių nepakankamumą,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9.</w:t>
                    </w:r>
                  </w:p>
                </w:tc>
                <w:tc>
                  <w:tcPr>
                    <w:tcW w:w="1289" w:type="dxa"/>
                    <w:shd w:val="clear" w:color="auto" w:fill="auto"/>
                  </w:tcPr>
                  <w:p>
                    <w:pPr>
                      <w:widowControl w:val="0"/>
                      <w:ind w:left="360"/>
                      <w:rPr>
                        <w:sz w:val="14"/>
                      </w:rPr>
                    </w:pPr>
                    <w:r>
                      <w:rPr>
                        <w:sz w:val="14"/>
                      </w:rPr>
                      <w:t>Kraujo ir kraujodaros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ferodeficitine anemija, kurių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hematologiniai rodikliai visada geri,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10.</w:t>
                    </w:r>
                  </w:p>
                </w:tc>
                <w:tc>
                  <w:tcPr>
                    <w:tcW w:w="1289" w:type="dxa"/>
                    <w:shd w:val="clear" w:color="auto" w:fill="auto"/>
                  </w:tcPr>
                  <w:p>
                    <w:pPr>
                      <w:widowControl w:val="0"/>
                      <w:ind w:left="360"/>
                      <w:rPr>
                        <w:sz w:val="14"/>
                      </w:rPr>
                    </w:pPr>
                    <w:r>
                      <w:rPr>
                        <w:sz w:val="14"/>
                      </w:rPr>
                      <w:t>Jungiamojo audinio ligos (reumatas, reuma-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toidinis artritas, sisteminė raudonoji vilkligė,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išskyrus III, V, VI bei VII, taip pat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sisteminė sklerodermija, mazginis periarterijitas,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virėjus, skalbėjas bei VII grupės kambuzo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dermatomiozitas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pagalbinius darbininkus,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neaktyvia reumato forma be vožtuvų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jeigu per 12 mėnesių liga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nepaūmėja,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reumatoidinio artrito forma be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gali dirbti laivyne</w:t>
                    </w: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 xml:space="preserve">Alerginės ligos (nazofaringitai, bronchitai,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Nustačius alergeną, kuris tiesiogiai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konjunktyvitai, artritai, dermatitai, Reiterio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nesusijęs su profesija,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sindromas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neturi funkcinių sutrikimų visiškos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kompensacijos stadijoje, gali dirbti laivyne</w:t>
                    </w: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Šlapimą išskiriančios sistemos ligos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gydymo yra remisija,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(pielonefritai, cistitai, uretritai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bet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mėnesių (nuo gydymo pabaigos)</w:t>
                    </w: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Inkstų, šlapimtakių ar šlapimo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operacinio ar konservatyviojo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nėra konkrementų,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15.</w:t>
                    </w:r>
                  </w:p>
                </w:tc>
                <w:tc>
                  <w:tcPr>
                    <w:tcW w:w="1289" w:type="dxa"/>
                    <w:shd w:val="clear" w:color="auto" w:fill="auto"/>
                  </w:tcPr>
                  <w:p>
                    <w:pPr>
                      <w:widowControl w:val="0"/>
                      <w:ind w:left="360"/>
                      <w:rPr>
                        <w:sz w:val="14"/>
                      </w:rPr>
                    </w:pPr>
                    <w:r>
                      <w:rPr>
                        <w:sz w:val="14"/>
                      </w:rPr>
                      <w:t xml:space="preserve">Vyriškų lytinių organų ligos (prostatitai,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epididimitai, varikocelės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16.</w:t>
                    </w:r>
                  </w:p>
                </w:tc>
                <w:tc>
                  <w:tcPr>
                    <w:tcW w:w="1289" w:type="dxa"/>
                    <w:shd w:val="clear" w:color="auto" w:fill="auto"/>
                  </w:tcPr>
                  <w:p>
                    <w:pPr>
                      <w:widowControl w:val="0"/>
                      <w:ind w:left="360"/>
                      <w:rPr>
                        <w:sz w:val="14"/>
                      </w:rPr>
                    </w:pPr>
                    <w:r>
                      <w:rPr>
                        <w:sz w:val="14"/>
                      </w:rPr>
                      <w:t xml:space="preserve">Išeinamosios angos fistulės ir tiesiosios žarnos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fistulės gydymo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iškritimas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w:t>
                    </w:r>
                  </w:p>
                </w:tc>
              </w:tr>
              <w:tr>
                <w:tc>
                  <w:tcPr>
                    <w:tcW w:w="1371" w:type="dxa"/>
                    <w:shd w:val="clear" w:color="auto" w:fill="auto"/>
                  </w:tcPr>
                  <w:p>
                    <w:pPr>
                      <w:widowControl w:val="0"/>
                      <w:ind w:left="360"/>
                      <w:rPr>
                        <w:sz w:val="14"/>
                      </w:rPr>
                    </w:pPr>
                    <w:r>
                      <w:rPr>
                        <w:sz w:val="14"/>
                      </w:rPr>
                      <w:t>17.</w:t>
                    </w:r>
                  </w:p>
                </w:tc>
                <w:tc>
                  <w:tcPr>
                    <w:tcW w:w="1289" w:type="dxa"/>
                    <w:shd w:val="clear" w:color="auto" w:fill="auto"/>
                  </w:tcPr>
                  <w:p>
                    <w:pPr>
                      <w:widowControl w:val="0"/>
                      <w:ind w:left="360"/>
                      <w:rPr>
                        <w:sz w:val="14"/>
                      </w:rPr>
                    </w:pPr>
                    <w:r>
                      <w:rPr>
                        <w:sz w:val="14"/>
                      </w:rPr>
                      <w:t>Abortas, persileidimas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Atsinaujinus mėnesinių ciklui,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18.</w:t>
                    </w:r>
                  </w:p>
                </w:tc>
                <w:tc>
                  <w:tcPr>
                    <w:tcW w:w="1289" w:type="dxa"/>
                    <w:shd w:val="clear" w:color="auto" w:fill="auto"/>
                  </w:tcPr>
                  <w:p>
                    <w:pPr>
                      <w:widowControl w:val="0"/>
                      <w:ind w:left="360"/>
                      <w:rPr>
                        <w:sz w:val="14"/>
                      </w:rPr>
                    </w:pPr>
                    <w:r>
                      <w:rPr>
                        <w:sz w:val="14"/>
                      </w:rPr>
                      <w:t xml:space="preserve">Nuolatinis mėnesinių ciklo sutrikimas, kai yra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dirbančios moterys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disfunkcinis kraujavimas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tačiau kas 6 mėnesius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konsultuotis su akušeriu-ginekologu</w:t>
                    </w:r>
                  </w:p>
                </w:tc>
              </w:tr>
              <w:tr>
                <w:tc>
                  <w:tcPr>
                    <w:tcW w:w="1371" w:type="dxa"/>
                    <w:shd w:val="clear" w:color="auto" w:fill="auto"/>
                  </w:tcPr>
                  <w:p>
                    <w:pPr>
                      <w:widowControl w:val="0"/>
                      <w:ind w:left="360"/>
                      <w:rPr>
                        <w:sz w:val="14"/>
                      </w:rPr>
                    </w:pPr>
                    <w:r>
                      <w:rPr>
                        <w:sz w:val="14"/>
                      </w:rPr>
                      <w:t>19.</w:t>
                    </w:r>
                  </w:p>
                </w:tc>
                <w:tc>
                  <w:tcPr>
                    <w:tcW w:w="1289" w:type="dxa"/>
                    <w:shd w:val="clear" w:color="auto" w:fill="auto"/>
                  </w:tcPr>
                  <w:p>
                    <w:pPr>
                      <w:widowControl w:val="0"/>
                      <w:ind w:left="360"/>
                      <w:rPr>
                        <w:sz w:val="14"/>
                      </w:rPr>
                    </w:pPr>
                    <w:r>
                      <w:rPr>
                        <w:sz w:val="14"/>
                      </w:rPr>
                      <w:t xml:space="preserve">Venų ir limfagyslių ligos (tromboflebitai, kojų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Nedidelio laipsnio venų išsiplėtimo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venų varikozė, hemorojus)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atveju apie seniai dirbančių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asmenų galimybę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konservatyvaus ar operacinio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visų profesinių grupių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w:t>
                    </w:r>
                  </w:p>
                </w:tc>
              </w:tr>
              <w:tr>
                <w:tc>
                  <w:tcPr>
                    <w:tcW w:w="1371" w:type="dxa"/>
                    <w:shd w:val="clear" w:color="auto" w:fill="auto"/>
                  </w:tcPr>
                  <w:p>
                    <w:pPr>
                      <w:widowControl w:val="0"/>
                      <w:ind w:left="360"/>
                      <w:rPr>
                        <w:sz w:val="14"/>
                      </w:rPr>
                    </w:pPr>
                    <w:r>
                      <w:rPr>
                        <w:sz w:val="14"/>
                      </w:rPr>
                      <w:t>20.</w:t>
                    </w:r>
                  </w:p>
                </w:tc>
                <w:tc>
                  <w:tcPr>
                    <w:tcW w:w="1289" w:type="dxa"/>
                    <w:shd w:val="clear" w:color="auto" w:fill="auto"/>
                  </w:tcPr>
                  <w:p>
                    <w:pPr>
                      <w:widowControl w:val="0"/>
                      <w:ind w:left="360"/>
                      <w:rPr>
                        <w:sz w:val="14"/>
                      </w:rPr>
                    </w:pPr>
                    <w:r>
                      <w:rPr>
                        <w:sz w:val="14"/>
                      </w:rPr>
                      <w:t>Įvairios lokalizacijos išvaržos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21.</w:t>
                    </w:r>
                  </w:p>
                </w:tc>
                <w:tc>
                  <w:tcPr>
                    <w:tcW w:w="1289" w:type="dxa"/>
                    <w:shd w:val="clear" w:color="auto" w:fill="auto"/>
                  </w:tcPr>
                  <w:p>
                    <w:pPr>
                      <w:widowControl w:val="0"/>
                      <w:ind w:left="360"/>
                      <w:rPr>
                        <w:sz w:val="14"/>
                      </w:rPr>
                    </w:pPr>
                    <w:r>
                      <w:rPr>
                        <w:sz w:val="14"/>
                      </w:rPr>
                      <w:t>Lėtinis apendicitas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22.</w:t>
                    </w:r>
                  </w:p>
                </w:tc>
                <w:tc>
                  <w:tcPr>
                    <w:tcW w:w="1289" w:type="dxa"/>
                    <w:shd w:val="clear" w:color="auto" w:fill="auto"/>
                  </w:tcPr>
                  <w:p>
                    <w:pPr>
                      <w:widowControl w:val="0"/>
                      <w:ind w:left="360"/>
                      <w:rPr>
                        <w:sz w:val="14"/>
                      </w:rPr>
                    </w:pPr>
                    <w:r>
                      <w:rPr>
                        <w:sz w:val="14"/>
                      </w:rPr>
                      <w:t xml:space="preserve">Viršutinės ar apatinės galūnės amputacija arba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seniai dirbančių asmenų,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neteko vienos ar abiejų plaštakų pirštų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čiurnos sąnario deformacija, esant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(išskyrus I) arba pėdos pirštų,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 pėdos deformacija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atsižvelgiant į profesiją</w:t>
                    </w:r>
                  </w:p>
                </w:tc>
              </w:tr>
              <w:tr>
                <w:tc>
                  <w:tcPr>
                    <w:tcW w:w="1371" w:type="dxa"/>
                    <w:shd w:val="clear" w:color="auto" w:fill="auto"/>
                  </w:tcPr>
                  <w:p>
                    <w:pPr>
                      <w:widowControl w:val="0"/>
                      <w:ind w:left="360"/>
                      <w:rPr>
                        <w:sz w:val="14"/>
                      </w:rPr>
                    </w:pPr>
                    <w:r>
                      <w:rPr>
                        <w:sz w:val="14"/>
                      </w:rPr>
                      <w:t>23.</w:t>
                    </w:r>
                  </w:p>
                </w:tc>
                <w:tc>
                  <w:tcPr>
                    <w:tcW w:w="1289" w:type="dxa"/>
                    <w:shd w:val="clear" w:color="auto" w:fill="auto"/>
                  </w:tcPr>
                  <w:p>
                    <w:pPr>
                      <w:widowControl w:val="0"/>
                      <w:ind w:left="360"/>
                      <w:rPr>
                        <w:sz w:val="14"/>
                      </w:rPr>
                    </w:pPr>
                    <w:r>
                      <w:rPr>
                        <w:sz w:val="14"/>
                      </w:rPr>
                      <w:t xml:space="preserve">Lėtinės raumenų, kaulų, kremzlių, sąnarių,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stuburo ligos, esant judėjimo funkcijos sutrikimų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(radikulitai, miozitai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konservatyviojo gydymo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24.</w:t>
                    </w:r>
                  </w:p>
                </w:tc>
                <w:tc>
                  <w:tcPr>
                    <w:tcW w:w="1289" w:type="dxa"/>
                    <w:shd w:val="clear" w:color="auto" w:fill="auto"/>
                  </w:tcPr>
                  <w:p>
                    <w:pPr>
                      <w:widowControl w:val="0"/>
                      <w:ind w:left="360"/>
                      <w:rPr>
                        <w:sz w:val="14"/>
                      </w:rPr>
                    </w:pPr>
                    <w:r>
                      <w:rPr>
                        <w:sz w:val="14"/>
                      </w:rPr>
                      <w:t xml:space="preserve">Plaučių ir kt. organų bei sistemų tuberkuliozė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Ilgiau kaip 2 metus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(aktyvi forma)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nuolatos kompensuojama tuberkuliozės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forma visų profesinių grupių asmenys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jeigu tokią išvadą padaro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ftiziatras</w:t>
                    </w:r>
                  </w:p>
                </w:tc>
              </w:tr>
              <w:tr>
                <w:tc>
                  <w:tcPr>
                    <w:tcW w:w="1371" w:type="dxa"/>
                    <w:shd w:val="clear" w:color="auto" w:fill="auto"/>
                  </w:tcPr>
                  <w:p>
                    <w:pPr>
                      <w:widowControl w:val="0"/>
                      <w:ind w:left="360"/>
                      <w:rPr>
                        <w:sz w:val="14"/>
                      </w:rPr>
                    </w:pPr>
                    <w:r>
                      <w:rPr>
                        <w:sz w:val="14"/>
                      </w:rPr>
                      <w:t>25.</w:t>
                    </w:r>
                  </w:p>
                </w:tc>
                <w:tc>
                  <w:tcPr>
                    <w:tcW w:w="1289" w:type="dxa"/>
                    <w:shd w:val="clear" w:color="auto" w:fill="auto"/>
                  </w:tcPr>
                  <w:p>
                    <w:pPr>
                      <w:widowControl w:val="0"/>
                      <w:ind w:left="360"/>
                      <w:rPr>
                        <w:sz w:val="14"/>
                      </w:rPr>
                    </w:pPr>
                    <w:r>
                      <w:rPr>
                        <w:sz w:val="14"/>
                      </w:rPr>
                      <w:t>Lėtiniai infekciniai ir parazitiniai susirgimai, bak-</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terinės zoonozės, linkusios dažnai paūmėti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apie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(difterija, bruceliozė, lepra, virusinis hepatitas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kt.), helmintozės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26.</w:t>
                    </w:r>
                  </w:p>
                </w:tc>
                <w:tc>
                  <w:tcPr>
                    <w:tcW w:w="1289" w:type="dxa"/>
                    <w:shd w:val="clear" w:color="auto" w:fill="auto"/>
                  </w:tcPr>
                  <w:p>
                    <w:pPr>
                      <w:widowControl w:val="0"/>
                      <w:ind w:left="360"/>
                      <w:rPr>
                        <w:sz w:val="14"/>
                      </w:rPr>
                    </w:pPr>
                    <w:r>
                      <w:rPr>
                        <w:sz w:val="14"/>
                      </w:rPr>
                      <w:t xml:space="preserve">Nepūlinės odos ligos (psoriazė, neurodermitas,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egzema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seniai dirbantys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 išskyrus reisus į</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tropinius kraštus</w:t>
                    </w:r>
                  </w:p>
                </w:tc>
              </w:tr>
              <w:tr>
                <w:tc>
                  <w:tcPr>
                    <w:tcW w:w="1371" w:type="dxa"/>
                    <w:shd w:val="clear" w:color="auto" w:fill="auto"/>
                  </w:tcPr>
                  <w:p>
                    <w:pPr>
                      <w:widowControl w:val="0"/>
                      <w:ind w:left="360"/>
                      <w:rPr>
                        <w:sz w:val="14"/>
                      </w:rPr>
                    </w:pPr>
                    <w:r>
                      <w:rPr>
                        <w:sz w:val="14"/>
                      </w:rPr>
                      <w:t>27.</w:t>
                    </w:r>
                  </w:p>
                </w:tc>
                <w:tc>
                  <w:tcPr>
                    <w:tcW w:w="1289" w:type="dxa"/>
                    <w:shd w:val="clear" w:color="auto" w:fill="auto"/>
                  </w:tcPr>
                  <w:p>
                    <w:pPr>
                      <w:widowControl w:val="0"/>
                      <w:ind w:left="360"/>
                      <w:rPr>
                        <w:sz w:val="14"/>
                      </w:rPr>
                    </w:pPr>
                    <w:r>
                      <w:rPr>
                        <w:sz w:val="14"/>
                      </w:rPr>
                      <w:t>Sifilis ir kitos venerinės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asmenys, tačiau tik</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gydytojui dermatovenerologui leidus</w:t>
                    </w:r>
                  </w:p>
                </w:tc>
              </w:tr>
              <w:tr>
                <w:tc>
                  <w:tcPr>
                    <w:tcW w:w="1371" w:type="dxa"/>
                    <w:shd w:val="clear" w:color="auto" w:fill="auto"/>
                  </w:tcPr>
                  <w:p>
                    <w:pPr>
                      <w:widowControl w:val="0"/>
                      <w:ind w:left="360"/>
                      <w:rPr>
                        <w:sz w:val="14"/>
                      </w:rPr>
                    </w:pPr>
                    <w:r>
                      <w:rPr>
                        <w:sz w:val="14"/>
                      </w:rPr>
                      <w:t>28.</w:t>
                    </w:r>
                  </w:p>
                </w:tc>
                <w:tc>
                  <w:tcPr>
                    <w:tcW w:w="1289" w:type="dxa"/>
                    <w:shd w:val="clear" w:color="auto" w:fill="auto"/>
                  </w:tcPr>
                  <w:p>
                    <w:pPr>
                      <w:widowControl w:val="0"/>
                      <w:ind w:left="360"/>
                      <w:rPr>
                        <w:sz w:val="14"/>
                      </w:rPr>
                    </w:pPr>
                    <w:r>
                      <w:rPr>
                        <w:sz w:val="14"/>
                      </w:rPr>
                      <w:t>Gerybiniai navikai</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operacijos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tačiau tik esant palankiai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onkologo išvadai</w:t>
                    </w:r>
                  </w:p>
                </w:tc>
              </w:tr>
              <w:tr>
                <w:tc>
                  <w:tcPr>
                    <w:tcW w:w="1371" w:type="dxa"/>
                    <w:shd w:val="clear" w:color="auto" w:fill="auto"/>
                  </w:tcPr>
                  <w:p>
                    <w:pPr>
                      <w:widowControl w:val="0"/>
                      <w:ind w:left="360"/>
                      <w:rPr>
                        <w:sz w:val="14"/>
                      </w:rPr>
                    </w:pPr>
                    <w:r>
                      <w:rPr>
                        <w:sz w:val="14"/>
                      </w:rPr>
                      <w:t>29.</w:t>
                    </w:r>
                  </w:p>
                </w:tc>
                <w:tc>
                  <w:tcPr>
                    <w:tcW w:w="1289" w:type="dxa"/>
                    <w:shd w:val="clear" w:color="auto" w:fill="auto"/>
                  </w:tcPr>
                  <w:p>
                    <w:pPr>
                      <w:widowControl w:val="0"/>
                      <w:ind w:left="360"/>
                      <w:rPr>
                        <w:sz w:val="14"/>
                      </w:rPr>
                    </w:pPr>
                    <w:r>
                      <w:rPr>
                        <w:sz w:val="14"/>
                      </w:rPr>
                      <w:t>Gerybinis gimdos navikas (mioma)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dirbančios moterys, sergančios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besimptomine mioma, kuri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neaugo ir nekraujuoja,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30.</w:t>
                    </w:r>
                  </w:p>
                </w:tc>
                <w:tc>
                  <w:tcPr>
                    <w:tcW w:w="1289" w:type="dxa"/>
                    <w:shd w:val="clear" w:color="auto" w:fill="auto"/>
                  </w:tcPr>
                  <w:p>
                    <w:pPr>
                      <w:widowControl w:val="0"/>
                      <w:ind w:left="360"/>
                      <w:rPr>
                        <w:sz w:val="14"/>
                      </w:rPr>
                    </w:pPr>
                    <w:r>
                      <w:rPr>
                        <w:sz w:val="14"/>
                      </w:rPr>
                      <w:t xml:space="preserve">Psichiniai susirgimai be psichozės reiškinių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(neurozės, neurostenijos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tačiau tik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palankiai psichiatro išvadai</w:t>
                    </w:r>
                  </w:p>
                </w:tc>
              </w:tr>
              <w:tr>
                <w:tc>
                  <w:tcPr>
                    <w:tcW w:w="1371" w:type="dxa"/>
                    <w:shd w:val="clear" w:color="auto" w:fill="auto"/>
                  </w:tcPr>
                  <w:p>
                    <w:pPr>
                      <w:widowControl w:val="0"/>
                      <w:ind w:left="360"/>
                      <w:rPr>
                        <w:sz w:val="14"/>
                      </w:rPr>
                    </w:pPr>
                    <w:r>
                      <w:rPr>
                        <w:sz w:val="14"/>
                      </w:rPr>
                      <w:t>31.</w:t>
                    </w:r>
                  </w:p>
                </w:tc>
                <w:tc>
                  <w:tcPr>
                    <w:tcW w:w="1289" w:type="dxa"/>
                    <w:shd w:val="clear" w:color="auto" w:fill="auto"/>
                  </w:tcPr>
                  <w:p>
                    <w:pPr>
                      <w:widowControl w:val="0"/>
                      <w:ind w:left="360"/>
                      <w:rPr>
                        <w:sz w:val="14"/>
                      </w:rPr>
                    </w:pPr>
                    <w:r>
                      <w:rPr>
                        <w:sz w:val="14"/>
                      </w:rPr>
                      <w:t xml:space="preserve">Regėjimo pablogėjimas dėl laužiamųjų terpių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r>
                      <w:rPr>
                        <w:sz w:val="14"/>
                      </w:rPr>
                      <w:t>Visų profesinių grupių asmenų regėjimo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drumstumo, refrakcijos anomalijų bei kt.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aštrumas nustatomas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organinių pakitimų: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linzėmis arba akiniais (leistinos optinės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regėjimas viena akimi – mažesnis kaip 0,1 D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korekcijos ribos nurodytos šios tvarkos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0,5 – kita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34 punkte).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Asmenų, stojančių mokytis į laivybos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regėjimas gerąja akimi – mažesnis kaip 0,6 D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fakultetus, regėjimas kiekviena akimi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0,4 – blogiau matančia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 ne mažesnis kaip 0,8 D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(leidžiama įvairių rūšių ametropija – iki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regėjimas viena akimi- mažesnis kaip 0,8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6,0 D su korekcija); asmenų, stojančių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mokytis į kitus fakultetus, leidžiamas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regėjimas – ne mažesnis kaip 0,6 D geriau</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matančia akimi ir ne mažiau kaip 0,4 D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blogiau matančia akimi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leidžiama visų rūšių ametropija -iki 6,0 D</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su korekcija; jei yra indikacijų,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adaptometru tiriama laivininkų, upeivių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adaptacija tamsai</w:t>
                    </w:r>
                  </w:p>
                </w:tc>
              </w:tr>
              <w:tr>
                <w:tc>
                  <w:tcPr>
                    <w:tcW w:w="1371" w:type="dxa"/>
                    <w:shd w:val="clear" w:color="auto" w:fill="auto"/>
                  </w:tcPr>
                  <w:p>
                    <w:pPr>
                      <w:widowControl w:val="0"/>
                      <w:ind w:left="360"/>
                      <w:rPr>
                        <w:sz w:val="14"/>
                      </w:rPr>
                    </w:pPr>
                    <w:r>
                      <w:rPr>
                        <w:sz w:val="14"/>
                      </w:rPr>
                      <w:t>32.</w:t>
                    </w:r>
                  </w:p>
                </w:tc>
                <w:tc>
                  <w:tcPr>
                    <w:tcW w:w="1289" w:type="dxa"/>
                    <w:shd w:val="clear" w:color="auto" w:fill="auto"/>
                  </w:tcPr>
                  <w:p>
                    <w:pPr>
                      <w:widowControl w:val="0"/>
                      <w:ind w:left="360"/>
                      <w:rPr>
                        <w:sz w:val="14"/>
                      </w:rPr>
                    </w:pPr>
                    <w:r>
                      <w:rPr>
                        <w:sz w:val="14"/>
                      </w:rPr>
                      <w:t xml:space="preserve">Geriau matančios akies ametropija: refrakcija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3 dienų atropino lašinimo, taikant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didesnės ametropijos meridiano arba mišraus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optimalią koreguojamąją linzę,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astigmento laipsnis, nustatomi medikamentinės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nustatomas ametropijos laipsnis;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cikloplegijos sąlygomis: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astigmatizmui, atsižvelgiama į cilindro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daugiau kaip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stiprumą; esant paprastam ir mišriam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astigmatizmui – į cilindro ir sferos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nuo 10,25 iki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stiprumo sumą; esant sudėtiniam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į geriau matančios akies refrakciją;</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nuo 6,25 iki 10,0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blogiau matančiai akiai emetropijos ribų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nėra – atsižvelgiama tik į regėjimą su</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 nuo 3,25 iki 6,0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korekcija, esant leidžiamam dioptrijų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skirtumui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 iki 3,0 D</w:t>
                    </w:r>
                  </w:p>
                </w:tc>
                <w:tc>
                  <w:tcPr>
                    <w:tcW w:w="1723"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33.</w:t>
                    </w:r>
                  </w:p>
                </w:tc>
                <w:tc>
                  <w:tcPr>
                    <w:tcW w:w="1289" w:type="dxa"/>
                    <w:shd w:val="clear" w:color="auto" w:fill="auto"/>
                  </w:tcPr>
                  <w:p>
                    <w:pPr>
                      <w:widowControl w:val="0"/>
                      <w:ind w:left="360"/>
                      <w:rPr>
                        <w:sz w:val="14"/>
                      </w:rPr>
                    </w:pPr>
                    <w:r>
                      <w:rPr>
                        <w:sz w:val="14"/>
                      </w:rPr>
                      <w:t>Žvairakumas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34.</w:t>
                    </w:r>
                  </w:p>
                </w:tc>
                <w:tc>
                  <w:tcPr>
                    <w:tcW w:w="1289" w:type="dxa"/>
                    <w:shd w:val="clear" w:color="auto" w:fill="auto"/>
                  </w:tcPr>
                  <w:p>
                    <w:pPr>
                      <w:widowControl w:val="0"/>
                      <w:ind w:left="360"/>
                      <w:rPr>
                        <w:sz w:val="14"/>
                      </w:rPr>
                    </w:pPr>
                    <w:r>
                      <w:rPr>
                        <w:sz w:val="14"/>
                      </w:rPr>
                      <w:t>Bet kurios formos ir stadijos glaukoma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Pradinės kompensuojamosios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glaukomos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uosto laivyne</w:t>
                    </w:r>
                  </w:p>
                </w:tc>
              </w:tr>
              <w:tr>
                <w:tc>
                  <w:tcPr>
                    <w:tcW w:w="1371" w:type="dxa"/>
                    <w:shd w:val="clear" w:color="auto" w:fill="auto"/>
                  </w:tcPr>
                  <w:p>
                    <w:pPr>
                      <w:widowControl w:val="0"/>
                      <w:ind w:left="360"/>
                      <w:rPr>
                        <w:sz w:val="14"/>
                      </w:rPr>
                    </w:pPr>
                    <w:r>
                      <w:rPr>
                        <w:sz w:val="14"/>
                      </w:rPr>
                      <w:t>35.</w:t>
                    </w:r>
                  </w:p>
                </w:tc>
                <w:tc>
                  <w:tcPr>
                    <w:tcW w:w="1289" w:type="dxa"/>
                    <w:shd w:val="clear" w:color="auto" w:fill="auto"/>
                  </w:tcPr>
                  <w:p>
                    <w:pPr>
                      <w:widowControl w:val="0"/>
                      <w:ind w:left="360"/>
                      <w:rPr>
                        <w:sz w:val="14"/>
                      </w:rPr>
                    </w:pPr>
                    <w:r>
                      <w:rPr>
                        <w:sz w:val="14"/>
                      </w:rPr>
                      <w:t xml:space="preserve">Progresuojantys arba recidyvuojantys ragenos,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Po akies obuolio operacijų apie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tinklainės, kraujagyslių trakto ir regos nervo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uždegimai, trikdantys regėjimą</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 priklausomai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 regėjimo funkcijos ir susirgimo,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keratotomijos ir lazerio operacijos,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kai regėjimas grąžinamas,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mokytis ir dirbti</w:t>
                    </w:r>
                  </w:p>
                </w:tc>
              </w:tr>
              <w:tr>
                <w:tc>
                  <w:tcPr>
                    <w:tcW w:w="1371" w:type="dxa"/>
                    <w:shd w:val="clear" w:color="auto" w:fill="auto"/>
                  </w:tcPr>
                  <w:p>
                    <w:pPr>
                      <w:widowControl w:val="0"/>
                      <w:ind w:left="360"/>
                      <w:rPr>
                        <w:sz w:val="14"/>
                      </w:rPr>
                    </w:pPr>
                    <w:r>
                      <w:rPr>
                        <w:sz w:val="14"/>
                      </w:rPr>
                      <w:t>36.</w:t>
                    </w:r>
                  </w:p>
                </w:tc>
                <w:tc>
                  <w:tcPr>
                    <w:tcW w:w="1289" w:type="dxa"/>
                    <w:shd w:val="clear" w:color="auto" w:fill="auto"/>
                  </w:tcPr>
                  <w:p>
                    <w:pPr>
                      <w:widowControl w:val="0"/>
                      <w:ind w:left="360"/>
                      <w:rPr>
                        <w:sz w:val="14"/>
                      </w:rPr>
                    </w:pPr>
                    <w:r>
                      <w:rPr>
                        <w:sz w:val="14"/>
                      </w:rPr>
                      <w:t>Spalvų jutimo sutrikimas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Narais, jūreiviais narais, jūreiviais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kranininkais, mašinistais-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motoristais-vairininkais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negali</w:t>
                    </w:r>
                  </w:p>
                </w:tc>
              </w:tr>
              <w:tr>
                <w:tc>
                  <w:tcPr>
                    <w:tcW w:w="1371" w:type="dxa"/>
                    <w:shd w:val="clear" w:color="auto" w:fill="auto"/>
                  </w:tcPr>
                  <w:p>
                    <w:pPr>
                      <w:widowControl w:val="0"/>
                      <w:ind w:left="360"/>
                      <w:rPr>
                        <w:sz w:val="14"/>
                      </w:rPr>
                    </w:pPr>
                    <w:r>
                      <w:rPr>
                        <w:sz w:val="14"/>
                      </w:rPr>
                      <w:t>37.</w:t>
                    </w:r>
                  </w:p>
                </w:tc>
                <w:tc>
                  <w:tcPr>
                    <w:tcW w:w="1289" w:type="dxa"/>
                    <w:shd w:val="clear" w:color="auto" w:fill="auto"/>
                  </w:tcPr>
                  <w:p>
                    <w:pPr>
                      <w:widowControl w:val="0"/>
                      <w:ind w:left="360"/>
                      <w:rPr>
                        <w:sz w:val="14"/>
                      </w:rPr>
                    </w:pPr>
                    <w:r>
                      <w:rPr>
                        <w:sz w:val="14"/>
                      </w:rPr>
                      <w:t xml:space="preserve">Lėtinis pūlingas otitas (epitimpanitas,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mezotimpanitas)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38.</w:t>
                    </w:r>
                  </w:p>
                </w:tc>
                <w:tc>
                  <w:tcPr>
                    <w:tcW w:w="1289" w:type="dxa"/>
                    <w:shd w:val="clear" w:color="auto" w:fill="auto"/>
                  </w:tcPr>
                  <w:p>
                    <w:pPr>
                      <w:widowControl w:val="0"/>
                      <w:ind w:left="360"/>
                      <w:rPr>
                        <w:sz w:val="14"/>
                      </w:rPr>
                    </w:pPr>
                    <w:r>
                      <w:rPr>
                        <w:sz w:val="14"/>
                      </w:rPr>
                      <w:t xml:space="preserve">Vienpusis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Stojantiems mokytis jūrininkų specialybių,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pašnibždomis: nesveika ausimi – ne mažesniu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būtina girdėti kalbą pašnibždomis 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ausimis</w:t>
                    </w:r>
                  </w:p>
                </w:tc>
              </w:tr>
              <w:tr>
                <w:tc>
                  <w:tcPr>
                    <w:tcW w:w="1371" w:type="dxa"/>
                    <w:shd w:val="clear" w:color="auto" w:fill="auto"/>
                  </w:tcPr>
                  <w:p>
                    <w:pPr>
                      <w:widowControl w:val="0"/>
                      <w:ind w:left="360"/>
                      <w:rPr>
                        <w:sz w:val="14"/>
                      </w:rPr>
                    </w:pPr>
                    <w:r>
                      <w:rPr>
                        <w:sz w:val="14"/>
                      </w:rPr>
                      <w:t>39.</w:t>
                    </w:r>
                  </w:p>
                </w:tc>
                <w:tc>
                  <w:tcPr>
                    <w:tcW w:w="1289" w:type="dxa"/>
                    <w:shd w:val="clear" w:color="auto" w:fill="auto"/>
                  </w:tcPr>
                  <w:p>
                    <w:pPr>
                      <w:widowControl w:val="0"/>
                      <w:ind w:left="360"/>
                      <w:rPr>
                        <w:sz w:val="14"/>
                      </w:rPr>
                    </w:pPr>
                    <w:r>
                      <w:rPr>
                        <w:sz w:val="14"/>
                      </w:rPr>
                      <w:t xml:space="preserve">Abipusis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pašnibždomis kiekviena ausimi ne mažesniu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40.</w:t>
                    </w:r>
                  </w:p>
                </w:tc>
                <w:tc>
                  <w:tcPr>
                    <w:tcW w:w="1289" w:type="dxa"/>
                    <w:shd w:val="clear" w:color="auto" w:fill="auto"/>
                  </w:tcPr>
                  <w:p>
                    <w:pPr>
                      <w:widowControl w:val="0"/>
                      <w:ind w:left="360"/>
                      <w:rPr>
                        <w:sz w:val="14"/>
                      </w:rPr>
                    </w:pPr>
                    <w:r>
                      <w:rPr>
                        <w:sz w:val="14"/>
                      </w:rPr>
                      <w:t xml:space="preserve">Lėtiniai pridėtinių veido daubų uždegimai, esant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dažnų paūmėjimų (daugiau kaip 3 kartus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seniai dirbantys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 metus)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 Santrumpų reikšmės:</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1 – 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2 – gali dirbti laivyne, tačiau kiekvienu atveju individualiai ribojamas plaukiojimo rajonas;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3 – negali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 – naujai įsidarbinantys;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 – seniai dirbantys.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 Terminų paaiškinimai:</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ilgi reisai – ilgesni kaip 6 mėnesių reisai;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seniai dirbantys – išdirbę laivyne ne mažiau kaip 3 metus be pertraukos;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naujai įsidarbinantys – pradedantys dirbti laivyne ar mokytis laivyno darbuotojų rengimo mokyklose.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b98ecdbd63df455498bcfbed9795434c"/>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98ecdbd63df455498bcfbed9795434c"/>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98ecdbd63df455498bcfbed9795434c"/>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aff7822f59fb4b00870fbe76c477923c"/>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ff7822f59fb4b00870fbe76c477923c"/>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ff7822f59fb4b00870fbe76c477923c"/>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68443ee135b4455aa38fbd7265a7cbc9"/>
            <w:lock w:val="sdtLocked"/>
            <w:richText/>
          </w:sdtPr>
          <w:sdtContent>
            <w:p>
              <w:pPr>
                <w:widowControl w:val="0"/>
                <w:suppressAutoHyphens/>
                <w:jc w:val="center"/>
                <w:rPr>
                  <w:b/>
                  <w:bCs/>
                  <w:caps/>
                  <w:color w:val="000000"/>
                </w:rPr>
              </w:pPr>
              <w:sdt>
                <w:sdtPr>
                  <w:alias w:val="Numeris"/>
                  <w:tag w:val="nr_68443ee135b4455aa38fbd7265a7cbc9"/>
                  <w:lock w:val="sdtLocked"/>
                  <w:richText/>
                </w:sdtPr>
                <w:sdtContent>
                  <w:r>
                    <w:rPr>
                      <w:b/>
                      <w:bCs/>
                      <w:caps/>
                      <w:color w:val="000000"/>
                    </w:rPr>
                    <w:t>I</w:t>
                  </w:r>
                </w:sdtContent>
              </w:sdt>
              <w:r>
                <w:rPr>
                  <w:b/>
                  <w:bCs/>
                  <w:caps/>
                  <w:color w:val="000000"/>
                </w:rPr>
                <w:t xml:space="preserve">. </w:t>
              </w:r>
              <w:sdt>
                <w:sdtPr>
                  <w:alias w:val="Pavadinimas"/>
                  <w:tag w:val="title_68443ee135b4455aa38fbd7265a7cbc9"/>
                  <w:lock w:val="sdtLocked"/>
                  <w:richText/>
                </w:sdtPr>
                <w:sdtContent>
                  <w:r>
                    <w:rPr>
                      <w:b/>
                      <w:bCs/>
                      <w:caps/>
                      <w:color w:val="000000"/>
                    </w:rPr>
                    <w:t>PROFILAKTINIŲ SVEIKATOS TIKRINIMŲ, UŽ KURIUOS MOKA PATS DARBUOTOJAS, DARBDAVYS AR KITI FIZINIAI AR JURIDINIAI ASMENYS, KAINOS</w:t>
                  </w:r>
                </w:sdtContent>
              </w:sdt>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689"/>
                <w:gridCol w:w="5834"/>
                <w:gridCol w:w="1362"/>
                <w:gridCol w:w="1185"/>
              </w:tblGrid>
              <w:tr>
                <w:trPr>
                  <w:trHeight w:val="60"/>
                  <w:tblHeader/>
                </w:trPr>
                <w:tc>
                  <w:tcPr>
                    <w:tcW w:w="689" w:type="dxa"/>
                    <w:vMerge w:val="restart"/>
                    <w:tcBorders>
                      <w:top w:val="single" w:sz="4" w:space="0" w:color="000000"/>
                      <w:left w:val="single" w:sz="4" w:space="0" w:color="000000"/>
                      <w:bottom w:val="single" w:sz="8"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Eil. Nr.</w:t>
                    </w:r>
                  </w:p>
                </w:tc>
                <w:tc>
                  <w:tcPr>
                    <w:tcW w:w="5834" w:type="dxa"/>
                    <w:vMerge w:val="restart"/>
                    <w:tcBorders>
                      <w:top w:val="single" w:sz="4" w:space="0" w:color="000000"/>
                      <w:left w:val="single" w:sz="4" w:space="0" w:color="000000"/>
                      <w:bottom w:val="single" w:sz="8" w:space="0" w:color="000000"/>
                      <w:right w:val="single" w:sz="4" w:space="0" w:color="auto"/>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Profilaktinių sveikatos tikrinimų rūšys</w:t>
                    </w:r>
                  </w:p>
                </w:tc>
                <w:tc>
                  <w:tcPr>
                    <w:tcW w:w="254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Kaina (Lt)</w:t>
                    </w:r>
                  </w:p>
                </w:tc>
              </w:tr>
              <w:tr>
                <w:trPr>
                  <w:trHeight w:val="60"/>
                  <w:tblHeader/>
                </w:trPr>
                <w:tc>
                  <w:tcPr>
                    <w:tcW w:w="689" w:type="dxa"/>
                    <w:vMerge/>
                    <w:tcBorders>
                      <w:top w:val="single" w:sz="8" w:space="0" w:color="000000"/>
                      <w:left w:val="single" w:sz="4" w:space="0" w:color="000000"/>
                      <w:bottom w:val="single" w:sz="4" w:space="0" w:color="000000"/>
                      <w:right w:val="single" w:sz="4" w:space="0" w:color="000000"/>
                    </w:tcBorders>
                  </w:tcPr>
                  <w:p>
                    <w:pPr>
                      <w:widowControl w:val="0"/>
                      <w:rPr>
                        <w:sz w:val="20"/>
                      </w:rPr>
                    </w:pPr>
                  </w:p>
                </w:tc>
                <w:tc>
                  <w:tcPr>
                    <w:tcW w:w="5834" w:type="dxa"/>
                    <w:vMerge/>
                    <w:tcBorders>
                      <w:top w:val="single" w:sz="8" w:space="0" w:color="000000"/>
                      <w:left w:val="single" w:sz="4" w:space="0" w:color="000000"/>
                      <w:bottom w:val="single" w:sz="4" w:space="0" w:color="000000"/>
                      <w:right w:val="single" w:sz="4" w:space="0" w:color="000000"/>
                    </w:tcBorders>
                  </w:tcPr>
                  <w:p>
                    <w:pPr>
                      <w:widowControl w:val="0"/>
                      <w:rPr>
                        <w:sz w:val="20"/>
                      </w:rPr>
                    </w:pPr>
                  </w:p>
                </w:tc>
                <w:tc>
                  <w:tcPr>
                    <w:tcW w:w="1362"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įsidarbinant</w:t>
                    </w:r>
                  </w:p>
                </w:tc>
                <w:tc>
                  <w:tcPr>
                    <w:tcW w:w="1185"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dirbant</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Vairuotojų profesionalų</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58,80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67,20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Civilinės aviacijos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268,80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351,12/ 159,60*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Laivyno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99,12</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149,52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4</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 xml:space="preserve">Geležinkelio darbuotojų </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18,48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45,36</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galimos profesinės rizikos sąlygomis (esant sveikatai kenksmingų veiksnių poveikio rizikai ar dirbančių pavojingus darbus):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rPr>
                        <w:sz w:val="20"/>
                      </w:rPr>
                    </w:pP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rPr>
                        <w:sz w:val="20"/>
                      </w:rPr>
                    </w:pP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5.1</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profesinės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21,84</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36,96</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5.2</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cheminių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6,72</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31,92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5.3</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biologinių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0,00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23,52</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5.4</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pramoninių aerozolių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18,48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38,64</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5.5</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kenksmingų fizikinių veiksnių rizikos sąlygomis</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8,40</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25,20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5.6</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dirbančių dėl fizinių perkrovų pavojingą darbą</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10,08</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25,20</w:t>
                    </w:r>
                  </w:p>
                </w:tc>
              </w:tr>
              <w:tr>
                <w:trPr>
                  <w:trHeight w:val="60"/>
                </w:trPr>
                <w:tc>
                  <w:tcPr>
                    <w:tcW w:w="68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6</w:t>
                    </w:r>
                  </w:p>
                </w:tc>
                <w:tc>
                  <w:tcPr>
                    <w:tcW w:w="583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rPr>
                        <w:color w:val="000000"/>
                        <w:sz w:val="20"/>
                      </w:rPr>
                    </w:pPr>
                    <w:r>
                      <w:rPr>
                        <w:color w:val="000000"/>
                        <w:sz w:val="20"/>
                      </w:rPr>
                      <w:t>Darbuotojų, kuriems leidžiama dirbti tik iš anksto pasitikrinus ir vėliau periodiškai besitikrinantiems sveikatą dėl užkrečiamųjų ligų</w:t>
                    </w:r>
                  </w:p>
                </w:tc>
                <w:tc>
                  <w:tcPr>
                    <w:tcW w:w="136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11,76</w:t>
                    </w:r>
                  </w:p>
                </w:tc>
                <w:tc>
                  <w:tcPr>
                    <w:tcW w:w="118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color w:val="000000"/>
                        <w:sz w:val="20"/>
                      </w:rPr>
                    </w:pPr>
                    <w:r>
                      <w:rPr>
                        <w:color w:val="000000"/>
                        <w:sz w:val="20"/>
                      </w:rPr>
                      <w:t>8,40</w:t>
                    </w:r>
                  </w:p>
                </w:tc>
              </w:tr>
            </w:tbl>
            <w:p>
              <w:pPr>
                <w:widowControl w:val="0"/>
                <w:suppressAutoHyphens/>
                <w:ind w:firstLine="567"/>
                <w:jc w:val="right"/>
                <w:rPr>
                  <w:b/>
                  <w:caps/>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95BE7E412D5">
                <w:r w:rsidRPr="00532B9F">
                  <w:rPr>
                    <w:rFonts w:ascii="Times New Roman" w:eastAsia="MS Mincho" w:hAnsi="Times New Roman"/>
                    <w:sz w:val="20"/>
                    <w:i/>
                    <w:iCs/>
                    <w:color w:val="0000FF" w:themeColor="hyperlink"/>
                    <w:u w:val="single"/>
                  </w:rPr>
                  <w:t>V-547</w:t>
                </w:r>
              </w:fldSimple>
              <w:r>
                <w:rPr>
                  <w:rFonts w:ascii="Times New Roman" w:eastAsia="MS Mincho" w:hAnsi="Times New Roman"/>
                  <w:sz w:val="20"/>
                  <w:i/>
                  <w:iCs/>
                </w:rPr>
                <w:t>,
2011-05-27,
Žin., 2011, Nr.
67-3186 (2011-06-02), i. k. 1112250ISAK000V-547            </w:t>
              </w:r>
            </w:p>
            <w:p/>
          </w:sdtContent>
        </w:sdt>
        <w:sdt>
          <w:sdtPr>
            <w:alias w:val="skyrius"/>
            <w:tag w:val="part_8c079cac4de7439ba7255e630bbf74a4"/>
            <w:lock w:val="sdtLocked"/>
            <w:richText/>
          </w:sdtPr>
          <w:sdtContent>
            <w:p>
              <w:pPr>
                <w:jc w:val="center"/>
                <w:rPr>
                  <w:b/>
                  <w:caps/>
                  <w:color w:val="000000"/>
                </w:rPr>
              </w:pPr>
              <w:sdt>
                <w:sdtPr>
                  <w:alias w:val="Numeris"/>
                  <w:tag w:val="nr_8c079cac4de7439ba7255e630bbf74a4"/>
                  <w:lock w:val="sdtLocked"/>
                  <w:richText/>
                </w:sdtPr>
                <w:sdtContent>
                  <w:r>
                    <w:rPr>
                      <w:b/>
                      <w:caps/>
                      <w:color w:val="000000"/>
                    </w:rPr>
                    <w:t>2</w:t>
                  </w:r>
                </w:sdtContent>
              </w:sdt>
              <w:r>
                <w:rPr>
                  <w:b/>
                  <w:caps/>
                  <w:color w:val="000000"/>
                </w:rPr>
                <w:t xml:space="preserve">. </w:t>
              </w:r>
              <w:sdt>
                <w:sdtPr>
                  <w:alias w:val="Pavadinimas"/>
                  <w:tag w:val="title_8c079cac4de7439ba7255e630bbf74a4"/>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205" w:type="dxa"/>
                    <w:shd w:val="clear" w:color="auto" w:fill="auto"/>
                  </w:tcPr>
                  <w:p>
                    <w:pPr>
                      <w:widowControl w:val="0"/>
                      <w:ind w:left="360"/>
                      <w:rPr>
                        <w:b/>
                        <w:sz w:val="20"/>
                      </w:rPr>
                    </w:pPr>
                    <w:r>
                      <w:rPr>
                        <w:b/>
                        <w:sz w:val="20"/>
                      </w:rPr>
                      <w:t>Profilaktinių sveikatos tikrinimų rūšys</w:t>
                    </w:r>
                  </w:p>
                </w:tc>
                <w:tc>
                  <w:tcPr>
                    <w:tcW w:w="3432" w:type="dxa"/>
                    <w:shd w:val="clear" w:color="auto" w:fill="auto"/>
                  </w:tcPr>
                  <w:p>
                    <w:pPr>
                      <w:widowControl w:val="0"/>
                      <w:ind w:left="360"/>
                      <w:rPr>
                        <w:sz w:val="20"/>
                      </w:rPr>
                    </w:pPr>
                    <w:r>
                      <w:rPr>
                        <w:b/>
                        <w:sz w:val="20"/>
                      </w:rPr>
                      <w:t xml:space="preserve">Kaina </w:t>
                    </w:r>
                    <w:r>
                      <w:rPr>
                        <w:sz w:val="20"/>
                      </w:rPr>
                      <w:t>(balais)</w:t>
                    </w:r>
                  </w:p>
                </w:tc>
              </w:tr>
              <w:tr>
                <w:tc>
                  <w:tcPr>
                    <w:tcW w:w="6205" w:type="dxa"/>
                    <w:shd w:val="clear" w:color="auto" w:fill="auto"/>
                  </w:tcPr>
                  <w:p>
                    <w:pPr>
                      <w:widowControl w:val="0"/>
                      <w:ind w:left="360"/>
                      <w:rPr>
                        <w:sz w:val="20"/>
                      </w:rPr>
                    </w:pPr>
                    <w:r>
                      <w:rPr>
                        <w:sz w:val="20"/>
                      </w:rPr>
                      <w:t>Gydytojo specialisto profilaktinio tikrinimo kaina</w:t>
                    </w:r>
                  </w:p>
                </w:tc>
                <w:tc>
                  <w:tcPr>
                    <w:tcW w:w="3432" w:type="dxa"/>
                    <w:shd w:val="clear" w:color="auto" w:fill="auto"/>
                  </w:tcPr>
                  <w:p>
                    <w:pPr>
                      <w:widowControl w:val="0"/>
                      <w:ind w:left="360"/>
                      <w:rPr>
                        <w:sz w:val="20"/>
                      </w:rPr>
                    </w:pPr>
                    <w:r>
                      <w:rPr>
                        <w:sz w:val="20"/>
                      </w:rPr>
                      <w:t>22,9</w:t>
                    </w:r>
                  </w:p>
                </w:tc>
              </w:tr>
            </w:tbl>
            <w:p>
              <w:pPr>
                <w:widowControl w:val="0"/>
                <w:ind w:left="360"/>
                <w:jc w:val="both"/>
                <w:rPr>
                  <w:sz w:val="14"/>
                </w:rPr>
              </w:pPr>
              <w:r>
                <w:rPr>
                  <w:sz w:val="14"/>
                </w:rPr>
                <w:t>* Civilinės aviacijos darbuotojams atliekant visapusišką medicinos ekspertizę, jos kaina – 351,12 Lt;.</w:t>
              </w:r>
            </w:p>
            <w:p>
              <w:pPr>
                <w:widowControl w:val="0"/>
                <w:ind w:left="360"/>
                <w:jc w:val="both"/>
                <w:rPr>
                  <w:sz w:val="14"/>
                </w:rPr>
              </w:pPr>
              <w:r>
                <w:rPr>
                  <w:sz w:val="14"/>
                </w:rPr>
                <w:t>atliekant dalinę medicinos ekspertizę – 159,60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95BE7E412D5">
                <w:r w:rsidRPr="00532B9F">
                  <w:rPr>
                    <w:rFonts w:ascii="Times New Roman" w:eastAsia="MS Mincho" w:hAnsi="Times New Roman"/>
                    <w:sz w:val="20"/>
                    <w:i/>
                    <w:iCs/>
                    <w:color w:val="0000FF" w:themeColor="hyperlink"/>
                    <w:u w:val="single"/>
                  </w:rPr>
                  <w:t>V-547</w:t>
                </w:r>
              </w:fldSimple>
              <w:r>
                <w:rPr>
                  <w:rFonts w:ascii="Times New Roman" w:eastAsia="MS Mincho" w:hAnsi="Times New Roman"/>
                  <w:sz w:val="20"/>
                  <w:i/>
                  <w:iCs/>
                </w:rPr>
                <w:t>,
2011-05-27,
Žin., 2011, Nr.
67-3186 (2011-06-02), i. k. 1112250ISAK000V-547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1245A47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6.xml"/>
  <Relationship Id="rId23" Type="http://schemas.openxmlformats.org/officeDocument/2006/relationships/header" Target="header47.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8.xml"/>
  <Relationship Id="rId27" Type="http://schemas.openxmlformats.org/officeDocument/2006/relationships/footer" Target="footer4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58.xml"/>
  <Relationship Id="rId37" Type="http://schemas.openxmlformats.org/officeDocument/2006/relationships/header" Target="header59.xml"/>
  <Relationship Id="rId38" Type="http://schemas.openxmlformats.org/officeDocument/2006/relationships/footer" Target="footer58.xml"/>
  <Relationship Id="rId39" Type="http://schemas.openxmlformats.org/officeDocument/2006/relationships/footer" Target="footer59.xml"/>
  <Relationship Id="rId4" Type="http://schemas.openxmlformats.org/officeDocument/2006/relationships/settings" Target="settings.xml"/>
  <Relationship Id="rId40" Type="http://schemas.openxmlformats.org/officeDocument/2006/relationships/header" Target="header60.xml"/>
  <Relationship Id="rId41" Type="http://schemas.openxmlformats.org/officeDocument/2006/relationships/footer" Target="footer60.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67.xml"/>
  <Relationship Id="rId48" Type="http://schemas.openxmlformats.org/officeDocument/2006/relationships/header" Target="header68.xml"/>
  <Relationship Id="rId49" Type="http://schemas.openxmlformats.org/officeDocument/2006/relationships/footer" Target="footer67.xml"/>
  <Relationship Id="rId5" Type="http://schemas.openxmlformats.org/officeDocument/2006/relationships/styles" Target="styles.xml"/>
  <Relationship Id="rId50" Type="http://schemas.openxmlformats.org/officeDocument/2006/relationships/footer" Target="footer68.xml"/>
  <Relationship Id="rId51" Type="http://schemas.openxmlformats.org/officeDocument/2006/relationships/header" Target="header69.xml"/>
  <Relationship Id="rId52" Type="http://schemas.openxmlformats.org/officeDocument/2006/relationships/footer" Target="footer69.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73.xml"/>
  <Relationship Id="rId71" Type="http://schemas.openxmlformats.org/officeDocument/2006/relationships/footer" Target="footer73.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5298bba560a48ab939fbc7d606c550b"/>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c58e18ec32462998f249a6909cd66b">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8667bbe92cbb4383b9d0da61741a313b">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LAIVYNO DARBUOTOJŲ SVEIKATOS TIKRINIMO TVARKA" DocPartId="e12e9c1b56374166b0d11fa541410a3d" PartId="1f3f7767e89e47d582bce088ca57f244">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db1078a13c0748119ef612e6289891c9"/>
  </Part>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b98ecdbd63df455498bcfbed9795434c"/>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aff7822f59fb4b00870fbe76c477923c">
    <Part Type="skyrius" Nr="1" Title="PROFILAKTINIŲ SVEIKATOS TIKRINIMŲ, UŽ KURIUOS MOKA PATS DARBUOTOJAS, DARBDAVYS AR KITI FIZINIAI AR JURIDINIAI ASMENYS, KAINOS" DocPartId="ac9ca97c759c4b3d9bfa0ad4206bf4ba" PartId="68443ee135b4455aa38fbd7265a7cbc9"/>
    <Part Type="skyrius" Nr="2" Title="PROFILAKTINIŲ SVEIKATOS TIKRINIMŲ, APMOKAMŲ IŠ PRIVALOMOJO SVEIKATOS DRAUDIMO FONDO BIUDŽETO, KAINOS" DocPartId="e5c71865669447a291308a0e51db7089" PartId="8c079cac4de7439ba7255e630bbf74a4"/>
  </Part>
</Parts>
</file>

<file path=customXml/itemProps1.xml><?xml version="1.0" encoding="utf-8"?>
<ds:datastoreItem xmlns:ds="http://schemas.openxmlformats.org/officeDocument/2006/customXml" ds:itemID="{FE366523-D2DF-45A8-B042-2919DD70C08C}">
  <ds:schemaRefs>
    <ds:schemaRef ds:uri="http://lrs.lt/TAIS/DocParts"/>
  </ds:schemaRefs>
</ds:datastoreItem>
</file>

<file path=docProps/app.xml><?xml version="1.0" encoding="utf-8"?>
<Properties xmlns="http://schemas.openxmlformats.org/officeDocument/2006/extended-properties">
  <Template>Normal.dotm</Template>
  <TotalTime>96</TotalTime>
  <Pages>190</Pages>
  <Words>256835</Words>
  <Characters>146396</Characters>
  <Application>Microsoft Office Word</Application>
  <DocSecurity>0</DocSecurity>
  <Lines>1219</Lines>
  <Paragraphs>804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402427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2018-06-14T13:21:00Z</dcterms:modified>
  <revision>53</revision>
</coreProperties>
</file>