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1dc9e8f0ea34c489f7b6606f8c49549"/>
        <w:lock w:val="sdtLocked"/>
        <w:richText/>
      </w:sdtPr>
      <w:sdtContent>
        <w:p>
          <w:pPr>
            <w:jc w:val="both"/>
            <w:rPr>
              <w:rFonts w:ascii="Times New Roman" w:hAnsi="Times New Roman"/>
            </w:rPr>
          </w:pPr>
          <w:r>
            <w:rPr>
              <w:rFonts w:ascii="Times New Roman" w:hAnsi="Times New Roman"/>
              <w:b/>
              <w:i/>
            </w:rPr>
            <w:t>Suvestinė redakcija nuo 2025-04-04 iki 2026-04-22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2019-10-30, i. k. 2019-17269</w:t>
          </w:r>
        </w:p>
        <w:p>
          <w:pPr>
            <w:jc w:val="both"/>
            <w:rPr>
              <w:rFonts w:ascii="Times New Roman" w:hAnsi="Times New Roman"/>
              <w:sz w:val="20"/>
            </w:rPr>
          </w:pPr>
        </w:p>
        <w:p>
          <w:pPr>
            <w:tabs>
              <w:tab w:val="center" w:pos="4153"/>
              <w:tab w:val="right" w:pos="8306"/>
            </w:tabs>
            <w:rPr>
              <w:szCs w:val="24"/>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5pt;height:43.2pt" o:ole="" fillcolor="window">
                <v:imagedata r:id="rId14" o:title=""/>
              </v:shape>
              <o:OLEObject Type="Embed" ProgID="Word.Picture.8" ShapeID="_x0000_i1025" DrawAspect="Content" ObjectID="_0000000001" r:id="rId15"/>
            </w:object>
          </w:r>
        </w:p>
        <w:p>
          <w:pPr>
            <w:tabs>
              <w:tab w:val="center" w:pos="4153"/>
              <w:tab w:val="right" w:pos="8306"/>
            </w:tabs>
            <w:jc w:val="center"/>
            <w:rPr>
              <w:b/>
              <w:szCs w:val="24"/>
            </w:rPr>
          </w:pPr>
        </w:p>
        <w:p>
          <w:pPr>
            <w:tabs>
              <w:tab w:val="center" w:pos="4153"/>
              <w:tab w:val="right" w:pos="8306"/>
            </w:tabs>
            <w:jc w:val="center"/>
            <w:rPr>
              <w:b/>
              <w:szCs w:val="24"/>
            </w:rPr>
          </w:pPr>
          <w:r>
            <w:rPr>
              <w:b/>
              <w:szCs w:val="24"/>
            </w:rPr>
            <w:t>LIETUVOS RESPUBLIKOS SVEIKATOS APSAUGOS MINISTRAS</w:t>
          </w:r>
        </w:p>
        <w:p>
          <w:pPr>
            <w:tabs>
              <w:tab w:val="center" w:pos="4153"/>
              <w:tab w:val="right" w:pos="8306"/>
            </w:tabs>
            <w:jc w:val="center"/>
            <w:rPr>
              <w:b/>
              <w:szCs w:val="24"/>
            </w:rPr>
          </w:pPr>
        </w:p>
        <w:p>
          <w:pPr>
            <w:tabs>
              <w:tab w:val="center" w:pos="4153"/>
              <w:tab w:val="right" w:pos="8306"/>
            </w:tabs>
            <w:jc w:val="center"/>
            <w:rPr>
              <w:b/>
              <w:szCs w:val="24"/>
            </w:rPr>
          </w:pPr>
          <w:r>
            <w:rPr>
              <w:b/>
              <w:szCs w:val="24"/>
            </w:rPr>
            <w:t>ĮSAKYMAS</w:t>
          </w:r>
        </w:p>
        <w:p>
          <w:pPr>
            <w:jc w:val="center"/>
            <w:rPr>
              <w:b/>
              <w:caps/>
              <w:szCs w:val="24"/>
            </w:rPr>
          </w:pPr>
          <w:r>
            <w:rPr>
              <w:b/>
              <w:bCs/>
              <w:caps/>
              <w:color w:val="000000"/>
              <w:szCs w:val="24"/>
            </w:rPr>
            <w:t>DĖL LIETUVOS NACIONALINĖS SVEIKATOS SISTEMOS VIEŠŲJŲ IR BIUDŽETINIŲ ĮSTAIGŲ, TEIKIANČIŲ ASMENS SVEIKATOS PRIEŽIŪROS PASLAUGAS, PALYGINIMO PAGAL VEIKLOS FINANSINIŲ REZULTATŲ IR VEIKLOS REZULTATŲ VERTINIMO RODIKLIŲ SIEKTINŲ REIKŠMIŲ ĮVYKDYMĄ TVARKOS APRAŠO P</w:t>
          </w:r>
          <w:r>
            <w:rPr>
              <w:b/>
              <w:caps/>
              <w:szCs w:val="24"/>
            </w:rPr>
            <w:t>ATVIRTINIMO</w:t>
          </w:r>
        </w:p>
        <w:p>
          <w:pPr>
            <w:rPr>
              <w:szCs w:val="24"/>
            </w:rPr>
          </w:pPr>
        </w:p>
        <w:p>
          <w:pPr>
            <w:jc w:val="center"/>
            <w:rPr>
              <w:bCs/>
              <w:szCs w:val="24"/>
            </w:rPr>
          </w:pPr>
          <w:r>
            <w:rPr>
              <w:bCs/>
              <w:szCs w:val="24"/>
            </w:rPr>
            <w:t>2019 m. spalio 28 d. Nr. V-1218</w:t>
          </w:r>
        </w:p>
        <w:p>
          <w:pPr>
            <w:jc w:val="center"/>
            <w:rPr>
              <w:bCs/>
              <w:szCs w:val="24"/>
            </w:rPr>
          </w:pPr>
          <w:r>
            <w:rPr>
              <w:bCs/>
              <w:szCs w:val="24"/>
            </w:rPr>
            <w:t>Vilnius</w:t>
          </w:r>
        </w:p>
        <w:p>
          <w:pPr>
            <w:jc w:val="center"/>
            <w:rPr>
              <w:bCs/>
              <w:szCs w:val="24"/>
            </w:rPr>
          </w:pPr>
        </w:p>
        <w:p>
          <w:pPr>
            <w:jc w:val="center"/>
            <w:rPr>
              <w:bCs/>
              <w:szCs w:val="24"/>
            </w:rPr>
          </w:pPr>
        </w:p>
        <w:sdt>
          <w:sdtPr>
            <w:alias w:val="preambule"/>
            <w:tag w:val="part_088df2e9c12647a99a294c7839721c61"/>
            <w:lock w:val="sdtLocked"/>
            <w:richText/>
          </w:sdtPr>
          <w:sdtContent>
            <w:p>
              <w:pPr>
                <w:ind w:firstLine="567"/>
                <w:jc w:val="both"/>
                <w:rPr>
                  <w:bCs/>
                  <w:szCs w:val="24"/>
                </w:rPr>
              </w:pPr>
              <w:r>
                <w:rPr>
                  <w:bCs/>
                  <w:szCs w:val="24"/>
                </w:rPr>
                <w:t>Įgyvendindamas Lietuvos Respublikos sveikatos priežiūros įstaigų įstatymo 15</w:t>
              </w:r>
              <w:r>
                <w:rPr>
                  <w:bCs/>
                  <w:szCs w:val="24"/>
                  <w:vertAlign w:val="superscript"/>
                </w:rPr>
                <w:t>2</w:t>
              </w:r>
              <w:r>
                <w:rPr>
                  <w:bCs/>
                  <w:szCs w:val="24"/>
                </w:rPr>
                <w:t xml:space="preserve"> straipsnio 8 ir 9 dalis:</w:t>
              </w:r>
            </w:p>
          </w:sdtContent>
        </w:sdt>
        <w:sdt>
          <w:sdtPr>
            <w:alias w:val="1 p."/>
            <w:tag w:val="part_e77495228f0d447ca872926126e5cb8a"/>
            <w:lock w:val="sdtLocked"/>
            <w:richText/>
          </w:sdtPr>
          <w:sdtContent>
            <w:p>
              <w:pPr>
                <w:ind w:firstLine="567"/>
                <w:jc w:val="both"/>
                <w:rPr>
                  <w:bCs/>
                  <w:color w:val="000000"/>
                  <w:szCs w:val="24"/>
                </w:rPr>
              </w:pPr>
              <w:sdt>
                <w:sdtPr>
                  <w:alias w:val="Numeris"/>
                  <w:tag w:val="nr_e77495228f0d447ca872926126e5cb8a"/>
                  <w:lock w:val="sdtLocked"/>
                  <w:richText/>
                </w:sdtPr>
                <w:sdtContent>
                  <w:r>
                    <w:rPr>
                      <w:bCs/>
                      <w:color w:val="000000"/>
                      <w:spacing w:val="60"/>
                      <w:szCs w:val="24"/>
                      <w:lang w:eastAsia="lt-LT"/>
                    </w:rPr>
                    <w:t>1</w:t>
                  </w:r>
                </w:sdtContent>
              </w:sdt>
              <w:r>
                <w:rPr>
                  <w:bCs/>
                  <w:color w:val="000000"/>
                  <w:spacing w:val="60"/>
                  <w:szCs w:val="24"/>
                  <w:lang w:eastAsia="lt-LT"/>
                </w:rPr>
                <w:t>.</w:t>
              </w:r>
              <w:r>
                <w:rPr>
                  <w:color w:val="000000"/>
                  <w:spacing w:val="60"/>
                  <w:szCs w:val="24"/>
                  <w:lang w:eastAsia="lt-LT"/>
                </w:rPr>
                <w:t>Tvirtinu</w:t>
              </w:r>
              <w:r>
                <w:rPr>
                  <w:color w:val="000000"/>
                  <w:szCs w:val="24"/>
                  <w:lang w:eastAsia="lt-LT"/>
                </w:rPr>
                <w:t xml:space="preserve"> </w:t>
              </w:r>
              <w:r>
                <w:rPr>
                  <w:bCs/>
                  <w:color w:val="000000"/>
                  <w:szCs w:val="24"/>
                </w:rPr>
                <w:t>Lietuvos nacionalinės sveikatos sistemos viešųjų ir biudžetinių įstaigų, teikiančių asmens sveikatos priežiūros paslaugas, palyginimo pagal veiklos finansinių rezultatų ir veiklos rezultatų vertinimo rodiklių siektinų reikšmių įvykdymą tvarkos aprašą (pridedama).</w:t>
              </w:r>
            </w:p>
          </w:sdtContent>
        </w:sdt>
        <w:sdt>
          <w:sdtPr>
            <w:alias w:val="2 p."/>
            <w:tag w:val="part_5dc5fb4ae85748c1af307d82304bbf1b"/>
            <w:lock w:val="sdtLocked"/>
            <w:richText/>
          </w:sdtPr>
          <w:sdtContent>
            <w:p>
              <w:pPr>
                <w:ind w:firstLine="567"/>
                <w:jc w:val="both"/>
                <w:textAlignment w:val="center"/>
                <w:rPr>
                  <w:szCs w:val="24"/>
                </w:rPr>
              </w:pPr>
              <w:sdt>
                <w:sdtPr>
                  <w:alias w:val="Numeris"/>
                  <w:tag w:val="nr_5dc5fb4ae85748c1af307d82304bbf1b"/>
                  <w:lock w:val="sdtLocked"/>
                  <w:richText/>
                </w:sdtPr>
                <w:sdtContent>
                  <w:r>
                    <w:rPr>
                      <w:szCs w:val="24"/>
                    </w:rPr>
                    <w:t>2</w:t>
                  </w:r>
                </w:sdtContent>
              </w:sdt>
              <w:r>
                <w:rPr>
                  <w:szCs w:val="24"/>
                </w:rPr>
                <w:t xml:space="preserve">. </w:t>
              </w:r>
              <w:r>
                <w:rPr>
                  <w:color w:val="000000"/>
                  <w:spacing w:val="60"/>
                  <w:szCs w:val="24"/>
                  <w:lang w:eastAsia="lt-LT"/>
                </w:rPr>
                <w:t>Pavedu</w:t>
              </w:r>
              <w:r>
                <w:rPr>
                  <w:color w:val="000000"/>
                  <w:szCs w:val="24"/>
                  <w:lang w:eastAsia="lt-LT"/>
                </w:rPr>
                <w:t xml:space="preserve"> įsakymo vykdymo kontrolę viceministrui pagal veiklos sritį</w:t>
              </w:r>
              <w:r>
                <w:rPr>
                  <w:bCs/>
                  <w:color w:val="000000"/>
                  <w:szCs w:val="24"/>
                </w:rPr>
                <w:t>.</w:t>
              </w:r>
            </w:p>
          </w:sdtContent>
        </w:sdt>
        <w:sdt>
          <w:sdtPr>
            <w:alias w:val="signatura"/>
            <w:tag w:val="part_ecfab9bd2e7e4ed2b12d6a31fc36d871"/>
            <w:lock w:val="sdtLocked"/>
            <w:richText/>
          </w:sdtPr>
          <w:sdtContent>
            <w:p>
              <w:pPr>
                <w:jc w:val="both"/>
              </w:pPr>
            </w:p>
            <w:p>
              <w:pPr>
                <w:jc w:val="both"/>
              </w:pPr>
            </w:p>
            <w:p>
              <w:pPr>
                <w:jc w:val="both"/>
              </w:pPr>
            </w:p>
            <w:p>
              <w:pPr>
                <w:jc w:val="both"/>
                <w:rPr>
                  <w:szCs w:val="24"/>
                </w:rPr>
              </w:pPr>
              <w:r>
                <w:rPr>
                  <w:szCs w:val="24"/>
                </w:rPr>
                <w:t xml:space="preserve">Sveikatos apsaugos ministras </w:t>
                <w:tab/>
                <w:tab/>
                <w:tab/>
                <w:tab/>
                <w:tab/>
                <w:tab/>
                <w:tab/>
                <w:t>Aurelijus Veryga</w:t>
              </w:r>
            </w:p>
            <w:p>
              <w:pPr>
                <w:tabs>
                  <w:tab w:val="center" w:pos="4153"/>
                  <w:tab w:val="right" w:pos="8306"/>
                </w:tabs>
                <w:rPr>
                  <w:szCs w:val="24"/>
                </w:rPr>
              </w:pPr>
            </w:p>
          </w:sdtContent>
        </w:sdt>
      </w:sdtContent>
    </w:sdt>
    <w:sdt>
      <w:sdtPr>
        <w:alias w:val="patvirtinta"/>
        <w:tag w:val="part_8e44fcec72034c6181a09adbc6f5f776"/>
        <w:lock w:val="sdtLocked"/>
        <w:richText/>
      </w:sdtPr>
      <w:sdtContent>
        <w:p>
          <w:pPr>
            <w:tabs>
              <w:tab w:val="center" w:pos="4153"/>
              <w:tab w:val="right" w:pos="8306"/>
            </w:tabs>
            <w:ind w:firstLine="5103"/>
            <w:sectPr>
              <w:headerReference w:type="even" r:id="rId16"/>
              <w:headerReference w:type="default" r:id="rId17"/>
              <w:footerReference w:type="even" r:id="rId18"/>
              <w:footerReference w:type="default" r:id="rId19"/>
              <w:headerReference w:type="first" r:id="rId20"/>
              <w:footerReference w:type="first" r:id="rId21"/>
              <w:pgSz w:w="11906" w:h="16838" w:code="9"/>
              <w:pgMar w:top="1241" w:right="567" w:bottom="1134" w:left="1701" w:header="567" w:footer="1134" w:gutter="0"/>
              <w:pgNumType w:start="1"/>
              <w:cols w:space="720"/>
              <w:titlePg/>
              <w:docGrid w:linePitch="326"/>
            </w:sectPr>
          </w:pPr>
        </w:p>
        <w:p>
          <w:pPr>
            <w:tabs>
              <w:tab w:val="center" w:pos="4153"/>
              <w:tab w:val="right" w:pos="8306"/>
            </w:tabs>
            <w:ind w:firstLine="5103"/>
            <w:rPr>
              <w:szCs w:val="24"/>
              <w:lang w:eastAsia="lt-LT"/>
            </w:rPr>
          </w:pPr>
          <w:r>
            <w:rPr>
              <w:szCs w:val="24"/>
              <w:lang w:eastAsia="lt-LT"/>
            </w:rPr>
            <w:t>PATVIRTINTA</w:t>
          </w:r>
        </w:p>
        <w:p>
          <w:pPr>
            <w:tabs>
              <w:tab w:val="center" w:pos="4153"/>
              <w:tab w:val="right" w:pos="8306"/>
            </w:tabs>
            <w:ind w:firstLine="5103"/>
            <w:rPr>
              <w:szCs w:val="24"/>
              <w:lang w:eastAsia="lt-LT"/>
            </w:rPr>
          </w:pPr>
          <w:r>
            <w:rPr>
              <w:szCs w:val="24"/>
              <w:lang w:eastAsia="lt-LT"/>
            </w:rPr>
            <w:t>Lietuvos Respublikos sveikatos apsaugos</w:t>
          </w:r>
        </w:p>
        <w:p>
          <w:pPr>
            <w:tabs>
              <w:tab w:val="center" w:pos="4153"/>
              <w:tab w:val="right" w:pos="8306"/>
            </w:tabs>
            <w:ind w:left="5103"/>
            <w:rPr>
              <w:szCs w:val="24"/>
              <w:lang w:val="fi-FI" w:eastAsia="lt-LT"/>
            </w:rPr>
          </w:pPr>
          <w:r>
            <w:rPr>
              <w:szCs w:val="24"/>
              <w:lang w:eastAsia="lt-LT"/>
            </w:rPr>
            <w:t xml:space="preserve">ministro 2019 m. spalio </w:t>
          </w:r>
          <w:r>
            <w:rPr>
              <w:szCs w:val="24"/>
              <w:lang w:val="fi-FI" w:eastAsia="lt-LT"/>
            </w:rPr>
            <w:t>28 d.</w:t>
          </w:r>
        </w:p>
        <w:p>
          <w:pPr>
            <w:tabs>
              <w:tab w:val="center" w:pos="4153"/>
              <w:tab w:val="right" w:pos="8306"/>
            </w:tabs>
            <w:ind w:left="5103"/>
            <w:rPr>
              <w:szCs w:val="24"/>
              <w:lang w:val="fi-FI" w:eastAsia="lt-LT"/>
            </w:rPr>
          </w:pPr>
          <w:r>
            <w:rPr>
              <w:szCs w:val="24"/>
              <w:lang w:val="fi-FI" w:eastAsia="lt-LT"/>
            </w:rPr>
            <w:t xml:space="preserve"> </w:t>
          </w:r>
          <w:r>
            <w:rPr>
              <w:szCs w:val="24"/>
              <w:lang w:eastAsia="lt-LT"/>
            </w:rPr>
            <w:t>įsakymu Nr. V-1218</w:t>
          </w:r>
        </w:p>
        <w:p>
          <w:pPr>
            <w:tabs>
              <w:tab w:val="center" w:pos="4153"/>
              <w:tab w:val="right" w:pos="8306"/>
            </w:tabs>
            <w:ind w:firstLine="5103"/>
            <w:rPr>
              <w:szCs w:val="24"/>
              <w:lang w:eastAsia="lt-LT"/>
            </w:rPr>
          </w:pPr>
          <w:r>
            <w:rPr>
              <w:szCs w:val="24"/>
              <w:lang w:eastAsia="lt-LT"/>
            </w:rPr>
            <w:t>(Lietuvos Respublikos sveikatos apsaugos</w:t>
          </w:r>
        </w:p>
        <w:p>
          <w:pPr>
            <w:tabs>
              <w:tab w:val="center" w:pos="4153"/>
              <w:tab w:val="right" w:pos="8306"/>
            </w:tabs>
            <w:ind w:left="5103"/>
            <w:rPr>
              <w:szCs w:val="24"/>
              <w:lang w:eastAsia="lt-LT"/>
            </w:rPr>
          </w:pPr>
          <w:r>
            <w:rPr>
              <w:szCs w:val="24"/>
              <w:lang w:eastAsia="lt-LT"/>
            </w:rPr>
            <w:t xml:space="preserve">ministro 2025 m. balandžio 3 d. </w:t>
          </w:r>
        </w:p>
        <w:p>
          <w:pPr>
            <w:tabs>
              <w:tab w:val="center" w:pos="4153"/>
              <w:tab w:val="right" w:pos="8306"/>
            </w:tabs>
            <w:ind w:left="5103"/>
            <w:rPr>
              <w:szCs w:val="24"/>
              <w:lang w:eastAsia="lt-LT"/>
            </w:rPr>
          </w:pPr>
          <w:r>
            <w:rPr>
              <w:szCs w:val="24"/>
              <w:lang w:eastAsia="lt-LT"/>
            </w:rPr>
            <w:t>įsakymo Nr. V-286 redakcija)</w:t>
          </w:r>
        </w:p>
        <w:p>
          <w:pPr>
            <w:tabs>
              <w:tab w:val="center" w:pos="4153"/>
              <w:tab w:val="right" w:pos="8306"/>
            </w:tabs>
            <w:ind w:left="-142" w:firstLine="142"/>
            <w:rPr>
              <w:b/>
              <w:caps/>
              <w:color w:val="000000"/>
              <w:szCs w:val="22"/>
              <w:lang w:eastAsia="lt-LT"/>
            </w:rPr>
          </w:pPr>
        </w:p>
        <w:p>
          <w:pPr>
            <w:tabs>
              <w:tab w:val="center" w:pos="4153"/>
              <w:tab w:val="right" w:pos="8306"/>
            </w:tabs>
            <w:jc w:val="center"/>
            <w:rPr>
              <w:b/>
              <w:caps/>
              <w:color w:val="000000"/>
              <w:szCs w:val="22"/>
              <w:lang w:eastAsia="lt-LT"/>
            </w:rPr>
          </w:pPr>
          <w:sdt>
            <w:sdtPr>
              <w:alias w:val="Pavadinimas"/>
              <w:tag w:val="title_8e44fcec72034c6181a09adbc6f5f776"/>
              <w:lock w:val="sdtLocked"/>
              <w:richText/>
            </w:sdtPr>
            <w:sdtContent>
              <w:r>
                <w:rPr>
                  <w:b/>
                </w:rPr>
                <w:t>LIETUVOS NACIONALINĖS SVEIKATOS SISTEMOS VIEŠŲJŲ IR BIUDŽETINIŲ ĮSTAIGŲ, TEIKIANČIŲ ASMENS SVEIKATOS PRIEŽIŪROS PASLAUGAS, PALYGINIMO PAGAL VEIKLOS FINANSINIŲ REZULTATŲ IR VEIKLOS REZULTATŲ VERTINIMO RODIKLIŲ SIEKTINŲ REIKŠMIŲ ĮVYKDYMĄ TVARKOS APRAŠAS</w:t>
              </w:r>
            </w:sdtContent>
          </w:sdt>
        </w:p>
        <w:p>
          <w:pPr>
            <w:tabs>
              <w:tab w:val="center" w:pos="4153"/>
              <w:tab w:val="right" w:pos="8306"/>
            </w:tabs>
            <w:ind w:left="-142" w:firstLine="142"/>
            <w:jc w:val="center"/>
            <w:rPr>
              <w:b/>
              <w:caps/>
              <w:color w:val="000000"/>
              <w:szCs w:val="22"/>
              <w:lang w:eastAsia="lt-LT"/>
            </w:rPr>
          </w:pPr>
        </w:p>
        <w:sdt>
          <w:sdtPr>
            <w:alias w:val="skyrius"/>
            <w:tag w:val="part_15626b63a79d4712bb5eaeb60c7980b9"/>
            <w:lock w:val="sdtLocked"/>
            <w:richText/>
          </w:sdtPr>
          <w:sdtContent>
            <w:p>
              <w:pPr>
                <w:tabs>
                  <w:tab w:val="center" w:pos="4153"/>
                  <w:tab w:val="right" w:pos="8306"/>
                </w:tabs>
                <w:ind w:left="-142" w:firstLine="142"/>
                <w:jc w:val="center"/>
                <w:rPr>
                  <w:b/>
                  <w:caps/>
                  <w:color w:val="000000"/>
                  <w:szCs w:val="22"/>
                  <w:lang w:eastAsia="lt-LT"/>
                </w:rPr>
              </w:pPr>
              <w:sdt>
                <w:sdtPr>
                  <w:alias w:val="Numeris"/>
                  <w:tag w:val="nr_15626b63a79d4712bb5eaeb60c7980b9"/>
                  <w:lock w:val="sdtLocked"/>
                  <w:richText/>
                </w:sdtPr>
                <w:sdtContent>
                  <w:r>
                    <w:rPr>
                      <w:b/>
                      <w:caps/>
                      <w:color w:val="000000"/>
                      <w:szCs w:val="22"/>
                      <w:lang w:eastAsia="lt-LT"/>
                    </w:rPr>
                    <w:t>I</w:t>
                  </w:r>
                </w:sdtContent>
              </w:sdt>
              <w:r>
                <w:rPr>
                  <w:b/>
                  <w:caps/>
                  <w:color w:val="000000"/>
                  <w:szCs w:val="22"/>
                  <w:lang w:eastAsia="lt-LT"/>
                </w:rPr>
                <w:t xml:space="preserve"> SKYRIUS</w:t>
              </w:r>
            </w:p>
            <w:p>
              <w:pPr>
                <w:tabs>
                  <w:tab w:val="center" w:pos="4153"/>
                  <w:tab w:val="right" w:pos="8306"/>
                </w:tabs>
                <w:ind w:left="-142" w:firstLine="142"/>
                <w:jc w:val="center"/>
                <w:rPr>
                  <w:b/>
                  <w:caps/>
                  <w:color w:val="000000"/>
                  <w:szCs w:val="22"/>
                  <w:lang w:eastAsia="lt-LT"/>
                </w:rPr>
              </w:pPr>
              <w:sdt>
                <w:sdtPr>
                  <w:alias w:val="Pavadinimas"/>
                  <w:tag w:val="title_15626b63a79d4712bb5eaeb60c7980b9"/>
                  <w:lock w:val="sdtLocked"/>
                  <w:richText/>
                </w:sdtPr>
                <w:sdtContent>
                  <w:r>
                    <w:rPr>
                      <w:b/>
                      <w:caps/>
                      <w:color w:val="000000"/>
                      <w:szCs w:val="22"/>
                      <w:lang w:eastAsia="lt-LT"/>
                    </w:rPr>
                    <w:t>BENDROSIOS NUOSTATOS</w:t>
                  </w:r>
                </w:sdtContent>
              </w:sdt>
            </w:p>
            <w:p>
              <w:pPr>
                <w:tabs>
                  <w:tab w:val="center" w:pos="4153"/>
                  <w:tab w:val="right" w:pos="8306"/>
                </w:tabs>
                <w:ind w:left="-142" w:firstLine="142"/>
                <w:rPr>
                  <w:b/>
                  <w:caps/>
                  <w:color w:val="000000"/>
                  <w:szCs w:val="22"/>
                  <w:lang w:eastAsia="lt-LT"/>
                </w:rPr>
              </w:pPr>
            </w:p>
            <w:sdt>
              <w:sdtPr>
                <w:alias w:val="1 p."/>
                <w:tag w:val="part_dcfc630647674e8592edf73690dcbd86"/>
                <w:lock w:val="sdtLocked"/>
                <w:richText/>
              </w:sdtPr>
              <w:sdtContent>
                <w:p>
                  <w:pPr>
                    <w:ind w:firstLine="568"/>
                    <w:jc w:val="both"/>
                    <w:rPr>
                      <w:color w:val="000000"/>
                      <w:szCs w:val="24"/>
                      <w:lang w:eastAsia="lt-LT"/>
                    </w:rPr>
                  </w:pPr>
                  <w:sdt>
                    <w:sdtPr>
                      <w:alias w:val="Numeris"/>
                      <w:tag w:val="nr_dcfc630647674e8592edf73690dcbd86"/>
                      <w:lock w:val="sdtLocked"/>
                      <w:richText/>
                    </w:sdtPr>
                    <w:sdtContent>
                      <w:r>
                        <w:rPr>
                          <w:color w:val="000000"/>
                          <w:szCs w:val="22"/>
                          <w:lang w:eastAsia="lt-LT"/>
                        </w:rPr>
                        <w:t>1</w:t>
                      </w:r>
                    </w:sdtContent>
                  </w:sdt>
                  <w:r>
                    <w:rPr>
                      <w:color w:val="000000"/>
                      <w:szCs w:val="22"/>
                      <w:lang w:eastAsia="lt-LT"/>
                    </w:rPr>
                    <w:t xml:space="preserve">. </w:t>
                  </w:r>
                  <w:r>
                    <w:rPr>
                      <w:color w:val="000000"/>
                      <w:szCs w:val="24"/>
                      <w:lang w:eastAsia="lt-LT"/>
                    </w:rPr>
                    <w:t xml:space="preserve">Lietuvos nacionalinės sveikatos sistemos viešųjų ir biudžetinių įstaigų, teikiančių asmens sveikatos priežiūros paslaugas, palyginimo pagal veiklos finansinių rezultatų ir veiklos rezultatų vertinimo rodiklių siektinų reikšmių įvykdymą tvarkos aprašas (toliau – Aprašas) nustato Lietuvos nacionalinės sveikatos sistemos viešųjų ir biudžetinių įstaigų, teikiančių asmens sveikatos priežiūros paslaugas (toliau – LNSS viešosios ir biudžetinės įstaigos), palyginimo pagal veiklos finansinių rezultatų ir veiklos rezultatų vertinimo rodiklių, nustatytų Lietuvos Respublikos sveikatos priežiūros įstaigų įstatymo </w:t>
                  </w:r>
                  <w:r>
                    <w:rPr>
                      <w:szCs w:val="24"/>
                    </w:rPr>
                    <w:t xml:space="preserve">(2022 m. birželio 30 d. įstatymo Nr. XIV-1278 redakcija) </w:t>
                  </w:r>
                  <w:r>
                    <w:rPr>
                      <w:color w:val="000000"/>
                      <w:szCs w:val="24"/>
                      <w:lang w:eastAsia="lt-LT"/>
                    </w:rPr>
                    <w:t>(toliau – Įstatymas) 15</w:t>
                  </w:r>
                  <w:r>
                    <w:rPr>
                      <w:color w:val="000000"/>
                      <w:szCs w:val="24"/>
                      <w:vertAlign w:val="superscript"/>
                      <w:lang w:eastAsia="lt-LT"/>
                    </w:rPr>
                    <w:t>2</w:t>
                  </w:r>
                  <w:r>
                    <w:rPr>
                      <w:color w:val="000000"/>
                      <w:szCs w:val="24"/>
                      <w:lang w:eastAsia="lt-LT"/>
                    </w:rPr>
                    <w:t xml:space="preserve"> straipsnio 1 ir 2 dalyse, (toliau – rodikliai) siektinų reikšmių įvykdymą (toliau – palyginimas) tvarką.</w:t>
                  </w:r>
                </w:p>
              </w:sdtContent>
            </w:sdt>
            <w:sdt>
              <w:sdtPr>
                <w:alias w:val="2 p."/>
                <w:tag w:val="part_af79e608b6714fb2a9e7c8bd295fc641"/>
                <w:lock w:val="sdtLocked"/>
                <w:richText/>
              </w:sdtPr>
              <w:sdtContent>
                <w:p>
                  <w:pPr>
                    <w:ind w:firstLine="567"/>
                    <w:jc w:val="both"/>
                    <w:rPr>
                      <w:color w:val="000000"/>
                      <w:szCs w:val="24"/>
                      <w:lang w:eastAsia="lt-LT"/>
                    </w:rPr>
                  </w:pPr>
                  <w:sdt>
                    <w:sdtPr>
                      <w:alias w:val="Numeris"/>
                      <w:tag w:val="nr_af79e608b6714fb2a9e7c8bd295fc641"/>
                      <w:lock w:val="sdtLocked"/>
                      <w:richText/>
                    </w:sdtPr>
                    <w:sdtContent>
                      <w:r>
                        <w:rPr>
                          <w:color w:val="000000"/>
                          <w:szCs w:val="24"/>
                          <w:lang w:eastAsia="lt-LT"/>
                        </w:rPr>
                        <w:t>2</w:t>
                      </w:r>
                    </w:sdtContent>
                  </w:sdt>
                  <w:r>
                    <w:rPr>
                      <w:color w:val="000000"/>
                      <w:szCs w:val="24"/>
                      <w:lang w:eastAsia="lt-LT"/>
                    </w:rPr>
                    <w:t>. Savivaldybės, Valstybinė ligonių kasa prie Sveikatos apsaugos ministerijos, Valstybinė akreditavimo sveikatos priežiūros veiklai tarnyba prie Sveikatos apsaugos ministerijos ir Higienos institutas, vadovaudamiesi Lietuvos Respublikos sveikatos apsaugos ministro įsakymu dėl Lietuvos nacionalinės sveikatos sistemos viešųjų ir biudžetinių įstaigų, teikiančių asmens sveikatos priežiūros paslaugas, veiklos rezultatų vertinimo rodiklių atitinkamų metų siektinų reikšmių (toliau – atitinkamų metų siektinos reikšmės) patvirtinimo, iki einamųjų metų kovo 15 d. Lietuvos Respublikos sveikatos apsaugos ministerijai pateikia ataskaitas apie praėjusių metų LNSS viešųjų ir biudžetinių įstaigų rodiklių, už kurių duomenų pateikimą jie yra atsakingi, siektinų reikšmių įvykdymą.</w:t>
                  </w:r>
                </w:p>
              </w:sdtContent>
            </w:sdt>
            <w:sdt>
              <w:sdtPr>
                <w:alias w:val="3 p."/>
                <w:tag w:val="part_5fe37035f10046ee94a7f33c9d7e45ea"/>
                <w:lock w:val="sdtLocked"/>
                <w:richText/>
              </w:sdtPr>
              <w:sdtContent>
                <w:p>
                  <w:pPr>
                    <w:ind w:firstLine="567"/>
                    <w:jc w:val="both"/>
                    <w:rPr>
                      <w:color w:val="000000"/>
                      <w:szCs w:val="24"/>
                      <w:lang w:eastAsia="lt-LT"/>
                    </w:rPr>
                  </w:pPr>
                  <w:sdt>
                    <w:sdtPr>
                      <w:alias w:val="Numeris"/>
                      <w:tag w:val="nr_5fe37035f10046ee94a7f33c9d7e45ea"/>
                      <w:lock w:val="sdtLocked"/>
                      <w:richText/>
                    </w:sdtPr>
                    <w:sdtContent>
                      <w:r>
                        <w:rPr>
                          <w:color w:val="000000"/>
                          <w:szCs w:val="24"/>
                          <w:lang w:eastAsia="lt-LT"/>
                        </w:rPr>
                        <w:t>3</w:t>
                      </w:r>
                    </w:sdtContent>
                  </w:sdt>
                  <w:r>
                    <w:rPr>
                      <w:color w:val="000000"/>
                      <w:szCs w:val="24"/>
                      <w:lang w:eastAsia="lt-LT"/>
                    </w:rPr>
                    <w:t>. LNSS viešosios ir biudžetinės įstaigos duomenis apie praėjusių metų LNSS viešųjų ir biudžetinių įstaigų rodiklių siektinų reikšmių įvykdymą iki einamųjų metų kovo 15 d. suveda į Lietuvos Respublikos sveikatos apsaugos ministerijos informacinę sistemą.</w:t>
                  </w:r>
                </w:p>
                <w:p>
                  <w:pPr>
                    <w:tabs>
                      <w:tab w:val="center" w:pos="4153"/>
                      <w:tab w:val="right" w:pos="8306"/>
                    </w:tabs>
                    <w:ind w:left="-142" w:firstLine="142"/>
                    <w:jc w:val="both"/>
                    <w:rPr>
                      <w:szCs w:val="22"/>
                      <w:lang w:eastAsia="lt-LT"/>
                    </w:rPr>
                  </w:pPr>
                </w:p>
              </w:sdtContent>
            </w:sdt>
          </w:sdtContent>
        </w:sdt>
        <w:sdt>
          <w:sdtPr>
            <w:alias w:val="skyrius"/>
            <w:tag w:val="part_65c4ca83608743dfbfac77d8cad85432"/>
            <w:lock w:val="sdtLocked"/>
            <w:richText/>
          </w:sdtPr>
          <w:sdtContent>
            <w:p>
              <w:pPr>
                <w:ind w:left="-142" w:firstLine="142"/>
                <w:jc w:val="center"/>
                <w:rPr>
                  <w:b/>
                  <w:szCs w:val="22"/>
                  <w:lang w:eastAsia="lt-LT"/>
                </w:rPr>
              </w:pPr>
              <w:sdt>
                <w:sdtPr>
                  <w:alias w:val="Numeris"/>
                  <w:tag w:val="nr_65c4ca83608743dfbfac77d8cad85432"/>
                  <w:lock w:val="sdtLocked"/>
                  <w:richText/>
                </w:sdtPr>
                <w:sdtContent>
                  <w:r>
                    <w:rPr>
                      <w:b/>
                      <w:szCs w:val="22"/>
                      <w:lang w:eastAsia="lt-LT"/>
                    </w:rPr>
                    <w:t>II</w:t>
                  </w:r>
                </w:sdtContent>
              </w:sdt>
              <w:r>
                <w:rPr>
                  <w:b/>
                  <w:szCs w:val="22"/>
                  <w:lang w:eastAsia="lt-LT"/>
                </w:rPr>
                <w:t xml:space="preserve"> SKYRIUS</w:t>
              </w:r>
            </w:p>
            <w:p>
              <w:pPr>
                <w:suppressAutoHyphens/>
                <w:ind w:left="-142" w:firstLine="142"/>
                <w:jc w:val="center"/>
                <w:rPr>
                  <w:b/>
                  <w:color w:val="000000"/>
                  <w:szCs w:val="22"/>
                  <w:lang w:eastAsia="lt-LT"/>
                </w:rPr>
              </w:pPr>
              <w:sdt>
                <w:sdtPr>
                  <w:alias w:val="Pavadinimas"/>
                  <w:tag w:val="title_65c4ca83608743dfbfac77d8cad85432"/>
                  <w:lock w:val="sdtLocked"/>
                  <w:richText/>
                </w:sdtPr>
                <w:sdtContent>
                  <w:r>
                    <w:rPr>
                      <w:b/>
                      <w:color w:val="000000"/>
                      <w:szCs w:val="22"/>
                      <w:lang w:eastAsia="lt-LT"/>
                    </w:rPr>
                    <w:t>LNSS VIEŠŲJŲ IR BIUDŽETINIŲ ĮSTAIGŲ PALYGINIMO PAGAL RODIKLIŲ SIEKTINŲ REIKŠMIŲ ĮVYKDYMĄ TVARKA</w:t>
                  </w:r>
                </w:sdtContent>
              </w:sdt>
            </w:p>
            <w:p>
              <w:pPr>
                <w:suppressAutoHyphens/>
                <w:ind w:left="-142" w:firstLine="142"/>
                <w:jc w:val="center"/>
                <w:rPr>
                  <w:color w:val="000000"/>
                  <w:szCs w:val="22"/>
                  <w:lang w:eastAsia="lt-LT"/>
                </w:rPr>
              </w:pPr>
            </w:p>
            <w:sdt>
              <w:sdtPr>
                <w:alias w:val="4 p."/>
                <w:tag w:val="part_be165bd8147a45f9876b6b18b3e7dd79"/>
                <w:lock w:val="sdtLocked"/>
                <w:richText/>
              </w:sdtPr>
              <w:sdtContent>
                <w:p>
                  <w:pPr>
                    <w:suppressAutoHyphens/>
                    <w:ind w:firstLine="567"/>
                    <w:jc w:val="both"/>
                    <w:rPr>
                      <w:color w:val="000000"/>
                      <w:szCs w:val="24"/>
                      <w:lang w:eastAsia="lt-LT"/>
                    </w:rPr>
                  </w:pPr>
                  <w:sdt>
                    <w:sdtPr>
                      <w:alias w:val="Numeris"/>
                      <w:tag w:val="nr_be165bd8147a45f9876b6b18b3e7dd79"/>
                      <w:lock w:val="sdtLocked"/>
                      <w:richText/>
                    </w:sdtPr>
                    <w:sdtContent>
                      <w:r>
                        <w:rPr>
                          <w:color w:val="000000"/>
                          <w:szCs w:val="24"/>
                          <w:lang w:eastAsia="lt-LT"/>
                        </w:rPr>
                        <w:t>4</w:t>
                      </w:r>
                    </w:sdtContent>
                  </w:sdt>
                  <w:r>
                    <w:rPr>
                      <w:color w:val="000000"/>
                      <w:szCs w:val="24"/>
                      <w:lang w:eastAsia="lt-LT"/>
                    </w:rPr>
                    <w:t>. Lietuvos Respublikos sveikatos apsaugos ministerija palyginimą atlieka ne vėliau kaip iki einamųjų metų birželio 1 d.</w:t>
                  </w:r>
                </w:p>
              </w:sdtContent>
            </w:sdt>
            <w:sdt>
              <w:sdtPr>
                <w:alias w:val="5 p."/>
                <w:tag w:val="part_52165f8dbcb54235b953c711181e799b"/>
                <w:lock w:val="sdtLocked"/>
                <w:richText/>
              </w:sdtPr>
              <w:sdtContent>
                <w:p>
                  <w:pPr>
                    <w:suppressAutoHyphens/>
                    <w:ind w:left="-142" w:firstLine="709"/>
                    <w:jc w:val="both"/>
                    <w:rPr>
                      <w:color w:val="000000"/>
                      <w:szCs w:val="24"/>
                      <w:lang w:eastAsia="lt-LT"/>
                    </w:rPr>
                  </w:pPr>
                  <w:sdt>
                    <w:sdtPr>
                      <w:alias w:val="Numeris"/>
                      <w:tag w:val="nr_52165f8dbcb54235b953c711181e799b"/>
                      <w:lock w:val="sdtLocked"/>
                      <w:richText/>
                    </w:sdtPr>
                    <w:sdtContent>
                      <w:r>
                        <w:rPr>
                          <w:color w:val="000000"/>
                          <w:szCs w:val="24"/>
                          <w:lang w:eastAsia="lt-LT"/>
                        </w:rPr>
                        <w:t>5</w:t>
                      </w:r>
                    </w:sdtContent>
                  </w:sdt>
                  <w:r>
                    <w:rPr>
                      <w:color w:val="000000"/>
                      <w:szCs w:val="24"/>
                      <w:lang w:eastAsia="lt-LT"/>
                    </w:rPr>
                    <w:t>. Palyginimas atliekamas šia tvarka:</w:t>
                  </w:r>
                </w:p>
                <w:sdt>
                  <w:sdtPr>
                    <w:alias w:val="5.1 pp."/>
                    <w:tag w:val="part_e195099082bd4e96ba7916d3d8a6d0ad"/>
                    <w:lock w:val="sdtLocked"/>
                    <w:richText/>
                  </w:sdtPr>
                  <w:sdtContent>
                    <w:p>
                      <w:pPr>
                        <w:suppressAutoHyphens/>
                        <w:ind w:firstLine="567"/>
                        <w:jc w:val="both"/>
                        <w:rPr>
                          <w:color w:val="000000"/>
                          <w:szCs w:val="24"/>
                          <w:lang w:eastAsia="lt-LT"/>
                        </w:rPr>
                      </w:pPr>
                      <w:sdt>
                        <w:sdtPr>
                          <w:alias w:val="Numeris"/>
                          <w:tag w:val="nr_e195099082bd4e96ba7916d3d8a6d0ad"/>
                          <w:lock w:val="sdtLocked"/>
                          <w:richText/>
                        </w:sdtPr>
                        <w:sdtContent>
                          <w:r>
                            <w:rPr>
                              <w:color w:val="000000"/>
                              <w:szCs w:val="24"/>
                              <w:lang w:eastAsia="lt-LT"/>
                            </w:rPr>
                            <w:t>5.1</w:t>
                          </w:r>
                        </w:sdtContent>
                      </w:sdt>
                      <w:r>
                        <w:rPr>
                          <w:color w:val="000000"/>
                          <w:szCs w:val="24"/>
                          <w:lang w:eastAsia="lt-LT"/>
                        </w:rPr>
                        <w:t xml:space="preserve">. įvertinama, ar LNSS viešoji ar biudžetinė įstaiga </w:t>
                      </w:r>
                      <w:r>
                        <w:rPr>
                          <w:color w:val="000000"/>
                          <w:szCs w:val="24"/>
                        </w:rPr>
                        <w:t xml:space="preserve">praėjusiais kalendoriniais metais pasiekė siektinas reikšmes, nustatytas įstaigų grupei, kuriai priklauso LNSS viešoji įstaiga, ir </w:t>
                      </w:r>
                      <w:r>
                        <w:rPr>
                          <w:szCs w:val="24"/>
                        </w:rPr>
                        <w:t>nustatomi</w:t>
                      </w:r>
                      <w:r>
                        <w:rPr>
                          <w:color w:val="000000"/>
                          <w:szCs w:val="24"/>
                        </w:rPr>
                        <w:t xml:space="preserve"> </w:t>
                      </w:r>
                      <w:r>
                        <w:rPr>
                          <w:szCs w:val="24"/>
                        </w:rPr>
                        <w:t>rodiklių siektinų reikšmių įvykdymo vertinimo balai</w:t>
                      </w:r>
                      <w:r>
                        <w:rPr>
                          <w:color w:val="000000"/>
                          <w:szCs w:val="24"/>
                          <w:lang w:eastAsia="lt-LT"/>
                        </w:rPr>
                        <w:t xml:space="preserve">: </w:t>
                      </w:r>
                    </w:p>
                    <w:sdt>
                      <w:sdtPr>
                        <w:alias w:val="5.1.1 pp."/>
                        <w:tag w:val="part_d3c79b5ed30e45ee9d0171c08a7697e4"/>
                        <w:lock w:val="sdtLocked"/>
                        <w:richText/>
                      </w:sdtPr>
                      <w:sdtContent>
                        <w:p>
                          <w:pPr>
                            <w:suppressAutoHyphens/>
                            <w:ind w:firstLine="567"/>
                            <w:jc w:val="both"/>
                            <w:rPr>
                              <w:color w:val="000000"/>
                              <w:szCs w:val="24"/>
                              <w:lang w:eastAsia="lt-LT"/>
                            </w:rPr>
                          </w:pPr>
                          <w:sdt>
                            <w:sdtPr>
                              <w:alias w:val="Numeris"/>
                              <w:tag w:val="nr_d3c79b5ed30e45ee9d0171c08a7697e4"/>
                              <w:lock w:val="sdtLocked"/>
                              <w:richText/>
                            </w:sdtPr>
                            <w:sdtContent>
                              <w:r>
                                <w:rPr>
                                  <w:color w:val="000000"/>
                                  <w:szCs w:val="24"/>
                                  <w:lang w:eastAsia="lt-LT"/>
                                </w:rPr>
                                <w:t>5.1.1</w:t>
                              </w:r>
                            </w:sdtContent>
                          </w:sdt>
                          <w:r>
                            <w:rPr>
                              <w:color w:val="000000"/>
                              <w:szCs w:val="24"/>
                              <w:lang w:eastAsia="lt-LT"/>
                            </w:rPr>
                            <w:t xml:space="preserve">. jei rodiklio </w:t>
                          </w:r>
                          <w:r>
                            <w:rPr>
                              <w:szCs w:val="24"/>
                            </w:rPr>
                            <w:t>„Į</w:t>
                          </w:r>
                          <w:r>
                            <w:rPr>
                              <w:color w:val="000000"/>
                              <w:szCs w:val="24"/>
                            </w:rPr>
                            <w:t xml:space="preserve">staigos </w:t>
                          </w:r>
                          <w:r>
                            <w:rPr>
                              <w:szCs w:val="24"/>
                            </w:rPr>
                            <w:t xml:space="preserve">praėjusių </w:t>
                          </w:r>
                          <w:r>
                            <w:rPr>
                              <w:color w:val="000000"/>
                              <w:szCs w:val="24"/>
                            </w:rPr>
                            <w:t>metų veiklos rezultatų ataskaitoje nurodytas pajamų ir sąnaudų skirtumas (grynasis perviršis ar deficitas)</w:t>
                          </w:r>
                          <w:r>
                            <w:rPr>
                              <w:szCs w:val="24"/>
                            </w:rPr>
                            <w:t xml:space="preserve">“ </w:t>
                          </w:r>
                          <w:r>
                            <w:rPr>
                              <w:color w:val="000000"/>
                              <w:szCs w:val="24"/>
                              <w:lang w:eastAsia="lt-LT"/>
                            </w:rPr>
                            <w:t xml:space="preserve">siektina reikšmė įvykdyta, </w:t>
                          </w:r>
                          <w:r>
                            <w:rPr>
                              <w:szCs w:val="24"/>
                              <w:lang w:eastAsia="lt-LT"/>
                            </w:rPr>
                            <w:t>pasiekta reikšmė vertinama 1 balu</w:t>
                          </w:r>
                          <w:r>
                            <w:rPr>
                              <w:color w:val="000000"/>
                              <w:szCs w:val="24"/>
                              <w:lang w:eastAsia="lt-LT"/>
                            </w:rPr>
                            <w:t>, jei neįvykdyta – 0 balų;</w:t>
                          </w:r>
                        </w:p>
                      </w:sdtContent>
                    </w:sdt>
                    <w:sdt>
                      <w:sdtPr>
                        <w:alias w:val="5.1.2 pp."/>
                        <w:tag w:val="part_1c5ab731a4e542e492044b3fda5b4a2f"/>
                        <w:lock w:val="sdtLocked"/>
                        <w:richText/>
                      </w:sdtPr>
                      <w:sdtContent>
                        <w:p>
                          <w:pPr>
                            <w:ind w:firstLine="567"/>
                            <w:jc w:val="both"/>
                            <w:rPr>
                              <w:color w:val="000000"/>
                              <w:szCs w:val="24"/>
                              <w:lang w:eastAsia="lt-LT"/>
                            </w:rPr>
                          </w:pPr>
                          <w:sdt>
                            <w:sdtPr>
                              <w:alias w:val="Numeris"/>
                              <w:tag w:val="nr_1c5ab731a4e542e492044b3fda5b4a2f"/>
                              <w:lock w:val="sdtLocked"/>
                              <w:richText/>
                            </w:sdtPr>
                            <w:sdtContent>
                              <w:r>
                                <w:rPr>
                                  <w:szCs w:val="24"/>
                                  <w:lang w:eastAsia="lt-LT"/>
                                </w:rPr>
                                <w:t>5.1.2</w:t>
                              </w:r>
                            </w:sdtContent>
                          </w:sdt>
                          <w:r>
                            <w:rPr>
                              <w:szCs w:val="24"/>
                              <w:lang w:eastAsia="lt-LT"/>
                            </w:rPr>
                            <w:t xml:space="preserve">. jei rodiklių </w:t>
                          </w:r>
                          <w:r>
                            <w:rPr>
                              <w:szCs w:val="24"/>
                            </w:rPr>
                            <w:t>„Papildomų finansavimo šaltinių pritraukimas“</w:t>
                          </w:r>
                          <w:r>
                            <w:rPr>
                              <w:szCs w:val="24"/>
                              <w:lang w:eastAsia="lt-LT"/>
                            </w:rPr>
                            <w:t xml:space="preserve"> ir</w:t>
                          </w:r>
                          <w:r>
                            <w:rPr>
                              <w:szCs w:val="24"/>
                            </w:rPr>
                            <w:t xml:space="preserve"> „Lovos užimtumo rodiklis įstaigoje pagal sveikatos apsaugos ministro nustatytas paslaugų grupes (taikoma tik antrinio ir tretinio lygio asmens sveikatos priežiūros paslaugas teikiančioms įstaigoms)“</w:t>
                          </w:r>
                          <w:r>
                            <w:rPr>
                              <w:szCs w:val="24"/>
                              <w:lang w:eastAsia="lt-LT"/>
                            </w:rPr>
                            <w:t xml:space="preserve">, taip pat Lietuvos Respublikos sveikatos apsaugos ministro 2024 m.  liepos 26 d. įsakymu Nr. V-769 „Dėl Lietuvos nacionalinės sveikatos sistemos viešųjų ir biudžetinių įstaigų, teikiančių asmens sveikatos priežiūros paslaugas, veiklos rezultatų vertinimo rodiklių 2024 metų siektinų reikšmių patvirtinimo“ nustatytų papildomų veiklos rezultatų vertinimo rodiklių „Konsoliduotų viešųjų pirkimų skaičius“, „Asmens sveikatos priežiūros įstaigos patirtos sąnaudos asmens sveikatos priežiūros, visuomenės sveikatos priežiūros ir farmacijos specialistų profesinei kvalifikacijai tobulinti“, „Asmens sveikatos priežiūros įstaigos vidutinio darbo užmokesčio pokytis“, „</w:t>
                          </w:r>
                          <w:r>
                            <w:rPr>
                              <w:szCs w:val="22"/>
                            </w:rPr>
                            <w:t>Asmenų, gavusių tęstines psichikos sveikatos priežiūros paslaugas per 30 dienų nuo išrašymo iš stacionaro, dalis (proc.)</w:t>
                          </w:r>
                          <w:r>
                            <w:rPr>
                              <w:szCs w:val="24"/>
                              <w:lang w:eastAsia="lt-LT"/>
                            </w:rPr>
                            <w:t>“ ir „Kritinis likvidumo rodiklis“ pasiekta reikšmė lygi atitinkamų metų siektinose reikšmėse nustatytai siektinai reikšmei arba už ją didesnė, pasiekta reikšmė vertinama 1 balu, jei rodiklio pasiekta reikšmė mažesnė nei atitinkamų metų siektinose reikšmėse nustatyta siektina reikšmė, pasiekta reikšmė vertinama 0 balų;</w:t>
                          </w:r>
                          <w:r>
                            <w:t xml:space="preserve"> </w:t>
                          </w:r>
                        </w:p>
                      </w:sdtContent>
                    </w:sdt>
                    <w:sdt>
                      <w:sdtPr>
                        <w:alias w:val="5.1.3 pp."/>
                        <w:tag w:val="part_05ba50b02d734c2288afc1d249016854"/>
                        <w:lock w:val="sdtLocked"/>
                        <w:richText/>
                      </w:sdtPr>
                      <w:sdtContent>
                        <w:p>
                          <w:pPr>
                            <w:suppressAutoHyphens/>
                            <w:ind w:firstLine="568"/>
                            <w:jc w:val="both"/>
                            <w:rPr>
                              <w:color w:val="000000"/>
                              <w:szCs w:val="24"/>
                              <w:lang w:eastAsia="lt-LT"/>
                            </w:rPr>
                          </w:pPr>
                          <w:sdt>
                            <w:sdtPr>
                              <w:alias w:val="Numeris"/>
                              <w:tag w:val="nr_05ba50b02d734c2288afc1d249016854"/>
                              <w:lock w:val="sdtLocked"/>
                              <w:richText/>
                            </w:sdtPr>
                            <w:sdtContent>
                              <w:r>
                                <w:rPr>
                                  <w:color w:val="000000"/>
                                  <w:szCs w:val="24"/>
                                  <w:lang w:eastAsia="lt-LT"/>
                                </w:rPr>
                                <w:t>5.1.3</w:t>
                              </w:r>
                            </w:sdtContent>
                          </w:sdt>
                          <w:r>
                            <w:rPr>
                              <w:color w:val="000000"/>
                              <w:szCs w:val="24"/>
                              <w:lang w:eastAsia="lt-LT"/>
                            </w:rPr>
                            <w:t xml:space="preserve">. jei rodiklių </w:t>
                          </w:r>
                          <w:r>
                            <w:rPr>
                              <w:szCs w:val="24"/>
                            </w:rPr>
                            <w:t xml:space="preserve">„Įstaigos sąnaudų valdymo išlaidoms dalis“ ir „Įstaigos finansinių įsipareigojimų dalis nuo metinio įstaigos biudžeto“ </w:t>
                          </w:r>
                          <w:r>
                            <w:rPr>
                              <w:color w:val="000000"/>
                              <w:szCs w:val="24"/>
                              <w:lang w:eastAsia="lt-LT"/>
                            </w:rPr>
                            <w:t xml:space="preserve">pasiekta reikšmė mažesnė nei atitinkamų metų siektinose reikšmėse nustatyta siektina reikšmė arba jai lygi, </w:t>
                          </w:r>
                          <w:r>
                            <w:rPr>
                              <w:szCs w:val="24"/>
                              <w:lang w:eastAsia="lt-LT"/>
                            </w:rPr>
                            <w:t>pasiekta reikšmė vertinama 1 balu</w:t>
                          </w:r>
                          <w:r>
                            <w:rPr>
                              <w:color w:val="000000"/>
                              <w:szCs w:val="24"/>
                              <w:lang w:eastAsia="lt-LT"/>
                            </w:rPr>
                            <w:t xml:space="preserve">, jei rodiklio pasiekta reikšmė didesnė nei atitinkamų metų siektinose reikšmėse nustatyta siektina reikšmė, </w:t>
                          </w:r>
                          <w:r>
                            <w:rPr>
                              <w:szCs w:val="24"/>
                              <w:lang w:eastAsia="lt-LT"/>
                            </w:rPr>
                            <w:t xml:space="preserve">pasiekta reikšmė vertinama </w:t>
                          </w:r>
                          <w:r>
                            <w:rPr>
                              <w:color w:val="000000"/>
                              <w:szCs w:val="24"/>
                              <w:lang w:eastAsia="lt-LT"/>
                            </w:rPr>
                            <w:t>0 balų;</w:t>
                          </w:r>
                        </w:p>
                      </w:sdtContent>
                    </w:sdt>
                    <w:sdt>
                      <w:sdtPr>
                        <w:alias w:val="5.1.4 pp."/>
                        <w:tag w:val="part_49f2ad441b094df8a6cbf0b4f410a35a"/>
                        <w:lock w:val="sdtLocked"/>
                        <w:richText/>
                      </w:sdtPr>
                      <w:sdtContent>
                        <w:p>
                          <w:pPr>
                            <w:ind w:firstLine="567"/>
                            <w:jc w:val="both"/>
                            <w:rPr>
                              <w:color w:val="000000"/>
                              <w:szCs w:val="24"/>
                              <w:lang w:eastAsia="lt-LT"/>
                            </w:rPr>
                          </w:pPr>
                          <w:sdt>
                            <w:sdtPr>
                              <w:alias w:val="Numeris"/>
                              <w:tag w:val="nr_49f2ad441b094df8a6cbf0b4f410a35a"/>
                              <w:lock w:val="sdtLocked"/>
                              <w:richText/>
                            </w:sdtPr>
                            <w:sdtContent>
                              <w:r>
                                <w:rPr>
                                  <w:szCs w:val="24"/>
                                  <w:lang w:eastAsia="lt-LT"/>
                                </w:rPr>
                                <w:t>5.1.4</w:t>
                              </w:r>
                            </w:sdtContent>
                          </w:sdt>
                          <w:r>
                            <w:rPr>
                              <w:szCs w:val="24"/>
                              <w:lang w:eastAsia="lt-LT"/>
                            </w:rPr>
                            <w:t xml:space="preserve">. rodiklio </w:t>
                          </w:r>
                          <w:r>
                            <w:rPr>
                              <w:szCs w:val="24"/>
                            </w:rPr>
                            <w:t>„</w:t>
                          </w:r>
                          <w:r>
                            <w:rPr>
                              <w:color w:val="000000"/>
                              <w:szCs w:val="24"/>
                            </w:rPr>
                            <w:t xml:space="preserve">Įstaigoje taikomos kovos su korupcija priemonės, numatytos sveikatos apsaugos ministro tvirtinamoje </w:t>
                          </w:r>
                          <w:r>
                            <w:rPr>
                              <w:szCs w:val="24"/>
                            </w:rPr>
                            <w:t xml:space="preserve">Sveikatos priežiūros srities korupcijos prevencijos programoje“ </w:t>
                          </w:r>
                          <w:r>
                            <w:rPr>
                              <w:szCs w:val="24"/>
                              <w:lang w:eastAsia="lt-LT"/>
                            </w:rPr>
                            <w:t>pasiekta reikšmė vertinama 1 balu, jei įstaiga įtraukta į Skaidrių asmens sveikatos priežiūros įstaigų sąrašą, 0,5 balo – jei įstaiga įtraukta į Kandidačių gauti skaidrios asmens sveikatos priežiūros įstaigos vardą sąrašą, 0 balų – jei įstaiga įtraukta į Asmens sveikatos priežiūros įstaigų, turinčių korupcijos rizikos veiksnių, sąrašą;</w:t>
                          </w:r>
                          <w:r>
                            <w:t xml:space="preserve"> </w:t>
                          </w:r>
                        </w:p>
                      </w:sdtContent>
                    </w:sdt>
                    <w:sdt>
                      <w:sdtPr>
                        <w:alias w:val="5.1.5 pp."/>
                        <w:tag w:val="part_22ec1bf8d83b4f359870f3796bb0b903"/>
                        <w:lock w:val="sdtLocked"/>
                        <w:richText/>
                      </w:sdtPr>
                      <w:sdtContent>
                        <w:p>
                          <w:pPr>
                            <w:suppressAutoHyphens/>
                            <w:ind w:firstLine="567"/>
                            <w:jc w:val="both"/>
                            <w:rPr>
                              <w:color w:val="000000"/>
                              <w:szCs w:val="24"/>
                              <w:lang w:eastAsia="lt-LT"/>
                            </w:rPr>
                          </w:pPr>
                          <w:sdt>
                            <w:sdtPr>
                              <w:alias w:val="Numeris"/>
                              <w:tag w:val="nr_22ec1bf8d83b4f359870f3796bb0b903"/>
                              <w:lock w:val="sdtLocked"/>
                              <w:richText/>
                            </w:sdtPr>
                            <w:sdtContent>
                              <w:r>
                                <w:rPr>
                                  <w:color w:val="000000"/>
                                  <w:szCs w:val="24"/>
                                  <w:lang w:eastAsia="lt-LT"/>
                                </w:rPr>
                                <w:t>5.1.5</w:t>
                              </w:r>
                            </w:sdtContent>
                          </w:sdt>
                          <w:r>
                            <w:rPr>
                              <w:color w:val="000000"/>
                              <w:szCs w:val="24"/>
                              <w:lang w:eastAsia="lt-LT"/>
                            </w:rPr>
                            <w:t xml:space="preserve">. rodiklio </w:t>
                          </w:r>
                          <w:r>
                            <w:rPr>
                              <w:szCs w:val="24"/>
                            </w:rPr>
                            <w:t>„</w:t>
                          </w:r>
                          <w:r>
                            <w:rPr>
                              <w:color w:val="000000"/>
                              <w:szCs w:val="24"/>
                            </w:rPr>
                            <w:t>Vidutinė hospitalizuotų pacientų gydymo trukmė įstaigoje pagal sveikatos apsaugos ministro nustatytas paslaugų grupes (taikoma tik antrinio ir tretinio lygio asmens sveikatos priežiūros paslaugas teikiančioms įstaigoms)</w:t>
                          </w:r>
                          <w:r>
                            <w:rPr>
                              <w:szCs w:val="24"/>
                            </w:rPr>
                            <w:t xml:space="preserve">“ </w:t>
                          </w:r>
                          <w:r>
                            <w:rPr>
                              <w:color w:val="000000"/>
                              <w:szCs w:val="24"/>
                              <w:lang w:eastAsia="lt-LT"/>
                            </w:rPr>
                            <w:t>siektinos reikšmės įvykdymas vertinamas šia tvarka:</w:t>
                          </w:r>
                        </w:p>
                        <w:sdt>
                          <w:sdtPr>
                            <w:alias w:val="5.1.5.1 pp."/>
                            <w:tag w:val="part_f26bcb9efc194fe7b99adacd805f780c"/>
                            <w:lock w:val="sdtLocked"/>
                            <w:richText/>
                          </w:sdtPr>
                          <w:sdtContent>
                            <w:p>
                              <w:pPr>
                                <w:suppressAutoHyphens/>
                                <w:ind w:firstLine="567"/>
                                <w:jc w:val="both"/>
                                <w:rPr>
                                  <w:color w:val="000000"/>
                                  <w:szCs w:val="24"/>
                                  <w:lang w:eastAsia="lt-LT"/>
                                </w:rPr>
                              </w:pPr>
                              <w:sdt>
                                <w:sdtPr>
                                  <w:alias w:val="Numeris"/>
                                  <w:tag w:val="nr_f26bcb9efc194fe7b99adacd805f780c"/>
                                  <w:lock w:val="sdtLocked"/>
                                  <w:richText/>
                                </w:sdtPr>
                                <w:sdtContent>
                                  <w:r>
                                    <w:rPr>
                                      <w:color w:val="000000"/>
                                      <w:szCs w:val="24"/>
                                      <w:lang w:eastAsia="lt-LT"/>
                                    </w:rPr>
                                    <w:t>5.1.5.1</w:t>
                                  </w:r>
                                </w:sdtContent>
                              </w:sdt>
                              <w:r>
                                <w:rPr>
                                  <w:color w:val="000000"/>
                                  <w:szCs w:val="24"/>
                                  <w:lang w:eastAsia="lt-LT"/>
                                </w:rPr>
                                <w:t xml:space="preserve">. jei rodiklio pasiekta reikšmė yra mažesnė nei atitinkamų metų siektinose reikšmėse nustatyta siektina reikšmė ar jai lygi, </w:t>
                              </w:r>
                              <w:r>
                                <w:rPr>
                                  <w:szCs w:val="24"/>
                                  <w:lang w:eastAsia="lt-LT"/>
                                </w:rPr>
                                <w:t>pasiekta reikšmė vertinama 1 balu</w:t>
                              </w:r>
                              <w:r>
                                <w:rPr>
                                  <w:color w:val="000000"/>
                                  <w:szCs w:val="24"/>
                                  <w:lang w:eastAsia="lt-LT"/>
                                </w:rPr>
                                <w:t>, jei rodiklio pasiekta reikšmė didesnė nei atitinkamų metų siektinose reikšmėse nustatyta siektina reikšmė – 0 balų;</w:t>
                              </w:r>
                            </w:p>
                          </w:sdtContent>
                        </w:sdt>
                        <w:sdt>
                          <w:sdtPr>
                            <w:alias w:val="5.1.5.2 pp."/>
                            <w:tag w:val="part_1c45247a2b8541898483e7a427169de9"/>
                            <w:lock w:val="sdtLocked"/>
                            <w:richText/>
                          </w:sdtPr>
                          <w:sdtContent>
                            <w:p>
                              <w:pPr>
                                <w:suppressAutoHyphens/>
                                <w:ind w:firstLine="568"/>
                                <w:jc w:val="both"/>
                                <w:rPr>
                                  <w:color w:val="000000"/>
                                  <w:szCs w:val="24"/>
                                  <w:lang w:eastAsia="lt-LT"/>
                                </w:rPr>
                              </w:pPr>
                              <w:sdt>
                                <w:sdtPr>
                                  <w:alias w:val="Numeris"/>
                                  <w:tag w:val="nr_1c45247a2b8541898483e7a427169de9"/>
                                  <w:lock w:val="sdtLocked"/>
                                  <w:richText/>
                                </w:sdtPr>
                                <w:sdtContent>
                                  <w:r>
                                    <w:rPr>
                                      <w:color w:val="000000"/>
                                      <w:szCs w:val="24"/>
                                      <w:lang w:eastAsia="lt-LT"/>
                                    </w:rPr>
                                    <w:t>5.1.5.2</w:t>
                                  </w:r>
                                </w:sdtContent>
                              </w:sdt>
                              <w:r>
                                <w:rPr>
                                  <w:color w:val="000000"/>
                                  <w:szCs w:val="24"/>
                                  <w:lang w:eastAsia="lt-LT"/>
                                </w:rPr>
                                <w:t>. kiekvienos rodikliui nustatytos siektinos reikšmės įvykdymas vertinamas atskirai Aprašo 5.1.5.1 papunktyje nustatyta tvarka. Bendras rodiklio siektinos reikšmės įvykdymas įvertinamas sudedant visus balus, skirtus įvertinus LNSS viešosios įstaigos pagal teikiamų asmens sveikatos priežiūros paslaugų grupes siektinų reikšmių įvykdymą, ir gautą sumą padalijant iš paslaugų, kurias teikia LNSS viešoji įstaiga, grupių skaičiaus. Jei LNSS viešoji įstaiga teikia vienos paslaugų grupės paslaugas, balai nedalijami;</w:t>
                              </w:r>
                            </w:p>
                          </w:sdtContent>
                        </w:sdt>
                      </w:sdtContent>
                    </w:sdt>
                    <w:sdt>
                      <w:sdtPr>
                        <w:alias w:val="5.1.6 pp."/>
                        <w:tag w:val="part_27af779fc6ca476a906ad528529346e8"/>
                        <w:lock w:val="sdtLocked"/>
                        <w:richText/>
                      </w:sdtPr>
                      <w:sdtContent>
                        <w:p>
                          <w:pPr>
                            <w:ind w:firstLine="568"/>
                            <w:jc w:val="both"/>
                            <w:rPr>
                              <w:color w:val="000000"/>
                              <w:szCs w:val="24"/>
                              <w:lang w:eastAsia="lt-LT"/>
                            </w:rPr>
                          </w:pPr>
                          <w:sdt>
                            <w:sdtPr>
                              <w:alias w:val="Numeris"/>
                              <w:tag w:val="nr_27af779fc6ca476a906ad528529346e8"/>
                              <w:lock w:val="sdtLocked"/>
                              <w:richText/>
                            </w:sdtPr>
                            <w:sdtContent>
                              <w:r>
                                <w:rPr>
                                  <w:color w:val="000000"/>
                                  <w:szCs w:val="24"/>
                                  <w:lang w:eastAsia="lt-LT"/>
                                </w:rPr>
                                <w:t>5.1.6</w:t>
                              </w:r>
                            </w:sdtContent>
                          </w:sdt>
                          <w:r>
                            <w:rPr>
                              <w:color w:val="000000"/>
                              <w:szCs w:val="24"/>
                              <w:lang w:eastAsia="lt-LT"/>
                            </w:rPr>
                            <w:t xml:space="preserve">. rodiklio </w:t>
                          </w:r>
                          <w:r>
                            <w:rPr>
                              <w:szCs w:val="22"/>
                            </w:rPr>
                            <w:t xml:space="preserve">„Įstaigoje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 </w:t>
                          </w:r>
                          <w:r>
                            <w:rPr>
                              <w:color w:val="000000"/>
                              <w:szCs w:val="24"/>
                              <w:lang w:eastAsia="lt-LT"/>
                            </w:rPr>
                            <w:t>siektinos reikšmės įvykdymas vertinamas šia tvarka:</w:t>
                          </w:r>
                        </w:p>
                        <w:sdt>
                          <w:sdtPr>
                            <w:alias w:val="5.1.6.1 pp."/>
                            <w:tag w:val="part_d47f5bf6a1bf4924a318d904f08d7bce"/>
                            <w:lock w:val="sdtLocked"/>
                            <w:richText/>
                          </w:sdtPr>
                          <w:sdtContent>
                            <w:p>
                              <w:pPr>
                                <w:ind w:firstLine="568"/>
                                <w:jc w:val="both"/>
                                <w:rPr>
                                  <w:color w:val="000000"/>
                                  <w:szCs w:val="24"/>
                                  <w:lang w:eastAsia="lt-LT"/>
                                </w:rPr>
                              </w:pPr>
                              <w:sdt>
                                <w:sdtPr>
                                  <w:alias w:val="Numeris"/>
                                  <w:tag w:val="nr_d47f5bf6a1bf4924a318d904f08d7bce"/>
                                  <w:lock w:val="sdtLocked"/>
                                  <w:richText/>
                                </w:sdtPr>
                                <w:sdtContent>
                                  <w:r>
                                    <w:rPr>
                                      <w:color w:val="000000"/>
                                      <w:szCs w:val="24"/>
                                      <w:lang w:eastAsia="lt-LT"/>
                                    </w:rPr>
                                    <w:t>5.1.6.1</w:t>
                                  </w:r>
                                </w:sdtContent>
                              </w:sdt>
                              <w:r>
                                <w:rPr>
                                  <w:color w:val="000000"/>
                                  <w:szCs w:val="24"/>
                                  <w:lang w:eastAsia="lt-LT"/>
                                </w:rPr>
                                <w:t xml:space="preserve">. jei rodiklio siektina reikšmė lygi atitinkamų metų siektinose reikšmėse nustatytai siektinai reikšmei ar už ją didesnė, </w:t>
                              </w:r>
                              <w:r>
                                <w:rPr>
                                  <w:szCs w:val="24"/>
                                  <w:lang w:eastAsia="lt-LT"/>
                                </w:rPr>
                                <w:t>pasiekta reikšmė vertinama 1 balu</w:t>
                              </w:r>
                              <w:r>
                                <w:rPr>
                                  <w:color w:val="000000"/>
                                  <w:szCs w:val="24"/>
                                  <w:lang w:eastAsia="lt-LT"/>
                                </w:rPr>
                                <w:t>, jei rodiklio pasiekta reikšmė mažesnė nei atitinkamų metų siektinose reikšmėse nustatyta siektina reikšmė – 0 balų;</w:t>
                              </w:r>
                            </w:p>
                          </w:sdtContent>
                        </w:sdt>
                        <w:sdt>
                          <w:sdtPr>
                            <w:alias w:val="5.1.6.2 pp."/>
                            <w:tag w:val="part_3d10c3440bad45a0bc0ff1352458c1d6"/>
                            <w:lock w:val="sdtLocked"/>
                            <w:richText/>
                          </w:sdtPr>
                          <w:sdtContent>
                            <w:p>
                              <w:pPr>
                                <w:ind w:firstLine="568"/>
                                <w:jc w:val="both"/>
                              </w:pPr>
                              <w:sdt>
                                <w:sdtPr>
                                  <w:alias w:val="Numeris"/>
                                  <w:tag w:val="nr_3d10c3440bad45a0bc0ff1352458c1d6"/>
                                  <w:lock w:val="sdtLocked"/>
                                  <w:richText/>
                                </w:sdtPr>
                                <w:sdtContent>
                                  <w:r>
                                    <w:rPr>
                                      <w:color w:val="000000"/>
                                      <w:szCs w:val="24"/>
                                      <w:lang w:eastAsia="lt-LT"/>
                                    </w:rPr>
                                    <w:t>5.1.6.2</w:t>
                                  </w:r>
                                </w:sdtContent>
                              </w:sdt>
                              <w:r>
                                <w:rPr>
                                  <w:color w:val="000000"/>
                                  <w:szCs w:val="24"/>
                                  <w:lang w:eastAsia="lt-LT"/>
                                </w:rPr>
                                <w:t>. kiekvienos rodiklio nustatytos siektinos reikšmės įvykdymas vertinamas atskirai Aprašo 5.1.6.1 papunktyje nustatyta tvarka. Bendras rodiklio siektinos reikšmės įvykdymas įvertinamas sudedant visus balus, skirtus įvertinus LNSS viešajai įstaigai taikomų rodiklio siektinų reikšmių įvykdymą, ir gautą sumą padalijant iš LNSS viešajai įstaigai taikomų rodiklio siektinų reikšmių skaičiaus. Jei LNSS viešajai įstaigai taikoma tik viena rodiklio siektina reikšmė, balai nedalijami;</w:t>
                              </w:r>
                              <w:r>
                                <w:t xml:space="preserve"> </w:t>
                              </w:r>
                            </w:p>
                          </w:sdtContent>
                        </w:sdt>
                      </w:sdtContent>
                    </w:sdt>
                    <w:sdt>
                      <w:sdtPr>
                        <w:alias w:val="5.1.7 pp."/>
                        <w:tag w:val="part_aad031e3ae944da291aaad513c76a3b5"/>
                        <w:lock w:val="sdtLocked"/>
                        <w:richText/>
                      </w:sdtPr>
                      <w:sdtContent>
                        <w:p>
                          <w:pPr>
                            <w:ind w:firstLine="568"/>
                            <w:jc w:val="both"/>
                            <w:rPr>
                              <w:color w:val="000000"/>
                              <w:szCs w:val="24"/>
                              <w:lang w:eastAsia="lt-LT"/>
                            </w:rPr>
                          </w:pPr>
                          <w:sdt>
                            <w:sdtPr>
                              <w:alias w:val="Numeris"/>
                              <w:tag w:val="nr_aad031e3ae944da291aaad513c76a3b5"/>
                              <w:lock w:val="sdtLocked"/>
                              <w:richText/>
                            </w:sdtPr>
                            <w:sdtContent>
                              <w:r>
                                <w:rPr>
                                  <w:color w:val="000000"/>
                                  <w:szCs w:val="24"/>
                                  <w:lang w:eastAsia="lt-LT"/>
                                </w:rPr>
                                <w:t>5.1.7</w:t>
                              </w:r>
                            </w:sdtContent>
                          </w:sdt>
                          <w:r>
                            <w:rPr>
                              <w:color w:val="000000"/>
                              <w:szCs w:val="24"/>
                              <w:lang w:eastAsia="lt-LT"/>
                            </w:rPr>
                            <w:t xml:space="preserve">. rodiklio </w:t>
                          </w:r>
                          <w:r>
                            <w:rPr>
                              <w:szCs w:val="24"/>
                            </w:rPr>
                            <w:t xml:space="preserve">„Informacinių technologijų diegimo ir plėtros lygis (pacientų elektroninės registracijos sistema, įstaigos interneto svetainės išsamumas, darbuotojų darbo krūvio apskaita, įstaigos dalyvavimo elektroninėje sveikatos sistemoje mastas)“ </w:t>
                          </w:r>
                          <w:r>
                            <w:rPr>
                              <w:color w:val="000000"/>
                              <w:szCs w:val="24"/>
                              <w:lang w:eastAsia="lt-LT"/>
                            </w:rPr>
                            <w:t>siektinos reikšmės įvykdymas vertinamas šia tvarka:</w:t>
                          </w:r>
                        </w:p>
                        <w:sdt>
                          <w:sdtPr>
                            <w:alias w:val="5.1.7.1 pp."/>
                            <w:tag w:val="part_09fc939d253b4065b29fa39bce4fc6dd"/>
                            <w:lock w:val="sdtLocked"/>
                            <w:richText/>
                          </w:sdtPr>
                          <w:sdtContent>
                            <w:p>
                              <w:pPr>
                                <w:ind w:firstLine="568"/>
                                <w:jc w:val="both"/>
                                <w:rPr>
                                  <w:color w:val="000000"/>
                                  <w:szCs w:val="24"/>
                                  <w:lang w:eastAsia="lt-LT"/>
                                </w:rPr>
                              </w:pPr>
                              <w:sdt>
                                <w:sdtPr>
                                  <w:alias w:val="Numeris"/>
                                  <w:tag w:val="nr_09fc939d253b4065b29fa39bce4fc6dd"/>
                                  <w:lock w:val="sdtLocked"/>
                                  <w:richText/>
                                </w:sdtPr>
                                <w:sdtContent>
                                  <w:r>
                                    <w:rPr>
                                      <w:color w:val="000000"/>
                                      <w:szCs w:val="24"/>
                                      <w:lang w:eastAsia="lt-LT"/>
                                    </w:rPr>
                                    <w:t>5.1.7.1</w:t>
                                  </w:r>
                                </w:sdtContent>
                              </w:sdt>
                              <w:r>
                                <w:rPr>
                                  <w:color w:val="000000"/>
                                  <w:szCs w:val="24"/>
                                  <w:lang w:eastAsia="lt-LT"/>
                                </w:rPr>
                                <w:t xml:space="preserve">. jei rodiklio siektina reikšmė lygi atitinkamų metų siektinose reikšmėse nustatytai siektinai reikšmei ar už ją didesnė, </w:t>
                              </w:r>
                              <w:r>
                                <w:rPr>
                                  <w:szCs w:val="24"/>
                                  <w:lang w:eastAsia="lt-LT"/>
                                </w:rPr>
                                <w:t>pasiekta reikšmė vertinama 1 balu</w:t>
                              </w:r>
                              <w:r>
                                <w:rPr>
                                  <w:color w:val="000000"/>
                                  <w:szCs w:val="24"/>
                                  <w:lang w:eastAsia="lt-LT"/>
                                </w:rPr>
                                <w:t>, jei rodiklio pasiekta reikšmė mažesnė nei atitinkamų metų siektinose reikšmėse nustatyta siektina reikšmė – 0 balų;</w:t>
                              </w:r>
                            </w:p>
                          </w:sdtContent>
                        </w:sdt>
                        <w:sdt>
                          <w:sdtPr>
                            <w:alias w:val="5.1.7.2 pp."/>
                            <w:tag w:val="part_3e21a9a50cd44cd4ac8ce8566c139d35"/>
                            <w:lock w:val="sdtLocked"/>
                            <w:richText/>
                          </w:sdtPr>
                          <w:sdtContent>
                            <w:p>
                              <w:pPr>
                                <w:ind w:firstLine="568"/>
                                <w:jc w:val="both"/>
                                <w:rPr>
                                  <w:color w:val="000000"/>
                                  <w:szCs w:val="24"/>
                                  <w:lang w:eastAsia="lt-LT"/>
                                </w:rPr>
                              </w:pPr>
                              <w:sdt>
                                <w:sdtPr>
                                  <w:alias w:val="Numeris"/>
                                  <w:tag w:val="nr_3e21a9a50cd44cd4ac8ce8566c139d35"/>
                                  <w:lock w:val="sdtLocked"/>
                                  <w:richText/>
                                </w:sdtPr>
                                <w:sdtContent>
                                  <w:r>
                                    <w:rPr>
                                      <w:color w:val="000000"/>
                                      <w:szCs w:val="24"/>
                                      <w:lang w:eastAsia="lt-LT"/>
                                    </w:rPr>
                                    <w:t>5.1.7.2</w:t>
                                  </w:r>
                                </w:sdtContent>
                              </w:sdt>
                              <w:r>
                                <w:rPr>
                                  <w:color w:val="000000"/>
                                  <w:szCs w:val="24"/>
                                  <w:lang w:eastAsia="lt-LT"/>
                                </w:rPr>
                                <w:t>. kiekvienos rodiklio nustatytos siektinos reikšmės įvykdymas vertinamas atskirai Aprašo 5.1.7.1 papunktyje nustatyta tvarka. Bendras rodiklio siektinos reikšmės įvykdymas įvertinamas sudedant visus balus, skirtus įvertinus LNSS viešajai įstaigai taikomų rodiklio siektinų reikšmių įvykdymą, ir gautą sumą padalijant iš LNSS viešajai įstaigai taikomų rodiklio siektinų reikšmių skaičiaus. Jei LNSS viešajai įstaigai taikoma tik viena rodiklio siektina reikšmė, balai nedalijami;</w:t>
                              </w:r>
                              <w:r>
                                <w:t xml:space="preserve"> </w:t>
                              </w:r>
                            </w:p>
                          </w:sdtContent>
                        </w:sdt>
                      </w:sdtContent>
                    </w:sdt>
                    <w:sdt>
                      <w:sdtPr>
                        <w:alias w:val="5.1.8 pp."/>
                        <w:tag w:val="part_7a5796b936814ee8ab74b48c5d980c96"/>
                        <w:lock w:val="sdtLocked"/>
                        <w:richText/>
                      </w:sdtPr>
                      <w:sdtContent>
                        <w:p>
                          <w:pPr>
                            <w:suppressAutoHyphens/>
                            <w:ind w:firstLine="567"/>
                            <w:jc w:val="both"/>
                            <w:rPr>
                              <w:szCs w:val="24"/>
                            </w:rPr>
                          </w:pPr>
                          <w:sdt>
                            <w:sdtPr>
                              <w:alias w:val="Numeris"/>
                              <w:tag w:val="nr_7a5796b936814ee8ab74b48c5d980c96"/>
                              <w:lock w:val="sdtLocked"/>
                              <w:richText/>
                            </w:sdtPr>
                            <w:sdtContent>
                              <w:r>
                                <w:rPr>
                                  <w:szCs w:val="24"/>
                                </w:rPr>
                                <w:t>5.1.8</w:t>
                              </w:r>
                            </w:sdtContent>
                          </w:sdt>
                          <w:r>
                            <w:rPr>
                              <w:szCs w:val="24"/>
                            </w:rPr>
                            <w:t xml:space="preserve">. jei Lietuvos Respublikos sveikatos apsaugos ministro 2024 m.  liepos 26 d. įsakymu Nr. V-769 „Dėl Lietuvos nacionalinės sveikatos sistemos viešųjų ir biudžetinių įstaigų, teikiančių asmens sveikatos priežiūros paslaugas, veiklos rezultatų vertinimo rodiklių 2024 metų siektinų reikšmių patvirtinimo“ nustatytų papildomų veiklos rezultatų vertinimo rodiklių „Parengtas ir patvirtintas Smurto ir priekabiavimo prevencijos politikos įgyvendinimo veiksmų planas 2024–2027 m. (taip / ne)“ ir </w:t>
                          </w:r>
                          <w:r>
                            <w:rPr>
                              <w:szCs w:val="22"/>
                            </w:rPr>
                            <w:t xml:space="preserve">„Nepageidaujamų įvykių ASPĮ registravimas“ nustatytos siektinos reikšmės yra įvykdytos, </w:t>
                          </w:r>
                          <w:r>
                            <w:rPr>
                              <w:szCs w:val="24"/>
                              <w:lang w:eastAsia="lt-LT"/>
                            </w:rPr>
                            <w:t>pasiekta reikšmė vertinama 1 balu, jei rodiklio siektina reikšmė neįvykdyta – 0 balų</w:t>
                          </w:r>
                          <w:r>
                            <w:rPr>
                              <w:szCs w:val="24"/>
                            </w:rPr>
                            <w:t>;</w:t>
                          </w:r>
                        </w:p>
                      </w:sdtContent>
                    </w:sdt>
                  </w:sdtContent>
                </w:sdt>
                <w:sdt>
                  <w:sdtPr>
                    <w:alias w:val="5.2 pp."/>
                    <w:tag w:val="part_d535b687b0484d5f891d6424b0c32bf0"/>
                    <w:lock w:val="sdtLocked"/>
                    <w:richText/>
                  </w:sdtPr>
                  <w:sdtContent>
                    <w:p>
                      <w:pPr>
                        <w:suppressAutoHyphens/>
                        <w:ind w:firstLine="567"/>
                        <w:jc w:val="both"/>
                        <w:rPr>
                          <w:color w:val="000000"/>
                          <w:szCs w:val="24"/>
                          <w:lang w:eastAsia="lt-LT"/>
                        </w:rPr>
                      </w:pPr>
                      <w:sdt>
                        <w:sdtPr>
                          <w:alias w:val="Numeris"/>
                          <w:tag w:val="nr_d535b687b0484d5f891d6424b0c32bf0"/>
                          <w:lock w:val="sdtLocked"/>
                          <w:richText/>
                        </w:sdtPr>
                        <w:sdtContent>
                          <w:r>
                            <w:rPr>
                              <w:color w:val="000000"/>
                              <w:szCs w:val="24"/>
                              <w:lang w:eastAsia="lt-LT"/>
                            </w:rPr>
                            <w:t>5.2</w:t>
                          </w:r>
                        </w:sdtContent>
                      </w:sdt>
                      <w:r>
                        <w:rPr>
                          <w:color w:val="000000"/>
                          <w:szCs w:val="24"/>
                          <w:lang w:eastAsia="lt-LT"/>
                        </w:rPr>
                        <w:t>. LNSS viešajai ar biudžetinei įstaigai skirti balai sudedami ir padalijami iš rodiklių, pagal kuriuos ji buvo vertinta, skaičiaus;</w:t>
                      </w:r>
                    </w:p>
                  </w:sdtContent>
                </w:sdt>
                <w:sdt>
                  <w:sdtPr>
                    <w:alias w:val="5.3 pp."/>
                    <w:tag w:val="part_4c1dc587e6aa4a428fb08585029e3393"/>
                    <w:lock w:val="sdtLocked"/>
                    <w:richText/>
                  </w:sdtPr>
                  <w:sdtContent>
                    <w:p>
                      <w:pPr>
                        <w:suppressAutoHyphens/>
                        <w:ind w:firstLine="567"/>
                        <w:jc w:val="both"/>
                        <w:rPr>
                          <w:color w:val="000000"/>
                          <w:szCs w:val="24"/>
                          <w:lang w:eastAsia="lt-LT"/>
                        </w:rPr>
                      </w:pPr>
                      <w:sdt>
                        <w:sdtPr>
                          <w:alias w:val="Numeris"/>
                          <w:tag w:val="nr_4c1dc587e6aa4a428fb08585029e3393"/>
                          <w:lock w:val="sdtLocked"/>
                          <w:richText/>
                        </w:sdtPr>
                        <w:sdtContent>
                          <w:r>
                            <w:rPr>
                              <w:color w:val="000000"/>
                              <w:szCs w:val="24"/>
                              <w:lang w:eastAsia="lt-LT"/>
                            </w:rPr>
                            <w:t>5.3</w:t>
                          </w:r>
                        </w:sdtContent>
                      </w:sdt>
                      <w:r>
                        <w:rPr>
                          <w:color w:val="000000"/>
                          <w:szCs w:val="24"/>
                          <w:lang w:eastAsia="lt-LT"/>
                        </w:rPr>
                        <w:t>. LNSS viešosios ir biudžetinės įstaigos pagal joms skirtas balų sumas išdėstomos mažėjančia tvarka nuo daugiausiai iki mažiausiai balų surinkusių įstaigų.</w:t>
                      </w:r>
                    </w:p>
                    <w:p>
                      <w:pPr>
                        <w:suppressAutoHyphens/>
                        <w:ind w:left="-142" w:firstLine="568"/>
                        <w:jc w:val="center"/>
                        <w:rPr>
                          <w:b/>
                          <w:color w:val="000000"/>
                          <w:szCs w:val="22"/>
                          <w:lang w:eastAsia="lt-LT"/>
                        </w:rPr>
                      </w:pPr>
                    </w:p>
                  </w:sdtContent>
                </w:sdt>
              </w:sdtContent>
            </w:sdt>
          </w:sdtContent>
        </w:sdt>
        <w:sdt>
          <w:sdtPr>
            <w:alias w:val="skyrius"/>
            <w:tag w:val="part_e59121f5643c460f9ea4810f81996fa2"/>
            <w:lock w:val="sdtLocked"/>
            <w:richText/>
          </w:sdtPr>
          <w:sdtContent>
            <w:p>
              <w:pPr>
                <w:suppressAutoHyphens/>
                <w:ind w:left="-142" w:firstLine="142"/>
                <w:jc w:val="center"/>
                <w:rPr>
                  <w:b/>
                  <w:color w:val="000000"/>
                  <w:szCs w:val="22"/>
                  <w:lang w:eastAsia="lt-LT"/>
                </w:rPr>
              </w:pPr>
              <w:sdt>
                <w:sdtPr>
                  <w:alias w:val="Numeris"/>
                  <w:tag w:val="nr_e59121f5643c460f9ea4810f81996fa2"/>
                  <w:lock w:val="sdtLocked"/>
                  <w:richText/>
                </w:sdtPr>
                <w:sdtContent>
                  <w:r>
                    <w:rPr>
                      <w:b/>
                      <w:color w:val="000000"/>
                      <w:szCs w:val="22"/>
                      <w:lang w:eastAsia="lt-LT"/>
                    </w:rPr>
                    <w:t>III</w:t>
                  </w:r>
                </w:sdtContent>
              </w:sdt>
              <w:r>
                <w:rPr>
                  <w:b/>
                  <w:color w:val="000000"/>
                  <w:szCs w:val="22"/>
                  <w:lang w:eastAsia="lt-LT"/>
                </w:rPr>
                <w:t xml:space="preserve"> SKYRIUS</w:t>
              </w:r>
            </w:p>
            <w:p>
              <w:pPr>
                <w:suppressAutoHyphens/>
                <w:ind w:left="-142" w:firstLine="142"/>
                <w:jc w:val="center"/>
                <w:rPr>
                  <w:b/>
                  <w:color w:val="000000"/>
                  <w:szCs w:val="22"/>
                  <w:lang w:eastAsia="lt-LT"/>
                </w:rPr>
              </w:pPr>
              <w:sdt>
                <w:sdtPr>
                  <w:alias w:val="Pavadinimas"/>
                  <w:tag w:val="title_e59121f5643c460f9ea4810f81996fa2"/>
                  <w:lock w:val="sdtLocked"/>
                  <w:richText/>
                </w:sdtPr>
                <w:sdtContent>
                  <w:r>
                    <w:rPr>
                      <w:b/>
                      <w:color w:val="000000"/>
                      <w:szCs w:val="22"/>
                      <w:lang w:eastAsia="lt-LT"/>
                    </w:rPr>
                    <w:t>BAIGIAMOSIOS NUOSTATOS</w:t>
                  </w:r>
                </w:sdtContent>
              </w:sdt>
            </w:p>
            <w:p>
              <w:pPr>
                <w:suppressAutoHyphens/>
                <w:ind w:left="-142" w:firstLine="142"/>
                <w:jc w:val="center"/>
                <w:rPr>
                  <w:color w:val="000000"/>
                  <w:szCs w:val="22"/>
                  <w:lang w:eastAsia="lt-LT"/>
                </w:rPr>
              </w:pPr>
            </w:p>
            <w:sdt>
              <w:sdtPr>
                <w:alias w:val="6 p."/>
                <w:tag w:val="part_69b26d0e43204b9da3a90647d8372f35"/>
                <w:lock w:val="sdtLocked"/>
                <w:richText/>
              </w:sdtPr>
              <w:sdtContent>
                <w:p>
                  <w:pPr>
                    <w:ind w:firstLine="567"/>
                    <w:jc w:val="both"/>
                    <w:rPr>
                      <w:color w:val="000000"/>
                      <w:szCs w:val="24"/>
                      <w:lang w:eastAsia="lt-LT"/>
                    </w:rPr>
                  </w:pPr>
                  <w:sdt>
                    <w:sdtPr>
                      <w:alias w:val="Numeris"/>
                      <w:tag w:val="nr_69b26d0e43204b9da3a90647d8372f35"/>
                      <w:lock w:val="sdtLocked"/>
                      <w:richText/>
                    </w:sdtPr>
                    <w:sdtContent>
                      <w:r>
                        <w:rPr>
                          <w:color w:val="000000"/>
                          <w:szCs w:val="24"/>
                          <w:lang w:eastAsia="lt-LT"/>
                        </w:rPr>
                        <w:t>6</w:t>
                      </w:r>
                    </w:sdtContent>
                  </w:sdt>
                  <w:r>
                    <w:rPr>
                      <w:color w:val="000000"/>
                      <w:szCs w:val="24"/>
                      <w:lang w:eastAsia="lt-LT"/>
                    </w:rPr>
                    <w:t>. LNSS viešųjų ir biudžetinių įstaigų, kurių veiklai įvertinti taikoma pusė arba mažiau negu pusė atitinkamų metų rodiklių siektinų reikšmių, palyginimas neatliekamas.</w:t>
                  </w:r>
                </w:p>
              </w:sdtContent>
            </w:sdt>
            <w:sdt>
              <w:sdtPr>
                <w:alias w:val="7 p."/>
                <w:tag w:val="part_aa0c1b3f40204ff8b74202b5479621c1"/>
                <w:lock w:val="sdtLocked"/>
                <w:richText/>
              </w:sdtPr>
              <w:sdtContent>
                <w:p>
                  <w:pPr>
                    <w:ind w:firstLine="567"/>
                    <w:jc w:val="both"/>
                  </w:pPr>
                  <w:sdt>
                    <w:sdtPr>
                      <w:alias w:val="Numeris"/>
                      <w:tag w:val="nr_aa0c1b3f40204ff8b74202b5479621c1"/>
                      <w:lock w:val="sdtLocked"/>
                      <w:richText/>
                    </w:sdtPr>
                    <w:sdtContent>
                      <w:r>
                        <w:rPr>
                          <w:szCs w:val="24"/>
                          <w:lang w:eastAsia="lt-LT"/>
                        </w:rPr>
                        <w:t>7</w:t>
                      </w:r>
                    </w:sdtContent>
                  </w:sdt>
                  <w:r>
                    <w:rPr>
                      <w:szCs w:val="24"/>
                      <w:lang w:eastAsia="lt-LT"/>
                    </w:rPr>
                    <w:t xml:space="preserve">. </w:t>
                  </w:r>
                  <w:r>
                    <w:rPr>
                      <w:color w:val="000000"/>
                      <w:szCs w:val="24"/>
                      <w:lang w:eastAsia="lt-LT"/>
                    </w:rPr>
                    <w:t>LNSS viešųjų ir biudžetinių įstaigų palyginimo pagal kiekvieno rodiklio pasiektas reikšmes (LNSS viešąsias ir biudžetines įstaigas išdėstant nuo daugiausiai iki mažiausiai balų surinkusių įstaigų) bei palyginimo rezultatai, nurodyti Aprašo 5.3</w:t>
                  </w:r>
                  <w:r>
                    <w:rPr>
                      <w:b/>
                      <w:bCs/>
                      <w:color w:val="000000"/>
                      <w:szCs w:val="24"/>
                      <w:lang w:eastAsia="lt-LT"/>
                    </w:rPr>
                    <w:t xml:space="preserve"> </w:t>
                  </w:r>
                  <w:r>
                    <w:rPr>
                      <w:color w:val="000000"/>
                      <w:szCs w:val="24"/>
                      <w:lang w:eastAsia="lt-LT"/>
                    </w:rPr>
                    <w:t>papunktyje, paskelbiami Lietuvos Respublikos sveikatos apsaugos ministerijos interneto svetainėje ne vėliau kaip iki einamųjų metų birželio 1 d.</w:t>
                  </w:r>
                  <w:r>
                    <w:t xml:space="preserve"> </w:t>
                  </w:r>
                </w:p>
              </w:sdtContent>
            </w:sdt>
          </w:sdtContent>
        </w:sdt>
        <w:sdt>
          <w:sdtPr>
            <w:alias w:val="pabaiga"/>
            <w:tag w:val="part_541e9da5c2164d6196b2b1a0144926a2"/>
            <w:lock w:val="sdtLocked"/>
            <w:richText/>
          </w:sdtPr>
          <w:sdtContent>
            <w:p>
              <w:pPr>
                <w:ind w:left="-142" w:firstLine="142"/>
                <w:jc w:val="center"/>
              </w:pPr>
              <w:r>
                <w:rPr>
                  <w:color w:val="000000"/>
                  <w:szCs w:val="22"/>
                  <w:lang w:eastAsia="lt-LT"/>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e23180390411ea829bc2bea81c1194">
            <w:r w:rsidRPr="00532B9F">
              <w:rPr>
                <w:rFonts w:ascii="Times New Roman" w:eastAsia="MS Mincho" w:hAnsi="Times New Roman"/>
                <w:sz w:val="20"/>
                <w:iCs/>
                <w:color w:val="0000FF" w:themeColor="hyperlink"/>
                <w:u w:val="single"/>
              </w:rPr>
              <w:t>V-59</w:t>
            </w:r>
          </w:fldSimple>
          <w:r>
            <w:rPr>
              <w:rFonts w:ascii="Times New Roman" w:eastAsia="MS Mincho" w:hAnsi="Times New Roman"/>
              <w:sz w:val="20"/>
              <w:iCs/>
            </w:rPr>
            <w:t>,
2020-01-16,
paskelbta TAR 2020-01-17, i. k. 2020-00776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31976c0649611eb9dc7b575f08e8bea">
            <w:r w:rsidRPr="00532B9F">
              <w:rPr>
                <w:rFonts w:ascii="Times New Roman" w:eastAsia="MS Mincho" w:hAnsi="Times New Roman"/>
                <w:sz w:val="20"/>
                <w:iCs/>
                <w:color w:val="0000FF" w:themeColor="hyperlink"/>
                <w:u w:val="single"/>
              </w:rPr>
              <w:t>V-197</w:t>
            </w:r>
          </w:fldSimple>
          <w:r>
            <w:rPr>
              <w:rFonts w:ascii="Times New Roman" w:eastAsia="MS Mincho" w:hAnsi="Times New Roman"/>
              <w:sz w:val="20"/>
              <w:iCs/>
            </w:rPr>
            <w:t>,
2021-02-01,
paskelbta TAR 2021-02-01, i. k. 2021-01880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85b8b184f711ecbd43a994b3e2e1cb">
            <w:r w:rsidRPr="00532B9F">
              <w:rPr>
                <w:rFonts w:ascii="Times New Roman" w:eastAsia="MS Mincho" w:hAnsi="Times New Roman"/>
                <w:sz w:val="20"/>
                <w:iCs/>
                <w:color w:val="0000FF" w:themeColor="hyperlink"/>
                <w:u w:val="single"/>
              </w:rPr>
              <w:t>V-230</w:t>
            </w:r>
          </w:fldSimple>
          <w:r>
            <w:rPr>
              <w:rFonts w:ascii="Times New Roman" w:eastAsia="MS Mincho" w:hAnsi="Times New Roman"/>
              <w:sz w:val="20"/>
              <w:iCs/>
            </w:rPr>
            <w:t>,
2022-02-03,
paskelbta TAR 2022-02-03, i. k. 2022-01944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3486e08c3011ed8df094f359a60216">
            <w:r w:rsidRPr="00532B9F">
              <w:rPr>
                <w:rFonts w:ascii="Times New Roman" w:eastAsia="MS Mincho" w:hAnsi="Times New Roman"/>
                <w:sz w:val="20"/>
                <w:iCs/>
                <w:color w:val="0000FF" w:themeColor="hyperlink"/>
                <w:u w:val="single"/>
              </w:rPr>
              <w:t>V-16</w:t>
            </w:r>
          </w:fldSimple>
          <w:r>
            <w:rPr>
              <w:rFonts w:ascii="Times New Roman" w:eastAsia="MS Mincho" w:hAnsi="Times New Roman"/>
              <w:sz w:val="20"/>
              <w:iCs/>
            </w:rPr>
            <w:t>,
2023-01-04,
paskelbta TAR 2023-01-04, i. k. 2023-00180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2d88d0c59311eea5a28c81c82193a8">
            <w:r w:rsidRPr="00532B9F">
              <w:rPr>
                <w:rFonts w:ascii="Times New Roman" w:eastAsia="MS Mincho" w:hAnsi="Times New Roman"/>
                <w:sz w:val="20"/>
                <w:iCs/>
                <w:color w:val="0000FF" w:themeColor="hyperlink"/>
                <w:u w:val="single"/>
              </w:rPr>
              <w:t>V-163</w:t>
            </w:r>
          </w:fldSimple>
          <w:r>
            <w:rPr>
              <w:rFonts w:ascii="Times New Roman" w:eastAsia="MS Mincho" w:hAnsi="Times New Roman"/>
              <w:sz w:val="20"/>
              <w:iCs/>
            </w:rPr>
            <w:t>,
2024-02-07,
paskelbta TAR 2024-02-07, i. k. 2024-02226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354fa6106811f08e9f87c0d053bf09">
            <w:r w:rsidRPr="00532B9F">
              <w:rPr>
                <w:rFonts w:ascii="Times New Roman" w:eastAsia="MS Mincho" w:hAnsi="Times New Roman"/>
                <w:sz w:val="20"/>
                <w:iCs/>
                <w:color w:val="0000FF" w:themeColor="hyperlink"/>
                <w:u w:val="single"/>
              </w:rPr>
              <w:t>V-286</w:t>
            </w:r>
          </w:fldSimple>
          <w:r>
            <w:rPr>
              <w:rFonts w:ascii="Times New Roman" w:eastAsia="MS Mincho" w:hAnsi="Times New Roman"/>
              <w:sz w:val="20"/>
              <w:iCs/>
            </w:rPr>
            <w:t>,
2025-04-03,
paskelbta TAR 2025-04-03, i. k. 2025-05848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241" w:right="567" w:bottom="1134" w:left="1701" w:header="567" w:footer="1134"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77"/>
        <w:tab w:val="right" w:pos="9355"/>
      </w:tabs>
      <w:rPr>
        <w:sz w:val="22"/>
        <w:szCs w:val="22"/>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77"/>
        <w:tab w:val="right" w:pos="9355"/>
      </w:tabs>
      <w:rPr>
        <w:sz w:val="22"/>
        <w:szCs w:val="22"/>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77"/>
        <w:tab w:val="right" w:pos="9355"/>
      </w:tabs>
      <w:rPr>
        <w:sz w:val="22"/>
        <w:szCs w:val="22"/>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77"/>
        <w:tab w:val="right" w:pos="9355"/>
      </w:tabs>
      <w:rPr>
        <w:sz w:val="22"/>
        <w:szCs w:val="22"/>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677"/>
        <w:tab w:val="right" w:pos="9355"/>
      </w:tabs>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677"/>
        <w:tab w:val="right" w:pos="9355"/>
      </w:tabs>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677"/>
        <w:tab w:val="right" w:pos="9355"/>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677"/>
        <w:tab w:val="right" w:pos="9355"/>
      </w:tabs>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677"/>
        <w:tab w:val="right" w:pos="9355"/>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77"/>
        <w:tab w:val="right" w:pos="9355"/>
      </w:tabs>
      <w:rPr>
        <w:sz w:val="22"/>
        <w:szCs w:val="22"/>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677"/>
        <w:tab w:val="right" w:pos="9355"/>
      </w:tabs>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77"/>
        <w:tab w:val="right" w:pos="9355"/>
      </w:tabs>
      <w:rPr>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677"/>
        <w:tab w:val="right" w:pos="9355"/>
      </w:tabs>
      <w:rPr>
        <w:sz w:val="22"/>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0721"/>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5:docId w15:val="{3CEC3A89-415E-4317-8A75-76AD6EF5F54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861014">
      <w:bodyDiv w:val="1"/>
      <w:marLeft w:val="0"/>
      <w:marRight w:val="0"/>
      <w:marTop w:val="0"/>
      <w:marBottom w:val="0"/>
      <w:divBdr>
        <w:top w:val="none" w:sz="0" w:space="0" w:color="auto"/>
        <w:left w:val="none" w:sz="0" w:space="0" w:color="auto"/>
        <w:bottom w:val="none" w:sz="0" w:space="0" w:color="auto"/>
        <w:right w:val="none" w:sz="0" w:space="0" w:color="auto"/>
      </w:divBdr>
    </w:div>
    <w:div w:id="177235051">
      <w:bodyDiv w:val="1"/>
      <w:marLeft w:val="0"/>
      <w:marRight w:val="0"/>
      <w:marTop w:val="0"/>
      <w:marBottom w:val="0"/>
      <w:divBdr>
        <w:top w:val="none" w:sz="0" w:space="0" w:color="auto"/>
        <w:left w:val="none" w:sz="0" w:space="0" w:color="auto"/>
        <w:bottom w:val="none" w:sz="0" w:space="0" w:color="auto"/>
        <w:right w:val="none" w:sz="0" w:space="0" w:color="auto"/>
      </w:divBdr>
    </w:div>
    <w:div w:id="182742846">
      <w:bodyDiv w:val="1"/>
      <w:marLeft w:val="0"/>
      <w:marRight w:val="0"/>
      <w:marTop w:val="0"/>
      <w:marBottom w:val="0"/>
      <w:divBdr>
        <w:top w:val="none" w:sz="0" w:space="0" w:color="auto"/>
        <w:left w:val="none" w:sz="0" w:space="0" w:color="auto"/>
        <w:bottom w:val="none" w:sz="0" w:space="0" w:color="auto"/>
        <w:right w:val="none" w:sz="0" w:space="0" w:color="auto"/>
      </w:divBdr>
    </w:div>
    <w:div w:id="303782550">
      <w:bodyDiv w:val="1"/>
      <w:marLeft w:val="0"/>
      <w:marRight w:val="0"/>
      <w:marTop w:val="0"/>
      <w:marBottom w:val="0"/>
      <w:divBdr>
        <w:top w:val="none" w:sz="0" w:space="0" w:color="auto"/>
        <w:left w:val="none" w:sz="0" w:space="0" w:color="auto"/>
        <w:bottom w:val="none" w:sz="0" w:space="0" w:color="auto"/>
        <w:right w:val="none" w:sz="0" w:space="0" w:color="auto"/>
      </w:divBdr>
    </w:div>
    <w:div w:id="320235612">
      <w:bodyDiv w:val="1"/>
      <w:marLeft w:val="0"/>
      <w:marRight w:val="0"/>
      <w:marTop w:val="0"/>
      <w:marBottom w:val="0"/>
      <w:divBdr>
        <w:top w:val="none" w:sz="0" w:space="0" w:color="auto"/>
        <w:left w:val="none" w:sz="0" w:space="0" w:color="auto"/>
        <w:bottom w:val="none" w:sz="0" w:space="0" w:color="auto"/>
        <w:right w:val="none" w:sz="0" w:space="0" w:color="auto"/>
      </w:divBdr>
    </w:div>
    <w:div w:id="333340845">
      <w:bodyDiv w:val="1"/>
      <w:marLeft w:val="0"/>
      <w:marRight w:val="0"/>
      <w:marTop w:val="0"/>
      <w:marBottom w:val="0"/>
      <w:divBdr>
        <w:top w:val="none" w:sz="0" w:space="0" w:color="auto"/>
        <w:left w:val="none" w:sz="0" w:space="0" w:color="auto"/>
        <w:bottom w:val="none" w:sz="0" w:space="0" w:color="auto"/>
        <w:right w:val="none" w:sz="0" w:space="0" w:color="auto"/>
      </w:divBdr>
    </w:div>
    <w:div w:id="562184587">
      <w:bodyDiv w:val="1"/>
      <w:marLeft w:val="0"/>
      <w:marRight w:val="0"/>
      <w:marTop w:val="0"/>
      <w:marBottom w:val="0"/>
      <w:divBdr>
        <w:top w:val="none" w:sz="0" w:space="0" w:color="auto"/>
        <w:left w:val="none" w:sz="0" w:space="0" w:color="auto"/>
        <w:bottom w:val="none" w:sz="0" w:space="0" w:color="auto"/>
        <w:right w:val="none" w:sz="0" w:space="0" w:color="auto"/>
      </w:divBdr>
      <w:divsChild>
        <w:div w:id="1050030311">
          <w:marLeft w:val="0"/>
          <w:marRight w:val="0"/>
          <w:marTop w:val="0"/>
          <w:marBottom w:val="0"/>
          <w:divBdr>
            <w:top w:val="none" w:sz="0" w:space="0" w:color="auto"/>
            <w:left w:val="none" w:sz="0" w:space="0" w:color="auto"/>
            <w:bottom w:val="none" w:sz="0" w:space="0" w:color="auto"/>
            <w:right w:val="none" w:sz="0" w:space="0" w:color="auto"/>
          </w:divBdr>
          <w:divsChild>
            <w:div w:id="2090691963">
              <w:marLeft w:val="0"/>
              <w:marRight w:val="0"/>
              <w:marTop w:val="0"/>
              <w:marBottom w:val="0"/>
              <w:divBdr>
                <w:top w:val="none" w:sz="0" w:space="0" w:color="auto"/>
                <w:left w:val="none" w:sz="0" w:space="0" w:color="auto"/>
                <w:bottom w:val="none" w:sz="0" w:space="0" w:color="auto"/>
                <w:right w:val="none" w:sz="0" w:space="0" w:color="auto"/>
              </w:divBdr>
              <w:divsChild>
                <w:div w:id="1571235329">
                  <w:marLeft w:val="0"/>
                  <w:marRight w:val="0"/>
                  <w:marTop w:val="0"/>
                  <w:marBottom w:val="0"/>
                  <w:divBdr>
                    <w:top w:val="none" w:sz="0" w:space="0" w:color="auto"/>
                    <w:left w:val="none" w:sz="0" w:space="0" w:color="auto"/>
                    <w:bottom w:val="none" w:sz="0" w:space="0" w:color="auto"/>
                    <w:right w:val="none" w:sz="0" w:space="0" w:color="auto"/>
                  </w:divBdr>
                  <w:divsChild>
                    <w:div w:id="1898974818">
                      <w:marLeft w:val="0"/>
                      <w:marRight w:val="0"/>
                      <w:marTop w:val="0"/>
                      <w:marBottom w:val="0"/>
                      <w:divBdr>
                        <w:top w:val="none" w:sz="0" w:space="0" w:color="auto"/>
                        <w:left w:val="none" w:sz="0" w:space="0" w:color="auto"/>
                        <w:bottom w:val="none" w:sz="0" w:space="0" w:color="auto"/>
                        <w:right w:val="none" w:sz="0" w:space="0" w:color="auto"/>
                      </w:divBdr>
                      <w:divsChild>
                        <w:div w:id="1125924651">
                          <w:marLeft w:val="0"/>
                          <w:marRight w:val="0"/>
                          <w:marTop w:val="0"/>
                          <w:marBottom w:val="0"/>
                          <w:divBdr>
                            <w:top w:val="none" w:sz="0" w:space="0" w:color="auto"/>
                            <w:left w:val="none" w:sz="0" w:space="0" w:color="auto"/>
                            <w:bottom w:val="none" w:sz="0" w:space="0" w:color="auto"/>
                            <w:right w:val="none" w:sz="0" w:space="0" w:color="auto"/>
                          </w:divBdr>
                          <w:divsChild>
                            <w:div w:id="402337570">
                              <w:marLeft w:val="0"/>
                              <w:marRight w:val="0"/>
                              <w:marTop w:val="0"/>
                              <w:marBottom w:val="0"/>
                              <w:divBdr>
                                <w:top w:val="none" w:sz="0" w:space="0" w:color="auto"/>
                                <w:left w:val="none" w:sz="0" w:space="0" w:color="auto"/>
                                <w:bottom w:val="none" w:sz="0" w:space="0" w:color="auto"/>
                                <w:right w:val="none" w:sz="0" w:space="0" w:color="auto"/>
                              </w:divBdr>
                            </w:div>
                            <w:div w:id="1122571962">
                              <w:marLeft w:val="0"/>
                              <w:marRight w:val="0"/>
                              <w:marTop w:val="0"/>
                              <w:marBottom w:val="0"/>
                              <w:divBdr>
                                <w:top w:val="none" w:sz="0" w:space="0" w:color="auto"/>
                                <w:left w:val="none" w:sz="0" w:space="0" w:color="auto"/>
                                <w:bottom w:val="none" w:sz="0" w:space="0" w:color="auto"/>
                                <w:right w:val="none" w:sz="0" w:space="0" w:color="auto"/>
                              </w:divBdr>
                            </w:div>
                            <w:div w:id="1572303911">
                              <w:marLeft w:val="0"/>
                              <w:marRight w:val="0"/>
                              <w:marTop w:val="0"/>
                              <w:marBottom w:val="0"/>
                              <w:divBdr>
                                <w:top w:val="none" w:sz="0" w:space="0" w:color="auto"/>
                                <w:left w:val="none" w:sz="0" w:space="0" w:color="auto"/>
                                <w:bottom w:val="none" w:sz="0" w:space="0" w:color="auto"/>
                                <w:right w:val="none" w:sz="0" w:space="0" w:color="auto"/>
                              </w:divBdr>
                            </w:div>
                            <w:div w:id="1587883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1792954">
      <w:bodyDiv w:val="1"/>
      <w:marLeft w:val="0"/>
      <w:marRight w:val="0"/>
      <w:marTop w:val="0"/>
      <w:marBottom w:val="0"/>
      <w:divBdr>
        <w:top w:val="none" w:sz="0" w:space="0" w:color="auto"/>
        <w:left w:val="none" w:sz="0" w:space="0" w:color="auto"/>
        <w:bottom w:val="none" w:sz="0" w:space="0" w:color="auto"/>
        <w:right w:val="none" w:sz="0" w:space="0" w:color="auto"/>
      </w:divBdr>
    </w:div>
    <w:div w:id="665130863">
      <w:bodyDiv w:val="1"/>
      <w:marLeft w:val="0"/>
      <w:marRight w:val="0"/>
      <w:marTop w:val="0"/>
      <w:marBottom w:val="0"/>
      <w:divBdr>
        <w:top w:val="none" w:sz="0" w:space="0" w:color="auto"/>
        <w:left w:val="none" w:sz="0" w:space="0" w:color="auto"/>
        <w:bottom w:val="none" w:sz="0" w:space="0" w:color="auto"/>
        <w:right w:val="none" w:sz="0" w:space="0" w:color="auto"/>
      </w:divBdr>
    </w:div>
    <w:div w:id="728069591">
      <w:bodyDiv w:val="1"/>
      <w:marLeft w:val="0"/>
      <w:marRight w:val="0"/>
      <w:marTop w:val="0"/>
      <w:marBottom w:val="0"/>
      <w:divBdr>
        <w:top w:val="none" w:sz="0" w:space="0" w:color="auto"/>
        <w:left w:val="none" w:sz="0" w:space="0" w:color="auto"/>
        <w:bottom w:val="none" w:sz="0" w:space="0" w:color="auto"/>
        <w:right w:val="none" w:sz="0" w:space="0" w:color="auto"/>
      </w:divBdr>
    </w:div>
    <w:div w:id="860246297">
      <w:bodyDiv w:val="1"/>
      <w:marLeft w:val="0"/>
      <w:marRight w:val="0"/>
      <w:marTop w:val="0"/>
      <w:marBottom w:val="0"/>
      <w:divBdr>
        <w:top w:val="none" w:sz="0" w:space="0" w:color="auto"/>
        <w:left w:val="none" w:sz="0" w:space="0" w:color="auto"/>
        <w:bottom w:val="none" w:sz="0" w:space="0" w:color="auto"/>
        <w:right w:val="none" w:sz="0" w:space="0" w:color="auto"/>
      </w:divBdr>
    </w:div>
    <w:div w:id="889149898">
      <w:bodyDiv w:val="1"/>
      <w:marLeft w:val="0"/>
      <w:marRight w:val="0"/>
      <w:marTop w:val="0"/>
      <w:marBottom w:val="0"/>
      <w:divBdr>
        <w:top w:val="none" w:sz="0" w:space="0" w:color="auto"/>
        <w:left w:val="none" w:sz="0" w:space="0" w:color="auto"/>
        <w:bottom w:val="none" w:sz="0" w:space="0" w:color="auto"/>
        <w:right w:val="none" w:sz="0" w:space="0" w:color="auto"/>
      </w:divBdr>
    </w:div>
    <w:div w:id="1009990104">
      <w:bodyDiv w:val="1"/>
      <w:marLeft w:val="0"/>
      <w:marRight w:val="0"/>
      <w:marTop w:val="0"/>
      <w:marBottom w:val="0"/>
      <w:divBdr>
        <w:top w:val="none" w:sz="0" w:space="0" w:color="auto"/>
        <w:left w:val="none" w:sz="0" w:space="0" w:color="auto"/>
        <w:bottom w:val="none" w:sz="0" w:space="0" w:color="auto"/>
        <w:right w:val="none" w:sz="0" w:space="0" w:color="auto"/>
      </w:divBdr>
    </w:div>
    <w:div w:id="1779983223">
      <w:bodyDiv w:val="1"/>
      <w:marLeft w:val="0"/>
      <w:marRight w:val="0"/>
      <w:marTop w:val="0"/>
      <w:marBottom w:val="0"/>
      <w:divBdr>
        <w:top w:val="none" w:sz="0" w:space="0" w:color="auto"/>
        <w:left w:val="none" w:sz="0" w:space="0" w:color="auto"/>
        <w:bottom w:val="none" w:sz="0" w:space="0" w:color="auto"/>
        <w:right w:val="none" w:sz="0" w:space="0" w:color="auto"/>
      </w:divBdr>
    </w:div>
    <w:div w:id="1980261028">
      <w:bodyDiv w:val="1"/>
      <w:marLeft w:val="0"/>
      <w:marRight w:val="0"/>
      <w:marTop w:val="0"/>
      <w:marBottom w:val="0"/>
      <w:divBdr>
        <w:top w:val="none" w:sz="0" w:space="0" w:color="auto"/>
        <w:left w:val="none" w:sz="0" w:space="0" w:color="auto"/>
        <w:bottom w:val="none" w:sz="0" w:space="0" w:color="auto"/>
        <w:right w:val="none" w:sz="0" w:space="0" w:color="auto"/>
      </w:divBdr>
    </w:div>
    <w:div w:id="2112315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7.png"/>
  <Relationship Id="rId15" Type="http://schemas.openxmlformats.org/officeDocument/2006/relationships/oleObject" Target="embeddings/oleObject7.bin"/>
  <Relationship Id="rId16" Type="http://schemas.openxmlformats.org/officeDocument/2006/relationships/header" Target="header19.xml"/>
  <Relationship Id="rId17" Type="http://schemas.openxmlformats.org/officeDocument/2006/relationships/header" Target="header20.xml"/>
  <Relationship Id="rId18" Type="http://schemas.openxmlformats.org/officeDocument/2006/relationships/footer" Target="footer18.xml"/>
  <Relationship Id="rId19" Type="http://schemas.openxmlformats.org/officeDocument/2006/relationships/footer" Target="footer19.xml"/>
  <Relationship Id="rId2" Type="http://schemas.openxmlformats.org/officeDocument/2006/relationships/endnotes" Target="endnotes.xml"/>
  <Relationship Id="rId20" Type="http://schemas.openxmlformats.org/officeDocument/2006/relationships/header" Target="header21.xml"/>
  <Relationship Id="rId21" Type="http://schemas.openxmlformats.org/officeDocument/2006/relationships/footer" Target="footer20.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dfe4507275d4d79a7989e1bfa2166ec" PartId="21dc9e8f0ea34c489f7b6606f8c49549">
    <Part Type="preambule" DocPartId="8f312fa0e63b4feab09b4b88b910cd20" PartId="088df2e9c12647a99a294c7839721c61"/>
    <Part Type="punktas" Nr="1" Abbr="1 p." DocPartId="19fb88a435a04f2ab3f1759d96923a3a" PartId="e77495228f0d447ca872926126e5cb8a"/>
    <Part Type="punktas" Nr="2" Abbr="2 p." DocPartId="6a8a071912df4e89b433887629a92cbb" PartId="5dc5fb4ae85748c1af307d82304bbf1b"/>
    <Part Type="signatura" DocPartId="0c725e0dd1b84462ae883506cb9a3b73" PartId="ecfab9bd2e7e4ed2b12d6a31fc36d871"/>
  </Part>
  <Part Type="patvirtinta" Title="LIETUVOS NACIONALINĖS SVEIKATOS SISTEMOS VIEŠŲJŲ IR BIUDŽETINIŲ ĮSTAIGŲ, TEIKIANČIŲ ASMENS SVEIKATOS PRIEŽIŪROS PASLAUGAS, PALYGINIMO PAGAL VEIKLOS FINANSINIŲ REZULTATŲ IR VEIKLOS REZULTATŲ VERTINIMO RODIKLIŲ SIEKTINŲ REIKŠMIŲ ĮVYKDYMĄ TVARKOS APRAŠAS" DocPartId="2e51bbf4dd264d09a7f0421e35f59bee" PartId="8e44fcec72034c6181a09adbc6f5f776">
    <Part Type="skyrius" Nr="1" Title="BENDROSIOS NUOSTATOS" DocPartId="3155f143d3074eb3867782f33cdc7c2f" PartId="15626b63a79d4712bb5eaeb60c7980b9">
      <Part Type="punktas" Nr="1" Abbr="1 p." DocPartId="8be09d8df2074910a16bc1fb7ee2d3d0" PartId="dcfc630647674e8592edf73690dcbd86"/>
      <Part Type="punktas" Nr="2" Abbr="2 p." DocPartId="cf3af369f87c43d695ec5c72c0155aa5" PartId="af79e608b6714fb2a9e7c8bd295fc641"/>
      <Part Type="punktas" Nr="3" Abbr="3 p." DocPartId="8e16a09c1516480088bbd4c83990d3c1" PartId="5fe37035f10046ee94a7f33c9d7e45ea"/>
    </Part>
    <Part Type="skyrius" Nr="2" Title="LNSS VIEŠŲJŲ IR BIUDŽETINIŲ ĮSTAIGŲ PALYGINIMO PAGAL RODIKLIŲ SIEKTINŲ REIKŠMIŲ ĮVYKDYMĄ TVARKA" DocPartId="a4caa66b0157471c9c796a2b0d940f61" PartId="65c4ca83608743dfbfac77d8cad85432">
      <Part Type="punktas" Nr="4" Abbr="4 p." DocPartId="cbc257f4205f429f9f79375921067d8a" PartId="be165bd8147a45f9876b6b18b3e7dd79"/>
      <Part Type="punktas" Nr="5" Abbr="5 p." DocPartId="ebf786f100174f8385d2127ad92a41a2" PartId="52165f8dbcb54235b953c711181e799b">
        <Part Type="papunktis" Nr="5.1" Abbr="5.1 pp." DocPartId="3280e0c76b214271a4b670fe66b9e3bb" PartId="e195099082bd4e96ba7916d3d8a6d0ad">
          <Part Type="papunktis" Nr="5.1.1" Abbr="5.1.1 pp." DocPartId="cf191def9f7046a38cee5bf724f961f7" PartId="d3c79b5ed30e45ee9d0171c08a7697e4"/>
          <Part Type="papunktis" Nr="5.1.2" Abbr="5.1.2 pp." DocPartId="45b1bcd3142d47fb8a23425d35770d2d" PartId="1c5ab731a4e542e492044b3fda5b4a2f"/>
          <Part Type="papunktis" Nr="5.1.3" Abbr="5.1.3 pp." DocPartId="c70fbc477b4147458e3cdae22ca72ce4" PartId="05ba50b02d734c2288afc1d249016854"/>
          <Part Type="papunktis" Nr="5.1.4" Abbr="5.1.4 pp." DocPartId="e6c0e680382544fe94fe202eaf00057e" PartId="49f2ad441b094df8a6cbf0b4f410a35a"/>
          <Part Type="papunktis" Nr="5.1.5" Abbr="5.1.5 pp." DocPartId="79eedb1a3b6342ec8d298c58b5646466" PartId="22ec1bf8d83b4f359870f3796bb0b903">
            <Part Type="papunktis" Nr="5.1.5.1" Abbr="5.1.5.1 pp." DocPartId="e344ee1ee9f5402e83282d8941c83c9e" PartId="f26bcb9efc194fe7b99adacd805f780c"/>
            <Part Type="papunktis" Nr="5.1.5.2" Abbr="5.1.5.2 pp." DocPartId="608324faaad74b25a6ff09880df45d03" PartId="1c45247a2b8541898483e7a427169de9"/>
          </Part>
          <Part Type="papunktis" Nr="5.1.6" Abbr="5.1.6 pp." DocPartId="c4a9b6cfcc21463b9a72814b4beebb95" PartId="27af779fc6ca476a906ad528529346e8">
            <Part Type="papunktis" Nr="5.1.6.1" Abbr="5.1.6.1 pp." DocPartId="16f3d633aac34fabb092e818fe296df2" PartId="d47f5bf6a1bf4924a318d904f08d7bce"/>
            <Part Type="papunktis" Nr="5.1.6.2" Abbr="5.1.6.2 pp." DocPartId="1f3751cf008948fda44db002b68278a4" PartId="3d10c3440bad45a0bc0ff1352458c1d6"/>
          </Part>
          <Part Type="papunktis" Nr="5.1.7" Abbr="5.1.7 pp." DocPartId="6e4edb240f63406b901f8b77ac414ba4" PartId="aad031e3ae944da291aaad513c76a3b5">
            <Part Type="papunktis" Nr="5.1.7.1" Abbr="5.1.7.1 pp." DocPartId="71861b9732074b26ae0b32eec5ba3be0" PartId="09fc939d253b4065b29fa39bce4fc6dd"/>
            <Part Type="papunktis" Nr="5.1.7.2" Abbr="5.1.7.2 pp." DocPartId="f6354ce520944eb1bc03fa6be484e699" PartId="3e21a9a50cd44cd4ac8ce8566c139d35"/>
          </Part>
          <Part Type="papunktis" Nr="5.1.8" Abbr="5.1.8 pp." DocPartId="4df3e551fa574acab95f8f59d7f53497" PartId="7a5796b936814ee8ab74b48c5d980c96"/>
        </Part>
        <Part Type="papunktis" Nr="5.2" Abbr="5.2 pp." DocPartId="63f157fc615b4789877953924cd92d70" PartId="d535b687b0484d5f891d6424b0c32bf0"/>
        <Part Type="papunktis" Nr="5.3" Abbr="5.3 pp." DocPartId="d2b4d6020f894126bce56a22fe8a16b9" PartId="4c1dc587e6aa4a428fb08585029e3393"/>
      </Part>
    </Part>
    <Part Type="skyrius" Nr="3" Title="BAIGIAMOSIOS NUOSTATOS" DocPartId="625c0603ccb74185ae10d1af72024ae3" PartId="e59121f5643c460f9ea4810f81996fa2">
      <Part Type="punktas" Nr="6" Abbr="6 p." DocPartId="3a480eff77214345a2361d1d61c7a994" PartId="69b26d0e43204b9da3a90647d8372f35"/>
      <Part Type="punktas" Nr="7" Abbr="7 p." DocPartId="c9dac5d284dc43b3845eec834fc4e645" PartId="aa0c1b3f40204ff8b74202b5479621c1"/>
    </Part>
    <Part Type="pabaiga" DocPartId="ff65bcf6f38849e6b5041eb307d4538c" PartId="541e9da5c2164d6196b2b1a0144926a2"/>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8B963B7-9518-4E70-B2C4-19D8355515FD}">
  <ds:schemaRefs>
    <ds:schemaRef ds:uri="http://lrs.lt/TAIS/DocParts"/>
  </ds:schemaRefs>
</ds:datastoreItem>
</file>

<file path=customXml/itemProps2.xml><?xml version="1.0" encoding="utf-8"?>
<ds:datastoreItem xmlns:ds="http://schemas.openxmlformats.org/officeDocument/2006/customXml" ds:itemID="{EFDF1717-34B6-4A08-9979-D0DB707C7F67}">
  <ds:schemaRefs>
    <ds:schemaRef ds:uri="http://schemas.openxmlformats.org/officeDocument/2006/bibliography"/>
  </ds:schemaRefs>
</ds:datastoreItem>
</file>

<file path=customXml/itemProps3.xml><?xml version="1.0" encoding="utf-8"?>
<ds:datastoreItem xmlns:ds="http://schemas.openxmlformats.org/officeDocument/2006/customXml" ds:itemID="{401A4772-2906-4AB7-9F55-1DD83B87811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7</Pages>
  <Words>2286</Words>
  <Characters>16572</Characters>
  <Application>Microsoft Office Word</Application>
  <DocSecurity>0</DocSecurity>
  <Lines>138</Lines>
  <Paragraphs>37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18821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2019-10-30T09:47:00Z</dcterms:created>
  <dc:creator>loginovic</dc:creator>
  <lastModifiedBy>TAMALIŪNIENĖ Vilija</lastModifiedBy>
  <lastPrinted>2019-09-24T07:04:00Z</lastPrinted>
  <dcterms:modified xsi:type="dcterms:W3CDTF">2025-04-04T12:07:00Z</dcterms:modified>
  <revision>11</revision>
  <dc:title>2001-05-00</dc:title>
</coreProperties>
</file>