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75e8f9eab249bbad1ab212ce4070ab"/>
        <w:lock w:val="sdtLocked"/>
        <w:richText/>
      </w:sdtPr>
      <w:sdtContent>
        <w:p>
          <w:pPr>
            <w:jc w:val="both"/>
            <w:rPr>
              <w:rFonts w:ascii="Arial" w:hAnsi="Arial"/>
            </w:rPr>
          </w:pPr>
          <w:r>
            <w:rPr>
              <w:rFonts w:ascii="Arial" w:hAnsi="Arial"/>
              <w:b/>
              <w:i/>
            </w:rPr>
            <w:t>Suvestinė redakcija nuo 2024-06-15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2016-11-21, i. k. 2016-27168</w:t>
          </w:r>
        </w:p>
        <w:p>
          <w:pPr>
            <w:jc w:val="both"/>
            <w:rPr>
              <w:rFonts w:ascii="Arial" w:hAnsi="Arial"/>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5053b2a58cd9497a8a9940168bc74318"/>
        <w:lock w:val="sdtLocked"/>
        <w:richText/>
      </w:sdtPr>
      <w:sdtContent>
        <w:p>
          <w:pPr>
            <w:ind w:firstLine="5387"/>
            <w:sectPr>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5053b2a58cd9497a8a9940168bc74318"/>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3ca0c70846b245a591fd77348c3e0eb5"/>
                    <w:lock w:val="sdtLocked"/>
                    <w:richText/>
                  </w:sdtPr>
                  <w:sdtContent>
                    <w:p>
                      <w:pPr>
                        <w:spacing w:line="23" w:lineRule="atLeast"/>
                        <w:ind w:firstLine="709"/>
                        <w:jc w:val="both"/>
                        <w:rPr>
                          <w:szCs w:val="24"/>
                          <w:lang w:eastAsia="lt-LT"/>
                        </w:rPr>
                      </w:pPr>
                      <w:sdt>
                        <w:sdtPr>
                          <w:alias w:val="Numeris"/>
                          <w:tag w:val="nr_3ca0c70846b245a591fd77348c3e0eb5"/>
                          <w:lock w:val="sdtLocked"/>
                          <w:richText/>
                        </w:sdtPr>
                        <w:sdtContent>
                          <w:r>
                            <w:rPr>
                              <w:szCs w:val="24"/>
                              <w:lang w:eastAsia="lt-LT"/>
                            </w:rPr>
                            <w:t>4.7</w:t>
                          </w:r>
                        </w:sdtContent>
                      </w:sdt>
                      <w:r>
                        <w:rPr>
                          <w:szCs w:val="24"/>
                          <w:lang w:eastAsia="lt-LT"/>
                        </w:rPr>
                        <w:t xml:space="preserve">. </w:t>
                      </w:r>
                      <w:r>
                        <w:rPr>
                          <w:b/>
                          <w:bCs/>
                          <w:szCs w:val="24"/>
                          <w:lang w:eastAsia="lt-LT"/>
                        </w:rPr>
                        <w:t>vėjo elektrinė</w:t>
                      </w:r>
                      <w:r>
                        <w:rPr>
                          <w:szCs w:val="24"/>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p>
                      <w:pPr>
                        <w:spacing w:line="23" w:lineRule="atLeast"/>
                        <w:ind w:firstLine="709"/>
                        <w:jc w:val="both"/>
                      </w:pPr>
                      <w:r>
                        <w:rPr>
                          <w:szCs w:val="24"/>
                          <w:lang w:eastAsia="lt-LT"/>
                        </w:rPr>
                        <w:t xml:space="preserve">Vėjo elektrinės, kaip inžinerinio statinio, aukštis </w:t>
                      </w:r>
                      <w:r>
                        <w:t>matuojamas nuo žemės paviršiaus iki vėjo elektrinės konstrukcijos (bokšto ar stiebo) aukščiausio taško (neįskaičiuojant vėjo elektrinės gondolos, sparnuotės aukščio)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4.8 pp."/>
                    <w:tag w:val="part_0d30c51a66bb48b2993c1524fd2d4c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d30c51a66bb48b2993c1524fd2d4c88"/>
                          <w:lock w:val="sdtLocked"/>
                          <w:richText/>
                        </w:sdtPr>
                        <w:sdtContent>
                          <w:r>
                            <w:t>4.8</w:t>
                          </w:r>
                        </w:sdtContent>
                      </w:sdt>
                      <w:r>
                        <w:t xml:space="preserve">. </w:t>
                      </w:r>
                      <w:r>
                        <w:rPr>
                          <w:b/>
                        </w:rPr>
                        <w:t>kietojo kuro sandėlis</w:t>
                      </w:r>
                      <w:r>
                        <w:t xml:space="preserve"> –pastatas ar patalpa kietajam kurui (malkoms, anglims, durpėms ir kt.) laikyti;</w:t>
                      </w:r>
                    </w:p>
                  </w:sdtContent>
                </w:sdt>
                <w:sdt>
                  <w:sdtPr>
                    <w:alias w:val="4.9 pp."/>
                    <w:tag w:val="part_199924869b4d48ca9237deb2748c4460"/>
                    <w:lock w:val="sdtLocked"/>
                    <w:richText/>
                  </w:sdtPr>
                  <w:sdtContent>
                    <w:p>
                      <w:pPr>
                        <w:ind w:firstLine="709"/>
                        <w:jc w:val="both"/>
                        <w:rPr>
                          <w:b/>
                        </w:rPr>
                      </w:pPr>
                      <w:sdt>
                        <w:sdtPr>
                          <w:alias w:val="Numeris"/>
                          <w:tag w:val="nr_199924869b4d48ca9237deb2748c4460"/>
                          <w:lock w:val="sdtLocked"/>
                          <w:richText/>
                        </w:sdtPr>
                        <w:sdtContent>
                          <w:r>
                            <w:rPr>
                              <w:szCs w:val="24"/>
                              <w:lang w:eastAsia="lt-LT"/>
                            </w:rPr>
                            <w:t>4.9</w:t>
                          </w:r>
                        </w:sdtContent>
                      </w:sdt>
                      <w:r>
                        <w:rPr>
                          <w:szCs w:val="24"/>
                          <w:lang w:eastAsia="lt-LT"/>
                        </w:rPr>
                        <w:t>. automatizuotų sandėliavimo sistemų statinys – inžinerinis statinys, naudojamas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9b6c7581cd8348dd8930e58a168e5caf"/>
                        <w:lock w:val="sdtLocked"/>
                        <w:richText/>
                      </w:sdtPr>
                      <w:sdtContent>
                        <w:p>
                          <w:pPr>
                            <w:spacing w:line="23" w:lineRule="atLeast"/>
                            <w:ind w:firstLine="709"/>
                            <w:jc w:val="both"/>
                            <w:rPr>
                              <w:rFonts w:ascii="TimesLT" w:hAnsi="TimesLT"/>
                            </w:rPr>
                          </w:pPr>
                          <w:sdt>
                            <w:sdtPr>
                              <w:alias w:val="Numeris"/>
                              <w:tag w:val="nr_9b6c7581cd8348dd8930e58a168e5caf"/>
                              <w:lock w:val="sdtLocked"/>
                              <w:richText/>
                            </w:sdtPr>
                            <w:sdtContent>
                              <w:r>
                                <w:rPr>
                                  <w:szCs w:val="24"/>
                                  <w:lang w:eastAsia="lt-LT"/>
                                </w:rPr>
                                <w:t>7.8</w:t>
                              </w:r>
                            </w:sdtContent>
                          </w:sdt>
                          <w:r>
                            <w:rPr>
                              <w:szCs w:val="24"/>
                              <w:lang w:eastAsia="lt-LT"/>
                            </w:rPr>
                            <w:t>. gamybos, pramonės paskirties pastatai – gamybai skirti pastatai (gamyklos, dirbtuvės, produkcijos pramonės perdirbimo įmonės, kalvės, energetikos pastatai (energetikos gavybos ir gamybos pastatai, energijai perduoti ar skirstyti naudojami pastatai), gamybinės laboratorijos, kūrybinės dirbtuvės (išskyrus skirtas savo ar savo šeimos reikmėms ir (arba) kuriose vienu metu dirba ne daugiau kaip 5 žmonės ir nenaudojami potencialiai pavojingi įrenginiai), skerdyklos, pastatai, kuriuose įrengta technologija uždaru būdu veisti, auginti ir perdirbti vandens organizmus</w:t>
                          </w:r>
                          <w:r>
                            <w:rPr>
                              <w:b/>
                              <w:bCs/>
                              <w:szCs w:val="24"/>
                              <w:lang w:eastAsia="lt-LT"/>
                            </w:rPr>
                            <w:t xml:space="preserve"> </w:t>
                          </w:r>
                          <w:r>
                            <w:rPr>
                              <w:szCs w:val="24"/>
                              <w:lang w:eastAsia="lt-LT"/>
                            </w:rPr>
                            <w:t>ir kita);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d51d764569594d5e83b64f3df55799b6"/>
                        <w:lock w:val="sdtLocked"/>
                        <w:richText/>
                      </w:sdtPr>
                      <w:sdtContent>
                        <w:p>
                          <w:pPr>
                            <w:spacing w:line="23" w:lineRule="atLeast"/>
                            <w:ind w:firstLine="709"/>
                            <w:jc w:val="both"/>
                          </w:pPr>
                          <w:sdt>
                            <w:sdtPr>
                              <w:alias w:val="Numeris"/>
                              <w:tag w:val="nr_d51d764569594d5e83b64f3df55799b6"/>
                              <w:lock w:val="sdtLocked"/>
                              <w:richText/>
                            </w:sdtPr>
                            <w:sdtContent>
                              <w:r>
                                <w:rPr>
                                  <w:color w:val="000000"/>
                                  <w:szCs w:val="24"/>
                                </w:rPr>
                                <w:t>8.3</w:t>
                              </w:r>
                            </w:sdtContent>
                          </w:sdt>
                          <w:r>
                            <w:rPr>
                              <w:color w:val="000000"/>
                              <w:szCs w:val="24"/>
                            </w:rPr>
                            <w:t>. geležinkelio kelias – inžinerinis statinys, kurį sudaro žemės sankasa, viršutinė kelio konstrukcija (antpilo sluoksnis, pabėgiai, bėgiai) ir kiti inžineriniai įrenginiai;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cd6d9027660d495c9e70d69af1b5259f"/>
                        <w:lock w:val="sdtLocked"/>
                        <w:richText/>
                      </w:sdtPr>
                      <w:sdtContent>
                        <w:p>
                          <w:pPr>
                            <w:tabs>
                              <w:tab w:val="left" w:pos="426"/>
                            </w:tabs>
                            <w:ind w:firstLine="720"/>
                            <w:jc w:val="both"/>
                          </w:pPr>
                          <w:sdt>
                            <w:sdtPr>
                              <w:alias w:val="Numeris"/>
                              <w:tag w:val="nr_cd6d9027660d495c9e70d69af1b5259f"/>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bbfb8cd225114495ab119b2c8d28567c"/>
                        <w:lock w:val="sdtLocked"/>
                        <w:richText/>
                      </w:sdtPr>
                      <w:sdtContent>
                        <w:p>
                          <w:pPr>
                            <w:spacing w:line="23" w:lineRule="atLeast"/>
                            <w:ind w:firstLine="709"/>
                            <w:jc w:val="both"/>
                          </w:pPr>
                          <w:sdt>
                            <w:sdtPr>
                              <w:alias w:val="Numeris"/>
                              <w:tag w:val="nr_bbfb8cd225114495ab119b2c8d28567c"/>
                              <w:lock w:val="sdtLocked"/>
                              <w:richText/>
                            </w:sdtPr>
                            <w:sdtContent>
                              <w:r>
                                <w:rPr>
                                  <w:color w:val="000000"/>
                                </w:rPr>
                                <w:t>9.6</w:t>
                              </w:r>
                            </w:sdtContent>
                          </w:sdt>
                          <w:r>
                            <w:rPr>
                              <w:color w:val="000000"/>
                            </w:rPr>
                            <w:t>. elektros tinklai − perdavimo, tiesioginių linijų elektros tinklai, kiti inžineriniai statiniai;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a3eabd963e05466cadd844589bfc1a28"/>
                    <w:lock w:val="sdtLocked"/>
                    <w:richText/>
                  </w:sdtPr>
                  <w:sdtContent>
                    <w:p>
                      <w:pPr>
                        <w:ind w:firstLine="709"/>
                        <w:jc w:val="both"/>
                        <w:rPr>
                          <w:sz w:val="20"/>
                        </w:rPr>
                      </w:pPr>
                      <w:sdt>
                        <w:sdtPr>
                          <w:alias w:val="Numeris"/>
                          <w:tag w:val="nr_a3eabd963e05466cadd844589bfc1a28"/>
                          <w:lock w:val="sdtLocked"/>
                          <w:richText/>
                        </w:sdtPr>
                        <w:sdtContent>
                          <w:r>
                            <w:rPr>
                              <w:szCs w:val="24"/>
                              <w:lang w:eastAsia="lt-LT"/>
                            </w:rPr>
                            <w:t>12</w:t>
                          </w:r>
                        </w:sdtContent>
                      </w:sdt>
                      <w:r>
                        <w:rPr>
                          <w:szCs w:val="24"/>
                          <w:lang w:eastAsia="lt-LT"/>
                        </w:rPr>
                        <w:t>. Kitos paskirties inžineriniai statiniai</w:t>
                      </w:r>
                      <w:r>
                        <w:rPr>
                          <w:b/>
                          <w:bCs/>
                          <w:szCs w:val="24"/>
                          <w:lang w:eastAsia="lt-LT"/>
                        </w:rPr>
                        <w:t xml:space="preserve"> </w:t>
                      </w:r>
                      <w:r>
                        <w:rPr>
                          <w:szCs w:val="24"/>
                          <w:lang w:eastAsia="lt-LT"/>
                        </w:rPr>
                        <w:t>[3.26] − fortai, bunkeriai, šaudyklos, techniniai stebėjimo bokštai, sąvartynai, atsinaujinančių išteklių energiją naudojantys energijos gamybos statiniai (vėjo elektrinės, saulės šviesos energijos elektrinės, saulės šilumos energijos kolektoriai ir kiti), transporterių galerijos, estrados, automatizuotų sandėliavimo sistemų statiniai</w:t>
                      </w:r>
                      <w:r>
                        <w:rPr>
                          <w:bCs/>
                          <w:szCs w:val="24"/>
                          <w:lang w:eastAsia="lt-LT"/>
                        </w:rPr>
                        <w:t>,</w:t>
                      </w:r>
                      <w:r>
                        <w:rPr>
                          <w:szCs w:val="24"/>
                          <w:lang w:eastAsia="lt-LT"/>
                        </w:rPr>
                        <w:t xml:space="preserve">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3df1880a94b04e7ebe5b700e2e9ea65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3df1880a94b04e7ebe5b700e2e9ea65f"/>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672"/>
                        <w:gridCol w:w="2731"/>
                        <w:gridCol w:w="640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pacing w:line="23" w:lineRule="atLeast"/>
                              <w:rPr>
                                <w:szCs w:val="24"/>
                                <w:lang w:eastAsia="lt-LT"/>
                              </w:rPr>
                            </w:pPr>
                            <w:r>
                              <w:rPr>
                                <w:szCs w:val="24"/>
                                <w:lang w:eastAsia="lt-LT"/>
                              </w:rPr>
                              <w:t>Geležinkelio keliai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pacing w:line="23" w:lineRule="atLeast"/>
                              <w:rPr>
                                <w:szCs w:val="24"/>
                                <w:lang w:eastAsia="lt-LT"/>
                              </w:rPr>
                            </w:pPr>
                            <w:r>
                              <w:rPr>
                                <w:szCs w:val="24"/>
                                <w:lang w:eastAsia="lt-LT"/>
                              </w:rPr>
                              <w:t>riedmenų greitis 60 km/h ir daugiau arba yra kontaktinis 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center"/>
                              <w:rPr>
                                <w:bCs/>
                                <w:szCs w:val="24"/>
                                <w:lang w:eastAsia="lt-LT"/>
                              </w:rPr>
                            </w:pPr>
                            <w:r>
                              <w:rPr>
                                <w:bCs/>
                                <w:szCs w:val="24"/>
                                <w:lang w:eastAsia="lt-LT"/>
                              </w:rPr>
                              <w:t>19</w:t>
                            </w:r>
                            <w:r>
                              <w:rPr>
                                <w:bCs/>
                                <w:szCs w:val="24"/>
                                <w:vertAlign w:val="superscript"/>
                                <w:lang w:eastAsia="lt-LT"/>
                              </w:rPr>
                              <w:t>1</w:t>
                            </w:r>
                            <w:r>
                              <w:rPr>
                                <w:bCs/>
                                <w:szCs w:val="24"/>
                                <w:lang w:eastAsia="lt-LT"/>
                              </w:rPr>
                              <w:t>.</w:t>
                            </w:r>
                          </w:p>
                          <w:p>
                            <w:pPr>
                              <w:ind w:firstLine="62"/>
                              <w:rPr>
                                <w:bCs/>
                                <w:szCs w:val="24"/>
                                <w:lang w:eastAsia="lt-LT"/>
                              </w:rPr>
                            </w:pPr>
                          </w:p>
                          <w:p>
                            <w:pPr>
                              <w:ind w:firstLine="62"/>
                              <w:jc w:val="center"/>
                              <w:rPr>
                                <w:bCs/>
                                <w:szCs w:val="24"/>
                                <w:lang w:eastAsia="lt-LT"/>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bCs/>
                                <w:szCs w:val="24"/>
                                <w:lang w:eastAsia="lt-LT"/>
                              </w:rPr>
                            </w:pPr>
                            <w:r>
                              <w:rPr>
                                <w:szCs w:val="24"/>
                                <w:lang w:eastAsia="lt-LT"/>
                              </w:rPr>
                              <w:t>Automatizuotų sandėliavimo sistemų statiniai</w:t>
                            </w:r>
                          </w:p>
                          <w:p>
                            <w:pPr>
                              <w:ind w:firstLine="62"/>
                              <w:rPr>
                                <w:bCs/>
                                <w:szCs w:val="24"/>
                                <w:lang w:eastAsia="lt-LT"/>
                              </w:rPr>
                            </w:pPr>
                          </w:p>
                          <w:p>
                            <w:pPr>
                              <w:ind w:firstLine="62"/>
                              <w:rPr>
                                <w:bCs/>
                                <w:szCs w:val="24"/>
                                <w:lang w:eastAsia="lt-LT"/>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bCs/>
                                <w:szCs w:val="24"/>
                                <w:lang w:eastAsia="lt-LT"/>
                              </w:rPr>
                            </w:pPr>
                            <w:r>
                              <w:rPr>
                                <w:bCs/>
                                <w:szCs w:val="24"/>
                                <w:lang w:eastAsia="lt-LT"/>
                              </w:rPr>
                              <w:t>20 m ir aukštesni</w:t>
                            </w:r>
                          </w:p>
                          <w:p>
                            <w:pPr>
                              <w:rPr>
                                <w:sz w:val="10"/>
                                <w:szCs w:val="10"/>
                              </w:rPr>
                            </w:pPr>
                          </w:p>
                          <w:p>
                            <w:pPr>
                              <w:ind w:firstLine="62"/>
                              <w:jc w:val="both"/>
                              <w:rPr>
                                <w:bCs/>
                                <w:szCs w:val="24"/>
                                <w:lang w:eastAsia="lt-LT"/>
                              </w:rPr>
                            </w:pPr>
                            <w:r>
                              <w:rPr>
                                <w:bCs/>
                                <w:szCs w:val="24"/>
                                <w:lang w:eastAsia="lt-LT"/>
                              </w:rPr>
                              <w:t>įgilinti 7 m ir daugiau skaičiuojant nuo inžineriniu statiniu užstatyto žemės paviršiaus vidutinės altitudės</w:t>
                            </w:r>
                          </w:p>
                          <w:p>
                            <w:pPr>
                              <w:rPr>
                                <w:sz w:val="10"/>
                                <w:szCs w:val="10"/>
                              </w:rPr>
                            </w:pPr>
                          </w:p>
                          <w:p>
                            <w:pPr>
                              <w:ind w:firstLine="62"/>
                              <w:jc w:val="both"/>
                              <w:rPr>
                                <w:bCs/>
                                <w:szCs w:val="24"/>
                                <w:lang w:eastAsia="lt-LT"/>
                              </w:rPr>
                            </w:pPr>
                            <w:r>
                              <w:rPr>
                                <w:bCs/>
                                <w:szCs w:val="24"/>
                                <w:lang w:eastAsia="lt-LT"/>
                              </w:rPr>
                              <w:t>konsolinių inžinerinio statinio dalių laikančiosios konstrukcijos, išsikišančios nuo fasado plokštumos daugiau kaip 3 m</w:t>
                            </w:r>
                          </w:p>
                          <w:p>
                            <w:pPr>
                              <w:rPr>
                                <w:sz w:val="10"/>
                                <w:szCs w:val="10"/>
                              </w:rPr>
                            </w:pPr>
                          </w:p>
                          <w:p>
                            <w:pPr>
                              <w:ind w:firstLine="62"/>
                              <w:jc w:val="both"/>
                              <w:rPr>
                                <w:bCs/>
                                <w:szCs w:val="24"/>
                                <w:lang w:eastAsia="lt-LT"/>
                              </w:rPr>
                            </w:pPr>
                            <w:r>
                              <w:rPr>
                                <w:bCs/>
                                <w:szCs w:val="24"/>
                                <w:lang w:eastAsia="lt-LT"/>
                              </w:rPr>
                              <w:t>inžineriniai statiniai, kurių laikančiosios konstrukcijos tarp atramų (angos) ilgesnės kaip 12 m</w:t>
                            </w:r>
                          </w:p>
                          <w:p>
                            <w:pPr>
                              <w:rPr>
                                <w:sz w:val="10"/>
                                <w:szCs w:val="10"/>
                              </w:rPr>
                            </w:pPr>
                          </w:p>
                          <w:p>
                            <w:pPr>
                              <w:ind w:firstLine="62"/>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 xml:space="preserve"> </w:t>
                            </w:r>
                          </w:p>
                          <w:p>
                            <w:pPr>
                              <w:rPr>
                                <w:sz w:val="10"/>
                                <w:szCs w:val="10"/>
                              </w:rPr>
                            </w:pPr>
                          </w:p>
                          <w:p>
                            <w:pPr>
                              <w:ind w:firstLine="62"/>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center"/>
                              <w:rPr>
                                <w:sz w:val="10"/>
                                <w:szCs w:val="10"/>
                              </w:rPr>
                            </w:pPr>
                            <w:r>
                              <w:rPr>
                                <w:szCs w:val="24"/>
                                <w:lang w:eastAsia="lt-LT"/>
                              </w:rPr>
                              <w:t>19</w:t>
                            </w:r>
                            <w:r>
                              <w:rPr>
                                <w:szCs w:val="24"/>
                                <w:vertAlign w:val="superscript"/>
                                <w:lang w:eastAsia="lt-LT"/>
                              </w:rPr>
                              <w:t>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pacing w:line="23" w:lineRule="atLeast"/>
                              <w:rPr>
                                <w:szCs w:val="24"/>
                                <w:lang w:eastAsia="lt-LT"/>
                              </w:rPr>
                            </w:pPr>
                            <w:r>
                              <w:rPr>
                                <w:szCs w:val="24"/>
                                <w:lang w:eastAsia="lt-LT"/>
                              </w:rPr>
                              <w:t>Turintys stogą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pacing w:line="23" w:lineRule="atLeast"/>
                              <w:rPr>
                                <w:color w:val="000000"/>
                              </w:rPr>
                            </w:pPr>
                            <w:r>
                              <w:rPr>
                                <w:color w:val="000000"/>
                              </w:rPr>
                              <w:t>20 m ir aukštesni</w:t>
                            </w:r>
                          </w:p>
                          <w:p>
                            <w:pPr>
                              <w:spacing w:line="23" w:lineRule="atLeast"/>
                              <w:rPr>
                                <w:color w:val="000000"/>
                              </w:rPr>
                            </w:pPr>
                          </w:p>
                          <w:p>
                            <w:pPr>
                              <w:spacing w:line="23" w:lineRule="atLeast"/>
                              <w:rPr>
                                <w:szCs w:val="24"/>
                                <w:lang w:eastAsia="lt-LT"/>
                              </w:rPr>
                            </w:pPr>
                            <w:r>
                              <w:rPr>
                                <w:color w:val="000000"/>
                              </w:rPr>
                              <w:t>inžineriniai statiniai, kurių laikančiosios konstrukcijos tarp atramų (angos) ilgesnės kaip 12 m</w:t>
                            </w:r>
                            <w:r>
                              <w:rPr>
                                <w:szCs w:val="24"/>
                                <w:lang w:eastAsia="lt-LT"/>
                              </w:rPr>
                              <w:t>“.</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e4655dbe3b484395b93223c2f8fa8c4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e4655dbe3b484395b93223c2f8fa8c41"/>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b/>
                                    <w:bCs/>
                                    <w:szCs w:val="24"/>
                                    <w:lang w:eastAsia="lt-LT"/>
                                  </w:rPr>
                                </w:pPr>
                                <w:r>
                                  <w:rPr>
                                    <w:bCs/>
                                    <w:szCs w:val="24"/>
                                    <w:lang w:eastAsia="lt-LT"/>
                                  </w:rPr>
                                  <w:t>galingumas ≤ 100 kW</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14fda0af0511eab9d9cd0c85e0b745">
                            <w:r w:rsidRPr="00532B9F">
                              <w:rPr>
                                <w:rFonts w:ascii="Arial" w:eastAsia="MS Mincho" w:hAnsi="Arial"/>
                                <w:sz w:val="20"/>
                                <w:i/>
                                <w:iCs/>
                                <w:color w:val="0000FF" w:themeColor="hyperlink"/>
                                <w:u w:val="single"/>
                              </w:rPr>
                              <w:t>D1-356</w:t>
                            </w:r>
                          </w:fldSimple>
                          <w:r>
                            <w:rPr>
                              <w:rFonts w:ascii="Arial" w:eastAsia="MS Mincho" w:hAnsi="Arial"/>
                              <w:sz w:val="20"/>
                              <w:i/>
                              <w:iCs/>
                            </w:rPr>
                            <w:t>,
2020-06-11,
paskelbta TAR 2020-06-15, i. k. 2020-13064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34812d16ef60499d8468df977c85e1d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pPr>
              <w:r>
                <w:rPr>
                  <w:szCs w:val="24"/>
                </w:rPr>
                <w:t>_________________</w:t>
              </w:r>
            </w:p>
          </w:sdtContent>
        </w:sdt>
      </w:sdtContent>
    </w:sdt>
    <w:sdt>
      <w:sdtPr>
        <w:alias w:val="pr."/>
        <w:tag w:val="part_8b67766a541f44eab1fe90fb70fa68d2"/>
        <w:lock w:val="sdtLocked"/>
        <w:richText/>
      </w:sdtPr>
      <w:sdtContent>
        <w:p>
          <w:pPr>
            <w:suppressAutoHyphens/>
            <w:ind w:right="26"/>
            <w:jc w:val="right"/>
            <w:textAlignment w:val="center"/>
            <w:sectPr>
              <w:headerReference w:type="even" r:id="rId15"/>
              <w:headerReference w:type="default" r:id="rId16"/>
              <w:footerReference w:type="even" r:id="rId17"/>
              <w:footerReference w:type="default" r:id="rId18"/>
              <w:headerReference w:type="first" r:id="rId19"/>
              <w:footerReference w:type="first" r:id="rId20"/>
              <w:pgSz w:w="11906" w:h="16838"/>
              <w:pgMar w:top="1077" w:right="567" w:bottom="1701" w:left="1701" w:header="567" w:footer="567" w:gutter="0"/>
              <w:pgNumType w:start="1"/>
              <w:cols w:space="1296"/>
              <w:titlePg/>
              <w:docGrid w:linePitch="360"/>
            </w:sectPr>
          </w:pPr>
        </w:p>
        <w:p>
          <w:pPr>
            <w:suppressAutoHyphens/>
            <w:ind w:left="9356" w:right="26"/>
            <w:textAlignment w:val="center"/>
            <w:rPr>
              <w:color w:val="000000"/>
              <w:szCs w:val="24"/>
              <w:lang w:eastAsia="lt-LT"/>
            </w:rPr>
          </w:pPr>
          <w:r>
            <w:rPr>
              <w:color w:val="000000"/>
              <w:szCs w:val="24"/>
              <w:lang w:eastAsia="lt-LT"/>
            </w:rPr>
            <w:t>STR 1.01.03:2017 „Statinių ir patalpų klasifikavimas“</w:t>
          </w:r>
        </w:p>
        <w:p>
          <w:pPr>
            <w:suppressAutoHyphens/>
            <w:ind w:left="9356" w:right="26"/>
            <w:textAlignment w:val="center"/>
            <w:rPr>
              <w:color w:val="000000"/>
              <w:szCs w:val="24"/>
              <w:lang w:eastAsia="lt-LT"/>
            </w:rPr>
          </w:pPr>
          <w:r>
            <w:rPr>
              <w:color w:val="000000"/>
              <w:szCs w:val="24"/>
              <w:lang w:eastAsia="lt-LT"/>
            </w:rPr>
            <w:t>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6804" w:right="-1"/>
            <w:textAlignment w:val="center"/>
            <w:rPr>
              <w:color w:val="000000"/>
              <w:sz w:val="27"/>
              <w:szCs w:val="27"/>
              <w:lang w:eastAsia="lt-LT"/>
            </w:rPr>
          </w:pPr>
        </w:p>
        <w:p>
          <w:pPr>
            <w:widowControl w:val="0"/>
            <w:suppressAutoHyphens/>
            <w:ind w:right="26"/>
            <w:jc w:val="center"/>
            <w:rPr>
              <w:b/>
              <w:caps/>
              <w:lang w:eastAsia="zh-CN"/>
            </w:rPr>
          </w:pPr>
          <w:sdt>
            <w:sdtPr>
              <w:alias w:val="Pavadinimas"/>
              <w:tag w:val="title_8b67766a541f44eab1fe90fb70fa68d2"/>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d0b63f55e3b647a7a9b374b722841402"/>
            <w:lock w:val="sdtLocked"/>
            <w:richText/>
          </w:sdtPr>
          <w:sdtContent>
            <w:p>
              <w:pPr>
                <w:widowControl w:val="0"/>
                <w:suppressAutoHyphens/>
                <w:jc w:val="center"/>
                <w:rPr>
                  <w:b/>
                  <w:caps/>
                  <w:lang w:eastAsia="zh-CN"/>
                </w:rPr>
              </w:pPr>
              <w:sdt>
                <w:sdtPr>
                  <w:alias w:val="Numeris"/>
                  <w:tag w:val="nr_d0b63f55e3b647a7a9b374b722841402"/>
                  <w:lock w:val="sdtLocked"/>
                  <w:richText/>
                </w:sdtPr>
                <w:sdtContent>
                  <w:r>
                    <w:rPr>
                      <w:b/>
                      <w:caps/>
                      <w:lang w:eastAsia="zh-CN"/>
                    </w:rPr>
                    <w:t>i</w:t>
                  </w:r>
                </w:sdtContent>
              </w:sdt>
              <w:r>
                <w:rPr>
                  <w:b/>
                  <w:caps/>
                  <w:lang w:eastAsia="zh-CN"/>
                </w:rPr>
                <w:t xml:space="preserve">. </w:t>
              </w:r>
              <w:sdt>
                <w:sdtPr>
                  <w:alias w:val="Pavadinimas"/>
                  <w:tag w:val="title_d0b63f55e3b647a7a9b374b722841402"/>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55a7c3e706bc4c88b541c76600e7660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s>
                    <w:suppressAutoHyphens/>
                    <w:spacing w:line="280" w:lineRule="auto"/>
                    <w:ind w:right="26"/>
                    <w:jc w:val="right"/>
                    <w:rPr>
                      <w:szCs w:val="24"/>
                      <w:lang w:eastAsia="zh-CN"/>
                    </w:rPr>
                  </w:pPr>
                  <w:sdt>
                    <w:sdtPr>
                      <w:alias w:val="Numeris"/>
                      <w:tag w:val="nr_55a7c3e706bc4c88b541c76600e76607"/>
                      <w:lock w:val="sdtLocked"/>
                      <w:richText/>
                    </w:sdtPr>
                    <w:sdtContent>
                      <w:r>
                        <w:rPr>
                          <w:szCs w:val="24"/>
                          <w:lang w:eastAsia="zh-CN"/>
                        </w:rPr>
                        <w:t>1</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Pr>
                      <w:p>
                        <w:pPr>
                          <w:suppressAutoHyphens/>
                          <w:spacing w:line="276" w:lineRule="auto"/>
                          <w:rPr>
                            <w:rFonts w:eastAsia="Calibri"/>
                            <w:lang w:eastAsia="zh-CN"/>
                          </w:rPr>
                        </w:pPr>
                        <w:r>
                          <w:rPr>
                            <w:rFonts w:eastAsia="Calibri"/>
                            <w:lang w:eastAsia="zh-CN"/>
                          </w:rPr>
                          <w:t>Gyvenamieji pastatai</w:t>
                        </w:r>
                      </w:p>
                    </w:tc>
                    <w:tc>
                      <w:tcPr>
                        <w:tcW w:w="2977" w:type="dxa"/>
                        <w:vMerge w:val="restart"/>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Pr>
                      <w:p>
                        <w:pPr>
                          <w:suppressAutoHyphens/>
                          <w:spacing w:line="276" w:lineRule="auto"/>
                          <w:rPr>
                            <w:rFonts w:eastAsia="Calibri"/>
                            <w:bCs/>
                            <w:szCs w:val="24"/>
                            <w:lang w:eastAsia="zh-CN"/>
                          </w:rPr>
                        </w:pPr>
                        <w:r>
                          <w:rPr>
                            <w:rFonts w:eastAsia="Calibri"/>
                            <w:lang w:eastAsia="zh-CN"/>
                          </w:rPr>
                          <w:t>4. Komercinių</w:t>
                        </w:r>
                      </w:p>
                    </w:tc>
                    <w:tc>
                      <w:tcPr>
                        <w:tcW w:w="2977" w:type="dxa"/>
                      </w:tcPr>
                      <w:p>
                        <w:pPr>
                          <w:suppressAutoHyphens/>
                          <w:spacing w:line="276" w:lineRule="auto"/>
                          <w:rPr>
                            <w:rFonts w:eastAsia="Calibri"/>
                            <w:bCs/>
                            <w:szCs w:val="24"/>
                            <w:lang w:eastAsia="zh-CN"/>
                          </w:rPr>
                        </w:pPr>
                        <w:r>
                          <w:rPr>
                            <w:rFonts w:eastAsia="Calibri"/>
                            <w:szCs w:val="24"/>
                            <w:lang w:eastAsia="zh-CN"/>
                          </w:rPr>
                          <w:t>4.1. Viešbučių</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4.4. Paslaugų pastatai</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lang w:eastAsia="zh-CN"/>
                          </w:rPr>
                        </w:pPr>
                        <w:r>
                          <w:rPr>
                            <w:rFonts w:eastAsia="Calibri"/>
                            <w:lang w:eastAsia="zh-CN"/>
                          </w:rPr>
                          <w:t>2.2. Administracinė</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5. Administracinių</w:t>
                        </w:r>
                      </w:p>
                    </w:tc>
                    <w:tc>
                      <w:tcPr>
                        <w:tcW w:w="2977" w:type="dxa"/>
                      </w:tcPr>
                      <w:p>
                        <w:pPr>
                          <w:suppressAutoHyphens/>
                          <w:spacing w:line="276" w:lineRule="auto"/>
                          <w:rPr>
                            <w:rFonts w:eastAsia="Calibri"/>
                            <w:lang w:eastAsia="zh-CN"/>
                          </w:rPr>
                        </w:pPr>
                        <w:r>
                          <w:rPr>
                            <w:rFonts w:eastAsia="Calibri"/>
                            <w:lang w:eastAsia="zh-CN"/>
                          </w:rPr>
                          <w:t>5.1. Administracinė</w:t>
                        </w:r>
                      </w:p>
                    </w:tc>
                  </w:tr>
                  <w:tr>
                    <w:trPr>
                      <w:trHeight w:val="276"/>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Pr>
                      <w:p>
                        <w:pPr>
                          <w:suppressAutoHyphens/>
                          <w:spacing w:line="276" w:lineRule="auto"/>
                          <w:rPr>
                            <w:rFonts w:eastAsia="Calibri"/>
                            <w:szCs w:val="24"/>
                            <w:lang w:eastAsia="zh-CN"/>
                          </w:rPr>
                        </w:pPr>
                      </w:p>
                    </w:tc>
                    <w:tc>
                      <w:tcPr>
                        <w:tcW w:w="2977" w:type="dxa"/>
                        <w:vMerge w:val="restart"/>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Pr>
                      <w:p>
                        <w:pPr>
                          <w:suppressAutoHyphens/>
                          <w:spacing w:line="276" w:lineRule="auto"/>
                          <w:rPr>
                            <w:rFonts w:eastAsia="Calibri"/>
                            <w:szCs w:val="24"/>
                            <w:lang w:eastAsia="zh-CN"/>
                          </w:rPr>
                        </w:pPr>
                      </w:p>
                    </w:tc>
                    <w:tc>
                      <w:tcPr>
                        <w:tcW w:w="2977" w:type="dxa"/>
                        <w:vMerge w:val="restart"/>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Pr>
                      <w:p>
                        <w:pPr>
                          <w:suppressAutoHyphens/>
                          <w:spacing w:line="276" w:lineRule="auto"/>
                          <w:rPr>
                            <w:rFonts w:eastAsia="Calibri"/>
                            <w:szCs w:val="24"/>
                            <w:lang w:eastAsia="zh-CN"/>
                          </w:rPr>
                        </w:pPr>
                      </w:p>
                    </w:tc>
                    <w:tc>
                      <w:tcPr>
                        <w:tcW w:w="2977" w:type="dxa"/>
                        <w:vMerge w:val="restart"/>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2.11. Mokslo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2.12. Gydymo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trike/>
                            <w:szCs w:val="24"/>
                            <w:highlight w:val="lightGray"/>
                            <w:lang w:eastAsia="zh-CN"/>
                          </w:rPr>
                        </w:pPr>
                        <w:r>
                          <w:rPr>
                            <w:rFonts w:eastAsia="Calibri"/>
                            <w:szCs w:val="24"/>
                            <w:lang w:eastAsia="zh-CN"/>
                          </w:rPr>
                          <w:t>2.14 Sporto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8.5. Religinė</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8.6. Specialioji</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9. Pagalbinė</w:t>
                        </w:r>
                      </w:p>
                    </w:tc>
                    <w:tc>
                      <w:tcPr>
                        <w:tcW w:w="2977" w:type="dxa"/>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Pr>
                      <w:p>
                        <w:pPr>
                          <w:suppressAutoHyphens/>
                          <w:spacing w:line="276" w:lineRule="auto"/>
                          <w:rPr>
                            <w:rFonts w:eastAsia="Calibri"/>
                            <w:szCs w:val="24"/>
                            <w:lang w:eastAsia="zh-CN"/>
                          </w:rPr>
                        </w:pPr>
                      </w:p>
                    </w:tc>
                    <w:tc>
                      <w:tcPr>
                        <w:tcW w:w="2977" w:type="dxa"/>
                        <w:vMerge w:val="restart"/>
                      </w:tcPr>
                      <w:p>
                        <w:pPr>
                          <w:suppressAutoHyphens/>
                          <w:spacing w:line="276" w:lineRule="auto"/>
                          <w:rPr>
                            <w:rFonts w:eastAsia="Calibri"/>
                            <w:szCs w:val="24"/>
                            <w:lang w:eastAsia="zh-CN"/>
                          </w:rPr>
                        </w:pPr>
                        <w:r>
                          <w:rPr>
                            <w:rFonts w:eastAsia="Calibri"/>
                            <w:szCs w:val="24"/>
                            <w:lang w:eastAsia="zh-CN"/>
                          </w:rPr>
                          <w:t>10. Žemės ūkio</w:t>
                        </w:r>
                      </w:p>
                    </w:tc>
                    <w:tc>
                      <w:tcPr>
                        <w:tcW w:w="2977" w:type="dxa"/>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Pr>
                      <w:p>
                        <w:pPr>
                          <w:suppressAutoHyphens/>
                          <w:spacing w:line="276" w:lineRule="auto"/>
                          <w:rPr>
                            <w:rFonts w:eastAsia="Calibri"/>
                            <w:szCs w:val="24"/>
                            <w:lang w:eastAsia="zh-CN"/>
                          </w:rPr>
                        </w:pPr>
                      </w:p>
                    </w:tc>
                    <w:tc>
                      <w:tcPr>
                        <w:tcW w:w="2977"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9. Pagalbinė</w:t>
                        </w:r>
                      </w:p>
                    </w:tc>
                    <w:tc>
                      <w:tcPr>
                        <w:tcW w:w="2977" w:type="dxa"/>
                      </w:tcPr>
                      <w:p>
                        <w:pPr>
                          <w:suppressAutoHyphens/>
                          <w:spacing w:line="276" w:lineRule="auto"/>
                          <w:rPr>
                            <w:rFonts w:eastAsia="Calibri"/>
                            <w:lang w:eastAsia="zh-CN"/>
                          </w:rPr>
                        </w:pPr>
                        <w:r>
                          <w:rPr>
                            <w:rFonts w:eastAsia="Calibri"/>
                            <w:lang w:eastAsia="zh-CN"/>
                          </w:rPr>
                          <w:t>9.2. Kita pagalbinė</w:t>
                        </w:r>
                      </w:p>
                    </w:tc>
                  </w:tr>
                  <w:tr>
                    <w:trPr>
                      <w:trHeight w:val="124"/>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Pr>
                      <w:p>
                        <w:pPr>
                          <w:suppressAutoHyphens/>
                          <w:spacing w:line="276" w:lineRule="auto"/>
                          <w:rPr>
                            <w:rFonts w:eastAsia="Calibri"/>
                            <w:szCs w:val="24"/>
                            <w:lang w:eastAsia="zh-CN"/>
                          </w:rPr>
                        </w:pPr>
                      </w:p>
                    </w:tc>
                    <w:tc>
                      <w:tcPr>
                        <w:tcW w:w="3402" w:type="dxa"/>
                      </w:tcPr>
                      <w:p>
                        <w:pPr>
                          <w:suppressAutoHyphens/>
                          <w:spacing w:line="276" w:lineRule="auto"/>
                          <w:rPr>
                            <w:rFonts w:eastAsia="Calibri"/>
                            <w:szCs w:val="24"/>
                            <w:lang w:eastAsia="zh-CN"/>
                          </w:rPr>
                        </w:pPr>
                        <w:r>
                          <w:rPr>
                            <w:rFonts w:eastAsia="Calibri"/>
                            <w:szCs w:val="24"/>
                            <w:lang w:eastAsia="zh-CN"/>
                          </w:rPr>
                          <w:t>–</w:t>
                        </w:r>
                      </w:p>
                    </w:tc>
                    <w:tc>
                      <w:tcPr>
                        <w:tcW w:w="2551" w:type="dxa"/>
                        <w:vMerge/>
                      </w:tcPr>
                      <w:p>
                        <w:pPr>
                          <w:suppressAutoHyphens/>
                          <w:spacing w:line="276" w:lineRule="auto"/>
                          <w:rPr>
                            <w:rFonts w:eastAsia="Calibri"/>
                            <w:szCs w:val="24"/>
                            <w:lang w:eastAsia="zh-CN"/>
                          </w:rPr>
                        </w:pPr>
                      </w:p>
                    </w:tc>
                    <w:tc>
                      <w:tcPr>
                        <w:tcW w:w="2977" w:type="dxa"/>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c8c8516c754e4a6a98f66dbe20e0a3a6"/>
                <w:lock w:val="sdtLocked"/>
                <w:richText/>
              </w:sdtPr>
              <w:sdtContent>
                <w:p>
                  <w:pPr>
                    <w:widowControl w:val="0"/>
                    <w:suppressAutoHyphens/>
                    <w:spacing w:line="276" w:lineRule="auto"/>
                    <w:ind w:firstLine="851"/>
                    <w:rPr>
                      <w:bCs/>
                      <w:caps/>
                      <w:lang w:eastAsia="zh-CN"/>
                    </w:rPr>
                  </w:pPr>
                  <w:r>
                    <w:rPr>
                      <w:bCs/>
                      <w:lang w:eastAsia="zh-CN"/>
                    </w:rPr>
                    <w:t>Pastaba. (–) Esamame klasifikatoriuje atitikmens nėra. Visi įrašų keitimai vykdomi pagal esamus atitikmenis.</w:t>
                  </w:r>
                </w:p>
              </w:sdtContent>
            </w:sdt>
          </w:sdtContent>
        </w:sdt>
        <w:sdt>
          <w:sdtPr>
            <w:alias w:val="skyrius"/>
            <w:tag w:val="part_da2730b36d574fc5a03b4ef243c23b56"/>
            <w:lock w:val="sdtLocked"/>
            <w:richText/>
          </w:sdtPr>
          <w:sdtContent>
            <w:p>
              <w:pPr>
                <w:widowControl w:val="0"/>
                <w:suppressAutoHyphens/>
                <w:jc w:val="center"/>
                <w:rPr>
                  <w:b/>
                  <w:caps/>
                  <w:lang w:eastAsia="zh-CN"/>
                </w:rPr>
              </w:pPr>
              <w:r>
                <w:rPr>
                  <w:szCs w:val="24"/>
                  <w:lang w:eastAsia="lt-LT"/>
                </w:rPr>
                <w:br w:type="page"/>
              </w:r>
              <w:sdt>
                <w:sdtPr>
                  <w:alias w:val="Numeris"/>
                  <w:tag w:val="nr_da2730b36d574fc5a03b4ef243c23b56"/>
                  <w:lock w:val="sdtLocked"/>
                  <w:richText/>
                </w:sdtPr>
                <w:sdtContent>
                  <w:r>
                    <w:rPr>
                      <w:b/>
                      <w:caps/>
                      <w:lang w:eastAsia="zh-CN"/>
                    </w:rPr>
                    <w:t>ii</w:t>
                  </w:r>
                </w:sdtContent>
              </w:sdt>
              <w:r>
                <w:rPr>
                  <w:b/>
                  <w:caps/>
                  <w:lang w:eastAsia="zh-CN"/>
                </w:rPr>
                <w:t xml:space="preserve">. </w:t>
              </w:r>
              <w:sdt>
                <w:sdtPr>
                  <w:alias w:val="Pavadinimas"/>
                  <w:tag w:val="title_da2730b36d574fc5a03b4ef243c23b56"/>
                  <w:lock w:val="sdtLocked"/>
                  <w:richText/>
                </w:sdtPr>
                <w:sdtContent>
                  <w:r>
                    <w:rPr>
                      <w:b/>
                      <w:caps/>
                      <w:lang w:eastAsia="zh-CN"/>
                    </w:rPr>
                    <w:t xml:space="preserve">PATALPŲ PAGRINDINĖS NAUDOJIMO paskirties įrašų nekilnojamojo turto kadastre keitimo aprašas </w:t>
                  </w:r>
                </w:sdtContent>
              </w:sdt>
            </w:p>
            <w:p>
              <w:pPr>
                <w:widowControl w:val="0"/>
                <w:suppressAutoHyphens/>
                <w:jc w:val="center"/>
                <w:rPr>
                  <w:b/>
                  <w:caps/>
                  <w:lang w:eastAsia="zh-CN"/>
                </w:rPr>
              </w:pPr>
            </w:p>
            <w:sdt>
              <w:sdtPr>
                <w:alias w:val="lentele"/>
                <w:tag w:val="part_bbfa7c3ca70842f08528e412ef002ba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13750"/>
                    <w:rPr>
                      <w:szCs w:val="24"/>
                      <w:lang w:eastAsia="zh-CN"/>
                    </w:rPr>
                  </w:pPr>
                  <w:sdt>
                    <w:sdtPr>
                      <w:alias w:val="Numeris"/>
                      <w:tag w:val="nr_bbfa7c3ca70842f08528e412ef002baf"/>
                      <w:lock w:val="sdtLocked"/>
                      <w:richText/>
                    </w:sdtPr>
                    <w:sdtContent>
                      <w:r>
                        <w:rPr>
                          <w:szCs w:val="24"/>
                          <w:lang w:eastAsia="zh-CN"/>
                        </w:rPr>
                        <w:t>2</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shd w:val="clear" w:color="auto" w:fill="auto"/>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shd w:val="clear" w:color="auto" w:fill="auto"/>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shd w:val="clear" w:color="auto" w:fill="auto"/>
                      </w:tcPr>
                      <w:p>
                        <w:pPr>
                          <w:suppressAutoHyphens/>
                          <w:spacing w:line="276" w:lineRule="auto"/>
                          <w:rPr>
                            <w:rFonts w:eastAsia="Calibri"/>
                            <w:sz w:val="22"/>
                            <w:szCs w:val="24"/>
                            <w:lang w:eastAsia="zh-CN"/>
                          </w:rPr>
                        </w:pPr>
                        <w:r>
                          <w:rPr>
                            <w:rFonts w:eastAsia="Calibri"/>
                            <w:sz w:val="22"/>
                            <w:szCs w:val="24"/>
                            <w:lang w:eastAsia="zh-CN"/>
                          </w:rPr>
                          <w:t>1.1. Gyvenamoji (butas)</w:t>
                        </w:r>
                      </w:p>
                    </w:tc>
                  </w:tr>
                  <w:tr>
                    <w:trPr>
                      <w:trHeight w:val="423"/>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r>
                  <w:tr>
                    <w:trPr>
                      <w:trHeight w:val="300"/>
                    </w:trPr>
                    <w:tc>
                      <w:tcPr>
                        <w:tcW w:w="268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shd w:val="clear" w:color="auto" w:fill="auto"/>
                      </w:tcPr>
                      <w:p>
                        <w:pPr>
                          <w:suppressAutoHyphens/>
                          <w:spacing w:line="276" w:lineRule="auto"/>
                          <w:rPr>
                            <w:rFonts w:eastAsia="Calibri"/>
                            <w:sz w:val="22"/>
                            <w:szCs w:val="24"/>
                            <w:lang w:eastAsia="zh-CN"/>
                          </w:rPr>
                        </w:pPr>
                      </w:p>
                    </w:tc>
                    <w:tc>
                      <w:tcPr>
                        <w:tcW w:w="3260" w:type="dxa"/>
                        <w:shd w:val="clear" w:color="auto" w:fill="auto"/>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4.1. Administracinė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6.1. Gamybos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shd w:val="clear" w:color="auto" w:fill="auto"/>
                      </w:tcPr>
                      <w:p>
                        <w:pPr>
                          <w:suppressAutoHyphens/>
                          <w:spacing w:line="276" w:lineRule="auto"/>
                          <w:rPr>
                            <w:rFonts w:eastAsia="Calibri"/>
                            <w:sz w:val="22"/>
                            <w:szCs w:val="24"/>
                            <w:lang w:eastAsia="zh-CN"/>
                          </w:rPr>
                        </w:pPr>
                      </w:p>
                    </w:tc>
                    <w:tc>
                      <w:tcPr>
                        <w:tcW w:w="3260" w:type="dxa"/>
                        <w:shd w:val="clear" w:color="auto" w:fill="auto"/>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trike/>
                            <w:sz w:val="22"/>
                            <w:szCs w:val="24"/>
                            <w:lang w:eastAsia="zh-CN"/>
                          </w:rPr>
                        </w:pP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Religinė</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7.6. Specialioji </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3119" w:type="dxa"/>
                        <w:vMerge w:val="restart"/>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Pagalbinė</w:t>
                        </w:r>
                      </w:p>
                    </w:tc>
                    <w:tc>
                      <w:tcPr>
                        <w:tcW w:w="2977" w:type="dxa"/>
                        <w:shd w:val="clear" w:color="auto" w:fill="auto"/>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p>
                    </w:tc>
                    <w:tc>
                      <w:tcPr>
                        <w:tcW w:w="3260"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vMerge/>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2977" w:type="dxa"/>
                        <w:shd w:val="clear" w:color="auto" w:fill="auto"/>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Kita pagalbinė</w:t>
                        </w:r>
                      </w:p>
                    </w:tc>
                  </w:tr>
                  <w:tr>
                    <w:trPr>
                      <w:trHeight w:val="300"/>
                    </w:trPr>
                    <w:tc>
                      <w:tcPr>
                        <w:tcW w:w="2689" w:type="dxa"/>
                        <w:vMerge/>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3260"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p>
                    </w:tc>
                    <w:tc>
                      <w:tcPr>
                        <w:tcW w:w="3260"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p>
                    </w:tc>
                    <w:tc>
                      <w:tcPr>
                        <w:tcW w:w="3119"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f5cd6662579c41c8bbe897a6fa156a01"/>
                <w:lock w:val="sdtLocked"/>
                <w:richText/>
              </w:sdtPr>
              <w:sdtContent>
                <w:p>
                  <w:pPr>
                    <w:widowControl w:val="0"/>
                    <w:suppressAutoHyphens/>
                    <w:spacing w:line="276" w:lineRule="auto"/>
                    <w:ind w:firstLine="851"/>
                    <w:rPr>
                      <w:bCs/>
                      <w:caps/>
                      <w:lang w:eastAsia="zh-CN"/>
                    </w:rPr>
                  </w:pPr>
                  <w:r>
                    <w:rPr>
                      <w:bCs/>
                      <w:lang w:eastAsia="zh-CN"/>
                    </w:rPr>
                    <w:t>Pastaba. (–) Esamame klasifikatoriuje atitikmens nėra. Visi įrašų keitimai vykdomi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d3e984b963f64fb1a11613b28e4ebe4e"/>
            <w:lock w:val="sdtLocked"/>
            <w:richText/>
          </w:sdtPr>
          <w:sdtContent>
            <w:p>
              <w:pPr>
                <w:widowControl w:val="0"/>
                <w:suppressAutoHyphens/>
                <w:jc w:val="center"/>
                <w:rPr>
                  <w:b/>
                  <w:caps/>
                  <w:lang w:eastAsia="zh-CN"/>
                </w:rPr>
              </w:pPr>
              <w:sdt>
                <w:sdtPr>
                  <w:alias w:val="Numeris"/>
                  <w:tag w:val="nr_d3e984b963f64fb1a11613b28e4ebe4e"/>
                  <w:lock w:val="sdtLocked"/>
                  <w:richText/>
                </w:sdtPr>
                <w:sdtContent>
                  <w:r>
                    <w:rPr>
                      <w:b/>
                      <w:caps/>
                      <w:lang w:eastAsia="zh-CN"/>
                    </w:rPr>
                    <w:t>iii</w:t>
                  </w:r>
                </w:sdtContent>
              </w:sdt>
              <w:r>
                <w:rPr>
                  <w:b/>
                  <w:caps/>
                  <w:lang w:eastAsia="zh-CN"/>
                </w:rPr>
                <w:t xml:space="preserve">. </w:t>
              </w:r>
              <w:sdt>
                <w:sdtPr>
                  <w:alias w:val="Pavadinimas"/>
                  <w:tag w:val="title_d3e984b963f64fb1a11613b28e4ebe4e"/>
                  <w:lock w:val="sdtLocked"/>
                  <w:richText/>
                </w:sdtPr>
                <w:sdtContent>
                  <w:r>
                    <w:rPr>
                      <w:b/>
                      <w:caps/>
                      <w:lang w:eastAsia="zh-CN"/>
                    </w:rPr>
                    <w:t xml:space="preserve">INŽINERINIŲ Statinių PAGRINDINĖS NAUDOJIMO paskirties įrašų nekilnojamojo turto kadastre keitimo aprašas </w:t>
                  </w:r>
                </w:sdtContent>
              </w:sdt>
            </w:p>
            <w:p>
              <w:pPr>
                <w:widowControl w:val="0"/>
                <w:suppressAutoHyphens/>
                <w:jc w:val="center"/>
                <w:rPr>
                  <w:b/>
                  <w:caps/>
                  <w:lang w:eastAsia="zh-CN"/>
                </w:rPr>
              </w:pPr>
            </w:p>
            <w:sdt>
              <w:sdtPr>
                <w:alias w:val="lentele"/>
                <w:tag w:val="part_d841bc0f35ec418191bb1637f1160b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13750"/>
                    <w:rPr>
                      <w:szCs w:val="24"/>
                      <w:lang w:eastAsia="zh-CN"/>
                    </w:rPr>
                  </w:pPr>
                  <w:sdt>
                    <w:sdtPr>
                      <w:alias w:val="Numeris"/>
                      <w:tag w:val="nr_d841bc0f35ec418191bb1637f1160b74"/>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shd w:val="clear" w:color="auto" w:fill="auto"/>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shd w:val="clear" w:color="auto" w:fill="auto"/>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shd w:val="clear" w:color="auto" w:fill="auto"/>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Pr>
                      <w:p>
                        <w:pPr>
                          <w:suppressAutoHyphens/>
                          <w:spacing w:line="276" w:lineRule="auto"/>
                          <w:rPr>
                            <w:color w:val="000000"/>
                            <w:szCs w:val="24"/>
                            <w:lang w:eastAsia="lt-LT"/>
                          </w:rPr>
                        </w:pPr>
                        <w:r>
                          <w:rPr>
                            <w:color w:val="000000"/>
                            <w:szCs w:val="24"/>
                            <w:lang w:eastAsia="lt-LT"/>
                          </w:rPr>
                          <w:t>1. Susisiekimo komunikacijos</w:t>
                        </w:r>
                      </w:p>
                    </w:tc>
                    <w:tc>
                      <w:tcPr>
                        <w:tcW w:w="3544" w:type="dxa"/>
                        <w:shd w:val="clear" w:color="auto" w:fill="auto"/>
                        <w:hideMark/>
                      </w:tcPr>
                      <w:p>
                        <w:pPr>
                          <w:suppressAutoHyphens/>
                          <w:spacing w:line="276" w:lineRule="auto"/>
                          <w:rPr>
                            <w:color w:val="000000"/>
                            <w:szCs w:val="24"/>
                            <w:lang w:eastAsia="lt-LT"/>
                          </w:rPr>
                        </w:pPr>
                        <w:r>
                          <w:rPr>
                            <w:color w:val="000000"/>
                            <w:szCs w:val="24"/>
                            <w:lang w:eastAsia="lt-LT"/>
                          </w:rPr>
                          <w:t>1.1.Kelių</w:t>
                        </w:r>
                      </w:p>
                    </w:tc>
                    <w:tc>
                      <w:tcPr>
                        <w:tcW w:w="3685" w:type="dxa"/>
                        <w:vMerge w:val="restart"/>
                        <w:shd w:val="clear" w:color="auto" w:fill="auto"/>
                        <w:hideMark/>
                      </w:tcPr>
                      <w:p>
                        <w:pPr>
                          <w:suppressAutoHyphens/>
                          <w:spacing w:line="276" w:lineRule="auto"/>
                          <w:rPr>
                            <w:color w:val="000000"/>
                            <w:szCs w:val="24"/>
                            <w:lang w:eastAsia="lt-LT"/>
                          </w:rPr>
                        </w:pPr>
                        <w:r>
                          <w:rPr>
                            <w:color w:val="000000"/>
                            <w:szCs w:val="24"/>
                            <w:lang w:eastAsia="lt-LT"/>
                          </w:rPr>
                          <w:t xml:space="preserve">1. Susisiekimo komunikacijų statiniai </w:t>
                        </w:r>
                      </w:p>
                    </w:tc>
                    <w:tc>
                      <w:tcPr>
                        <w:tcW w:w="3828" w:type="dxa"/>
                        <w:shd w:val="clear" w:color="auto" w:fill="auto"/>
                        <w:hideMark/>
                      </w:tcPr>
                      <w:p>
                        <w:pPr>
                          <w:suppressAutoHyphens/>
                          <w:spacing w:line="276" w:lineRule="auto"/>
                          <w:rPr>
                            <w:color w:val="000000"/>
                            <w:szCs w:val="24"/>
                            <w:lang w:eastAsia="lt-LT"/>
                          </w:rPr>
                        </w:pPr>
                        <w:r>
                          <w:rPr>
                            <w:color w:val="000000"/>
                            <w:szCs w:val="24"/>
                            <w:lang w:eastAsia="lt-LT"/>
                          </w:rPr>
                          <w:t>1.1.Kelių</w:t>
                        </w:r>
                      </w:p>
                    </w:tc>
                  </w:tr>
                  <w:tr>
                    <w:trPr>
                      <w:trHeight w:val="300"/>
                    </w:trPr>
                    <w:tc>
                      <w:tcPr>
                        <w:tcW w:w="3539" w:type="dxa"/>
                        <w:vMerge/>
                      </w:tcPr>
                      <w:p>
                        <w:pPr>
                          <w:suppressAutoHyphens/>
                          <w:spacing w:line="276" w:lineRule="auto"/>
                          <w:rPr>
                            <w:color w:val="000000"/>
                            <w:szCs w:val="24"/>
                            <w:lang w:eastAsia="lt-LT"/>
                          </w:rPr>
                        </w:pPr>
                      </w:p>
                    </w:tc>
                    <w:tc>
                      <w:tcPr>
                        <w:tcW w:w="3544" w:type="dxa"/>
                        <w:shd w:val="clear" w:color="auto" w:fill="auto"/>
                        <w:hideMark/>
                      </w:tcPr>
                      <w:p>
                        <w:pPr>
                          <w:suppressAutoHyphens/>
                          <w:spacing w:line="276" w:lineRule="auto"/>
                          <w:rPr>
                            <w:color w:val="000000"/>
                            <w:szCs w:val="24"/>
                            <w:lang w:eastAsia="lt-LT"/>
                          </w:rPr>
                        </w:pPr>
                        <w:r>
                          <w:rPr>
                            <w:color w:val="000000"/>
                            <w:szCs w:val="24"/>
                            <w:lang w:eastAsia="lt-LT"/>
                          </w:rPr>
                          <w:t>1.2. Kelių (gatvių)</w:t>
                        </w:r>
                      </w:p>
                    </w:tc>
                    <w:tc>
                      <w:tcPr>
                        <w:tcW w:w="3685" w:type="dxa"/>
                        <w:vMerge/>
                        <w:hideMark/>
                      </w:tcPr>
                      <w:p>
                        <w:pPr>
                          <w:suppressAutoHyphens/>
                          <w:spacing w:line="276" w:lineRule="auto"/>
                          <w:rPr>
                            <w:color w:val="000000"/>
                            <w:szCs w:val="24"/>
                            <w:lang w:eastAsia="lt-LT"/>
                          </w:rPr>
                        </w:pPr>
                      </w:p>
                    </w:tc>
                    <w:tc>
                      <w:tcPr>
                        <w:tcW w:w="3828" w:type="dxa"/>
                        <w:shd w:val="clear" w:color="auto" w:fill="auto"/>
                        <w:hideMark/>
                      </w:tcPr>
                      <w:p>
                        <w:pPr>
                          <w:suppressAutoHyphens/>
                          <w:spacing w:line="276" w:lineRule="auto"/>
                          <w:rPr>
                            <w:color w:val="000000"/>
                            <w:szCs w:val="24"/>
                            <w:lang w:eastAsia="lt-LT"/>
                          </w:rPr>
                        </w:pPr>
                        <w:r>
                          <w:rPr>
                            <w:color w:val="000000"/>
                            <w:szCs w:val="24"/>
                            <w:lang w:eastAsia="lt-LT"/>
                          </w:rPr>
                          <w:t>1.2. Gatvių</w:t>
                        </w:r>
                      </w:p>
                    </w:tc>
                  </w:tr>
                  <w:tr>
                    <w:trPr>
                      <w:trHeight w:val="114"/>
                    </w:trPr>
                    <w:tc>
                      <w:tcPr>
                        <w:tcW w:w="3539" w:type="dxa"/>
                        <w:vMerge/>
                      </w:tcPr>
                      <w:p>
                        <w:pPr>
                          <w:suppressAutoHyphens/>
                          <w:spacing w:line="276" w:lineRule="auto"/>
                          <w:rPr>
                            <w:color w:val="000000"/>
                            <w:szCs w:val="24"/>
                            <w:lang w:eastAsia="lt-LT"/>
                          </w:rPr>
                        </w:pPr>
                      </w:p>
                    </w:tc>
                    <w:tc>
                      <w:tcPr>
                        <w:tcW w:w="3544" w:type="dxa"/>
                        <w:shd w:val="clear" w:color="auto" w:fill="auto"/>
                        <w:hideMark/>
                      </w:tcPr>
                      <w:p>
                        <w:pPr>
                          <w:suppressAutoHyphens/>
                          <w:spacing w:line="276" w:lineRule="auto"/>
                          <w:rPr>
                            <w:color w:val="000000"/>
                            <w:szCs w:val="24"/>
                            <w:lang w:eastAsia="lt-LT"/>
                          </w:rPr>
                        </w:pPr>
                        <w:r>
                          <w:rPr>
                            <w:color w:val="000000"/>
                            <w:szCs w:val="24"/>
                            <w:lang w:eastAsia="lt-LT"/>
                          </w:rPr>
                          <w:t>1.3. Geležinkelių</w:t>
                        </w:r>
                      </w:p>
                    </w:tc>
                    <w:tc>
                      <w:tcPr>
                        <w:tcW w:w="3685" w:type="dxa"/>
                        <w:vMerge/>
                        <w:hideMark/>
                      </w:tcPr>
                      <w:p>
                        <w:pPr>
                          <w:suppressAutoHyphens/>
                          <w:spacing w:line="276" w:lineRule="auto"/>
                          <w:rPr>
                            <w:color w:val="000000"/>
                            <w:szCs w:val="24"/>
                            <w:lang w:eastAsia="lt-LT"/>
                          </w:rPr>
                        </w:pPr>
                      </w:p>
                    </w:tc>
                    <w:tc>
                      <w:tcPr>
                        <w:tcW w:w="3828" w:type="dxa"/>
                        <w:shd w:val="clear" w:color="auto" w:fill="auto"/>
                        <w:hideMark/>
                      </w:tcPr>
                      <w:p>
                        <w:pPr>
                          <w:suppressAutoHyphens/>
                          <w:spacing w:line="276" w:lineRule="auto"/>
                          <w:rPr>
                            <w:color w:val="000000"/>
                            <w:szCs w:val="24"/>
                            <w:lang w:eastAsia="lt-LT"/>
                          </w:rPr>
                        </w:pPr>
                        <w:r>
                          <w:rPr>
                            <w:color w:val="000000"/>
                            <w:szCs w:val="24"/>
                            <w:lang w:eastAsia="lt-LT"/>
                          </w:rPr>
                          <w:t>1.3. Geležinkelių</w:t>
                        </w:r>
                      </w:p>
                    </w:tc>
                  </w:tr>
                  <w:tr>
                    <w:trPr>
                      <w:trHeight w:val="118"/>
                    </w:trPr>
                    <w:tc>
                      <w:tcPr>
                        <w:tcW w:w="3539" w:type="dxa"/>
                        <w:vMerge/>
                      </w:tcPr>
                      <w:p>
                        <w:pPr>
                          <w:suppressAutoHyphens/>
                          <w:spacing w:line="276" w:lineRule="auto"/>
                          <w:rPr>
                            <w:color w:val="000000"/>
                            <w:szCs w:val="24"/>
                            <w:lang w:eastAsia="lt-LT"/>
                          </w:rPr>
                        </w:pPr>
                      </w:p>
                    </w:tc>
                    <w:tc>
                      <w:tcPr>
                        <w:tcW w:w="3544" w:type="dxa"/>
                        <w:shd w:val="clear" w:color="auto" w:fill="auto"/>
                        <w:hideMark/>
                      </w:tcPr>
                      <w:p>
                        <w:pPr>
                          <w:suppressAutoHyphens/>
                          <w:spacing w:line="276" w:lineRule="auto"/>
                          <w:rPr>
                            <w:color w:val="000000"/>
                            <w:szCs w:val="24"/>
                            <w:lang w:eastAsia="lt-LT"/>
                          </w:rPr>
                        </w:pPr>
                        <w:r>
                          <w:rPr>
                            <w:color w:val="000000"/>
                            <w:szCs w:val="24"/>
                            <w:lang w:eastAsia="lt-LT"/>
                          </w:rPr>
                          <w:t>1.4. Oro uostų</w:t>
                        </w:r>
                      </w:p>
                    </w:tc>
                    <w:tc>
                      <w:tcPr>
                        <w:tcW w:w="3685" w:type="dxa"/>
                        <w:vMerge/>
                        <w:hideMark/>
                      </w:tcPr>
                      <w:p>
                        <w:pPr>
                          <w:suppressAutoHyphens/>
                          <w:spacing w:line="276" w:lineRule="auto"/>
                          <w:rPr>
                            <w:color w:val="000000"/>
                            <w:szCs w:val="24"/>
                            <w:lang w:eastAsia="lt-LT"/>
                          </w:rPr>
                        </w:pPr>
                      </w:p>
                    </w:tc>
                    <w:tc>
                      <w:tcPr>
                        <w:tcW w:w="3828" w:type="dxa"/>
                        <w:shd w:val="clear" w:color="auto" w:fill="auto"/>
                        <w:hideMark/>
                      </w:tcPr>
                      <w:p>
                        <w:pPr>
                          <w:suppressAutoHyphens/>
                          <w:spacing w:line="276" w:lineRule="auto"/>
                          <w:rPr>
                            <w:color w:val="000000"/>
                            <w:szCs w:val="24"/>
                            <w:lang w:eastAsia="lt-LT"/>
                          </w:rPr>
                        </w:pPr>
                        <w:r>
                          <w:rPr>
                            <w:color w:val="000000"/>
                            <w:szCs w:val="24"/>
                            <w:lang w:eastAsia="lt-LT"/>
                          </w:rPr>
                          <w:t xml:space="preserve">1.4. Oro uostų </w:t>
                        </w:r>
                      </w:p>
                    </w:tc>
                  </w:tr>
                  <w:tr>
                    <w:trPr>
                      <w:trHeight w:val="250"/>
                    </w:trPr>
                    <w:tc>
                      <w:tcPr>
                        <w:tcW w:w="3539" w:type="dxa"/>
                        <w:vMerge/>
                      </w:tcPr>
                      <w:p>
                        <w:pPr>
                          <w:suppressAutoHyphens/>
                          <w:spacing w:line="276" w:lineRule="auto"/>
                          <w:rPr>
                            <w:color w:val="000000"/>
                            <w:szCs w:val="24"/>
                            <w:lang w:eastAsia="lt-LT"/>
                          </w:rPr>
                        </w:pPr>
                      </w:p>
                    </w:tc>
                    <w:tc>
                      <w:tcPr>
                        <w:tcW w:w="3544" w:type="dxa"/>
                        <w:shd w:val="clear" w:color="auto" w:fill="auto"/>
                        <w:hideMark/>
                      </w:tcPr>
                      <w:p>
                        <w:pPr>
                          <w:suppressAutoHyphens/>
                          <w:spacing w:line="276" w:lineRule="auto"/>
                          <w:rPr>
                            <w:color w:val="000000"/>
                            <w:szCs w:val="24"/>
                            <w:lang w:eastAsia="lt-LT"/>
                          </w:rPr>
                        </w:pPr>
                        <w:r>
                          <w:rPr>
                            <w:color w:val="000000"/>
                            <w:szCs w:val="24"/>
                            <w:lang w:eastAsia="lt-LT"/>
                          </w:rPr>
                          <w:t>1.5. Vandens uostų</w:t>
                        </w:r>
                      </w:p>
                    </w:tc>
                    <w:tc>
                      <w:tcPr>
                        <w:tcW w:w="3685" w:type="dxa"/>
                        <w:vMerge/>
                        <w:hideMark/>
                      </w:tcPr>
                      <w:p>
                        <w:pPr>
                          <w:suppressAutoHyphens/>
                          <w:spacing w:line="276" w:lineRule="auto"/>
                          <w:rPr>
                            <w:color w:val="000000"/>
                            <w:szCs w:val="24"/>
                            <w:lang w:eastAsia="lt-LT"/>
                          </w:rPr>
                        </w:pPr>
                      </w:p>
                    </w:tc>
                    <w:tc>
                      <w:tcPr>
                        <w:tcW w:w="3828" w:type="dxa"/>
                        <w:shd w:val="clear" w:color="auto" w:fill="auto"/>
                        <w:hideMark/>
                      </w:tcPr>
                      <w:p>
                        <w:pPr>
                          <w:suppressAutoHyphens/>
                          <w:spacing w:line="276" w:lineRule="auto"/>
                          <w:rPr>
                            <w:color w:val="000000"/>
                            <w:szCs w:val="24"/>
                            <w:lang w:eastAsia="lt-LT"/>
                          </w:rPr>
                        </w:pPr>
                        <w:r>
                          <w:rPr>
                            <w:color w:val="000000"/>
                            <w:szCs w:val="24"/>
                            <w:lang w:eastAsia="lt-LT"/>
                          </w:rPr>
                          <w:t>1.5. Vandens uostų</w:t>
                        </w:r>
                      </w:p>
                    </w:tc>
                  </w:tr>
                  <w:tr>
                    <w:trPr>
                      <w:trHeight w:val="270"/>
                    </w:trPr>
                    <w:tc>
                      <w:tcPr>
                        <w:tcW w:w="3539" w:type="dxa"/>
                        <w:vMerge/>
                        <w:tcBorders>
                          <w:bottom w:val="single" w:sz="4" w:space="0" w:color="auto"/>
                        </w:tcBorders>
                      </w:tcPr>
                      <w:p>
                        <w:pPr>
                          <w:suppressAutoHyphens/>
                          <w:spacing w:line="276" w:lineRule="auto"/>
                          <w:rPr>
                            <w:color w:val="000000"/>
                            <w:szCs w:val="24"/>
                            <w:lang w:eastAsia="lt-LT"/>
                          </w:rPr>
                        </w:pPr>
                      </w:p>
                    </w:tc>
                    <w:tc>
                      <w:tcPr>
                        <w:tcW w:w="3544" w:type="dxa"/>
                        <w:tcBorders>
                          <w:bottom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1.6. Kitų transporto statinių</w:t>
                        </w:r>
                      </w:p>
                    </w:tc>
                    <w:tc>
                      <w:tcPr>
                        <w:tcW w:w="3685" w:type="dxa"/>
                        <w:vMerge/>
                        <w:tcBorders>
                          <w:bottom w:val="single" w:sz="4" w:space="0" w:color="auto"/>
                        </w:tcBorders>
                        <w:hideMark/>
                      </w:tcPr>
                      <w:p>
                        <w:pPr>
                          <w:suppressAutoHyphens/>
                          <w:spacing w:line="276" w:lineRule="auto"/>
                          <w:rPr>
                            <w:color w:val="000000"/>
                            <w:szCs w:val="24"/>
                            <w:lang w:eastAsia="lt-LT"/>
                          </w:rPr>
                        </w:pPr>
                      </w:p>
                    </w:tc>
                    <w:tc>
                      <w:tcPr>
                        <w:tcW w:w="3828" w:type="dxa"/>
                        <w:tcBorders>
                          <w:bottom w:val="single" w:sz="4" w:space="0" w:color="auto"/>
                        </w:tcBorders>
                        <w:shd w:val="clear" w:color="auto" w:fill="auto"/>
                        <w:hideMark/>
                      </w:tcPr>
                      <w:p>
                        <w:pPr>
                          <w:suppressAutoHyphens/>
                          <w:spacing w:line="276" w:lineRule="auto"/>
                          <w:rPr>
                            <w:color w:val="000000"/>
                            <w:lang w:eastAsia="lt-LT"/>
                          </w:rPr>
                        </w:pPr>
                        <w:r>
                          <w:rPr>
                            <w:color w:val="000000"/>
                            <w:lang w:eastAsia="lt-LT"/>
                          </w:rPr>
                          <w:t>4.2. Kitų transporto statinių</w:t>
                        </w: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3539"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2.2. Dujų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3539"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2.3. Vandentiekio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3539"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2.4. Šilumos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3539"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2.5. Nuotekų šalinimo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3539"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2.6. Elektros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3539" w:type="dxa"/>
                        <w:vMerge/>
                        <w:tcBorders>
                          <w:top w:val="single" w:sz="4" w:space="0" w:color="auto"/>
                          <w:left w:val="single" w:sz="4" w:space="0" w:color="auto"/>
                          <w:bottom w:val="single" w:sz="4" w:space="0" w:color="auto"/>
                          <w:right w:val="single" w:sz="4" w:space="0" w:color="auto"/>
                        </w:tcBorders>
                      </w:tcPr>
                      <w:p>
                        <w:pPr>
                          <w:suppressAutoHyphens/>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2.7. Ryšių (telekomunikacijų)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3539" w:type="dxa"/>
                        <w:vMerge/>
                        <w:tcBorders>
                          <w:top w:val="single" w:sz="4" w:space="0" w:color="auto"/>
                          <w:left w:val="single" w:sz="4" w:space="0" w:color="auto"/>
                          <w:bottom w:val="single" w:sz="4" w:space="0" w:color="auto"/>
                          <w:right w:val="single" w:sz="4" w:space="0" w:color="auto"/>
                        </w:tcBorders>
                      </w:tcPr>
                      <w:p>
                        <w:pPr>
                          <w:suppressAutoHyphens/>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2.8. Kitų inžinerinių tinklų</w:t>
                        </w:r>
                      </w:p>
                    </w:tc>
                    <w:tc>
                      <w:tcPr>
                        <w:tcW w:w="3685" w:type="dxa"/>
                        <w:vMerge/>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shd w:val="clear" w:color="auto" w:fill="auto"/>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shd w:val="clear" w:color="auto" w:fill="auto"/>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4. Kiti inžineriniai statiniai</w:t>
                        </w:r>
                      </w:p>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4. Kiti inžineriniai statiniai</w:t>
                        </w:r>
                      </w:p>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3539" w:type="dxa"/>
                        <w:vMerge/>
                        <w:tcBorders>
                          <w:top w:val="single" w:sz="4" w:space="0" w:color="auto"/>
                          <w:left w:val="single" w:sz="4" w:space="0" w:color="auto"/>
                          <w:bottom w:val="single" w:sz="4" w:space="0" w:color="auto"/>
                          <w:right w:val="single" w:sz="4" w:space="0" w:color="auto"/>
                        </w:tcBorders>
                      </w:tcPr>
                      <w:p>
                        <w:pPr>
                          <w:suppressAutoHyphens/>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4.2. Kitos paskirties inžineriniai statiniai</w:t>
                        </w:r>
                      </w:p>
                    </w:tc>
                    <w:tc>
                      <w:tcPr>
                        <w:tcW w:w="3685" w:type="dxa"/>
                        <w:vMerge/>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3539" w:type="dxa"/>
                        <w:vMerge/>
                        <w:tcBorders>
                          <w:top w:val="single" w:sz="4" w:space="0" w:color="auto"/>
                          <w:left w:val="single" w:sz="4" w:space="0" w:color="auto"/>
                          <w:bottom w:val="single" w:sz="4" w:space="0" w:color="auto"/>
                          <w:right w:val="single" w:sz="4" w:space="0" w:color="auto"/>
                        </w:tcBorders>
                      </w:tcPr>
                      <w:p>
                        <w:pPr>
                          <w:suppressAutoHyphens/>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pPr>
                          <w:suppressAutoHyphens/>
                          <w:spacing w:line="276" w:lineRule="auto"/>
                          <w:rPr>
                            <w:color w:val="000000"/>
                            <w:szCs w:val="24"/>
                            <w:lang w:eastAsia="lt-LT"/>
                          </w:rPr>
                        </w:pPr>
                        <w:r>
                          <w:rPr>
                            <w:color w:val="000000"/>
                            <w:szCs w:val="24"/>
                            <w:lang w:eastAsia="lt-LT"/>
                          </w:rPr>
                          <w:t>–</w:t>
                        </w:r>
                      </w:p>
                    </w:tc>
                    <w:tc>
                      <w:tcPr>
                        <w:tcW w:w="3685" w:type="dxa"/>
                        <w:vMerge/>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shd w:val="clear" w:color="auto" w:fill="auto"/>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3539" w:type="dxa"/>
                        <w:vMerge/>
                        <w:tcBorders>
                          <w:top w:val="single" w:sz="4" w:space="0" w:color="auto"/>
                        </w:tcBorders>
                      </w:tcPr>
                      <w:p>
                        <w:pPr>
                          <w:suppressAutoHyphens/>
                          <w:rPr>
                            <w:color w:val="000000"/>
                            <w:szCs w:val="24"/>
                            <w:lang w:eastAsia="lt-LT"/>
                          </w:rPr>
                        </w:pPr>
                      </w:p>
                    </w:tc>
                    <w:tc>
                      <w:tcPr>
                        <w:tcW w:w="3544" w:type="dxa"/>
                        <w:tcBorders>
                          <w:top w:val="single" w:sz="4" w:space="0" w:color="auto"/>
                        </w:tcBorders>
                        <w:shd w:val="clear" w:color="auto" w:fill="auto"/>
                      </w:tcPr>
                      <w:p>
                        <w:pPr>
                          <w:suppressAutoHyphens/>
                          <w:spacing w:line="276" w:lineRule="auto"/>
                          <w:rPr>
                            <w:color w:val="000000"/>
                            <w:szCs w:val="24"/>
                            <w:lang w:eastAsia="lt-LT"/>
                          </w:rPr>
                        </w:pPr>
                        <w:r>
                          <w:rPr>
                            <w:color w:val="000000"/>
                            <w:szCs w:val="24"/>
                            <w:lang w:eastAsia="lt-LT"/>
                          </w:rPr>
                          <w:t>–</w:t>
                        </w:r>
                      </w:p>
                    </w:tc>
                    <w:tc>
                      <w:tcPr>
                        <w:tcW w:w="3685" w:type="dxa"/>
                        <w:vMerge/>
                        <w:tcBorders>
                          <w:top w:val="single" w:sz="4" w:space="0" w:color="auto"/>
                        </w:tcBorders>
                      </w:tcPr>
                      <w:p>
                        <w:pPr>
                          <w:suppressAutoHyphens/>
                          <w:spacing w:line="276" w:lineRule="auto"/>
                          <w:rPr>
                            <w:color w:val="000000"/>
                            <w:szCs w:val="24"/>
                            <w:lang w:eastAsia="lt-LT"/>
                          </w:rPr>
                        </w:pPr>
                      </w:p>
                    </w:tc>
                    <w:tc>
                      <w:tcPr>
                        <w:tcW w:w="3828" w:type="dxa"/>
                        <w:tcBorders>
                          <w:top w:val="single" w:sz="4" w:space="0" w:color="auto"/>
                        </w:tcBorders>
                        <w:shd w:val="clear" w:color="auto" w:fill="auto"/>
                      </w:tcPr>
                      <w:p>
                        <w:pPr>
                          <w:suppressAutoHyphens/>
                          <w:spacing w:line="276" w:lineRule="auto"/>
                          <w:rPr>
                            <w:rFonts w:eastAsia="Calibri"/>
                            <w:lang w:eastAsia="zh-CN"/>
                          </w:rPr>
                        </w:pPr>
                        <w:r>
                          <w:rPr>
                            <w:rFonts w:eastAsia="Calibri"/>
                            <w:lang w:eastAsia="zh-CN"/>
                          </w:rPr>
                          <w:t>4.2. Kitų transporto statinių</w:t>
                        </w:r>
                      </w:p>
                    </w:tc>
                  </w:tr>
                  <w:tr>
                    <w:trPr>
                      <w:trHeight w:val="300"/>
                    </w:trPr>
                    <w:tc>
                      <w:tcPr>
                        <w:tcW w:w="3539" w:type="dxa"/>
                        <w:vMerge/>
                      </w:tcPr>
                      <w:p>
                        <w:pPr>
                          <w:suppressAutoHyphens/>
                          <w:rPr>
                            <w:color w:val="000000"/>
                            <w:szCs w:val="24"/>
                            <w:lang w:eastAsia="lt-LT"/>
                          </w:rPr>
                        </w:pPr>
                      </w:p>
                    </w:tc>
                    <w:tc>
                      <w:tcPr>
                        <w:tcW w:w="3544" w:type="dxa"/>
                        <w:shd w:val="clear" w:color="auto" w:fill="auto"/>
                      </w:tcPr>
                      <w:p>
                        <w:pPr>
                          <w:suppressAutoHyphens/>
                          <w:spacing w:line="276" w:lineRule="auto"/>
                          <w:rPr>
                            <w:color w:val="000000"/>
                            <w:szCs w:val="24"/>
                            <w:lang w:eastAsia="lt-LT"/>
                          </w:rPr>
                        </w:pPr>
                        <w:r>
                          <w:rPr>
                            <w:color w:val="000000"/>
                            <w:szCs w:val="24"/>
                            <w:lang w:eastAsia="lt-LT"/>
                          </w:rPr>
                          <w:t>–</w:t>
                        </w:r>
                      </w:p>
                    </w:tc>
                    <w:tc>
                      <w:tcPr>
                        <w:tcW w:w="3685" w:type="dxa"/>
                        <w:vMerge/>
                      </w:tcPr>
                      <w:p>
                        <w:pPr>
                          <w:suppressAutoHyphens/>
                          <w:spacing w:line="276" w:lineRule="auto"/>
                          <w:rPr>
                            <w:color w:val="000000"/>
                            <w:szCs w:val="24"/>
                            <w:lang w:eastAsia="lt-LT"/>
                          </w:rPr>
                        </w:pPr>
                      </w:p>
                    </w:tc>
                    <w:tc>
                      <w:tcPr>
                        <w:tcW w:w="3828" w:type="dxa"/>
                        <w:shd w:val="clear" w:color="auto" w:fill="auto"/>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sdtContent>
            </w:sdt>
            <w:sdt>
              <w:sdtPr>
                <w:alias w:val="pastraipa"/>
                <w:tag w:val="part_edd5412d02cd49b0a22bb953aaafc4b5"/>
                <w:lock w:val="sdtLocked"/>
                <w:richText/>
              </w:sdtPr>
              <w:sdtContent>
                <w:p>
                  <w:pPr>
                    <w:widowControl w:val="0"/>
                    <w:suppressAutoHyphens/>
                    <w:spacing w:line="276" w:lineRule="auto"/>
                    <w:ind w:firstLine="851"/>
                    <w:rPr>
                      <w:bCs/>
                      <w:lang w:eastAsia="zh-CN"/>
                    </w:rPr>
                  </w:pPr>
                  <w:r>
                    <w:rPr>
                      <w:bCs/>
                      <w:lang w:eastAsia="zh-CN"/>
                    </w:rPr>
                    <w:t>Pastaba. (– ) Esamame klasifikatoriuje atitikmens nėra. Visi įrašų keitimai vykdomi pagal esamus atitikmenis.</w:t>
                  </w:r>
                </w:p>
                <w:p>
                  <w:pPr>
                    <w:widowControl w:val="0"/>
                    <w:suppressAutoHyphens/>
                    <w:ind w:firstLine="851"/>
                    <w:rPr>
                      <w:szCs w:val="24"/>
                      <w:lang w:eastAsia="zh-CN"/>
                    </w:rPr>
                  </w:pPr>
                </w:p>
              </w:sdtContent>
            </w:sdt>
          </w:sdtContent>
        </w:sdt>
        <w:sdt>
          <w:sdtPr>
            <w:alias w:val="pabaiga"/>
            <w:tag w:val="part_f3a121a533ca4938abb34274f49b32d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lang w:eastAsia="lt-LT"/>
                </w:rPr>
              </w:pPr>
              <w:r>
                <w:rPr>
                  <w:color w:val="000000"/>
                  <w:lang w:eastAsia="zh-CN"/>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145002a4711efbdaea558de59136c">
            <w:r w:rsidRPr="00532B9F">
              <w:rPr>
                <w:rFonts w:ascii="Arial" w:eastAsia="MS Mincho" w:hAnsi="Arial"/>
                <w:sz w:val="20"/>
                <w:i/>
                <w:iCs/>
                <w:color w:val="0000FF" w:themeColor="hyperlink"/>
                <w:u w:val="single"/>
              </w:rPr>
              <w:t>D1-197</w:t>
            </w:r>
          </w:fldSimple>
          <w:r>
            <w:rPr>
              <w:rFonts w:ascii="Arial" w:eastAsia="MS Mincho" w:hAnsi="Arial"/>
              <w:sz w:val="20"/>
              <w:i/>
              <w:iCs/>
            </w:rPr>
            <w:t>,
2024-06-14,
paskelbta TAR 2024-06-14, i. k. 2024-10917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b077890d59311e7910a89ac20768b0f">
            <w:r w:rsidRPr="00532B9F">
              <w:rPr>
                <w:rFonts w:ascii="Arial" w:eastAsia="MS Mincho" w:hAnsi="Arial"/>
                <w:sz w:val="20"/>
                <w:iCs/>
                <w:color w:val="0000FF" w:themeColor="hyperlink"/>
                <w:u w:val="single"/>
              </w:rPr>
              <w:t>D1-962</w:t>
            </w:r>
          </w:fldSimple>
          <w:r>
            <w:rPr>
              <w:rFonts w:ascii="Arial" w:eastAsia="MS Mincho" w:hAnsi="Arial"/>
              <w:sz w:val="20"/>
              <w:iCs/>
            </w:rPr>
            <w:t>,
2017-11-29,
paskelbta TAR 2017-11-30, i. k. 2017-19072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d14fda0af0511eab9d9cd0c85e0b745">
            <w:r w:rsidRPr="00532B9F">
              <w:rPr>
                <w:rFonts w:ascii="Arial" w:eastAsia="MS Mincho" w:hAnsi="Arial"/>
                <w:sz w:val="20"/>
                <w:iCs/>
                <w:color w:val="0000FF" w:themeColor="hyperlink"/>
                <w:u w:val="single"/>
              </w:rPr>
              <w:t>D1-356</w:t>
            </w:r>
          </w:fldSimple>
          <w:r>
            <w:rPr>
              <w:rFonts w:ascii="Arial" w:eastAsia="MS Mincho" w:hAnsi="Arial"/>
              <w:sz w:val="20"/>
              <w:iCs/>
            </w:rPr>
            <w:t>,
2020-06-11,
paskelbta TAR 2020-06-15, i. k. 2020-13064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9bbb450232311edb4cae1b158f98ea5">
            <w:r w:rsidRPr="00532B9F">
              <w:rPr>
                <w:rFonts w:ascii="Arial" w:eastAsia="MS Mincho" w:hAnsi="Arial"/>
                <w:sz w:val="20"/>
                <w:iCs/>
                <w:color w:val="0000FF" w:themeColor="hyperlink"/>
                <w:u w:val="single"/>
              </w:rPr>
              <w:t>D1-279</w:t>
            </w:r>
          </w:fldSimple>
          <w:r>
            <w:rPr>
              <w:rFonts w:ascii="Arial" w:eastAsia="MS Mincho" w:hAnsi="Arial"/>
              <w:sz w:val="20"/>
              <w:iCs/>
            </w:rPr>
            <w:t>,
2022-08-23,
paskelbta TAR 2022-08-24, i. k. 2022-17445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ab9c9102c3e11ee9de9e7e0fd363afc">
            <w:r w:rsidRPr="00532B9F">
              <w:rPr>
                <w:rFonts w:ascii="Arial" w:eastAsia="MS Mincho" w:hAnsi="Arial"/>
                <w:sz w:val="20"/>
                <w:iCs/>
                <w:color w:val="0000FF" w:themeColor="hyperlink"/>
                <w:u w:val="single"/>
              </w:rPr>
              <w:t>D1-253</w:t>
            </w:r>
          </w:fldSimple>
          <w:r>
            <w:rPr>
              <w:rFonts w:ascii="Arial" w:eastAsia="MS Mincho" w:hAnsi="Arial"/>
              <w:sz w:val="20"/>
              <w:iCs/>
            </w:rPr>
            <w:t>,
2023-07-27,
paskelbta TAR 2023-07-27, i. k. 2023-15254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a0c145002a4711efbdaea558de59136c">
            <w:r w:rsidRPr="00532B9F">
              <w:rPr>
                <w:rFonts w:ascii="Arial" w:eastAsia="MS Mincho" w:hAnsi="Arial"/>
                <w:sz w:val="20"/>
                <w:iCs/>
                <w:color w:val="0000FF" w:themeColor="hyperlink"/>
                <w:u w:val="single"/>
              </w:rPr>
              <w:t>D1-197</w:t>
            </w:r>
          </w:fldSimple>
          <w:r>
            <w:rPr>
              <w:rFonts w:ascii="Arial" w:eastAsia="MS Mincho" w:hAnsi="Arial"/>
              <w:sz w:val="20"/>
              <w:iCs/>
            </w:rPr>
            <w:t>,
2024-06-14,
paskelbta TAR 2024-06-14, i. k. 2024-10917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widowControl w:val="0"/>
            <w:rPr>
              <w:rFonts w:ascii="Arial" w:hAnsi="Arial"/>
              <w:snapToGrid w:val="0"/>
            </w:rPr>
          </w:pPr>
        </w:p>
      </w:sdtContent>
    </w:sdt>
    <w:sectPr>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276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fontTable" Target="fontTable.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2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5053b2a58cd9497a8a9940168bc74318">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3ca0c70846b245a591fd77348c3e0eb5"/>
        <Part Type="papunktis" Nr="4.8" Abbr="4.8 pp." DocPartId="3377478504bc43c090ccf5161a5c6ae6" PartId="0d30c51a66bb48b2993c1524fd2d4c88"/>
        <Part Type="papunktis" Nr="4.9" Abbr="4.9 pp." DocPartId="5d971ca719884f078646994b8ef653b6" PartId="199924869b4d48ca9237deb2748c4460"/>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9b6c7581cd8348dd8930e58a168e5ca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d51d764569594d5e83b64f3df55799b6"/>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cd6d9027660d495c9e70d69af1b5259f"/>
          <Part Type="papunktis" Nr="9.5" Abbr="9.5 pp." DocPartId="a07135a0da164a2d999fa1c2778b340f" PartId="de16b03ecfcf4f4689a22324b54792a1"/>
          <Part Type="papunktis" Nr="9.6" Abbr="9.6 pp." DocPartId="c8ac20982d72467d865ce7bb56d38f25" PartId="bbfb8cd225114495ab119b2c8d28567c"/>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a3eabd963e05466cadd844589bfc1a28"/>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3df1880a94b04e7ebe5b700e2e9ea65f"/>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e4655dbe3b484395b93223c2f8fa8c41"/>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34812d16ef60499d8468df977c85e1d9"/>
  </Part>
  <Part Type="priedas" Abbr="pr." Title="STATINIŲ IR PATALPŲ PAGRINDINĖS NAUDOJIMO PASKIRTIES ĮRAŠŲ NEKILNOJAMOJO TURTO KADASTRE KEITIMO APRAŠAS" DocPartId="4571f22900324a5c9e98f06352a241f9" PartId="8b67766a541f44eab1fe90fb70fa68d2">
    <Part Type="skyrius" Nr="1" Title="PASTATŲ PAGRINDINĖS NAUDOJIMO PASKIRTIES ĮRAŠŲ NEKILNOJAMOJO TURTO KADASTRE KEITIMO APRAŠAS" DocPartId="84d4940720aa41238f4e9d94c42de875" PartId="d0b63f55e3b647a7a9b374b722841402">
      <Part Type="lentele" Nr="1" DocPartId="8400f28e2c2543428d904ef7eb6f085e" PartId="55a7c3e706bc4c88b541c76600e76607"/>
      <Part Type="pastraipa" DocPartId="2504163594dc4b9c85a3105a47fc4591" PartId="c8c8516c754e4a6a98f66dbe20e0a3a6"/>
    </Part>
    <Part Type="skyrius" Nr="2" Title="PATALPŲ PAGRINDINĖS NAUDOJIMO PASKIRTIES ĮRAŠŲ NEKILNOJAMOJO TURTO KADASTRE KEITIMO APRAŠAS" DocPartId="03a93913401d4858abfde1bb4dbdb750" PartId="da2730b36d574fc5a03b4ef243c23b56">
      <Part Type="lentele" Nr="2" DocPartId="0df9f2814dda4a1f909940b91a1f16f9" PartId="bbfa7c3ca70842f08528e412ef002baf"/>
      <Part Type="pastraipa" DocPartId="38f3ce69f9b34cb99ca50fd8195563ec" PartId="f5cd6662579c41c8bbe897a6fa156a01"/>
    </Part>
    <Part Type="skyrius" Nr="3" Title="INŽINERINIŲ STATINIŲ PAGRINDINĖS NAUDOJIMO PASKIRTIES ĮRAŠŲ NEKILNOJAMOJO TURTO KADASTRE KEITIMO APRAŠAS" DocPartId="add4ef7a116a4afa9c6816a843332cbd" PartId="d3e984b963f64fb1a11613b28e4ebe4e">
      <Part Type="lentele" Nr="3" DocPartId="f66b206b2a154e58909576741067cc90" PartId="d841bc0f35ec418191bb1637f1160b74"/>
      <Part Type="pastraipa" DocPartId="60f9cabe78094db1a996736870fa8b9a" PartId="edd5412d02cd49b0a22bb953aaafc4b5"/>
    </Part>
    <Part Type="pabaiga" DocPartId="e95e01145fdd49b3a3ee021bfc1da2b3" PartId="f3a121a533ca4938abb34274f49b32df"/>
  </Part>
</Parts>
</file>

<file path=customXml/itemProps1.xml><?xml version="1.0" encoding="utf-8"?>
<ds:datastoreItem xmlns:ds="http://schemas.openxmlformats.org/officeDocument/2006/customXml" ds:itemID="{EE2CEA0B-3F1E-482B-83B0-53B222CFD1C4}">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30084</Words>
  <Characters>17148</Characters>
  <Application>Microsoft Office Word</Application>
  <DocSecurity>0</DocSecurity>
  <Lines>142</Lines>
  <Paragraphs>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47138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2024-06-17T12:43:00Z</dcterms:modified>
  <revision>1</revision>
</coreProperties>
</file>