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2019-03-16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TAR 2014-03-26, i. k. 2014-03499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2019-03-16: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e2e65f2046ee11e9a221b04854b985a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V-257/1-27</w:t>
        </w:r>
      </w:fldSimple>
      <w:r>
        <w:rPr>
          <w:rFonts w:ascii="Times New Roman" w:eastAsia="MS Mincho" w:hAnsi="Times New Roman"/>
          <w:sz w:val="20"/>
          <w:i/>
          <w:iCs/>
        </w:rPr>
        <w:t>,
2019-03-12,
paskelbta TAR 2019-03-15, i. k. 2019-04177                </w:t>
      </w:r>
    </w:p>
    <w:p>
      <w:pPr>
        <w:rPr>
          <w:rFonts w:ascii="Times New Roman" w:hAnsi="Times New Roman"/>
          <w:sz w:val="22"/>
        </w:rPr>
      </w:pPr>
    </w:p>
    <w:p>
      <w:pPr>
        <w:tabs>
          <w:tab w:val="left" w:pos="0"/>
          <w:tab w:val="left" w:pos="567"/>
        </w:tabs>
        <w:jc w:val="center"/>
        <w:rPr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lietuvos respublikos krašto apsaugos </w:t>
        <w:br/>
        <w:t xml:space="preserve">ministras </w:t>
      </w:r>
    </w:p>
    <w:p>
      <w:pPr>
        <w:tabs>
          <w:tab w:val="left" w:pos="0"/>
        </w:tabs>
        <w:jc w:val="center"/>
        <w:rPr>
          <w:szCs w:val="24"/>
          <w:lang w:eastAsia="lt-LT"/>
        </w:rPr>
      </w:pPr>
    </w:p>
    <w:p>
      <w:pPr>
        <w:tabs>
          <w:tab w:val="left" w:pos="0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VALSTYBĖS SAUGUMO DEPARTAMENTO</w:t>
      </w:r>
    </w:p>
    <w:p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DIREKTORIUS</w:t>
      </w:r>
    </w:p>
    <w:p>
      <w:pPr>
        <w:jc w:val="center"/>
        <w:rPr>
          <w:b/>
          <w:bCs/>
          <w:szCs w:val="24"/>
          <w:lang w:eastAsia="lt-LT"/>
        </w:rPr>
      </w:pPr>
    </w:p>
    <w:p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ĮSAKYMAS</w:t>
      </w:r>
    </w:p>
    <w:p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DĖL DIENPINIGIŲ IR GYVENAMOJO PLOTO NUOMOS IŠLAIDŲ DYDŽIŲ NUSTATYMO ŽVALGYBOS PAREIGŪNAMS, PASIŲSTIEMS MOKYTIS AR TOBULINTI KVALIFIKACIJOS Į UŽSIENIO VALSTYBIŲ INSTITUCIJAS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lang w:eastAsia="lt-LT"/>
        </w:rPr>
      </w:pPr>
      <w:r>
        <w:rPr>
          <w:lang w:eastAsia="lt-LT"/>
        </w:rPr>
        <w:t>2014 m. kovo 26 d. Nr. V-239/1-37</w:t>
      </w:r>
    </w:p>
    <w:p>
      <w:pPr>
        <w:jc w:val="center"/>
        <w:rPr>
          <w:lang w:eastAsia="lt-LT"/>
        </w:rPr>
      </w:pPr>
      <w:r>
        <w:rPr>
          <w:lang w:eastAsia="lt-LT"/>
        </w:rPr>
        <w:t>Vilnius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</w:p>
    <w:p>
      <w:pPr>
        <w:tabs>
          <w:tab w:val="left" w:pos="570"/>
        </w:tabs>
        <w:ind w:firstLine="73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Vadovaudamiesi Žvalgybos pareigūnų, pasiųstų mokytis ar tobulinti kvalifikacijos, aprūpinimo sąlygų mokymosi ar kvalifikacijos tobulinimo laikotarpiu tvarkos aprašo, patvirtinto Lietuvos Respublikos Vyriausybės 2013 m. kovo 6 d. nutarimu Nr. 198 „</w:t>
      </w:r>
      <w:r>
        <w:rPr>
          <w:color w:val="000000"/>
          <w:szCs w:val="24"/>
          <w:lang w:eastAsia="lt-LT"/>
        </w:rPr>
        <w:t>Dėl Žvalgybos</w:t>
      </w:r>
      <w:r>
        <w:rPr>
          <w:szCs w:val="24"/>
          <w:lang w:eastAsia="lt-LT"/>
        </w:rPr>
        <w:t xml:space="preserve"> pareigūnų, pasiųstų mokytis ar tobulinti kvalifikacijos, aprūpinimo sąlygų mokymosi ar kvalifikacijos tobulinimo laikotarpiu tvarkos aprašo patvirtinimo“, 7.2 papunkčiu,</w:t>
      </w:r>
    </w:p>
    <w:p>
      <w:pPr>
        <w:tabs>
          <w:tab w:val="left" w:pos="570"/>
        </w:tabs>
        <w:ind w:firstLine="73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n u s t a t o m e  nuo 31 kalendorinės dienos mokamus šiuos dienpinigių ir gyvenamojo ploto nuomos išlaidų dydžius žvalgybos pareigūnams, tarnaujantiems pagal žvalgybos pareigūno tarnybos sutartį ir pasiųstiems mokytis ar tobulinti kvalifikacijos į užsienio valstybių mokymo institucijas ilgiau kaip 30 kalendorinių dienų: </w:t>
      </w:r>
    </w:p>
    <w:p>
      <w:pPr>
        <w:tabs>
          <w:tab w:val="left" w:pos="570"/>
        </w:tabs>
        <w:ind w:firstLine="73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20 procentų Lietuvos Respublikos Vyriausybės patvirtintos dienpinigių užsienio valstybėje normos, kai užsienio valstybėje jie aprūpinami dienpinigiais, tačiau bendra dienpinigių suma negali viršyti Lietuvos Respublikos Vyriausybės patvirtintos dienpinigių toje užsienio valstybėje normos;</w:t>
      </w:r>
    </w:p>
    <w:p>
      <w:pPr>
        <w:tabs>
          <w:tab w:val="left" w:pos="570"/>
        </w:tabs>
        <w:ind w:firstLine="73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100 procentų Lietuvos Respublikos Vyriausybės patvirtintos dienpinigių užsienio valstybėje normos, kai užsienio valstybėje jie neaprūpinami dienpinigiais;</w:t>
      </w:r>
    </w:p>
    <w:p>
      <w:pPr>
        <w:tabs>
          <w:tab w:val="left" w:pos="570"/>
        </w:tabs>
        <w:ind w:firstLine="737"/>
        <w:jc w:val="both"/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iki 100 procentų Lietuvos Respublikos Vyriausybės patvirtintos gyvenamojo ploto nuomos užsienio valstybėje normos, kai mokymosi ar kvalifikacijos tobulinimo laikotarpiu jie neaprūpinami gyvenamuoju plotu ir šių išlaidų neapmoka priimančioji valstybė.</w:t>
      </w:r>
    </w:p>
    <w:p>
      <w:pPr/>
    </w:p>
    <w:p>
      <w:pPr/>
    </w:p>
    <w:p>
      <w:pPr/>
    </w:p>
    <w:p>
      <w:pPr>
        <w:rPr>
          <w:lang w:eastAsia="lt-LT"/>
        </w:rPr>
      </w:pPr>
      <w:r>
        <w:rPr>
          <w:lang w:eastAsia="lt-LT"/>
        </w:rPr>
        <w:t xml:space="preserve">Krašto apsaugos ministras  </w:t>
        <w:tab/>
        <w:tab/>
        <w:tab/>
        <w:tab/>
        <w:tab/>
        <w:tab/>
        <w:tab/>
        <w:t xml:space="preserve">          Juozas Olekas</w:t>
      </w:r>
    </w:p>
    <w:p>
      <w:pPr>
        <w:rPr>
          <w:lang w:eastAsia="lt-LT"/>
        </w:rPr>
      </w:pPr>
    </w:p>
    <w:p>
      <w:pPr>
        <w:rPr>
          <w:lang w:eastAsia="lt-LT"/>
        </w:rPr>
      </w:pPr>
    </w:p>
    <w:p>
      <w:pPr>
        <w:rPr>
          <w:lang w:eastAsia="lt-LT"/>
        </w:rPr>
      </w:pPr>
      <w:r>
        <w:rPr>
          <w:lang w:eastAsia="lt-LT"/>
        </w:rPr>
        <w:t>Lietuvos Respublikos valstybės saugumo</w:t>
      </w:r>
    </w:p>
    <w:p>
      <w:pPr>
        <w:rPr>
          <w:lang w:eastAsia="lt-LT"/>
        </w:rPr>
      </w:pPr>
      <w:r>
        <w:rPr>
          <w:lang w:eastAsia="lt-LT"/>
        </w:rPr>
        <w:t xml:space="preserve">departamento direktorius </w:t>
        <w:tab/>
        <w:tab/>
        <w:tab/>
        <w:tab/>
        <w:tab/>
        <w:t xml:space="preserve">                              Gediminas Grina</w:t>
      </w:r>
    </w:p>
    <w:p>
      <w:pPr>
        <w:rPr>
          <w:lang w:eastAsia="lt-LT"/>
        </w:rPr>
      </w:pP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krašto apsaugos ministerija, Lietuvos Respublikos valstybės saugumo departamentas,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e2e65f2046ee11e9a221b04854b985a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V-257/1-27</w:t>
        </w:r>
      </w:fldSimple>
      <w:r>
        <w:rPr>
          <w:rFonts w:ascii="Times New Roman" w:eastAsia="MS Mincho" w:hAnsi="Times New Roman"/>
          <w:sz w:val="20"/>
          <w:iCs/>
        </w:rPr>
        <w:t>,
2019-03-12,
paskelbta TAR 2019-03-15, i. k. 2019-04177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krašto apsaugos ministro ir Lietuvos Respublikos valstybės saugumo departamento direktoriaus 2014 m. kovo 26 d. įsakymo Nr. V-239/1-37 „Dėl dienpinigių ir gyvenamojo ploto nuomos išlaidų dydžių nustatymo žvalgybos pareigūnams, siunčiamiems mokytis ar tobulinti kvalifikacijos į užsienio valstybių institucijas“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40" w:code="9"/>
      <w:pgMar w:top="1701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B2AE3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3450618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theme" Target="theme/theme1.xml"/>
  <Relationship Id="rId6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</TotalTime>
  <Pages>2</Pages>
  <Words>2493</Words>
  <Characters>1422</Characters>
  <Application>Microsoft Office Word</Application>
  <DocSecurity>0</DocSecurity>
  <Lines>11</Lines>
  <Paragraphs>7</Paragraphs>
  <ScaleCrop>false</ScaleCrop>
  <HeadingPairs>
    <vt:vector xmlns:vt="http://schemas.openxmlformats.org/officeDocument/2006/docPropsVTypes"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>ĮSAKYMAS</vt:lpstr>
      <vt:lpstr>ĮSAKYMAS</vt:lpstr>
    </vt:vector>
  </TitlesOfParts>
  <Company>KAM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2014-03-26T14:35:00Z</dcterms:created>
  <dc:creator>Tomajad</dc:creator>
  <lastModifiedBy>DRAZDAUSKIENĖ Nijolė</lastModifiedBy>
  <lastPrinted>2009-03-30T11:08:00Z</lastPrinted>
  <dcterms:modified xsi:type="dcterms:W3CDTF">2019-03-18T11:38:00Z</dcterms:modified>
  <revision>6</revision>
  <dc:title>ĮSAKYMAS</dc:title>
</coreProperties>
</file>