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e446468a59f4660aec290db1fa4e005"/>
        <w:lock w:val="sdtLocked"/>
        <w:richText/>
      </w:sdtPr>
      <w:sdtContent>
        <w:p>
          <w:pPr>
            <w:jc w:val="both"/>
            <w:rPr>
              <w:rFonts w:ascii="Times New Roman" w:hAnsi="Times New Roman"/>
            </w:rPr>
          </w:pPr>
          <w:r>
            <w:rPr>
              <w:rFonts w:ascii="Times New Roman" w:hAnsi="Times New Roman"/>
              <w:b/>
              <w:i/>
            </w:rPr>
            <w:t>Suvestinė redakcija nuo 2024-11-01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2016-01-06, i. k. 2016-00365</w:t>
          </w:r>
        </w:p>
        <w:p>
          <w:pPr>
            <w:jc w:val="both"/>
            <w:rPr>
              <w:rFonts w:ascii="Times New Roman" w:hAnsi="Times New Roman"/>
              <w:sz w:val="20"/>
            </w:rPr>
          </w:pPr>
        </w:p>
        <w:p>
          <w:pPr>
            <w:tabs>
              <w:tab w:val="center" w:pos="4819"/>
              <w:tab w:val="right" w:pos="9638"/>
            </w:tabs>
            <w:jc w:val="center"/>
            <w:rPr>
              <w:b/>
              <w:szCs w:val="24"/>
            </w:rPr>
          </w:pPr>
          <w:r>
            <w:rPr>
              <w:b/>
              <w:szCs w:val="24"/>
              <w:lang w:eastAsia="lt-LT"/>
            </w:rPr>
            <w:drawing>
              <wp:inline distT="0" distB="0" distL="0" distR="0">
                <wp:extent cx="481330" cy="57912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1330" cy="579120"/>
                        </a:xfrm>
                        <a:prstGeom prst="rect">
                          <a:avLst/>
                        </a:prstGeom>
                        <a:noFill/>
                      </pic:spPr>
                    </pic:pic>
                  </a:graphicData>
                </a:graphic>
              </wp:inline>
            </w:drawing>
          </w:r>
        </w:p>
        <w:p>
          <w:pPr>
            <w:keepNext/>
            <w:spacing w:line="20" w:lineRule="atLeast"/>
            <w:jc w:val="center"/>
            <w:outlineLvl w:val="1"/>
            <w:rPr>
              <w:b/>
              <w:szCs w:val="24"/>
              <w:lang w:val="x-none"/>
            </w:rPr>
          </w:pPr>
          <w:r>
            <w:rPr>
              <w:b/>
              <w:szCs w:val="24"/>
              <w:lang w:val="x-none"/>
            </w:rPr>
            <w:t>PRIEŠGAISRINĖS APSAUGOS IR GELBĖJIMO DEPARTAMENTO</w:t>
          </w:r>
        </w:p>
        <w:p>
          <w:pPr>
            <w:spacing w:line="20" w:lineRule="atLeast"/>
            <w:jc w:val="center"/>
            <w:rPr>
              <w:b/>
              <w:szCs w:val="24"/>
              <w:lang w:val="en-US"/>
            </w:rPr>
          </w:pPr>
          <w:r>
            <w:rPr>
              <w:b/>
              <w:szCs w:val="24"/>
              <w:lang w:val="en-US"/>
            </w:rPr>
            <w:t>PRIE VIDAUS REIKALŲ MINISTERIJOS DIREKTORIUS</w:t>
          </w:r>
        </w:p>
        <w:p>
          <w:pPr>
            <w:spacing w:line="20" w:lineRule="atLeast"/>
            <w:rPr>
              <w:szCs w:val="24"/>
            </w:rPr>
          </w:pPr>
        </w:p>
        <w:p>
          <w:pPr>
            <w:jc w:val="center"/>
            <w:rPr>
              <w:b/>
              <w:lang w:val="en-US"/>
            </w:rPr>
          </w:pPr>
          <w:r>
            <w:rPr>
              <w:b/>
              <w:lang w:val="en-US"/>
            </w:rPr>
            <w:t>ĮSAKYMAS</w:t>
          </w:r>
        </w:p>
        <w:p>
          <w:pPr>
            <w:jc w:val="center"/>
            <w:rPr>
              <w:b/>
              <w:caps/>
              <w:szCs w:val="24"/>
              <w:lang w:val="en-US"/>
            </w:rPr>
          </w:pPr>
          <w:r>
            <w:rPr>
              <w:b/>
              <w:caps/>
              <w:szCs w:val="24"/>
              <w:lang w:val="en-US"/>
            </w:rPr>
            <w:t xml:space="preserve">Dėl </w:t>
          </w:r>
          <w:r>
            <w:rPr>
              <w:b/>
              <w:szCs w:val="24"/>
              <w:lang w:val="en-US"/>
            </w:rPr>
            <w:t>STACIONARIŲJŲ GAISRŲ GESINIMO SISTEMŲ PROJEKTAVIMO IR ĮRENGIMO TAISYKLIŲ PATVIRTINIMO</w:t>
          </w:r>
        </w:p>
        <w:p>
          <w:pPr>
            <w:spacing w:line="20" w:lineRule="atLeast"/>
            <w:rPr>
              <w:szCs w:val="24"/>
            </w:rPr>
          </w:pPr>
        </w:p>
        <w:p>
          <w:pPr>
            <w:jc w:val="center"/>
            <w:rPr>
              <w:szCs w:val="24"/>
            </w:rPr>
          </w:pPr>
          <w:r>
            <w:rPr>
              <w:szCs w:val="24"/>
            </w:rPr>
            <w:t xml:space="preserve">2016  m.  sausio 6  d. Nr. 1-1</w:t>
          </w:r>
        </w:p>
        <w:p>
          <w:pPr>
            <w:jc w:val="center"/>
            <w:rPr>
              <w:szCs w:val="24"/>
            </w:rPr>
          </w:pPr>
          <w:r>
            <w:rPr>
              <w:szCs w:val="24"/>
            </w:rPr>
            <w:t>Vilnius</w:t>
          </w:r>
        </w:p>
        <w:p>
          <w:pPr>
            <w:tabs>
              <w:tab w:val="left" w:pos="993"/>
            </w:tabs>
            <w:spacing w:line="276" w:lineRule="auto"/>
            <w:ind w:firstLine="720"/>
            <w:jc w:val="both"/>
            <w:rPr>
              <w:szCs w:val="24"/>
              <w:lang w:val="en-US"/>
            </w:rPr>
          </w:pPr>
        </w:p>
        <w:p>
          <w:pPr>
            <w:tabs>
              <w:tab w:val="left" w:pos="993"/>
            </w:tabs>
            <w:spacing w:line="276" w:lineRule="auto"/>
            <w:ind w:firstLine="720"/>
            <w:jc w:val="both"/>
            <w:rPr>
              <w:szCs w:val="24"/>
              <w:lang w:val="en-US"/>
            </w:rPr>
          </w:pPr>
        </w:p>
        <w:sdt>
          <w:sdtPr>
            <w:alias w:val="preambule"/>
            <w:tag w:val="part_d58c2434c40840d7a4f004ee9f7667f9"/>
            <w:lock w:val="sdtLocked"/>
            <w:richText/>
          </w:sdtPr>
          <w:sdtContent>
            <w:p>
              <w:pPr>
                <w:tabs>
                  <w:tab w:val="left" w:pos="993"/>
                </w:tabs>
                <w:spacing w:line="276" w:lineRule="auto"/>
                <w:ind w:firstLine="720"/>
                <w:jc w:val="both"/>
                <w:rPr>
                  <w:szCs w:val="24"/>
                  <w:lang w:val="en-US"/>
                </w:rPr>
              </w:pPr>
              <w:r>
                <w:rPr>
                  <w:szCs w:val="24"/>
                  <w:lang w:val="en-US"/>
                </w:rPr>
                <w:t>Vadovaudamasis Lietuvos Respublikos priešgaisrinės saugos įstatymo 7 straipsnio 3 punktu, Lietuvos Respublikos statybos įstatymo 8 straipsnio 5 dalimi ir atsižvelgdamas į Lietuvos Respublikos Vyriausybės 2008 m. balandžio 9 d. nutarimo Nr. 341 „Dėl esminių statinio reikalavimų ir statinio techninių parametrų pagal statinių ar statybos produktų charakteristikų lygius ir klases nustatymo kompetencijos priskyrimo valstybės institucijoms“ 5 punktą:</w:t>
              </w:r>
            </w:p>
          </w:sdtContent>
        </w:sdt>
        <w:sdt>
          <w:sdtPr>
            <w:alias w:val="1 p."/>
            <w:tag w:val="part_9b311cda13e74cb79ac5e3f5034d4053"/>
            <w:lock w:val="sdtLocked"/>
            <w:richText/>
          </w:sdtPr>
          <w:sdtContent>
            <w:p>
              <w:pPr>
                <w:tabs>
                  <w:tab w:val="left" w:pos="993"/>
                </w:tabs>
                <w:spacing w:line="276" w:lineRule="auto"/>
                <w:ind w:firstLine="720"/>
                <w:jc w:val="both"/>
                <w:rPr>
                  <w:szCs w:val="24"/>
                  <w:lang w:val="en-US"/>
                </w:rPr>
              </w:pPr>
              <w:sdt>
                <w:sdtPr>
                  <w:alias w:val="Numeris"/>
                  <w:tag w:val="nr_9b311cda13e74cb79ac5e3f5034d4053"/>
                  <w:lock w:val="sdtLocked"/>
                  <w:richText/>
                </w:sdtPr>
                <w:sdtContent>
                  <w:r>
                    <w:rPr>
                      <w:szCs w:val="24"/>
                      <w:lang w:val="en-US"/>
                    </w:rPr>
                    <w:t>1</w:t>
                  </w:r>
                </w:sdtContent>
              </w:sdt>
              <w:r>
                <w:rPr>
                  <w:szCs w:val="24"/>
                  <w:lang w:val="en-US"/>
                </w:rPr>
                <w:t>.</w:t>
                <w:tab/>
                <w:t>T v i r t i n u Stacionariųjų gaisrų gesinimo sistemų projektavimo ir įrengimo taisykles (pridedama).</w:t>
              </w:r>
            </w:p>
          </w:sdtContent>
        </w:sdt>
        <w:sdt>
          <w:sdtPr>
            <w:alias w:val="2 p."/>
            <w:tag w:val="part_2a0308d81de948888bf104ce9ee92b04"/>
            <w:lock w:val="sdtLocked"/>
            <w:richText/>
          </w:sdtPr>
          <w:sdtContent>
            <w:p>
              <w:pPr>
                <w:tabs>
                  <w:tab w:val="left" w:pos="993"/>
                </w:tabs>
                <w:spacing w:line="276" w:lineRule="auto"/>
                <w:ind w:firstLine="720"/>
                <w:jc w:val="both"/>
                <w:rPr>
                  <w:szCs w:val="24"/>
                </w:rPr>
              </w:pPr>
              <w:sdt>
                <w:sdtPr>
                  <w:alias w:val="Numeris"/>
                  <w:tag w:val="nr_2a0308d81de948888bf104ce9ee92b04"/>
                  <w:lock w:val="sdtLocked"/>
                  <w:richText/>
                </w:sdtPr>
                <w:sdtContent>
                  <w:r>
                    <w:rPr>
                      <w:szCs w:val="24"/>
                    </w:rPr>
                    <w:t>2</w:t>
                  </w:r>
                </w:sdtContent>
              </w:sdt>
              <w:r>
                <w:rPr>
                  <w:szCs w:val="24"/>
                </w:rPr>
                <w:t>.</w:t>
                <w:tab/>
              </w:r>
              <w:r>
                <w:rPr>
                  <w:szCs w:val="24"/>
                  <w:lang w:val="en-US"/>
                </w:rPr>
                <w:t xml:space="preserve">P r i p a ž į s t u netekusiomis galios Priešgaisrinės apsaugos ir gelbėjimo departamento prie Vidaus reikalų ministerijos direktoriaus </w:t>
              </w:r>
              <w:smartTag w:uri="urn:schemas-microsoft-com:office:smarttags" w:element="metricconverter">
                <w:smartTagPr>
                  <w:attr w:name="ProductID" w:val="2007 m"/>
                </w:smartTagPr>
                <w:r>
                  <w:rPr>
                    <w:szCs w:val="24"/>
                    <w:lang w:val="en-US"/>
                  </w:rPr>
                  <w:t>2007 m</w:t>
                </w:r>
              </w:smartTag>
              <w:r>
                <w:rPr>
                  <w:szCs w:val="24"/>
                  <w:lang w:val="en-US"/>
                </w:rPr>
                <w:t xml:space="preserve">. </w:t>
              </w:r>
              <w:r>
                <w:rPr>
                  <w:szCs w:val="24"/>
                </w:rPr>
                <w:t>vasario 22 d. įsakymu Nr. 1-66 „Dėl normatyvinių statinio saugos dokumentų patvirtinimo“ patvirtintas Stacionariųjų gaisrų gesinimo sistemų projektavimo ir įrengimo taisykles su visais pakeitimais ir papildymais.</w:t>
              </w:r>
            </w:p>
          </w:sdtContent>
        </w:sdt>
        <w:sdt>
          <w:sdtPr>
            <w:alias w:val="3 p."/>
            <w:tag w:val="part_790ea651549b47319df70d54315bdc9b"/>
            <w:lock w:val="sdtLocked"/>
            <w:richText/>
          </w:sdtPr>
          <w:sdtContent>
            <w:p>
              <w:pPr>
                <w:tabs>
                  <w:tab w:val="left" w:pos="993"/>
                </w:tabs>
                <w:spacing w:line="276" w:lineRule="auto"/>
                <w:ind w:firstLine="720"/>
                <w:jc w:val="both"/>
                <w:rPr>
                  <w:szCs w:val="24"/>
                  <w:lang w:val="en-US"/>
                </w:rPr>
              </w:pPr>
              <w:sdt>
                <w:sdtPr>
                  <w:alias w:val="Numeris"/>
                  <w:tag w:val="nr_790ea651549b47319df70d54315bdc9b"/>
                  <w:lock w:val="sdtLocked"/>
                  <w:richText/>
                </w:sdtPr>
                <w:sdtContent>
                  <w:r>
                    <w:rPr>
                      <w:szCs w:val="24"/>
                      <w:lang w:val="en-US"/>
                    </w:rPr>
                    <w:t>3</w:t>
                  </w:r>
                </w:sdtContent>
              </w:sdt>
              <w:r>
                <w:rPr>
                  <w:szCs w:val="24"/>
                  <w:lang w:val="en-US"/>
                </w:rPr>
                <w:t>.</w:t>
                <w:tab/>
                <w:t>N u s t a t a u, kad šis įsakymas įsigalioja 2016 m. gegužės 1 d.</w:t>
              </w:r>
            </w:p>
          </w:sdtContent>
        </w:sdt>
        <w:sdt>
          <w:sdtPr>
            <w:alias w:val="signatura"/>
            <w:tag w:val="part_a5e93aab278045d5b9486ddac26d6f46"/>
            <w:lock w:val="sdtLocked"/>
            <w:richText/>
          </w:sdtPr>
          <w:sdtContent>
            <w:p>
              <w:pPr>
                <w:tabs>
                  <w:tab w:val="right" w:pos="9808"/>
                </w:tabs>
                <w:spacing w:line="20" w:lineRule="atLeast"/>
              </w:pPr>
            </w:p>
            <w:p>
              <w:pPr>
                <w:tabs>
                  <w:tab w:val="right" w:pos="9808"/>
                </w:tabs>
                <w:spacing w:line="20" w:lineRule="atLeast"/>
              </w:pPr>
            </w:p>
            <w:p>
              <w:pPr>
                <w:tabs>
                  <w:tab w:val="right" w:pos="9808"/>
                </w:tabs>
                <w:spacing w:line="20" w:lineRule="atLeast"/>
              </w:pPr>
            </w:p>
            <w:p>
              <w:pPr>
                <w:tabs>
                  <w:tab w:val="right" w:pos="9808"/>
                </w:tabs>
                <w:spacing w:line="20" w:lineRule="atLeast"/>
                <w:rPr>
                  <w:szCs w:val="24"/>
                </w:rPr>
              </w:pPr>
              <w:r>
                <w:rPr>
                  <w:szCs w:val="24"/>
                </w:rPr>
                <w:t>Direktorius</w:t>
              </w:r>
            </w:p>
            <w:p>
              <w:pPr>
                <w:tabs>
                  <w:tab w:val="left" w:pos="5940"/>
                  <w:tab w:val="right" w:pos="9900"/>
                </w:tabs>
                <w:spacing w:line="20" w:lineRule="atLeast"/>
                <w:rPr>
                  <w:b/>
                  <w:sz w:val="20"/>
                  <w:lang w:val="en-US"/>
                </w:rPr>
              </w:pPr>
              <w:r>
                <w:rPr>
                  <w:szCs w:val="24"/>
                </w:rPr>
                <w:t xml:space="preserve">vidaus tarnybos generolas </w:t>
                <w:tab/>
                <w:t>Remigijus Baniulis</w:t>
              </w:r>
            </w:p>
          </w:sdtContent>
        </w:sdt>
      </w:sdtContent>
    </w:sdt>
    <w:sdt>
      <w:sdtPr>
        <w:alias w:val="patvirtinta"/>
        <w:tag w:val="part_52bea0640bdc4992ad1b11d479a753c8"/>
        <w:lock w:val="sdtLocked"/>
        <w:richText/>
      </w:sdtPr>
      <w:sdtContent>
        <w:p>
          <w:pPr>
            <w:keepLines/>
            <w:tabs>
              <w:tab w:val="left" w:pos="1304"/>
              <w:tab w:val="left" w:pos="1457"/>
              <w:tab w:val="left" w:pos="1604"/>
              <w:tab w:val="left" w:pos="1757"/>
            </w:tabs>
            <w:suppressAutoHyphens/>
            <w:ind w:left="5954"/>
            <w:jc w:val="both"/>
            <w:textAlignment w:val="cente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954"/>
            <w:jc w:val="both"/>
            <w:textAlignment w:val="center"/>
            <w:rPr>
              <w:color w:val="000000"/>
              <w:szCs w:val="24"/>
            </w:rPr>
          </w:pPr>
          <w:r>
            <w:rPr>
              <w:color w:val="000000"/>
              <w:szCs w:val="24"/>
            </w:rPr>
            <w:t>PATVIRTINTA</w:t>
          </w:r>
        </w:p>
        <w:p>
          <w:pPr>
            <w:ind w:left="5954"/>
            <w:jc w:val="both"/>
            <w:rPr>
              <w:color w:val="000000"/>
              <w:szCs w:val="24"/>
            </w:rPr>
          </w:pPr>
          <w:r>
            <w:rPr>
              <w:color w:val="000000"/>
              <w:szCs w:val="24"/>
            </w:rPr>
            <w:t xml:space="preserve">Priešgaisrinės apsaugos ir gelbėjimo departamento prie Vidaus reikalų ministerijos direktoriaus </w:t>
          </w:r>
        </w:p>
        <w:p>
          <w:pPr>
            <w:ind w:left="5954"/>
            <w:jc w:val="both"/>
            <w:rPr>
              <w:color w:val="000000"/>
              <w:szCs w:val="24"/>
            </w:rPr>
          </w:pPr>
          <w:r>
            <w:rPr>
              <w:color w:val="000000"/>
              <w:szCs w:val="24"/>
            </w:rPr>
            <w:t xml:space="preserve">2016  m.  sausio 6   d. </w:t>
          </w:r>
        </w:p>
        <w:p>
          <w:pPr>
            <w:ind w:left="5954"/>
            <w:jc w:val="both"/>
            <w:rPr>
              <w:color w:val="000000"/>
              <w:szCs w:val="24"/>
            </w:rPr>
          </w:pPr>
          <w:r>
            <w:rPr>
              <w:color w:val="000000"/>
              <w:szCs w:val="24"/>
            </w:rPr>
            <w:t>įsakymu Nr.  1-1</w:t>
          </w:r>
        </w:p>
        <w:p>
          <w:pPr>
            <w:ind w:left="5954"/>
            <w:jc w:val="both"/>
            <w:rPr>
              <w:szCs w:val="24"/>
            </w:rPr>
          </w:pPr>
        </w:p>
        <w:p>
          <w:pPr>
            <w:ind w:left="5954"/>
            <w:jc w:val="both"/>
            <w:rPr>
              <w:szCs w:val="24"/>
            </w:rPr>
          </w:pPr>
        </w:p>
        <w:sdt>
          <w:sdtPr>
            <w:alias w:val="Pavadinimas"/>
            <w:tag w:val="title_52bea0640bdc4992ad1b11d479a753c8"/>
            <w:lock w:val="sdtLocked"/>
            <w:richText/>
          </w:sdtPr>
          <w:sdtContent>
            <w:p>
              <w:pPr>
                <w:jc w:val="center"/>
                <w:rPr>
                  <w:b/>
                  <w:bCs/>
                  <w:szCs w:val="24"/>
                </w:rPr>
              </w:pPr>
              <w:r>
                <w:rPr>
                  <w:b/>
                  <w:bCs/>
                  <w:szCs w:val="24"/>
                </w:rPr>
                <w:t>STACIONARIŲJŲ GAISRŲ GESINIMO SISTEMŲ</w:t>
              </w:r>
            </w:p>
            <w:p>
              <w:pPr>
                <w:jc w:val="center"/>
                <w:rPr>
                  <w:b/>
                  <w:bCs/>
                  <w:szCs w:val="24"/>
                </w:rPr>
              </w:pPr>
              <w:r>
                <w:rPr>
                  <w:b/>
                  <w:bCs/>
                  <w:szCs w:val="24"/>
                </w:rPr>
                <w:t>PROJEKTAVIMO IR ĮRENGIMO TAISYKLĖS</w:t>
              </w:r>
            </w:p>
          </w:sdtContent>
        </w:sdt>
        <w:p>
          <w:pPr>
            <w:jc w:val="center"/>
            <w:rPr>
              <w:b/>
              <w:bCs/>
              <w:szCs w:val="24"/>
            </w:rPr>
          </w:pPr>
        </w:p>
        <w:sdt>
          <w:sdtPr>
            <w:alias w:val="skyrius"/>
            <w:tag w:val="part_4937c24946b04663820896f5f30b5d2c"/>
            <w:lock w:val="sdtLocked"/>
            <w:richText/>
          </w:sdtPr>
          <w:sdtContent>
            <w:p>
              <w:pPr>
                <w:jc w:val="center"/>
                <w:rPr>
                  <w:b/>
                  <w:szCs w:val="24"/>
                </w:rPr>
              </w:pPr>
              <w:sdt>
                <w:sdtPr>
                  <w:alias w:val="Numeris"/>
                  <w:tag w:val="nr_4937c24946b04663820896f5f30b5d2c"/>
                  <w:lock w:val="sdtLocked"/>
                  <w:richText/>
                </w:sdtPr>
                <w:sdtContent>
                  <w:r>
                    <w:rPr>
                      <w:b/>
                      <w:szCs w:val="24"/>
                    </w:rPr>
                    <w:t>I</w:t>
                  </w:r>
                </w:sdtContent>
              </w:sdt>
              <w:r>
                <w:rPr>
                  <w:b/>
                  <w:szCs w:val="24"/>
                </w:rPr>
                <w:t xml:space="preserve"> SKYRIUS</w:t>
              </w:r>
            </w:p>
            <w:p>
              <w:pPr>
                <w:jc w:val="center"/>
                <w:rPr>
                  <w:b/>
                  <w:szCs w:val="24"/>
                </w:rPr>
              </w:pPr>
              <w:sdt>
                <w:sdtPr>
                  <w:alias w:val="Pavadinimas"/>
                  <w:tag w:val="title_4937c24946b04663820896f5f30b5d2c"/>
                  <w:lock w:val="sdtLocked"/>
                  <w:richText/>
                </w:sdtPr>
                <w:sdtContent>
                  <w:r>
                    <w:rPr>
                      <w:b/>
                      <w:szCs w:val="24"/>
                    </w:rPr>
                    <w:t>BENDROSIOS NUOSTATOS</w:t>
                  </w:r>
                </w:sdtContent>
              </w:sdt>
            </w:p>
            <w:p>
              <w:pPr>
                <w:jc w:val="both"/>
                <w:rPr>
                  <w:b/>
                  <w:bCs/>
                  <w:szCs w:val="24"/>
                </w:rPr>
              </w:pPr>
            </w:p>
            <w:sdt>
              <w:sdtPr>
                <w:alias w:val="1 p."/>
                <w:tag w:val="part_1bb3f2665c0a4493adf81cffa0a7fa9e"/>
                <w:lock w:val="sdtLocked"/>
                <w:richText/>
              </w:sdtPr>
              <w:sdtContent>
                <w:p>
                  <w:pPr>
                    <w:tabs>
                      <w:tab w:val="left" w:pos="993"/>
                    </w:tabs>
                    <w:ind w:firstLine="709"/>
                    <w:jc w:val="both"/>
                    <w:rPr>
                      <w:szCs w:val="24"/>
                    </w:rPr>
                  </w:pPr>
                  <w:sdt>
                    <w:sdtPr>
                      <w:alias w:val="Numeris"/>
                      <w:tag w:val="nr_1bb3f2665c0a4493adf81cffa0a7fa9e"/>
                      <w:lock w:val="sdtLocked"/>
                      <w:richText/>
                    </w:sdtPr>
                    <w:sdtContent>
                      <w:r>
                        <w:rPr>
                          <w:szCs w:val="24"/>
                        </w:rPr>
                        <w:t>1</w:t>
                      </w:r>
                    </w:sdtContent>
                  </w:sdt>
                  <w:r>
                    <w:rPr>
                      <w:szCs w:val="24"/>
                    </w:rPr>
                    <w:t>.</w:t>
                    <w:tab/>
                    <w:t xml:space="preserve">Stacionariųjų gaisrų gesinimo sistemų projektavimo ir įrengimo taisyklės (toliau – Taisyklės) </w:t>
                  </w:r>
                  <w:r>
                    <w:rPr>
                      <w:kern w:val="144"/>
                      <w:szCs w:val="24"/>
                    </w:rPr>
                    <w:t xml:space="preserve">parengtos vadovaujantis Lietuvos Respublikos statybos įstatymu ir Gaisrinės saugos pagrindiniais reikalavimais, patvirtintais </w:t>
                  </w:r>
                  <w:r>
                    <w:rPr>
                      <w:color w:val="000000"/>
                      <w:szCs w:val="24"/>
                    </w:rPr>
                    <w:t xml:space="preserve">Priešgaisrinės apsaugos ir gelbėjimo departamento prie Vidaus reikalų ministerijos direktoriaus </w:t>
                  </w:r>
                  <w:r>
                    <w:rPr>
                      <w:szCs w:val="24"/>
                    </w:rPr>
                    <w:t>2010 m. gruodžio 7 d. įsakymu Nr. 1-338</w:t>
                  </w:r>
                  <w:r>
                    <w:rPr>
                      <w:kern w:val="144"/>
                      <w:szCs w:val="24"/>
                    </w:rPr>
                    <w:t>.</w:t>
                  </w:r>
                </w:p>
              </w:sdtContent>
            </w:sdt>
            <w:sdt>
              <w:sdtPr>
                <w:alias w:val="2 p."/>
                <w:tag w:val="part_9ea647a86f0c439dbb010deb7cb5a5cf"/>
                <w:lock w:val="sdtLocked"/>
                <w:richText/>
              </w:sdtPr>
              <w:sdtContent>
                <w:p>
                  <w:pPr>
                    <w:tabs>
                      <w:tab w:val="left" w:pos="993"/>
                    </w:tabs>
                    <w:ind w:firstLine="709"/>
                    <w:jc w:val="both"/>
                    <w:rPr>
                      <w:szCs w:val="24"/>
                    </w:rPr>
                  </w:pPr>
                  <w:sdt>
                    <w:sdtPr>
                      <w:alias w:val="Numeris"/>
                      <w:tag w:val="nr_9ea647a86f0c439dbb010deb7cb5a5cf"/>
                      <w:lock w:val="sdtLocked"/>
                      <w:richText/>
                    </w:sdtPr>
                    <w:sdtContent>
                      <w:r>
                        <w:rPr>
                          <w:szCs w:val="24"/>
                        </w:rPr>
                        <w:t>2</w:t>
                      </w:r>
                    </w:sdtContent>
                  </w:sdt>
                  <w:r>
                    <w:rPr>
                      <w:szCs w:val="24"/>
                    </w:rPr>
                    <w:t>.</w:t>
                    <w:tab/>
                    <w:t>Taisyklių reikalavimai yra privalomi visiems statybos proceso dalyviams, viešojo administravimo subjektams statinių savininkams (valdytojams ar naudotojams), taip pat kitiems juridiniams ir fiziniams asmenims, kurių veiklos principus statybos srityje nustato statybos įstatymas.</w:t>
                  </w:r>
                </w:p>
              </w:sdtContent>
            </w:sdt>
            <w:sdt>
              <w:sdtPr>
                <w:alias w:val="3 p."/>
                <w:tag w:val="part_bd3637ff216946b09995a927b66ef15e"/>
                <w:lock w:val="sdtLocked"/>
                <w:richText/>
              </w:sdtPr>
              <w:sdtContent>
                <w:p>
                  <w:pPr>
                    <w:tabs>
                      <w:tab w:val="left" w:pos="993"/>
                    </w:tabs>
                    <w:ind w:firstLine="709"/>
                    <w:jc w:val="both"/>
                    <w:rPr>
                      <w:szCs w:val="24"/>
                    </w:rPr>
                  </w:pPr>
                  <w:sdt>
                    <w:sdtPr>
                      <w:alias w:val="Numeris"/>
                      <w:tag w:val="nr_bd3637ff216946b09995a927b66ef15e"/>
                      <w:lock w:val="sdtLocked"/>
                      <w:richText/>
                    </w:sdtPr>
                    <w:sdtContent>
                      <w:r>
                        <w:rPr>
                          <w:szCs w:val="24"/>
                        </w:rPr>
                        <w:t>3</w:t>
                      </w:r>
                    </w:sdtContent>
                  </w:sdt>
                  <w:r>
                    <w:rPr>
                      <w:szCs w:val="24"/>
                    </w:rPr>
                    <w:t>.</w:t>
                    <w:tab/>
                    <w:t>Be šių Taisyklių, būtina vadovautis teisės aktų, nustatančių esminius statinio reikalavimus (vieną, kelis ar visus) ir statinio techninius parametrus pagal statinių ar statybos produktų charakteristikų lygius ir klases, reikalavimais, techninių specifikacijų, normatyvinių statybos techninių, statinio saugos ir paskirties dokumentų reikalavimais ir stacionariųjų gaisrų gesinimo sistemų (toliau – SGG sistemos) įrenginių gamintojo pateikta technine informacija.</w:t>
                  </w:r>
                </w:p>
              </w:sdtContent>
            </w:sdt>
            <w:sdt>
              <w:sdtPr>
                <w:alias w:val="4 p."/>
                <w:tag w:val="part_aa405f002d224486b2cb82a1b75d93a9"/>
                <w:lock w:val="sdtLocked"/>
                <w:richText/>
              </w:sdtPr>
              <w:sdtContent>
                <w:p>
                  <w:pPr>
                    <w:tabs>
                      <w:tab w:val="left" w:pos="709"/>
                    </w:tabs>
                    <w:ind w:firstLine="709"/>
                    <w:jc w:val="both"/>
                    <w:rPr>
                      <w:color w:val="000000"/>
                      <w:szCs w:val="24"/>
                      <w:lang w:eastAsia="lt-LT"/>
                    </w:rPr>
                  </w:pPr>
                  <w:sdt>
                    <w:sdtPr>
                      <w:alias w:val="Numeris"/>
                      <w:tag w:val="nr_aa405f002d224486b2cb82a1b75d93a9"/>
                      <w:lock w:val="sdtLocked"/>
                      <w:richText/>
                    </w:sdtPr>
                    <w:sdtContent>
                      <w:r>
                        <w:rPr>
                          <w:szCs w:val="24"/>
                        </w:rPr>
                        <w:t>4</w:t>
                      </w:r>
                    </w:sdtContent>
                  </w:sdt>
                  <w:r>
                    <w:rPr>
                      <w:szCs w:val="24"/>
                    </w:rPr>
                    <w:t>. Taisyklės taikomos</w:t>
                  </w:r>
                  <w:r>
                    <w:rPr>
                      <w:color w:val="000000"/>
                      <w:szCs w:val="24"/>
                      <w:lang w:eastAsia="lt-LT"/>
                    </w:rPr>
                    <w:t xml:space="preserve"> pastatams, patalpoms ir inžineriniams statiniams, kuriuose, vadovaujantis Taisyklių nuostatomis, privaloma įrengti SGG sistemas šiais atvejais:</w:t>
                  </w:r>
                </w:p>
                <w:sdt>
                  <w:sdtPr>
                    <w:alias w:val="4.1 pp."/>
                    <w:tag w:val="part_3f6be53161f1456f98b8fde0fba8f397"/>
                    <w:lock w:val="sdtLocked"/>
                    <w:richText/>
                  </w:sdtPr>
                  <w:sdtContent>
                    <w:p>
                      <w:pPr>
                        <w:tabs>
                          <w:tab w:val="left" w:pos="709"/>
                          <w:tab w:val="left" w:pos="1134"/>
                        </w:tabs>
                        <w:ind w:firstLine="709"/>
                        <w:jc w:val="both"/>
                        <w:rPr>
                          <w:szCs w:val="24"/>
                        </w:rPr>
                      </w:pPr>
                      <w:sdt>
                        <w:sdtPr>
                          <w:alias w:val="Numeris"/>
                          <w:tag w:val="nr_3f6be53161f1456f98b8fde0fba8f397"/>
                          <w:lock w:val="sdtLocked"/>
                          <w:richText/>
                        </w:sdtPr>
                        <w:sdtContent>
                          <w:r>
                            <w:rPr>
                              <w:szCs w:val="24"/>
                            </w:rPr>
                            <w:t>4.1</w:t>
                          </w:r>
                        </w:sdtContent>
                      </w:sdt>
                      <w:r>
                        <w:rPr>
                          <w:szCs w:val="24"/>
                        </w:rPr>
                        <w:t>.</w:t>
                        <w:tab/>
                        <w:t>projektuojant ir statant naujus statinius;</w:t>
                      </w:r>
                    </w:p>
                  </w:sdtContent>
                </w:sdt>
                <w:sdt>
                  <w:sdtPr>
                    <w:alias w:val="4.2 pp."/>
                    <w:tag w:val="part_c2933b6e47654748bcb59504e0c691e0"/>
                    <w:lock w:val="sdtLocked"/>
                    <w:richText/>
                  </w:sdtPr>
                  <w:sdtContent>
                    <w:p>
                      <w:pPr>
                        <w:tabs>
                          <w:tab w:val="left" w:pos="709"/>
                          <w:tab w:val="left" w:pos="1134"/>
                        </w:tabs>
                        <w:ind w:firstLine="709"/>
                        <w:jc w:val="both"/>
                        <w:rPr>
                          <w:szCs w:val="24"/>
                        </w:rPr>
                      </w:pPr>
                      <w:sdt>
                        <w:sdtPr>
                          <w:alias w:val="Numeris"/>
                          <w:tag w:val="nr_c2933b6e47654748bcb59504e0c691e0"/>
                          <w:lock w:val="sdtLocked"/>
                          <w:richText/>
                        </w:sdtPr>
                        <w:sdtContent>
                          <w:r>
                            <w:rPr>
                              <w:szCs w:val="24"/>
                            </w:rPr>
                            <w:t>4.2</w:t>
                          </w:r>
                        </w:sdtContent>
                      </w:sdt>
                      <w:r>
                        <w:rPr>
                          <w:szCs w:val="24"/>
                        </w:rPr>
                        <w:t>.</w:t>
                        <w:tab/>
                        <w:t>rekonstruojamoms statinių dalims;</w:t>
                      </w:r>
                    </w:p>
                  </w:sdtContent>
                </w:sdt>
                <w:sdt>
                  <w:sdtPr>
                    <w:alias w:val="4.3 pp."/>
                    <w:tag w:val="part_4a5ded360fbb427788d481bda802ff1b"/>
                    <w:lock w:val="sdtLocked"/>
                    <w:richText/>
                  </w:sdtPr>
                  <w:sdtContent>
                    <w:p>
                      <w:pPr>
                        <w:tabs>
                          <w:tab w:val="left" w:pos="709"/>
                          <w:tab w:val="left" w:pos="1134"/>
                        </w:tabs>
                        <w:ind w:firstLine="709"/>
                        <w:jc w:val="both"/>
                        <w:rPr>
                          <w:szCs w:val="24"/>
                        </w:rPr>
                      </w:pPr>
                      <w:sdt>
                        <w:sdtPr>
                          <w:alias w:val="Numeris"/>
                          <w:tag w:val="nr_4a5ded360fbb427788d481bda802ff1b"/>
                          <w:lock w:val="sdtLocked"/>
                          <w:richText/>
                        </w:sdtPr>
                        <w:sdtContent>
                          <w:r>
                            <w:rPr>
                              <w:szCs w:val="24"/>
                            </w:rPr>
                            <w:t>4.3</w:t>
                          </w:r>
                        </w:sdtContent>
                      </w:sdt>
                      <w:r>
                        <w:rPr>
                          <w:szCs w:val="24"/>
                        </w:rPr>
                        <w:t>.</w:t>
                        <w:tab/>
                        <w:t xml:space="preserve">keičiant statinių ar statinių dalių naudojimo </w:t>
                      </w:r>
                      <w:r>
                        <w:rPr>
                          <w:color w:val="000000"/>
                          <w:szCs w:val="24"/>
                          <w:lang w:eastAsia="lt-LT"/>
                        </w:rPr>
                        <w:t>paskirtį [15.11];</w:t>
                      </w:r>
                    </w:p>
                  </w:sdtContent>
                </w:sdt>
                <w:sdt>
                  <w:sdtPr>
                    <w:alias w:val="4.4 pp."/>
                    <w:tag w:val="part_a2283a2856644bb880db17f9b75a9017"/>
                    <w:lock w:val="sdtLocked"/>
                    <w:richText/>
                  </w:sdtPr>
                  <w:sdtContent>
                    <w:p>
                      <w:pPr>
                        <w:tabs>
                          <w:tab w:val="left" w:pos="709"/>
                          <w:tab w:val="left" w:pos="1134"/>
                        </w:tabs>
                        <w:ind w:firstLine="709"/>
                        <w:jc w:val="both"/>
                        <w:rPr>
                          <w:szCs w:val="24"/>
                        </w:rPr>
                      </w:pPr>
                      <w:sdt>
                        <w:sdtPr>
                          <w:alias w:val="Numeris"/>
                          <w:tag w:val="nr_a2283a2856644bb880db17f9b75a9017"/>
                          <w:lock w:val="sdtLocked"/>
                          <w:richText/>
                        </w:sdtPr>
                        <w:sdtContent>
                          <w:r>
                            <w:rPr>
                              <w:szCs w:val="24"/>
                            </w:rPr>
                            <w:t>4.4</w:t>
                          </w:r>
                        </w:sdtContent>
                      </w:sdt>
                      <w:r>
                        <w:rPr>
                          <w:szCs w:val="24"/>
                        </w:rPr>
                        <w:t>.</w:t>
                        <w:tab/>
                        <w:t>remontuojamoms statinių dalims, jei remontuojant statinius keičiamos SGG sistemos ar kitaip daromas poveikis jų išdėstymui;</w:t>
                      </w:r>
                    </w:p>
                  </w:sdtContent>
                </w:sdt>
                <w:sdt>
                  <w:sdtPr>
                    <w:alias w:val="4.5 pp."/>
                    <w:tag w:val="part_880205e13ce7479dbce80f0d2e2abd50"/>
                    <w:lock w:val="sdtLocked"/>
                    <w:richText/>
                  </w:sdtPr>
                  <w:sdtContent>
                    <w:p>
                      <w:pPr>
                        <w:tabs>
                          <w:tab w:val="left" w:pos="709"/>
                          <w:tab w:val="left" w:pos="1134"/>
                        </w:tabs>
                        <w:ind w:firstLine="709"/>
                        <w:jc w:val="both"/>
                        <w:rPr>
                          <w:szCs w:val="24"/>
                        </w:rPr>
                      </w:pPr>
                      <w:sdt>
                        <w:sdtPr>
                          <w:alias w:val="Numeris"/>
                          <w:tag w:val="nr_880205e13ce7479dbce80f0d2e2abd50"/>
                          <w:lock w:val="sdtLocked"/>
                          <w:richText/>
                        </w:sdtPr>
                        <w:sdtContent>
                          <w:r>
                            <w:rPr>
                              <w:szCs w:val="24"/>
                            </w:rPr>
                            <w:t>4.5</w:t>
                          </w:r>
                        </w:sdtContent>
                      </w:sdt>
                      <w:r>
                        <w:rPr>
                          <w:szCs w:val="24"/>
                        </w:rPr>
                        <w:t>. statinio (jo patalpų) naudojimo ne pagal paskirtį atvejais, įgyvendinant Lietuvos Respublikos Vyriausybės 2011 m. spalio 12 d. nutarimą Nr. 1178 „Dėl Statinio (jo patalpų) naudojimo ne pagal paskirtį atvejų ir tvarkos aprašo patvirtinimo;</w:t>
                      </w:r>
                    </w:p>
                  </w:sdtContent>
                </w:sdt>
                <w:sdt>
                  <w:sdtPr>
                    <w:alias w:val="4.6 pp."/>
                    <w:tag w:val="part_6f4d23c20b9a44b08c4e0c5eff6df464"/>
                    <w:lock w:val="sdtLocked"/>
                    <w:richText/>
                  </w:sdtPr>
                  <w:sdtContent>
                    <w:p>
                      <w:pPr>
                        <w:tabs>
                          <w:tab w:val="left" w:pos="709"/>
                          <w:tab w:val="left" w:pos="1134"/>
                        </w:tabs>
                        <w:ind w:firstLine="709"/>
                        <w:jc w:val="both"/>
                        <w:rPr>
                          <w:szCs w:val="24"/>
                        </w:rPr>
                      </w:pPr>
                      <w:sdt>
                        <w:sdtPr>
                          <w:alias w:val="Numeris"/>
                          <w:tag w:val="nr_6f4d23c20b9a44b08c4e0c5eff6df464"/>
                          <w:lock w:val="sdtLocked"/>
                          <w:richText/>
                        </w:sdtPr>
                        <w:sdtContent>
                          <w:r>
                            <w:rPr>
                              <w:szCs w:val="24"/>
                            </w:rPr>
                            <w:t>4.6</w:t>
                          </w:r>
                        </w:sdtContent>
                      </w:sdt>
                      <w:r>
                        <w:rPr>
                          <w:szCs w:val="24"/>
                        </w:rPr>
                        <w:t>. formuojant naujus ar pertvarkant esamus nekilnojamojo turto kadastro objektus, kai turi būti atliekami statybos darbai, kuriems vykdyti privaloma gauti statybą leidžiantį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c770969011efa605b9842742bf37">
                    <w:r w:rsidRPr="00532B9F">
                      <w:rPr>
                        <w:rFonts w:ascii="Times New Roman" w:eastAsia="MS Mincho" w:hAnsi="Times New Roman"/>
                        <w:sz w:val="20"/>
                        <w:i/>
                        <w:iCs/>
                        <w:color w:val="0000FF" w:themeColor="hyperlink"/>
                        <w:u w:val="single"/>
                      </w:rPr>
                      <w:t>1-642 /2024 (1.4 E)</w:t>
                    </w:r>
                  </w:fldSimple>
                  <w:r>
                    <w:rPr>
                      <w:rFonts w:ascii="Times New Roman" w:eastAsia="MS Mincho" w:hAnsi="Times New Roman"/>
                      <w:sz w:val="20"/>
                      <w:i/>
                      <w:iCs/>
                    </w:rPr>
                    <w:t>,
2024-10-30,
paskelbta TAR 2024-10-30, i. k. 2024-18779            </w:t>
                  </w:r>
                </w:p>
                <w:p/>
              </w:sdtContent>
            </w:sdt>
            <w:sdt>
              <w:sdtPr>
                <w:alias w:val="5 p."/>
                <w:tag w:val="part_4a60454c6abf40d2a51445dca3bafd5e"/>
                <w:lock w:val="sdtLocked"/>
                <w:richText/>
              </w:sdtPr>
              <w:sdtContent>
                <w:p>
                  <w:pPr>
                    <w:tabs>
                      <w:tab w:val="left" w:pos="709"/>
                      <w:tab w:val="left" w:pos="993"/>
                    </w:tabs>
                    <w:ind w:firstLine="709"/>
                    <w:jc w:val="both"/>
                    <w:rPr>
                      <w:szCs w:val="24"/>
                    </w:rPr>
                  </w:pPr>
                  <w:sdt>
                    <w:sdtPr>
                      <w:alias w:val="Numeris"/>
                      <w:tag w:val="nr_4a60454c6abf40d2a51445dca3bafd5e"/>
                      <w:lock w:val="sdtLocked"/>
                      <w:richText/>
                    </w:sdtPr>
                    <w:sdtContent>
                      <w:r>
                        <w:rPr>
                          <w:szCs w:val="24"/>
                        </w:rPr>
                        <w:t>5</w:t>
                      </w:r>
                    </w:sdtContent>
                  </w:sdt>
                  <w:r>
                    <w:rPr>
                      <w:szCs w:val="24"/>
                    </w:rPr>
                    <w:t>. Projektuojant SGG sistemas turi būti vadovaujamasi šių standartų reikalavimais:</w:t>
                  </w:r>
                </w:p>
                <w:sdt>
                  <w:sdtPr>
                    <w:alias w:val="5.1 pp."/>
                    <w:tag w:val="part_85deef73c05e4aa7888f59b0a46d0a2e"/>
                    <w:lock w:val="sdtLocked"/>
                    <w:richText/>
                  </w:sdtPr>
                  <w:sdtContent>
                    <w:p>
                      <w:pPr>
                        <w:tabs>
                          <w:tab w:val="left" w:pos="709"/>
                          <w:tab w:val="left" w:pos="1134"/>
                        </w:tabs>
                        <w:ind w:firstLine="709"/>
                        <w:jc w:val="both"/>
                        <w:rPr>
                          <w:szCs w:val="24"/>
                        </w:rPr>
                      </w:pPr>
                      <w:sdt>
                        <w:sdtPr>
                          <w:alias w:val="Numeris"/>
                          <w:tag w:val="nr_85deef73c05e4aa7888f59b0a46d0a2e"/>
                          <w:lock w:val="sdtLocked"/>
                          <w:richText/>
                        </w:sdtPr>
                        <w:sdtContent>
                          <w:r>
                            <w:rPr>
                              <w:szCs w:val="24"/>
                            </w:rPr>
                            <w:t>5.1</w:t>
                          </w:r>
                        </w:sdtContent>
                      </w:sdt>
                      <w:r>
                        <w:rPr>
                          <w:szCs w:val="24"/>
                        </w:rPr>
                        <w:t>.</w:t>
                        <w:tab/>
                        <w:t>miltelių gesinimo sistemų LST EN 12416;</w:t>
                      </w:r>
                    </w:p>
                  </w:sdtContent>
                </w:sdt>
                <w:sdt>
                  <w:sdtPr>
                    <w:alias w:val="5.2 pp."/>
                    <w:tag w:val="part_309f136515694452a665b5167f5cd798"/>
                    <w:lock w:val="sdtLocked"/>
                    <w:richText/>
                  </w:sdtPr>
                  <w:sdtContent>
                    <w:p>
                      <w:pPr>
                        <w:tabs>
                          <w:tab w:val="left" w:pos="709"/>
                          <w:tab w:val="left" w:pos="1134"/>
                        </w:tabs>
                        <w:ind w:firstLine="709"/>
                        <w:jc w:val="both"/>
                        <w:rPr>
                          <w:szCs w:val="24"/>
                        </w:rPr>
                      </w:pPr>
                      <w:sdt>
                        <w:sdtPr>
                          <w:alias w:val="Numeris"/>
                          <w:tag w:val="nr_309f136515694452a665b5167f5cd798"/>
                          <w:lock w:val="sdtLocked"/>
                          <w:richText/>
                        </w:sdtPr>
                        <w:sdtContent>
                          <w:r>
                            <w:rPr>
                              <w:szCs w:val="24"/>
                            </w:rPr>
                            <w:t>5.2</w:t>
                          </w:r>
                        </w:sdtContent>
                      </w:sdt>
                      <w:r>
                        <w:rPr>
                          <w:szCs w:val="24"/>
                        </w:rPr>
                        <w:t>.</w:t>
                        <w:tab/>
                        <w:t>gesinimo dujomis sistemų LST EN 12094, LST ISO 14520, LST EN 15004;</w:t>
                      </w:r>
                    </w:p>
                  </w:sdtContent>
                </w:sdt>
                <w:sdt>
                  <w:sdtPr>
                    <w:alias w:val="5.3 pp."/>
                    <w:tag w:val="part_eb9e8c040b61452db6437b412f7876e7"/>
                    <w:lock w:val="sdtLocked"/>
                    <w:richText/>
                  </w:sdtPr>
                  <w:sdtContent>
                    <w:p>
                      <w:pPr>
                        <w:tabs>
                          <w:tab w:val="left" w:pos="709"/>
                          <w:tab w:val="left" w:pos="1134"/>
                        </w:tabs>
                        <w:ind w:firstLine="709"/>
                        <w:jc w:val="both"/>
                        <w:rPr>
                          <w:szCs w:val="24"/>
                        </w:rPr>
                      </w:pPr>
                      <w:sdt>
                        <w:sdtPr>
                          <w:alias w:val="Numeris"/>
                          <w:tag w:val="nr_eb9e8c040b61452db6437b412f7876e7"/>
                          <w:lock w:val="sdtLocked"/>
                          <w:richText/>
                        </w:sdtPr>
                        <w:sdtContent>
                          <w:r>
                            <w:rPr>
                              <w:szCs w:val="24"/>
                            </w:rPr>
                            <w:t>5.3</w:t>
                          </w:r>
                        </w:sdtContent>
                      </w:sdt>
                      <w:r>
                        <w:rPr>
                          <w:szCs w:val="24"/>
                        </w:rPr>
                        <w:t>.</w:t>
                        <w:tab/>
                        <w:t>purkštuvų sistemų LST EN 12845, LST EN 12259, LST CEN/TS 14816;</w:t>
                      </w:r>
                    </w:p>
                  </w:sdtContent>
                </w:sdt>
                <w:sdt>
                  <w:sdtPr>
                    <w:alias w:val="5.4 pp."/>
                    <w:tag w:val="part_e2b987339a8e482793c89012982f1db3"/>
                    <w:lock w:val="sdtLocked"/>
                    <w:richText/>
                  </w:sdtPr>
                  <w:sdtContent>
                    <w:p>
                      <w:pPr>
                        <w:tabs>
                          <w:tab w:val="left" w:pos="709"/>
                          <w:tab w:val="left" w:pos="1134"/>
                        </w:tabs>
                        <w:ind w:firstLine="709"/>
                        <w:jc w:val="both"/>
                        <w:rPr>
                          <w:szCs w:val="24"/>
                        </w:rPr>
                      </w:pPr>
                      <w:sdt>
                        <w:sdtPr>
                          <w:alias w:val="Numeris"/>
                          <w:tag w:val="nr_e2b987339a8e482793c89012982f1db3"/>
                          <w:lock w:val="sdtLocked"/>
                          <w:richText/>
                        </w:sdtPr>
                        <w:sdtContent>
                          <w:r>
                            <w:rPr>
                              <w:szCs w:val="24"/>
                            </w:rPr>
                            <w:t>5.4</w:t>
                          </w:r>
                        </w:sdtContent>
                      </w:sdt>
                      <w:r>
                        <w:rPr>
                          <w:szCs w:val="24"/>
                        </w:rPr>
                        <w:t>.</w:t>
                        <w:tab/>
                        <w:t>putų sistemų LST EN 13565;</w:t>
                      </w:r>
                    </w:p>
                  </w:sdtContent>
                </w:sdt>
                <w:sdt>
                  <w:sdtPr>
                    <w:alias w:val="5.5 pp."/>
                    <w:tag w:val="part_5e05c9a94c194357bee45871206d748e"/>
                    <w:lock w:val="sdtLocked"/>
                    <w:richText/>
                  </w:sdtPr>
                  <w:sdtContent>
                    <w:p>
                      <w:pPr>
                        <w:tabs>
                          <w:tab w:val="left" w:pos="709"/>
                          <w:tab w:val="left" w:pos="1134"/>
                        </w:tabs>
                        <w:ind w:firstLine="709"/>
                        <w:jc w:val="both"/>
                        <w:rPr>
                          <w:szCs w:val="24"/>
                        </w:rPr>
                      </w:pPr>
                      <w:sdt>
                        <w:sdtPr>
                          <w:alias w:val="Numeris"/>
                          <w:tag w:val="nr_5e05c9a94c194357bee45871206d748e"/>
                          <w:lock w:val="sdtLocked"/>
                          <w:richText/>
                        </w:sdtPr>
                        <w:sdtContent>
                          <w:r>
                            <w:rPr>
                              <w:szCs w:val="24"/>
                            </w:rPr>
                            <w:t>5.5</w:t>
                          </w:r>
                        </w:sdtContent>
                      </w:sdt>
                      <w:r>
                        <w:rPr>
                          <w:szCs w:val="24"/>
                        </w:rPr>
                        <w:t>.</w:t>
                        <w:tab/>
                        <w:t>žarnų sistemų LST EN 671;</w:t>
                      </w:r>
                    </w:p>
                  </w:sdtContent>
                </w:sdt>
                <w:sdt>
                  <w:sdtPr>
                    <w:alias w:val="5.6 pp."/>
                    <w:tag w:val="part_725d09888888402a98b7502d089d1207"/>
                    <w:lock w:val="sdtLocked"/>
                    <w:richText/>
                  </w:sdtPr>
                  <w:sdtContent>
                    <w:p>
                      <w:pPr>
                        <w:tabs>
                          <w:tab w:val="left" w:pos="709"/>
                          <w:tab w:val="left" w:pos="1134"/>
                        </w:tabs>
                        <w:ind w:firstLine="709"/>
                        <w:jc w:val="both"/>
                        <w:rPr>
                          <w:szCs w:val="24"/>
                        </w:rPr>
                      </w:pPr>
                      <w:sdt>
                        <w:sdtPr>
                          <w:alias w:val="Numeris"/>
                          <w:tag w:val="nr_725d09888888402a98b7502d089d1207"/>
                          <w:lock w:val="sdtLocked"/>
                          <w:richText/>
                        </w:sdtPr>
                        <w:sdtContent>
                          <w:r>
                            <w:rPr>
                              <w:szCs w:val="24"/>
                            </w:rPr>
                            <w:t>5.6</w:t>
                          </w:r>
                        </w:sdtContent>
                      </w:sdt>
                      <w:r>
                        <w:rPr>
                          <w:szCs w:val="24"/>
                        </w:rPr>
                        <w:t>.</w:t>
                        <w:tab/>
                        <w:t>vandens rūko sistemų LST EN 14972;</w:t>
                      </w:r>
                    </w:p>
                  </w:sdtContent>
                </w:sdt>
                <w:sdt>
                  <w:sdtPr>
                    <w:alias w:val="5.7 pp."/>
                    <w:tag w:val="part_29fecda95bdf41e8a8f3d28a8d748a37"/>
                    <w:lock w:val="sdtLocked"/>
                    <w:richText/>
                  </w:sdtPr>
                  <w:sdtContent>
                    <w:p>
                      <w:pPr>
                        <w:tabs>
                          <w:tab w:val="left" w:pos="709"/>
                          <w:tab w:val="left" w:pos="1134"/>
                        </w:tabs>
                        <w:ind w:firstLine="709"/>
                        <w:jc w:val="both"/>
                        <w:rPr>
                          <w:b/>
                          <w:bCs/>
                          <w:szCs w:val="24"/>
                        </w:rPr>
                      </w:pPr>
                      <w:sdt>
                        <w:sdtPr>
                          <w:alias w:val="Numeris"/>
                          <w:tag w:val="nr_29fecda95bdf41e8a8f3d28a8d748a37"/>
                          <w:lock w:val="sdtLocked"/>
                          <w:richText/>
                        </w:sdtPr>
                        <w:sdtContent>
                          <w:r>
                            <w:rPr>
                              <w:szCs w:val="24"/>
                            </w:rPr>
                            <w:t>5.7</w:t>
                          </w:r>
                        </w:sdtContent>
                      </w:sdt>
                      <w:r>
                        <w:rPr>
                          <w:szCs w:val="24"/>
                        </w:rPr>
                        <w:t>.</w:t>
                        <w:tab/>
                        <w:t>gesinimo kondensuotuoju aerozoliu sistemų LST EN 15276;</w:t>
                      </w:r>
                    </w:p>
                  </w:sdtContent>
                </w:sdt>
                <w:sdt>
                  <w:sdtPr>
                    <w:alias w:val="5.8 pp."/>
                    <w:tag w:val="part_67ed9ff9545b4dde8506430258305367"/>
                    <w:lock w:val="sdtLocked"/>
                    <w:richText/>
                  </w:sdtPr>
                  <w:sdtContent>
                    <w:p>
                      <w:pPr>
                        <w:tabs>
                          <w:tab w:val="left" w:pos="709"/>
                          <w:tab w:val="left" w:pos="1134"/>
                        </w:tabs>
                        <w:ind w:firstLine="709"/>
                        <w:jc w:val="both"/>
                        <w:rPr>
                          <w:szCs w:val="24"/>
                        </w:rPr>
                      </w:pPr>
                      <w:sdt>
                        <w:sdtPr>
                          <w:alias w:val="Numeris"/>
                          <w:tag w:val="nr_67ed9ff9545b4dde8506430258305367"/>
                          <w:lock w:val="sdtLocked"/>
                          <w:richText/>
                        </w:sdtPr>
                        <w:sdtContent>
                          <w:r>
                            <w:rPr>
                              <w:szCs w:val="24"/>
                            </w:rPr>
                            <w:t>5.8</w:t>
                          </w:r>
                        </w:sdtContent>
                      </w:sdt>
                      <w:r>
                        <w:rPr>
                          <w:szCs w:val="24"/>
                        </w:rPr>
                        <w:t>. deguonies mažinimo sistemų LST EN 16750.</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c770969011efa605b9842742bf37">
                    <w:r w:rsidRPr="00532B9F">
                      <w:rPr>
                        <w:rFonts w:ascii="Times New Roman" w:eastAsia="MS Mincho" w:hAnsi="Times New Roman"/>
                        <w:sz w:val="20"/>
                        <w:i/>
                        <w:iCs/>
                        <w:color w:val="0000FF" w:themeColor="hyperlink"/>
                        <w:u w:val="single"/>
                      </w:rPr>
                      <w:t>1-642 /2024 (1.4 E)</w:t>
                    </w:r>
                  </w:fldSimple>
                  <w:r>
                    <w:rPr>
                      <w:rFonts w:ascii="Times New Roman" w:eastAsia="MS Mincho" w:hAnsi="Times New Roman"/>
                      <w:sz w:val="20"/>
                      <w:i/>
                      <w:iCs/>
                    </w:rPr>
                    <w:t>,
2024-10-30,
paskelbta TAR 2024-10-30, i. k. 2024-18779            </w:t>
                  </w:r>
                </w:p>
                <w:p/>
              </w:sdtContent>
            </w:sdt>
            <w:sdt>
              <w:sdtPr>
                <w:alias w:val="6 p."/>
                <w:tag w:val="part_c53430020adc4d82926f1b0417b6ded7"/>
                <w:lock w:val="sdtLocked"/>
                <w:richText/>
              </w:sdtPr>
              <w:sdtContent>
                <w:p>
                  <w:pPr>
                    <w:tabs>
                      <w:tab w:val="left" w:pos="709"/>
                      <w:tab w:val="left" w:pos="993"/>
                    </w:tabs>
                    <w:ind w:firstLine="710"/>
                    <w:jc w:val="both"/>
                    <w:rPr>
                      <w:szCs w:val="24"/>
                    </w:rPr>
                  </w:pPr>
                  <w:sdt>
                    <w:sdtPr>
                      <w:alias w:val="Numeris"/>
                      <w:tag w:val="nr_c53430020adc4d82926f1b0417b6ded7"/>
                      <w:lock w:val="sdtLocked"/>
                      <w:richText/>
                    </w:sdtPr>
                    <w:sdtContent>
                      <w:r>
                        <w:rPr>
                          <w:szCs w:val="24"/>
                        </w:rPr>
                        <w:t>6</w:t>
                      </w:r>
                    </w:sdtContent>
                  </w:sdt>
                  <w:r>
                    <w:rPr>
                      <w:szCs w:val="24"/>
                    </w:rPr>
                    <w:t>. Deguonies mažinimo sistemos (deguonies kontrolės sistemos) saugomoje patalpoje užtikrina ne didesnę kaip 15 procentų deguonies koncentraciją.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c770969011efa605b9842742bf37">
                    <w:r w:rsidRPr="00532B9F">
                      <w:rPr>
                        <w:rFonts w:ascii="Times New Roman" w:eastAsia="MS Mincho" w:hAnsi="Times New Roman"/>
                        <w:sz w:val="20"/>
                        <w:i/>
                        <w:iCs/>
                        <w:color w:val="0000FF" w:themeColor="hyperlink"/>
                        <w:u w:val="single"/>
                      </w:rPr>
                      <w:t>1-642 /2024 (1.4 E)</w:t>
                    </w:r>
                  </w:fldSimple>
                  <w:r>
                    <w:rPr>
                      <w:rFonts w:ascii="Times New Roman" w:eastAsia="MS Mincho" w:hAnsi="Times New Roman"/>
                      <w:sz w:val="20"/>
                      <w:i/>
                      <w:iCs/>
                    </w:rPr>
                    <w:t>,
2024-10-30,
paskelbta TAR 2024-10-30, i. k. 2024-18779            </w:t>
                  </w:r>
                </w:p>
                <w:p/>
              </w:sdtContent>
            </w:sdt>
            <w:sdt>
              <w:sdtPr>
                <w:alias w:val="7 p."/>
                <w:tag w:val="part_a2a3c77143154998a08eae280fbf1870"/>
                <w:lock w:val="sdtLocked"/>
                <w:richText/>
              </w:sdtPr>
              <w:sdtContent>
                <w:p>
                  <w:pPr>
                    <w:tabs>
                      <w:tab w:val="left" w:pos="993"/>
                    </w:tabs>
                    <w:ind w:firstLine="709"/>
                    <w:jc w:val="both"/>
                    <w:rPr>
                      <w:szCs w:val="24"/>
                    </w:rPr>
                  </w:pPr>
                  <w:sdt>
                    <w:sdtPr>
                      <w:alias w:val="Numeris"/>
                      <w:tag w:val="nr_a2a3c77143154998a08eae280fbf1870"/>
                      <w:lock w:val="sdtLocked"/>
                      <w:richText/>
                    </w:sdtPr>
                    <w:sdtContent>
                      <w:r>
                        <w:rPr>
                          <w:szCs w:val="24"/>
                        </w:rPr>
                        <w:t>7</w:t>
                      </w:r>
                    </w:sdtContent>
                  </w:sdt>
                  <w:r>
                    <w:rPr>
                      <w:szCs w:val="24"/>
                    </w:rPr>
                    <w:t>.</w:t>
                    <w:tab/>
                    <w:t xml:space="preserve">SGG sistemų panaudojimas nustatomas pagal Taisyklių 5 punkte nurodytų standartų reikalavimus. </w:t>
                  </w:r>
                </w:p>
              </w:sdtContent>
            </w:sdt>
            <w:sdt>
              <w:sdtPr>
                <w:alias w:val="8 p."/>
                <w:tag w:val="part_77376aa29b044e7cbbad96e6c2151020"/>
                <w:lock w:val="sdtLocked"/>
                <w:richText/>
              </w:sdtPr>
              <w:sdtContent>
                <w:p>
                  <w:pPr>
                    <w:tabs>
                      <w:tab w:val="left" w:pos="993"/>
                    </w:tabs>
                    <w:ind w:firstLine="709"/>
                    <w:jc w:val="both"/>
                    <w:rPr>
                      <w:szCs w:val="24"/>
                    </w:rPr>
                  </w:pPr>
                  <w:sdt>
                    <w:sdtPr>
                      <w:alias w:val="Numeris"/>
                      <w:tag w:val="nr_77376aa29b044e7cbbad96e6c2151020"/>
                      <w:lock w:val="sdtLocked"/>
                      <w:richText/>
                    </w:sdtPr>
                    <w:sdtContent>
                      <w:r>
                        <w:rPr>
                          <w:szCs w:val="24"/>
                        </w:rPr>
                        <w:t>8</w:t>
                      </w:r>
                    </w:sdtContent>
                  </w:sdt>
                  <w:r>
                    <w:rPr>
                      <w:szCs w:val="24"/>
                    </w:rPr>
                    <w:t>.</w:t>
                    <w:tab/>
                    <w:t>Leidžiama SGG sistemas projektuoti ir įrengti vadovaujantis Europos Sąjungos akredituotos vertinimo įstaigos atliktais natūriniais eksperimentiniais tyrimais, kai tai numato Taisyklių 5 punkte nurodyti standartai. Šiais atvejais projektuojant ir įrengiant SGG sistemas turi būti vadovaujamasi bandymus atlikusios įstaigos ir SGG sistemos gamintojo nurodymais.</w:t>
                  </w:r>
                </w:p>
              </w:sdtContent>
            </w:sdt>
            <w:sdt>
              <w:sdtPr>
                <w:alias w:val="9 p."/>
                <w:tag w:val="part_e8f512404a1b4446a0d972acb2c86513"/>
                <w:lock w:val="sdtLocked"/>
                <w:richText/>
              </w:sdtPr>
              <w:sdtContent>
                <w:p>
                  <w:pPr>
                    <w:tabs>
                      <w:tab w:val="left" w:pos="993"/>
                    </w:tabs>
                    <w:ind w:firstLine="709"/>
                    <w:jc w:val="both"/>
                    <w:rPr>
                      <w:szCs w:val="24"/>
                    </w:rPr>
                  </w:pPr>
                  <w:sdt>
                    <w:sdtPr>
                      <w:alias w:val="Numeris"/>
                      <w:tag w:val="nr_e8f512404a1b4446a0d972acb2c86513"/>
                      <w:lock w:val="sdtLocked"/>
                      <w:richText/>
                    </w:sdtPr>
                    <w:sdtContent>
                      <w:r>
                        <w:rPr>
                          <w:szCs w:val="24"/>
                        </w:rPr>
                        <w:t>9</w:t>
                      </w:r>
                    </w:sdtContent>
                  </w:sdt>
                  <w:r>
                    <w:rPr>
                      <w:szCs w:val="24"/>
                    </w:rPr>
                    <w:t>.</w:t>
                    <w:tab/>
                    <w:t>Projektuojant ir įrengiant SGG sistemas, parenkant atskirų jų įrenginių tipą, vadovaujamasi Europos Parlamento ir Tarybos 2009 m. rugsėjo 16 d. reglamentu (EB) Nr. 1005/2009 dėl ozono sluoksnį ardančių medžiagų, Europos Parlamento ir Tarybos 2006 m. gegužės 17 d. reglamentu (EB) Nr. 842/2006 dėl tam tikrų fluorintų šiltnamio efektą sukeliančių dujų.</w:t>
                  </w:r>
                </w:p>
              </w:sdtContent>
            </w:sdt>
            <w:sdt>
              <w:sdtPr>
                <w:alias w:val="10 p."/>
                <w:tag w:val="part_744a8dab5733456cb5a6cd2fce92a336"/>
                <w:lock w:val="sdtLocked"/>
                <w:richText/>
              </w:sdtPr>
              <w:sdtContent>
                <w:p>
                  <w:pPr>
                    <w:tabs>
                      <w:tab w:val="left" w:pos="993"/>
                    </w:tabs>
                    <w:ind w:firstLine="709"/>
                    <w:jc w:val="both"/>
                    <w:rPr>
                      <w:szCs w:val="24"/>
                    </w:rPr>
                  </w:pPr>
                  <w:sdt>
                    <w:sdtPr>
                      <w:alias w:val="Numeris"/>
                      <w:tag w:val="nr_744a8dab5733456cb5a6cd2fce92a336"/>
                      <w:lock w:val="sdtLocked"/>
                      <w:richText/>
                    </w:sdtPr>
                    <w:sdtContent>
                      <w:r>
                        <w:rPr>
                          <w:szCs w:val="24"/>
                        </w:rPr>
                        <w:t>10</w:t>
                      </w:r>
                    </w:sdtContent>
                  </w:sdt>
                  <w:r>
                    <w:rPr>
                      <w:szCs w:val="24"/>
                    </w:rPr>
                    <w:t>.</w:t>
                    <w:tab/>
                    <w:t>SGG sistemos, jų sudedamųjų dalių atitiktis vertinama pagal galiojančius statybos produktų ir kitų gaminių, medžiagų ir įrenginių atitiktį reglamentuojančius teisės aktus.</w:t>
                  </w:r>
                </w:p>
              </w:sdtContent>
            </w:sdt>
            <w:sdt>
              <w:sdtPr>
                <w:alias w:val="11 p."/>
                <w:tag w:val="part_02dc1b4ae31447df93734ba58019317a"/>
                <w:lock w:val="sdtLocked"/>
                <w:richText/>
              </w:sdtPr>
              <w:sdtContent>
                <w:p>
                  <w:pPr>
                    <w:tabs>
                      <w:tab w:val="left" w:pos="993"/>
                    </w:tabs>
                    <w:ind w:firstLine="709"/>
                    <w:jc w:val="both"/>
                    <w:rPr>
                      <w:szCs w:val="24"/>
                    </w:rPr>
                  </w:pPr>
                  <w:sdt>
                    <w:sdtPr>
                      <w:alias w:val="Numeris"/>
                      <w:tag w:val="nr_02dc1b4ae31447df93734ba58019317a"/>
                      <w:lock w:val="sdtLocked"/>
                      <w:richText/>
                    </w:sdtPr>
                    <w:sdtContent>
                      <w:r>
                        <w:rPr>
                          <w:szCs w:val="24"/>
                        </w:rPr>
                        <w:t>11</w:t>
                      </w:r>
                    </w:sdtContent>
                  </w:sdt>
                  <w:r>
                    <w:rPr>
                      <w:szCs w:val="24"/>
                    </w:rPr>
                    <w:t>.</w:t>
                    <w:tab/>
                    <w:t>Šios Taisyklės netaikomos kilnojamiesiems gaisrinės automatikos įrenginiams, taip pat specialiosios paskirties ir sprogstamųjų medžiagų gamybos ir sandėliavimo statiniuose įrengtoms SGG sistemoms, technologiniams įrenginiams, esantiems ne pastatuose, SGG sistemoms laivuose, orlaiviuose, transporto priemonėse, mobiliajai gaisrinei įrangai, taip pat laikiniems statiniams, skirtiems naudoti ne ilgiau kaip 2 metus.</w:t>
                  </w:r>
                </w:p>
              </w:sdtContent>
            </w:sdt>
            <w:sdt>
              <w:sdtPr>
                <w:alias w:val="12 p."/>
                <w:tag w:val="part_525d78e84b3949d39336f908e1f02f07"/>
                <w:lock w:val="sdtLocked"/>
                <w:richText/>
              </w:sdtPr>
              <w:sdtContent>
                <w:p>
                  <w:pPr>
                    <w:tabs>
                      <w:tab w:val="left" w:pos="993"/>
                    </w:tabs>
                    <w:ind w:firstLine="709"/>
                    <w:jc w:val="both"/>
                    <w:rPr>
                      <w:szCs w:val="24"/>
                    </w:rPr>
                  </w:pPr>
                  <w:sdt>
                    <w:sdtPr>
                      <w:alias w:val="Numeris"/>
                      <w:tag w:val="nr_525d78e84b3949d39336f908e1f02f07"/>
                      <w:lock w:val="sdtLocked"/>
                      <w:richText/>
                    </w:sdtPr>
                    <w:sdtContent>
                      <w:r>
                        <w:rPr>
                          <w:szCs w:val="24"/>
                        </w:rPr>
                        <w:t>12</w:t>
                      </w:r>
                    </w:sdtContent>
                  </w:sdt>
                  <w:r>
                    <w:rPr>
                      <w:szCs w:val="24"/>
                    </w:rPr>
                    <w:t>.</w:t>
                    <w:tab/>
                    <w:t>SGG sistemų naudojimo metu, siekiant per visą ekonomiškai pagrįstą statinio naudojimo trukmę išlaikyti technines savybes, kurios lemia statinio atitiktį esminiam gaisrinės saugos reikalavimui, turi būti vadovaujamasi gamintojo pateikta technine informacija, projektu ir įrangos naudojimą reglamentuojančių teisės aktų reikalavimais.</w:t>
                  </w:r>
                </w:p>
              </w:sdtContent>
            </w:sdt>
            <w:sdt>
              <w:sdtPr>
                <w:alias w:val="13 p."/>
                <w:tag w:val="part_8ea31956ee2a4926989bbe044f19b4c6"/>
                <w:lock w:val="sdtLocked"/>
                <w:richText/>
              </w:sdtPr>
              <w:sdtContent>
                <w:p>
                  <w:pPr>
                    <w:tabs>
                      <w:tab w:val="left" w:pos="1134"/>
                    </w:tabs>
                    <w:spacing w:line="276" w:lineRule="auto"/>
                    <w:ind w:firstLine="709"/>
                    <w:jc w:val="both"/>
                    <w:rPr>
                      <w:szCs w:val="24"/>
                    </w:rPr>
                  </w:pPr>
                  <w:sdt>
                    <w:sdtPr>
                      <w:alias w:val="Numeris"/>
                      <w:tag w:val="nr_8ea31956ee2a4926989bbe044f19b4c6"/>
                      <w:lock w:val="sdtLocked"/>
                      <w:richText/>
                    </w:sdtPr>
                    <w:sdtContent>
                      <w:r>
                        <w:rPr>
                          <w:szCs w:val="24"/>
                        </w:rPr>
                        <w:t>13</w:t>
                      </w:r>
                    </w:sdtContent>
                  </w:sdt>
                  <w:r>
                    <w:rPr>
                      <w:szCs w:val="24"/>
                    </w:rPr>
                    <w:t>.</w:t>
                    <w:tab/>
                    <w:t>SGG sistemos turi būti įrengtos vadovaujantis projektu, parengtu pagal šių Taisyklių reikalavimus.</w:t>
                  </w:r>
                </w:p>
              </w:sdtContent>
            </w:sdt>
            <w:sdt>
              <w:sdtPr>
                <w:alias w:val="14 p."/>
                <w:tag w:val="part_a8af65b381ee4c269add55c2d7cbfcc7"/>
                <w:lock w:val="sdtLocked"/>
                <w:richText/>
              </w:sdtPr>
              <w:sdtContent>
                <w:p>
                  <w:pPr>
                    <w:tabs>
                      <w:tab w:val="left" w:pos="1134"/>
                    </w:tabs>
                    <w:ind w:firstLine="709"/>
                    <w:jc w:val="both"/>
                    <w:rPr>
                      <w:szCs w:val="24"/>
                    </w:rPr>
                  </w:pPr>
                  <w:sdt>
                    <w:sdtPr>
                      <w:alias w:val="Numeris"/>
                      <w:tag w:val="nr_a8af65b381ee4c269add55c2d7cbfcc7"/>
                      <w:lock w:val="sdtLocked"/>
                      <w:richText/>
                    </w:sdtPr>
                    <w:sdtContent>
                      <w:r>
                        <w:rPr>
                          <w:szCs w:val="24"/>
                        </w:rPr>
                        <w:t>14</w:t>
                      </w:r>
                    </w:sdtContent>
                  </w:sdt>
                  <w:r>
                    <w:rPr>
                      <w:szCs w:val="24"/>
                    </w:rPr>
                    <w:t>.</w:t>
                    <w:tab/>
                    <w:t>Iki SGG sistemos priėmimo naudoti pagal Taisyklių 5 punkte nurodytų standartų reikalavimus ir įrangos gamintojo nurodymus turi būti parengtas ir rangovo su naudotoju ir (ar) savininku suderintas SGG sistemos veikimo išbandymų ir priežiūros darbų tvarkaraštis, kuris pridedamas prie SGG sistemų apžiūrėjimo ir išbandymo akto.</w:t>
                  </w:r>
                </w:p>
                <w:p>
                  <w:pPr>
                    <w:tabs>
                      <w:tab w:val="left" w:pos="1134"/>
                    </w:tabs>
                    <w:jc w:val="both"/>
                    <w:rPr>
                      <w:szCs w:val="24"/>
                    </w:rPr>
                  </w:pPr>
                </w:p>
              </w:sdtContent>
            </w:sdt>
          </w:sdtContent>
        </w:sdt>
        <w:sdt>
          <w:sdtPr>
            <w:alias w:val="skyrius"/>
            <w:tag w:val="part_d1266712d4ed4a139c37e0781417f91c"/>
            <w:lock w:val="sdtLocked"/>
            <w:richText/>
          </w:sdtPr>
          <w:sdtContent>
            <w:p>
              <w:pPr>
                <w:jc w:val="center"/>
                <w:rPr>
                  <w:b/>
                  <w:bCs/>
                  <w:szCs w:val="24"/>
                </w:rPr>
              </w:pPr>
              <w:sdt>
                <w:sdtPr>
                  <w:alias w:val="Numeris"/>
                  <w:tag w:val="nr_d1266712d4ed4a139c37e0781417f91c"/>
                  <w:lock w:val="sdtLocked"/>
                  <w:richText/>
                </w:sdtPr>
                <w:sdtContent>
                  <w:r>
                    <w:rPr>
                      <w:b/>
                      <w:bCs/>
                      <w:szCs w:val="24"/>
                    </w:rPr>
                    <w:t>II</w:t>
                  </w:r>
                </w:sdtContent>
              </w:sdt>
              <w:r>
                <w:rPr>
                  <w:b/>
                  <w:bCs/>
                  <w:szCs w:val="24"/>
                </w:rPr>
                <w:t xml:space="preserve"> SKYRIUS </w:t>
              </w:r>
            </w:p>
            <w:p>
              <w:pPr>
                <w:jc w:val="center"/>
                <w:rPr>
                  <w:szCs w:val="24"/>
                </w:rPr>
              </w:pPr>
              <w:sdt>
                <w:sdtPr>
                  <w:alias w:val="Pavadinimas"/>
                  <w:tag w:val="title_d1266712d4ed4a139c37e0781417f91c"/>
                  <w:lock w:val="sdtLocked"/>
                  <w:richText/>
                </w:sdtPr>
                <w:sdtContent>
                  <w:r>
                    <w:rPr>
                      <w:b/>
                      <w:bCs/>
                      <w:szCs w:val="24"/>
                    </w:rPr>
                    <w:t>NUORODOS</w:t>
                  </w:r>
                </w:sdtContent>
              </w:sdt>
            </w:p>
            <w:p>
              <w:pPr>
                <w:tabs>
                  <w:tab w:val="left" w:pos="1134"/>
                </w:tabs>
                <w:rPr>
                  <w:szCs w:val="24"/>
                </w:rPr>
              </w:pPr>
            </w:p>
            <w:sdt>
              <w:sdtPr>
                <w:alias w:val="15 p."/>
                <w:tag w:val="part_0aa086127b86477b91b5294c0358582c"/>
                <w:lock w:val="sdtLocked"/>
                <w:richText/>
              </w:sdtPr>
              <w:sdtContent>
                <w:p>
                  <w:pPr>
                    <w:tabs>
                      <w:tab w:val="left" w:pos="1134"/>
                    </w:tabs>
                    <w:ind w:firstLine="709"/>
                    <w:rPr>
                      <w:szCs w:val="24"/>
                    </w:rPr>
                  </w:pPr>
                  <w:sdt>
                    <w:sdtPr>
                      <w:alias w:val="Numeris"/>
                      <w:tag w:val="nr_0aa086127b86477b91b5294c0358582c"/>
                      <w:lock w:val="sdtLocked"/>
                      <w:richText/>
                    </w:sdtPr>
                    <w:sdtContent>
                      <w:r>
                        <w:rPr>
                          <w:szCs w:val="24"/>
                        </w:rPr>
                        <w:t>15</w:t>
                      </w:r>
                    </w:sdtContent>
                  </w:sdt>
                  <w:r>
                    <w:rPr>
                      <w:szCs w:val="24"/>
                    </w:rPr>
                    <w:t>.</w:t>
                    <w:tab/>
                    <w:t>Taisyklėse pateiktos nuorodos į šiuos teisės aktus:</w:t>
                  </w:r>
                </w:p>
                <w:sdt>
                  <w:sdtPr>
                    <w:alias w:val="15.1 p."/>
                    <w:tag w:val="part_2425c4d6413846618f2f9f315e335f60"/>
                    <w:lock w:val="sdtLocked"/>
                    <w:richText/>
                  </w:sdtPr>
                  <w:sdtContent>
                    <w:p>
                      <w:pPr>
                        <w:tabs>
                          <w:tab w:val="left" w:pos="1134"/>
                        </w:tabs>
                        <w:ind w:firstLine="709"/>
                        <w:jc w:val="both"/>
                        <w:rPr>
                          <w:szCs w:val="24"/>
                        </w:rPr>
                      </w:pPr>
                      <w:sdt>
                        <w:sdtPr>
                          <w:alias w:val="Numeris"/>
                          <w:tag w:val="nr_2425c4d6413846618f2f9f315e335f60"/>
                          <w:lock w:val="sdtLocked"/>
                          <w:richText/>
                        </w:sdtPr>
                        <w:sdtContent>
                          <w:r>
                            <w:rPr>
                              <w:szCs w:val="24"/>
                            </w:rPr>
                            <w:t>15.1</w:t>
                          </w:r>
                        </w:sdtContent>
                      </w:sdt>
                      <w:r>
                        <w:rPr>
                          <w:szCs w:val="24"/>
                        </w:rPr>
                        <w:t>.</w:t>
                        <w:tab/>
                        <w:t>Lietuvos Respublikos statybos įstatymą;</w:t>
                      </w:r>
                    </w:p>
                  </w:sdtContent>
                </w:sdt>
                <w:sdt>
                  <w:sdtPr>
                    <w:alias w:val="15.2 p."/>
                    <w:tag w:val="part_c13f254367174eaf992ff9bf0240eeef"/>
                    <w:lock w:val="sdtLocked"/>
                    <w:richText/>
                  </w:sdtPr>
                  <w:sdtContent>
                    <w:p>
                      <w:pPr>
                        <w:tabs>
                          <w:tab w:val="left" w:pos="1134"/>
                        </w:tabs>
                        <w:ind w:firstLine="709"/>
                        <w:jc w:val="both"/>
                        <w:rPr>
                          <w:szCs w:val="24"/>
                        </w:rPr>
                      </w:pPr>
                      <w:sdt>
                        <w:sdtPr>
                          <w:alias w:val="Numeris"/>
                          <w:tag w:val="nr_c13f254367174eaf992ff9bf0240eeef"/>
                          <w:lock w:val="sdtLocked"/>
                          <w:richText/>
                        </w:sdtPr>
                        <w:sdtContent>
                          <w:r>
                            <w:rPr>
                              <w:szCs w:val="24"/>
                            </w:rPr>
                            <w:t>15.2</w:t>
                          </w:r>
                        </w:sdtContent>
                      </w:sdt>
                      <w:r>
                        <w:rPr>
                          <w:szCs w:val="24"/>
                        </w:rPr>
                        <w:t>.</w:t>
                        <w:tab/>
                        <w:t>Europos Parlamento ir Tarybos 2009 m. rugsėjo 16 d. reglamentą (EB) Nr. 1005/2009 dėl ozono sluoksnį ardančių medžiagų;</w:t>
                      </w:r>
                    </w:p>
                  </w:sdtContent>
                </w:sdt>
                <w:sdt>
                  <w:sdtPr>
                    <w:alias w:val="15.3 p."/>
                    <w:tag w:val="part_06ee9be4246f4f2bbaaefc9acb4bb8ff"/>
                    <w:lock w:val="sdtLocked"/>
                    <w:richText/>
                  </w:sdtPr>
                  <w:sdtContent>
                    <w:p>
                      <w:pPr>
                        <w:tabs>
                          <w:tab w:val="left" w:pos="1134"/>
                        </w:tabs>
                        <w:ind w:firstLine="709"/>
                        <w:jc w:val="both"/>
                        <w:rPr>
                          <w:szCs w:val="24"/>
                        </w:rPr>
                      </w:pPr>
                      <w:sdt>
                        <w:sdtPr>
                          <w:alias w:val="Numeris"/>
                          <w:tag w:val="nr_06ee9be4246f4f2bbaaefc9acb4bb8ff"/>
                          <w:lock w:val="sdtLocked"/>
                          <w:richText/>
                        </w:sdtPr>
                        <w:sdtContent>
                          <w:r>
                            <w:rPr>
                              <w:szCs w:val="24"/>
                            </w:rPr>
                            <w:t>15.3</w:t>
                          </w:r>
                        </w:sdtContent>
                      </w:sdt>
                      <w:r>
                        <w:rPr>
                          <w:szCs w:val="24"/>
                        </w:rPr>
                        <w:t>.</w:t>
                        <w:tab/>
                        <w:t>Europos Parlamento ir Tarybos</w:t>
                      </w:r>
                      <w:r>
                        <w:rPr>
                          <w:rFonts w:eastAsia="Andale Sans UI"/>
                          <w:szCs w:val="24"/>
                          <w:lang w:bidi="en-US"/>
                        </w:rPr>
                        <w:t xml:space="preserve"> </w:t>
                      </w:r>
                      <w:r>
                        <w:rPr>
                          <w:szCs w:val="24"/>
                        </w:rPr>
                        <w:t>2006 m. gegužės 17 d</w:t>
                      </w:r>
                      <w:r>
                        <w:rPr>
                          <w:rFonts w:eastAsia="Andale Sans UI"/>
                          <w:szCs w:val="24"/>
                          <w:lang w:bidi="en-US"/>
                        </w:rPr>
                        <w:t xml:space="preserve"> reglamentą (EB) Nr. 842/2006 dėl tam tikrų fluorintų šiltnamio efektą sukeliančių dujų;</w:t>
                      </w:r>
                    </w:p>
                  </w:sdtContent>
                </w:sdt>
                <w:sdt>
                  <w:sdtPr>
                    <w:alias w:val="15.4 p."/>
                    <w:tag w:val="part_e9231dfe32a543d985c4a30680bdf5ce"/>
                    <w:lock w:val="sdtLocked"/>
                    <w:richText/>
                  </w:sdtPr>
                  <w:sdtContent>
                    <w:p>
                      <w:pPr>
                        <w:tabs>
                          <w:tab w:val="left" w:pos="709"/>
                          <w:tab w:val="left" w:pos="851"/>
                          <w:tab w:val="left" w:pos="1134"/>
                        </w:tabs>
                        <w:ind w:firstLine="709"/>
                        <w:jc w:val="both"/>
                        <w:rPr>
                          <w:szCs w:val="24"/>
                        </w:rPr>
                      </w:pPr>
                      <w:sdt>
                        <w:sdtPr>
                          <w:alias w:val="Numeris"/>
                          <w:tag w:val="nr_e9231dfe32a543d985c4a30680bdf5ce"/>
                          <w:lock w:val="sdtLocked"/>
                          <w:richText/>
                        </w:sdtPr>
                        <w:sdtContent>
                          <w:r>
                            <w:rPr>
                              <w:szCs w:val="24"/>
                            </w:rPr>
                            <w:t>15.4</w:t>
                          </w:r>
                        </w:sdtContent>
                      </w:sdt>
                      <w:r>
                        <w:rPr>
                          <w:szCs w:val="24"/>
                        </w:rPr>
                        <w:t>. Lietuvos standartą LST EN ISO 13943:</w:t>
                      </w:r>
                      <w:r>
                        <w:rPr>
                          <w:color w:val="141437"/>
                          <w:szCs w:val="24"/>
                        </w:rPr>
                        <w:t xml:space="preserve">2023 </w:t>
                      </w:r>
                      <w:r>
                        <w:rPr>
                          <w:szCs w:val="24"/>
                        </w:rPr>
                        <w:t>„Gaisrinė sauga – žodynas“;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c770969011efa605b9842742bf37">
                        <w:r w:rsidRPr="00532B9F">
                          <w:rPr>
                            <w:rFonts w:ascii="Times New Roman" w:eastAsia="MS Mincho" w:hAnsi="Times New Roman"/>
                            <w:sz w:val="20"/>
                            <w:i/>
                            <w:iCs/>
                            <w:color w:val="0000FF" w:themeColor="hyperlink"/>
                            <w:u w:val="single"/>
                          </w:rPr>
                          <w:t>1-642 /2024 (1.4 E)</w:t>
                        </w:r>
                      </w:fldSimple>
                      <w:r>
                        <w:rPr>
                          <w:rFonts w:ascii="Times New Roman" w:eastAsia="MS Mincho" w:hAnsi="Times New Roman"/>
                          <w:sz w:val="20"/>
                          <w:i/>
                          <w:iCs/>
                        </w:rPr>
                        <w:t>,
2024-10-30,
paskelbta TAR 2024-10-30, i. k. 2024-18779            </w:t>
                      </w:r>
                    </w:p>
                    <w:p/>
                  </w:sdtContent>
                </w:sdt>
                <w:sdt>
                  <w:sdtPr>
                    <w:alias w:val="15.5 p."/>
                    <w:tag w:val="part_cd1b31a9aa0a4cc1927d7b27407bed10"/>
                    <w:lock w:val="sdtLocked"/>
                    <w:richText/>
                  </w:sdtPr>
                  <w:sdtContent>
                    <w:p>
                      <w:pPr>
                        <w:tabs>
                          <w:tab w:val="left" w:pos="1134"/>
                        </w:tabs>
                        <w:ind w:firstLine="709"/>
                        <w:jc w:val="both"/>
                        <w:rPr>
                          <w:b/>
                          <w:szCs w:val="24"/>
                        </w:rPr>
                      </w:pPr>
                      <w:sdt>
                        <w:sdtPr>
                          <w:alias w:val="Numeris"/>
                          <w:tag w:val="nr_cd1b31a9aa0a4cc1927d7b27407bed10"/>
                          <w:lock w:val="sdtLocked"/>
                          <w:richText/>
                        </w:sdtPr>
                        <w:sdtContent>
                          <w:r>
                            <w:rPr>
                              <w:szCs w:val="24"/>
                            </w:rPr>
                            <w:t>15.5</w:t>
                          </w:r>
                        </w:sdtContent>
                      </w:sdt>
                      <w:r>
                        <w:rPr>
                          <w:szCs w:val="24"/>
                        </w:rPr>
                        <w:t>.</w:t>
                        <w:tab/>
                      </w:r>
                      <w:r>
                        <w:rPr>
                          <w:bCs/>
                          <w:szCs w:val="24"/>
                        </w:rPr>
                        <w:t>Europos Parlamento ir Tarybos 2011 m. kovo 9 d. reglamentą (ES) Nr. 305/2011, kuriuo nustatomos suderintos statybos produktų rinkodaros sąlygos ir panaikinama Tarybos direktyva 89/106/EEB;</w:t>
                      </w:r>
                    </w:p>
                  </w:sdtContent>
                </w:sdt>
                <w:sdt>
                  <w:sdtPr>
                    <w:alias w:val="15.6 p."/>
                    <w:tag w:val="part_6496499024974c008f1bfe8f72597da8"/>
                    <w:lock w:val="sdtLocked"/>
                    <w:richText/>
                  </w:sdtPr>
                  <w:sdtContent>
                    <w:p>
                      <w:pPr>
                        <w:tabs>
                          <w:tab w:val="left" w:pos="1134"/>
                        </w:tabs>
                        <w:ind w:firstLine="709"/>
                        <w:jc w:val="both"/>
                        <w:rPr>
                          <w:szCs w:val="24"/>
                        </w:rPr>
                      </w:pPr>
                      <w:sdt>
                        <w:sdtPr>
                          <w:alias w:val="Numeris"/>
                          <w:tag w:val="nr_6496499024974c008f1bfe8f72597da8"/>
                          <w:lock w:val="sdtLocked"/>
                          <w:richText/>
                        </w:sdtPr>
                        <w:sdtContent>
                          <w:r>
                            <w:rPr>
                              <w:szCs w:val="24"/>
                            </w:rPr>
                            <w:t>15.6</w:t>
                          </w:r>
                        </w:sdtContent>
                      </w:sdt>
                      <w:r>
                        <w:rPr>
                          <w:szCs w:val="24"/>
                        </w:rPr>
                        <w:t>.</w:t>
                        <w:tab/>
                        <w:t>Gaisrinės saugos pagrindinius reikalavimus, patvirtintus Priešgaisrinės apsaugos ir gelbėjimo departamento prie Vidaus reikalų ministerijos direktoriaus 2010 m. gruodžio 7 d. įsakymu Nr. 1-338 „Dėl gaisrinės saugos pagrindinių reikalavimų patvirtinimo“;</w:t>
                      </w:r>
                    </w:p>
                  </w:sdtContent>
                </w:sdt>
                <w:sdt>
                  <w:sdtPr>
                    <w:alias w:val="15.7 p."/>
                    <w:tag w:val="part_f56c2c0660ec4f729a226bf1a843ee21"/>
                    <w:lock w:val="sdtLocked"/>
                    <w:richText/>
                  </w:sdtPr>
                  <w:sdtContent>
                    <w:p>
                      <w:pPr>
                        <w:tabs>
                          <w:tab w:val="left" w:pos="1134"/>
                        </w:tabs>
                        <w:ind w:firstLine="709"/>
                        <w:jc w:val="both"/>
                        <w:rPr>
                          <w:szCs w:val="24"/>
                        </w:rPr>
                      </w:pPr>
                      <w:sdt>
                        <w:sdtPr>
                          <w:alias w:val="Numeris"/>
                          <w:tag w:val="nr_f56c2c0660ec4f729a226bf1a843ee21"/>
                          <w:lock w:val="sdtLocked"/>
                          <w:richText/>
                        </w:sdtPr>
                        <w:sdtContent>
                          <w:r>
                            <w:rPr>
                              <w:szCs w:val="24"/>
                            </w:rPr>
                            <w:t>15.7</w:t>
                          </w:r>
                        </w:sdtContent>
                      </w:sdt>
                      <w:r>
                        <w:rPr>
                          <w:szCs w:val="24"/>
                        </w:rPr>
                        <w:t>.</w:t>
                        <w:tab/>
                        <w:t>Statinių vidaus gaisrinio vandentiekio sistemų projektavimo ir įrengimo taisykles, patvirtintas Priešgaisrinės apsaugos ir gelbėjimo departamento prie Vidaus reikalų ministerijos direktoriaus 2007 m. gegužės 22 d. įsakymu Nr. 1-66 „Dėl normatyvinių statinio saugos dokumentų patvirtinimo“;</w:t>
                      </w:r>
                    </w:p>
                  </w:sdtContent>
                </w:sdt>
                <w:sdt>
                  <w:sdtPr>
                    <w:alias w:val="15.8 p."/>
                    <w:tag w:val="part_d9ee944e7ac349db8c4234b2d255107f"/>
                    <w:lock w:val="sdtLocked"/>
                    <w:richText/>
                  </w:sdtPr>
                  <w:sdtContent>
                    <w:p>
                      <w:pPr>
                        <w:tabs>
                          <w:tab w:val="left" w:pos="1134"/>
                        </w:tabs>
                        <w:ind w:firstLine="709"/>
                        <w:jc w:val="both"/>
                        <w:rPr>
                          <w:szCs w:val="24"/>
                        </w:rPr>
                      </w:pPr>
                      <w:sdt>
                        <w:sdtPr>
                          <w:alias w:val="Numeris"/>
                          <w:tag w:val="nr_d9ee944e7ac349db8c4234b2d255107f"/>
                          <w:lock w:val="sdtLocked"/>
                          <w:richText/>
                        </w:sdtPr>
                        <w:sdtContent>
                          <w:r>
                            <w:rPr>
                              <w:szCs w:val="24"/>
                            </w:rPr>
                            <w:t>15.8</w:t>
                          </w:r>
                        </w:sdtContent>
                      </w:sdt>
                      <w:r>
                        <w:rPr>
                          <w:szCs w:val="24"/>
                        </w:rPr>
                        <w:t>.</w:t>
                        <w:tab/>
                        <w:t>Lauko gaisrinio vandentiekio tinklų ir statinių projektavimo ir įrengimo taisykles, patvirtintas Priešgaisrinės apsaugos ir gelbėjimo departamento prie Vidaus reikalų ministerijos direktoriaus 2007 m. gegužės 22 d. įsakymu Nr. 1-66 „Dėl normatyvinių statinio saugos dokumentų patvirtinimo“;</w:t>
                      </w:r>
                    </w:p>
                  </w:sdtContent>
                </w:sdt>
                <w:sdt>
                  <w:sdtPr>
                    <w:alias w:val="15.9 p."/>
                    <w:tag w:val="part_773ee5616ed546b89cdb7b77f0896150"/>
                    <w:lock w:val="sdtLocked"/>
                    <w:richText/>
                  </w:sdtPr>
                  <w:sdtContent>
                    <w:p>
                      <w:pPr>
                        <w:tabs>
                          <w:tab w:val="left" w:pos="709"/>
                          <w:tab w:val="left" w:pos="851"/>
                        </w:tabs>
                        <w:ind w:firstLine="709"/>
                        <w:jc w:val="both"/>
                        <w:rPr>
                          <w:szCs w:val="24"/>
                        </w:rPr>
                      </w:pPr>
                      <w:sdt>
                        <w:sdtPr>
                          <w:alias w:val="Numeris"/>
                          <w:tag w:val="nr_773ee5616ed546b89cdb7b77f0896150"/>
                          <w:lock w:val="sdtLocked"/>
                          <w:richText/>
                        </w:sdtPr>
                        <w:sdtContent>
                          <w:r>
                            <w:t>15.9</w:t>
                          </w:r>
                        </w:sdtContent>
                      </w:sdt>
                      <w:r>
                        <w:rPr>
                          <w:color w:val="000000"/>
                          <w:szCs w:val="24"/>
                          <w:lang w:eastAsia="lt-LT"/>
                        </w:rPr>
                        <w:t xml:space="preserve">. Reglamentuojamų statybos produktų sąrašą, patvirtintą Lietuvos Respublikos aplinkos ministro 2022 m. sausio 24 d. įsakymu Nr. D1-15 „Dėl Reglamentuojamų statybos produktų sąrašo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c770969011efa605b9842742bf37">
                        <w:r w:rsidRPr="00532B9F">
                          <w:rPr>
                            <w:rFonts w:ascii="Times New Roman" w:eastAsia="MS Mincho" w:hAnsi="Times New Roman"/>
                            <w:sz w:val="20"/>
                            <w:i/>
                            <w:iCs/>
                            <w:color w:val="0000FF" w:themeColor="hyperlink"/>
                            <w:u w:val="single"/>
                          </w:rPr>
                          <w:t>1-642 /2024 (1.4 E)</w:t>
                        </w:r>
                      </w:fldSimple>
                      <w:r>
                        <w:rPr>
                          <w:rFonts w:ascii="Times New Roman" w:eastAsia="MS Mincho" w:hAnsi="Times New Roman"/>
                          <w:sz w:val="20"/>
                          <w:i/>
                          <w:iCs/>
                        </w:rPr>
                        <w:t>,
2024-10-30,
paskelbta TAR 2024-10-30, i. k. 2024-18779            </w:t>
                      </w:r>
                    </w:p>
                    <w:p/>
                  </w:sdtContent>
                </w:sdt>
                <w:sdt>
                  <w:sdtPr>
                    <w:alias w:val="15.10 p."/>
                    <w:tag w:val="part_4c0841b9e6a14aa4bcf6d8fc3083dd91"/>
                    <w:lock w:val="sdtLocked"/>
                    <w:richText/>
                  </w:sdtPr>
                  <w:sdtContent>
                    <w:p>
                      <w:pPr>
                        <w:pStyle w:val="PlainText"/>
                        <w:ind w:firstLine="567"/>
                        <w:jc w:val="both"/>
                        <w:rPr>
                          <w:rFonts w:ascii="Times New Roman" w:hAnsi="Times New Roman"/>
                          <w:b/>
                          <w:bCs/>
                          <w:sz w:val="22"/>
                        </w:rPr>
                      </w:pPr>
                      <w:r>
                        <w:rPr>
                          <w:rFonts w:ascii="Times New Roman" w:hAnsi="Times New Roman"/>
                          <w:sz w:val="22"/>
                        </w:rPr>
                        <w:t>15.10</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c770969011efa605b9842742bf37">
                        <w:r w:rsidRPr="00532B9F">
                          <w:rPr>
                            <w:rFonts w:ascii="Times New Roman" w:eastAsia="MS Mincho" w:hAnsi="Times New Roman"/>
                            <w:sz w:val="20"/>
                            <w:i/>
                            <w:iCs/>
                            <w:color w:val="0000FF" w:themeColor="hyperlink"/>
                            <w:u w:val="single"/>
                          </w:rPr>
                          <w:t>1-642 /2024 (1.4 E)</w:t>
                        </w:r>
                      </w:fldSimple>
                      <w:r>
                        <w:rPr>
                          <w:rFonts w:ascii="Times New Roman" w:eastAsia="MS Mincho" w:hAnsi="Times New Roman"/>
                          <w:sz w:val="20"/>
                          <w:i/>
                          <w:iCs/>
                        </w:rPr>
                        <w:t>,
2024-10-30,
paskelbta TAR 2024-10-30, i. k. 2024-18779        </w:t>
                      </w:r>
                    </w:p>
                    <w:p/>
                  </w:sdtContent>
                </w:sdt>
                <w:sdt>
                  <w:sdtPr>
                    <w:alias w:val="15.11 pp."/>
                    <w:tag w:val="part_8f1925724a3b42b8a5f7c9efb267c5dd"/>
                    <w:lock w:val="sdtLocked"/>
                    <w:richText/>
                  </w:sdtPr>
                  <w:sdtContent>
                    <w:p>
                      <w:pPr>
                        <w:tabs>
                          <w:tab w:val="left" w:pos="709"/>
                          <w:tab w:val="left" w:pos="851"/>
                        </w:tabs>
                        <w:ind w:firstLine="709"/>
                        <w:jc w:val="both"/>
                      </w:pPr>
                      <w:sdt>
                        <w:sdtPr>
                          <w:alias w:val="Numeris"/>
                          <w:tag w:val="nr_8f1925724a3b42b8a5f7c9efb267c5dd"/>
                          <w:lock w:val="sdtLocked"/>
                          <w:richText/>
                        </w:sdtPr>
                        <w:sdtContent>
                          <w:r>
                            <w:rPr>
                              <w:color w:val="000000"/>
                              <w:spacing w:val="-4"/>
                              <w:szCs w:val="24"/>
                            </w:rPr>
                            <w:t>15.11</w:t>
                          </w:r>
                        </w:sdtContent>
                      </w:sdt>
                      <w:r>
                        <w:rPr>
                          <w:color w:val="000000"/>
                          <w:spacing w:val="-4"/>
                          <w:szCs w:val="24"/>
                        </w:rPr>
                        <w:t xml:space="preserve">. statybos techninį reglamentą STR 1.01.03:2017 „Statinių ir patalpų klasifikavimas“, </w:t>
                      </w:r>
                      <w:r>
                        <w:rPr>
                          <w:color w:val="000000"/>
                          <w:szCs w:val="24"/>
                          <w:lang w:eastAsia="lt-LT"/>
                        </w:rPr>
                        <w:t>patvirtintą Lietuvos Respublikos aplinkos ministro 2016 m. spalio 27 d. įsakymu Nr. D1-713 „Dėl statybos techninio reglamento STR 1.01.03:2017 „Statinių klasifikavimas“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c770969011efa605b9842742bf37">
                        <w:r w:rsidRPr="00532B9F">
                          <w:rPr>
                            <w:rFonts w:ascii="Times New Roman" w:eastAsia="MS Mincho" w:hAnsi="Times New Roman"/>
                            <w:sz w:val="20"/>
                            <w:i/>
                            <w:iCs/>
                            <w:color w:val="0000FF" w:themeColor="hyperlink"/>
                            <w:u w:val="single"/>
                          </w:rPr>
                          <w:t>1-642 /2024 (1.4 E)</w:t>
                        </w:r>
                      </w:fldSimple>
                      <w:r>
                        <w:rPr>
                          <w:rFonts w:ascii="Times New Roman" w:eastAsia="MS Mincho" w:hAnsi="Times New Roman"/>
                          <w:sz w:val="20"/>
                          <w:i/>
                          <w:iCs/>
                        </w:rPr>
                        <w:t>,
2024-10-30,
paskelbta TAR 2024-10-30, i. k. 2024-18779        </w:t>
                      </w:r>
                    </w:p>
                    <w:p/>
                  </w:sdtContent>
                </w:sdt>
                <w:sdt>
                  <w:sdtPr>
                    <w:alias w:val="15.12 pp."/>
                    <w:tag w:val="part_842d6137839845d8a145c6435b2615dd"/>
                    <w:lock w:val="sdtLocked"/>
                    <w:richText/>
                  </w:sdtPr>
                  <w:sdtContent>
                    <w:p>
                      <w:pPr>
                        <w:tabs>
                          <w:tab w:val="left" w:pos="709"/>
                          <w:tab w:val="left" w:pos="993"/>
                          <w:tab w:val="left" w:pos="1134"/>
                        </w:tabs>
                        <w:ind w:firstLine="709"/>
                        <w:jc w:val="both"/>
                      </w:pPr>
                      <w:sdt>
                        <w:sdtPr>
                          <w:alias w:val="Numeris"/>
                          <w:tag w:val="nr_842d6137839845d8a145c6435b2615dd"/>
                          <w:lock w:val="sdtLocked"/>
                          <w:richText/>
                        </w:sdtPr>
                        <w:sdtContent>
                          <w:r>
                            <w:rPr>
                              <w:spacing w:val="-2"/>
                            </w:rPr>
                            <w:t>15.12</w:t>
                          </w:r>
                        </w:sdtContent>
                      </w:sdt>
                      <w:r>
                        <w:rPr>
                          <w:spacing w:val="-2"/>
                        </w:rPr>
                        <w:t xml:space="preserve">. </w:t>
                      </w:r>
                      <w:r>
                        <w:rPr>
                          <w:spacing w:val="-4"/>
                          <w:szCs w:val="24"/>
                        </w:rPr>
                        <w:t>Gaisrų gesinimo ir gelbėjimo technikos, priemonių ir įrenginių, gaisrų gesinimo medžiagų, gaisrinės saugos ženklų privalomuosius saugos reikalavimus, patvirtintus Lietuvos Respublikos vidaus reikalų ministro 2019 m. birželio 11 d. įsakymu Nr. 1V-535 „Dėl Gaisrų gesinimo ir gelbėjimo technikos, priemonių ir įrenginių, gaisrų gesinimo medžiagų, gaisrinės saugos ženklų privalomųjų saugos reikalavimų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c770969011efa605b9842742bf37">
                        <w:r w:rsidRPr="00532B9F">
                          <w:rPr>
                            <w:rFonts w:ascii="Times New Roman" w:eastAsia="MS Mincho" w:hAnsi="Times New Roman"/>
                            <w:sz w:val="20"/>
                            <w:i/>
                            <w:iCs/>
                            <w:color w:val="0000FF" w:themeColor="hyperlink"/>
                            <w:u w:val="single"/>
                          </w:rPr>
                          <w:t>1-642 /2024 (1.4 E)</w:t>
                        </w:r>
                      </w:fldSimple>
                      <w:r>
                        <w:rPr>
                          <w:rFonts w:ascii="Times New Roman" w:eastAsia="MS Mincho" w:hAnsi="Times New Roman"/>
                          <w:sz w:val="20"/>
                          <w:i/>
                          <w:iCs/>
                        </w:rPr>
                        <w:t>,
2024-10-30,
paskelbta TAR 2024-10-30, i. k. 2024-18779        </w:t>
                      </w:r>
                    </w:p>
                    <w:p/>
                  </w:sdtContent>
                </w:sdt>
                <w:sdt>
                  <w:sdtPr>
                    <w:alias w:val="15-1 p."/>
                    <w:tag w:val="part_ba6734f9646e4fb7b022e74c9030d59c"/>
                    <w:lock w:val="sdtLocked"/>
                    <w:richText/>
                  </w:sdtPr>
                  <w:sdtContent>
                    <w:p>
                      <w:pPr>
                        <w:tabs>
                          <w:tab w:val="left" w:pos="567"/>
                          <w:tab w:val="left" w:pos="709"/>
                          <w:tab w:val="left" w:pos="851"/>
                          <w:tab w:val="left" w:pos="1701"/>
                        </w:tabs>
                        <w:ind w:firstLine="709"/>
                        <w:jc w:val="both"/>
                        <w:textAlignment w:val="center"/>
                        <w:rPr>
                          <w:szCs w:val="24"/>
                        </w:rPr>
                      </w:pPr>
                      <w:sdt>
                        <w:sdtPr>
                          <w:alias w:val="Numeris"/>
                          <w:tag w:val="nr_ba6734f9646e4fb7b022e74c9030d59c"/>
                          <w:lock w:val="sdtLocked"/>
                          <w:richText/>
                        </w:sdtPr>
                        <w:sdtContent>
                          <w:r>
                            <w:rPr>
                              <w:color w:val="000000"/>
                              <w:spacing w:val="-4"/>
                              <w:szCs w:val="24"/>
                            </w:rPr>
                            <w:t>15</w:t>
                          </w:r>
                          <w:r>
                            <w:rPr>
                              <w:color w:val="000000"/>
                              <w:spacing w:val="-4"/>
                              <w:szCs w:val="24"/>
                              <w:vertAlign w:val="superscript"/>
                            </w:rPr>
                            <w:t>1</w:t>
                          </w:r>
                        </w:sdtContent>
                      </w:sdt>
                      <w:r>
                        <w:rPr>
                          <w:color w:val="000000"/>
                          <w:spacing w:val="-4"/>
                          <w:szCs w:val="24"/>
                        </w:rPr>
                        <w:t>. Pasikeitus Taisyklių 15 punkte nurodytiems teisės aktams, tiesiogiai taikomos naujos šių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c770969011efa605b9842742bf37">
                        <w:r w:rsidRPr="00532B9F">
                          <w:rPr>
                            <w:rFonts w:ascii="Times New Roman" w:eastAsia="MS Mincho" w:hAnsi="Times New Roman"/>
                            <w:sz w:val="20"/>
                            <w:i/>
                            <w:iCs/>
                            <w:color w:val="0000FF" w:themeColor="hyperlink"/>
                            <w:u w:val="single"/>
                          </w:rPr>
                          <w:t>1-642 /2024 (1.4 E)</w:t>
                        </w:r>
                      </w:fldSimple>
                      <w:r>
                        <w:rPr>
                          <w:rFonts w:ascii="Times New Roman" w:eastAsia="MS Mincho" w:hAnsi="Times New Roman"/>
                          <w:sz w:val="20"/>
                          <w:i/>
                          <w:iCs/>
                        </w:rPr>
                        <w:t>,
2024-10-30,
paskelbta TAR 2024-10-30, i. k. 2024-18779        </w:t>
                      </w:r>
                    </w:p>
                    <w:p/>
                  </w:sdtContent>
                </w:sdt>
              </w:sdtContent>
            </w:sdt>
          </w:sdtContent>
        </w:sdt>
        <w:sdt>
          <w:sdtPr>
            <w:alias w:val="skyrius"/>
            <w:tag w:val="part_6d7ed282011b488eb33551a001155d7b"/>
            <w:lock w:val="sdtLocked"/>
            <w:richText/>
          </w:sdtPr>
          <w:sdtContent>
            <w:p>
              <w:pPr>
                <w:jc w:val="center"/>
                <w:rPr>
                  <w:b/>
                  <w:bCs/>
                  <w:szCs w:val="24"/>
                </w:rPr>
              </w:pPr>
              <w:sdt>
                <w:sdtPr>
                  <w:alias w:val="Numeris"/>
                  <w:tag w:val="nr_6d7ed282011b488eb33551a001155d7b"/>
                  <w:lock w:val="sdtLocked"/>
                  <w:richText/>
                </w:sdtPr>
                <w:sdtContent>
                  <w:r>
                    <w:rPr>
                      <w:b/>
                      <w:bCs/>
                      <w:szCs w:val="24"/>
                    </w:rPr>
                    <w:t>III</w:t>
                  </w:r>
                </w:sdtContent>
              </w:sdt>
              <w:r>
                <w:rPr>
                  <w:b/>
                  <w:bCs/>
                  <w:szCs w:val="24"/>
                </w:rPr>
                <w:t xml:space="preserve"> SKYRIUS</w:t>
              </w:r>
            </w:p>
            <w:p>
              <w:pPr>
                <w:jc w:val="center"/>
                <w:rPr>
                  <w:szCs w:val="24"/>
                </w:rPr>
              </w:pPr>
              <w:sdt>
                <w:sdtPr>
                  <w:alias w:val="Pavadinimas"/>
                  <w:tag w:val="title_6d7ed282011b488eb33551a001155d7b"/>
                  <w:lock w:val="sdtLocked"/>
                  <w:richText/>
                </w:sdtPr>
                <w:sdtContent>
                  <w:r>
                    <w:rPr>
                      <w:b/>
                      <w:bCs/>
                      <w:szCs w:val="24"/>
                    </w:rPr>
                    <w:t>PAGRINDINĖS SĄVOKOS</w:t>
                  </w:r>
                </w:sdtContent>
              </w:sdt>
            </w:p>
            <w:p>
              <w:pPr>
                <w:tabs>
                  <w:tab w:val="left" w:pos="1418"/>
                </w:tabs>
                <w:jc w:val="both"/>
                <w:rPr>
                  <w:szCs w:val="24"/>
                </w:rPr>
              </w:pPr>
            </w:p>
            <w:sdt>
              <w:sdtPr>
                <w:alias w:val="16 p."/>
                <w:tag w:val="part_5c1d5deb99d44de29e13a984af39ccc2"/>
                <w:lock w:val="sdtLocked"/>
                <w:richText/>
              </w:sdtPr>
              <w:sdtContent>
                <w:p>
                  <w:pPr>
                    <w:tabs>
                      <w:tab w:val="left" w:pos="567"/>
                      <w:tab w:val="left" w:pos="709"/>
                      <w:tab w:val="left" w:pos="851"/>
                      <w:tab w:val="left" w:pos="1134"/>
                    </w:tabs>
                    <w:ind w:firstLine="709"/>
                    <w:jc w:val="both"/>
                    <w:rPr>
                      <w:szCs w:val="24"/>
                    </w:rPr>
                  </w:pPr>
                  <w:sdt>
                    <w:sdtPr>
                      <w:alias w:val="Numeris"/>
                      <w:tag w:val="nr_5c1d5deb99d44de29e13a984af39ccc2"/>
                      <w:lock w:val="sdtLocked"/>
                      <w:richText/>
                    </w:sdtPr>
                    <w:sdtContent>
                      <w:r>
                        <w:rPr>
                          <w:szCs w:val="24"/>
                        </w:rPr>
                        <w:t>16</w:t>
                      </w:r>
                    </w:sdtContent>
                  </w:sdt>
                  <w:r>
                    <w:rPr>
                      <w:szCs w:val="24"/>
                    </w:rPr>
                    <w:t>. Taisyklėse vartojamos sąvokos apibrėžtos Lietuvos Respublikos statybos įstatyme [15.1], statybos techniniuose reglamentuose</w:t>
                  </w:r>
                  <w:r>
                    <w:rPr>
                      <w:color w:val="000000"/>
                      <w:szCs w:val="24"/>
                    </w:rPr>
                    <w:t xml:space="preserve">, </w:t>
                  </w:r>
                  <w:r>
                    <w:rPr>
                      <w:szCs w:val="24"/>
                    </w:rPr>
                    <w:t>Gaisrinės saugos pagrindiniuose reikalavimuose [15.6]</w:t>
                  </w:r>
                  <w:r>
                    <w:rPr>
                      <w:color w:val="000000"/>
                      <w:szCs w:val="24"/>
                    </w:rPr>
                    <w:t xml:space="preserve">, LST EN ISO 13943 [15.4] ir </w:t>
                  </w:r>
                  <w:r>
                    <w:rPr>
                      <w:szCs w:val="24"/>
                    </w:rPr>
                    <w:t xml:space="preserve">LST EN 13501 </w:t>
                  </w:r>
                  <w:r>
                    <w:rPr>
                      <w:color w:val="000000"/>
                      <w:szCs w:val="24"/>
                    </w:rPr>
                    <w:t>serijos standartuose.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c770969011efa605b9842742bf37">
                    <w:r w:rsidRPr="00532B9F">
                      <w:rPr>
                        <w:rFonts w:ascii="Times New Roman" w:eastAsia="MS Mincho" w:hAnsi="Times New Roman"/>
                        <w:sz w:val="20"/>
                        <w:i/>
                        <w:iCs/>
                        <w:color w:val="0000FF" w:themeColor="hyperlink"/>
                        <w:u w:val="single"/>
                      </w:rPr>
                      <w:t>1-642 /2024 (1.4 E)</w:t>
                    </w:r>
                  </w:fldSimple>
                  <w:r>
                    <w:rPr>
                      <w:rFonts w:ascii="Times New Roman" w:eastAsia="MS Mincho" w:hAnsi="Times New Roman"/>
                      <w:sz w:val="20"/>
                      <w:i/>
                      <w:iCs/>
                    </w:rPr>
                    <w:t>,
2024-10-30,
paskelbta TAR 2024-10-30, i. k. 2024-18779            </w:t>
                  </w:r>
                </w:p>
                <w:p/>
              </w:sdtContent>
            </w:sdt>
          </w:sdtContent>
        </w:sdt>
        <w:sdt>
          <w:sdtPr>
            <w:alias w:val="skyrius"/>
            <w:tag w:val="part_27c4a8dad29145f49e9cc91c47720ac9"/>
            <w:lock w:val="sdtLocked"/>
            <w:richText/>
          </w:sdtPr>
          <w:sdtContent>
            <w:p>
              <w:pPr>
                <w:jc w:val="center"/>
                <w:rPr>
                  <w:b/>
                  <w:bCs/>
                  <w:szCs w:val="24"/>
                </w:rPr>
              </w:pPr>
              <w:sdt>
                <w:sdtPr>
                  <w:alias w:val="Numeris"/>
                  <w:tag w:val="nr_27c4a8dad29145f49e9cc91c47720ac9"/>
                  <w:lock w:val="sdtLocked"/>
                  <w:richText/>
                </w:sdtPr>
                <w:sdtContent>
                  <w:r>
                    <w:rPr>
                      <w:b/>
                      <w:bCs/>
                      <w:szCs w:val="24"/>
                    </w:rPr>
                    <w:t>IV</w:t>
                  </w:r>
                </w:sdtContent>
              </w:sdt>
              <w:r>
                <w:rPr>
                  <w:b/>
                  <w:bCs/>
                  <w:szCs w:val="24"/>
                </w:rPr>
                <w:t xml:space="preserve"> SKYRIUS</w:t>
              </w:r>
            </w:p>
            <w:p>
              <w:pPr>
                <w:jc w:val="center"/>
                <w:rPr>
                  <w:szCs w:val="24"/>
                </w:rPr>
              </w:pPr>
              <w:sdt>
                <w:sdtPr>
                  <w:alias w:val="Pavadinimas"/>
                  <w:tag w:val="title_27c4a8dad29145f49e9cc91c47720ac9"/>
                  <w:lock w:val="sdtLocked"/>
                  <w:richText/>
                </w:sdtPr>
                <w:sdtContent>
                  <w:r>
                    <w:rPr>
                      <w:b/>
                      <w:bCs/>
                      <w:szCs w:val="24"/>
                    </w:rPr>
                    <w:t>REIKALAVIMAI SGG SISTEMOMS</w:t>
                  </w:r>
                </w:sdtContent>
              </w:sdt>
            </w:p>
            <w:p>
              <w:pPr>
                <w:tabs>
                  <w:tab w:val="left" w:pos="1134"/>
                </w:tabs>
                <w:rPr>
                  <w:szCs w:val="24"/>
                </w:rPr>
              </w:pPr>
            </w:p>
            <w:sdt>
              <w:sdtPr>
                <w:alias w:val="17 p."/>
                <w:tag w:val="part_5df4dcc67c91436f8713db1d4fd4ee9d"/>
                <w:lock w:val="sdtLocked"/>
                <w:richText/>
              </w:sdtPr>
              <w:sdtContent>
                <w:p>
                  <w:pPr>
                    <w:tabs>
                      <w:tab w:val="left" w:pos="1134"/>
                    </w:tabs>
                    <w:ind w:firstLine="709"/>
                    <w:jc w:val="both"/>
                    <w:rPr>
                      <w:szCs w:val="24"/>
                    </w:rPr>
                  </w:pPr>
                  <w:sdt>
                    <w:sdtPr>
                      <w:alias w:val="Numeris"/>
                      <w:tag w:val="nr_5df4dcc67c91436f8713db1d4fd4ee9d"/>
                      <w:lock w:val="sdtLocked"/>
                      <w:richText/>
                    </w:sdtPr>
                    <w:sdtContent>
                      <w:r>
                        <w:rPr>
                          <w:szCs w:val="24"/>
                        </w:rPr>
                        <w:t>17</w:t>
                      </w:r>
                    </w:sdtContent>
                  </w:sdt>
                  <w:r>
                    <w:rPr>
                      <w:szCs w:val="24"/>
                    </w:rPr>
                    <w:t>.</w:t>
                    <w:tab/>
                    <w:t>SGG sistemos projektuojamos taip, kad be žmogaus veiksmų aptiktų gaisrą, perduotų pavojaus signalus kitoms inžinerinėms sistemoms ir jį užgesintų arba lokalizuotų ir neleistų plisti, kol jam užgesinti bus panaudotos kitos priemonės. SGG sistemos valdymo ir rodymo įrangos gaisro ir gedimo signalai turi būti perduodami į centralizuotą stebėjimo pultą.</w:t>
                  </w:r>
                </w:p>
              </w:sdtContent>
            </w:sdt>
            <w:sdt>
              <w:sdtPr>
                <w:alias w:val="18 p."/>
                <w:tag w:val="part_a465662eced04d289e64084db2afe2bd"/>
                <w:lock w:val="sdtLocked"/>
                <w:richText/>
              </w:sdtPr>
              <w:sdtContent>
                <w:p>
                  <w:pPr>
                    <w:tabs>
                      <w:tab w:val="left" w:pos="1134"/>
                    </w:tabs>
                    <w:ind w:firstLine="709"/>
                    <w:jc w:val="both"/>
                    <w:rPr>
                      <w:szCs w:val="24"/>
                    </w:rPr>
                  </w:pPr>
                  <w:sdt>
                    <w:sdtPr>
                      <w:alias w:val="Numeris"/>
                      <w:tag w:val="nr_a465662eced04d289e64084db2afe2bd"/>
                      <w:lock w:val="sdtLocked"/>
                      <w:richText/>
                    </w:sdtPr>
                    <w:sdtContent>
                      <w:r>
                        <w:rPr>
                          <w:szCs w:val="24"/>
                        </w:rPr>
                        <w:t>18</w:t>
                      </w:r>
                    </w:sdtContent>
                  </w:sdt>
                  <w:r>
                    <w:rPr>
                      <w:szCs w:val="24"/>
                    </w:rPr>
                    <w:t>.</w:t>
                    <w:tab/>
                    <w:t xml:space="preserve">Inžinerinių statinių, pastatų ar patalpų, kuriose </w:t>
                  </w:r>
                  <w:r>
                    <w:rPr>
                      <w:szCs w:val="24"/>
                      <w:lang w:eastAsia="ja-JP"/>
                    </w:rPr>
                    <w:t>privaloma</w:t>
                  </w:r>
                  <w:r>
                    <w:rPr>
                      <w:szCs w:val="24"/>
                    </w:rPr>
                    <w:t xml:space="preserve"> įrengti SGG sistemas, sąrašas pateiktas 1, 2 ir 3 lentelėse.</w:t>
                  </w:r>
                </w:p>
              </w:sdtContent>
            </w:sdt>
            <w:sdt>
              <w:sdtPr>
                <w:alias w:val="19 p."/>
                <w:tag w:val="part_1d6ce7d565da46648eaebccd52d7905f"/>
                <w:lock w:val="sdtLocked"/>
                <w:richText/>
              </w:sdtPr>
              <w:sdtContent>
                <w:p>
                  <w:pPr>
                    <w:tabs>
                      <w:tab w:val="left" w:pos="1134"/>
                    </w:tabs>
                    <w:ind w:firstLine="709"/>
                    <w:jc w:val="both"/>
                    <w:rPr>
                      <w:szCs w:val="24"/>
                    </w:rPr>
                  </w:pPr>
                  <w:sdt>
                    <w:sdtPr>
                      <w:alias w:val="Numeris"/>
                      <w:tag w:val="nr_1d6ce7d565da46648eaebccd52d7905f"/>
                      <w:lock w:val="sdtLocked"/>
                      <w:richText/>
                    </w:sdtPr>
                    <w:sdtContent>
                      <w:r>
                        <w:rPr>
                          <w:szCs w:val="24"/>
                        </w:rPr>
                        <w:t>19</w:t>
                      </w:r>
                    </w:sdtContent>
                  </w:sdt>
                  <w:r>
                    <w:rPr>
                      <w:szCs w:val="24"/>
                    </w:rPr>
                    <w:t>.</w:t>
                    <w:tab/>
                    <w:t>SGG sistemos gali būti neįrengiamos patalpose ar jų dalyse, kuriose maža gaisro rizika:</w:t>
                  </w:r>
                </w:p>
                <w:sdt>
                  <w:sdtPr>
                    <w:alias w:val="19.1 p."/>
                    <w:tag w:val="part_028e14b5570647cf9ab2cc1db5eb1718"/>
                    <w:lock w:val="sdtLocked"/>
                    <w:richText/>
                  </w:sdtPr>
                  <w:sdtContent>
                    <w:p>
                      <w:pPr>
                        <w:tabs>
                          <w:tab w:val="left" w:pos="1134"/>
                        </w:tabs>
                        <w:ind w:firstLine="709"/>
                        <w:jc w:val="both"/>
                        <w:rPr>
                          <w:szCs w:val="24"/>
                        </w:rPr>
                      </w:pPr>
                      <w:sdt>
                        <w:sdtPr>
                          <w:alias w:val="Numeris"/>
                          <w:tag w:val="nr_028e14b5570647cf9ab2cc1db5eb1718"/>
                          <w:lock w:val="sdtLocked"/>
                          <w:richText/>
                        </w:sdtPr>
                        <w:sdtContent>
                          <w:r>
                            <w:rPr>
                              <w:szCs w:val="24"/>
                            </w:rPr>
                            <w:t>19.1</w:t>
                          </w:r>
                        </w:sdtContent>
                      </w:sdt>
                      <w:r>
                        <w:rPr>
                          <w:szCs w:val="24"/>
                        </w:rPr>
                        <w:t>.</w:t>
                        <w:tab/>
                        <w:t>pramoninėms ir degimo (džiovinimo) krosnims, druskos vonioms, lydymo katilams ar panašiems įrenginiams gesinti ir ten, kur nėra pavojaus gaisrui kilti (dušai, tualetai, uždaros laiptinės, ventiliatorinės (išskyrus ventiliatorines, kurios vėdina pagal sprogimo ir gaisro pavojų Asg ir Bsg kategorijoms priskirtas patalpas, arba kai vėdinimo įrangoje naudojama daugiau kaip 200 l ypač degių ir labai degių skysčių);</w:t>
                      </w:r>
                    </w:p>
                  </w:sdtContent>
                </w:sdt>
                <w:sdt>
                  <w:sdtPr>
                    <w:alias w:val="19.2 p."/>
                    <w:tag w:val="part_4b290b1e36e941b8aac444f8452efe1e"/>
                    <w:lock w:val="sdtLocked"/>
                    <w:richText/>
                  </w:sdtPr>
                  <w:sdtContent>
                    <w:p>
                      <w:pPr>
                        <w:tabs>
                          <w:tab w:val="left" w:pos="1134"/>
                        </w:tabs>
                        <w:ind w:firstLine="709"/>
                        <w:jc w:val="both"/>
                        <w:rPr>
                          <w:szCs w:val="24"/>
                        </w:rPr>
                      </w:pPr>
                      <w:sdt>
                        <w:sdtPr>
                          <w:alias w:val="Numeris"/>
                          <w:tag w:val="nr_4b290b1e36e941b8aac444f8452efe1e"/>
                          <w:lock w:val="sdtLocked"/>
                          <w:richText/>
                        </w:sdtPr>
                        <w:sdtContent>
                          <w:r>
                            <w:rPr>
                              <w:szCs w:val="24"/>
                            </w:rPr>
                            <w:t>19.2</w:t>
                          </w:r>
                        </w:sdtContent>
                      </w:sdt>
                      <w:r>
                        <w:rPr>
                          <w:szCs w:val="24"/>
                        </w:rPr>
                        <w:t>.</w:t>
                        <w:tab/>
                        <w:t>patalpose ar jų dalyse, kuriose vykdomi gamybos procesai, susiję su vandeniu, kai tai užima daugiau kaip 50 proc. patalpos ploto ir sudaro daugiau nei 50 proc. viso technologinio proceso laiko;</w:t>
                      </w:r>
                    </w:p>
                  </w:sdtContent>
                </w:sdt>
                <w:sdt>
                  <w:sdtPr>
                    <w:alias w:val="19.3 p."/>
                    <w:tag w:val="part_6bcc45b3558446b88a8deb377fff2f49"/>
                    <w:lock w:val="sdtLocked"/>
                    <w:richText/>
                  </w:sdtPr>
                  <w:sdtContent>
                    <w:p>
                      <w:pPr>
                        <w:tabs>
                          <w:tab w:val="left" w:pos="1134"/>
                        </w:tabs>
                        <w:ind w:firstLine="709"/>
                        <w:jc w:val="both"/>
                        <w:rPr>
                          <w:szCs w:val="24"/>
                        </w:rPr>
                      </w:pPr>
                      <w:sdt>
                        <w:sdtPr>
                          <w:alias w:val="Numeris"/>
                          <w:tag w:val="nr_6bcc45b3558446b88a8deb377fff2f49"/>
                          <w:lock w:val="sdtLocked"/>
                          <w:richText/>
                        </w:sdtPr>
                        <w:sdtContent>
                          <w:r>
                            <w:rPr>
                              <w:szCs w:val="24"/>
                            </w:rPr>
                            <w:t>19.3</w:t>
                          </w:r>
                        </w:sdtContent>
                      </w:sdt>
                      <w:r>
                        <w:rPr>
                          <w:szCs w:val="24"/>
                        </w:rPr>
                        <w:t>.</w:t>
                        <w:tab/>
                        <w:t>vertikaliose šachtose (liftų ar techninės paskirties), kurių atitvarinės konstrukcijos yra iš ne žemesnės kaip A1 degumo klasės statybos produktų ir ne mažesnio kaip EI 60 atsparumo ugniai klasės, išskyrus teisės aktuose nustatytus atvejus;</w:t>
                      </w:r>
                    </w:p>
                  </w:sdtContent>
                </w:sdt>
                <w:sdt>
                  <w:sdtPr>
                    <w:alias w:val="19.4 p."/>
                    <w:tag w:val="part_3d7f8c9568fd4da28eaefd167d6dcc37"/>
                    <w:lock w:val="sdtLocked"/>
                    <w:richText/>
                  </w:sdtPr>
                  <w:sdtContent>
                    <w:p>
                      <w:pPr>
                        <w:tabs>
                          <w:tab w:val="left" w:pos="1134"/>
                        </w:tabs>
                        <w:ind w:firstLine="709"/>
                        <w:jc w:val="both"/>
                        <w:rPr>
                          <w:szCs w:val="24"/>
                        </w:rPr>
                      </w:pPr>
                      <w:sdt>
                        <w:sdtPr>
                          <w:alias w:val="Numeris"/>
                          <w:tag w:val="nr_3d7f8c9568fd4da28eaefd167d6dcc37"/>
                          <w:lock w:val="sdtLocked"/>
                          <w:richText/>
                        </w:sdtPr>
                        <w:sdtContent>
                          <w:r>
                            <w:rPr>
                              <w:szCs w:val="24"/>
                            </w:rPr>
                            <w:t>19.4</w:t>
                          </w:r>
                        </w:sdtContent>
                      </w:sdt>
                      <w:r>
                        <w:rPr>
                          <w:szCs w:val="24"/>
                        </w:rPr>
                        <w:t>.</w:t>
                        <w:tab/>
                        <w:t>kitais atvejais, kurie pateikti Taisyklių 5 punkte nurodytuose standartuose.</w:t>
                      </w:r>
                    </w:p>
                  </w:sdtContent>
                </w:sdt>
              </w:sdtContent>
            </w:sdt>
            <w:sdt>
              <w:sdtPr>
                <w:alias w:val="20 p."/>
                <w:tag w:val="part_962b170a548e4f64af82d5df04e3a46b"/>
                <w:lock w:val="sdtLocked"/>
                <w:richText/>
              </w:sdtPr>
              <w:sdtContent>
                <w:p>
                  <w:pPr>
                    <w:tabs>
                      <w:tab w:val="left" w:pos="1134"/>
                    </w:tabs>
                    <w:ind w:firstLine="709"/>
                    <w:jc w:val="both"/>
                    <w:rPr>
                      <w:szCs w:val="24"/>
                    </w:rPr>
                  </w:pPr>
                  <w:sdt>
                    <w:sdtPr>
                      <w:alias w:val="Numeris"/>
                      <w:tag w:val="nr_962b170a548e4f64af82d5df04e3a46b"/>
                      <w:lock w:val="sdtLocked"/>
                      <w:richText/>
                    </w:sdtPr>
                    <w:sdtContent>
                      <w:r>
                        <w:rPr>
                          <w:szCs w:val="24"/>
                        </w:rPr>
                        <w:t>20</w:t>
                      </w:r>
                    </w:sdtContent>
                  </w:sdt>
                  <w:r>
                    <w:rPr>
                      <w:szCs w:val="24"/>
                    </w:rPr>
                    <w:t>.</w:t>
                    <w:tab/>
                    <w:t>Kai vidaus gaisrinio vandentiekio čiaupai ar ritės prijungti prie SGG sistemų, gesinančių vandeniu (toliau – SGGV sistemos), jų veikimo trukmė turi būti tokia pati kaip ir SGGV sistemų.</w:t>
                  </w:r>
                </w:p>
              </w:sdtContent>
            </w:sdt>
            <w:sdt>
              <w:sdtPr>
                <w:alias w:val="21 p."/>
                <w:tag w:val="part_1b17ca8ad3614817b7199d11e664ec09"/>
                <w:lock w:val="sdtLocked"/>
                <w:richText/>
              </w:sdtPr>
              <w:sdtContent>
                <w:p>
                  <w:pPr>
                    <w:tabs>
                      <w:tab w:val="left" w:pos="1134"/>
                    </w:tabs>
                    <w:ind w:firstLine="709"/>
                    <w:jc w:val="both"/>
                    <w:rPr>
                      <w:szCs w:val="24"/>
                    </w:rPr>
                  </w:pPr>
                  <w:sdt>
                    <w:sdtPr>
                      <w:alias w:val="Numeris"/>
                      <w:tag w:val="nr_1b17ca8ad3614817b7199d11e664ec09"/>
                      <w:lock w:val="sdtLocked"/>
                      <w:richText/>
                    </w:sdtPr>
                    <w:sdtContent>
                      <w:r>
                        <w:rPr>
                          <w:szCs w:val="24"/>
                        </w:rPr>
                        <w:t>21</w:t>
                      </w:r>
                    </w:sdtContent>
                  </w:sdt>
                  <w:r>
                    <w:rPr>
                      <w:szCs w:val="24"/>
                    </w:rPr>
                    <w:t>.</w:t>
                    <w:tab/>
                    <w:t>Jeigu patalpoje įrengti elektros įrenginiai yra mažesnio kaip IP 44 saugos laipsnio arba turi atviras, neizoliuotas, elektros srovei laidžias dalis, SGGV sistemų veikimo schemoje turi būti numatyta galimybė išjungti elektros energijos tiekimą minėtiems elektros imtuvams iki gaisro gesinimo pradžios. Gaisro gesinimo pradžia fiksuojama nuo signalinio vožtuvo suveikimo.</w:t>
                  </w:r>
                </w:p>
              </w:sdtContent>
            </w:sdt>
            <w:sdt>
              <w:sdtPr>
                <w:alias w:val="22 p."/>
                <w:tag w:val="part_afb085413b194bd88e7a7c4ad4a02256"/>
                <w:lock w:val="sdtLocked"/>
                <w:richText/>
              </w:sdtPr>
              <w:sdtContent>
                <w:p>
                  <w:pPr>
                    <w:tabs>
                      <w:tab w:val="left" w:pos="1134"/>
                    </w:tabs>
                    <w:ind w:firstLine="709"/>
                    <w:jc w:val="both"/>
                    <w:rPr>
                      <w:szCs w:val="24"/>
                    </w:rPr>
                  </w:pPr>
                  <w:sdt>
                    <w:sdtPr>
                      <w:alias w:val="Numeris"/>
                      <w:tag w:val="nr_afb085413b194bd88e7a7c4ad4a02256"/>
                      <w:lock w:val="sdtLocked"/>
                      <w:richText/>
                    </w:sdtPr>
                    <w:sdtContent>
                      <w:r>
                        <w:rPr>
                          <w:szCs w:val="24"/>
                        </w:rPr>
                        <w:t>22</w:t>
                      </w:r>
                    </w:sdtContent>
                  </w:sdt>
                  <w:r>
                    <w:rPr>
                      <w:szCs w:val="24"/>
                    </w:rPr>
                    <w:t>.</w:t>
                    <w:tab/>
                    <w:t>SGGV sistemų įrenginiams veikti reikalingos vandens atsargos turi būti saugomos atskiruose nuo buitinio ar technologinio vandens rezervuaruose. Leidžiama atsisakyti vandens atsargų saugojimo rezervuaruose, kai yra galimybė užtikrinti vandens tiekimą gaisrų gesinimo įrenginiams iš I kategorijos centralizuotos vandens tiekimo sistemos, kurios slėgis ir debitas užtikrina SGGV sistemų apskaičiuotus parametrus. Šiuo atveju vandens tiekimo įmonė įstatymų nustatyta tvarka turi nustatyti vandens tiekimo sąlygas ir prisiimti atsakomybę dėl vandens tiekimo užtikrinimo kilus gaisrui.</w:t>
                  </w:r>
                </w:p>
              </w:sdtContent>
            </w:sdt>
            <w:sdt>
              <w:sdtPr>
                <w:alias w:val="23 p."/>
                <w:tag w:val="part_fedf500d62974a3da181447a273882b4"/>
                <w:lock w:val="sdtLocked"/>
                <w:richText/>
              </w:sdtPr>
              <w:sdtContent>
                <w:p>
                  <w:pPr>
                    <w:tabs>
                      <w:tab w:val="left" w:pos="1134"/>
                    </w:tabs>
                    <w:ind w:firstLine="709"/>
                    <w:jc w:val="both"/>
                    <w:rPr>
                      <w:szCs w:val="24"/>
                    </w:rPr>
                  </w:pPr>
                  <w:sdt>
                    <w:sdtPr>
                      <w:alias w:val="Numeris"/>
                      <w:tag w:val="nr_fedf500d62974a3da181447a273882b4"/>
                      <w:lock w:val="sdtLocked"/>
                      <w:richText/>
                    </w:sdtPr>
                    <w:sdtContent>
                      <w:r>
                        <w:rPr>
                          <w:szCs w:val="24"/>
                        </w:rPr>
                        <w:t>23</w:t>
                      </w:r>
                    </w:sdtContent>
                  </w:sdt>
                  <w:r>
                    <w:rPr>
                      <w:szCs w:val="24"/>
                    </w:rPr>
                    <w:t>.</w:t>
                    <w:tab/>
                    <w:t>Stacionariųjų gaisrų gesinimo dujomis sistemų (toliau vadinama – SGGD sistemos) dujų atsargos turi būti ne mažesnės kaip 100 procentų nuo apskaičiuotų didžiausiai patalpai gesinti. Dujų atsargos gali būti saugomos atitinkamoje specializuotoje įmonėje, atliekančioje SGGD sistemų įrenginių techninę priežiūrą, su sąlyga, kad yra galimybė ne ilgiau kaip per 24 val. – gyvenvietėse ir gamybos įmonėse, kurių gamyba pagal sprogimo ir gaisro kilimo pavojų priskiriama Asg, Bsg ir Cg kategorijoms, ne ilgiau kaip per 36 val. – gamybos įmonėse, kurių gamyba pagal gaisro kilimo pavojų priskiriama Dg ir Eg kategorijoms, ne ilgiau kaip per 72 val. – kaimo gyvenamosiose vietovėse ir žemės ūkio įmonėse, į objektą atvežti ir SGGD sistemas papildyti dujų atsargų. Šio punkto nuostatos netaikomos, kai statinio naudotojas SGGD sistemas įrengia savanoriškai.</w:t>
                  </w:r>
                </w:p>
              </w:sdtContent>
            </w:sdt>
            <w:sdt>
              <w:sdtPr>
                <w:alias w:val="24 p."/>
                <w:tag w:val="part_e0f5247e7bab4581a00981a566121418"/>
                <w:lock w:val="sdtLocked"/>
                <w:richText/>
              </w:sdtPr>
              <w:sdtContent>
                <w:p>
                  <w:pPr>
                    <w:tabs>
                      <w:tab w:val="left" w:pos="1134"/>
                    </w:tabs>
                    <w:ind w:firstLine="709"/>
                    <w:jc w:val="both"/>
                    <w:rPr>
                      <w:szCs w:val="24"/>
                    </w:rPr>
                  </w:pPr>
                  <w:sdt>
                    <w:sdtPr>
                      <w:alias w:val="Numeris"/>
                      <w:tag w:val="nr_e0f5247e7bab4581a00981a566121418"/>
                      <w:lock w:val="sdtLocked"/>
                      <w:richText/>
                    </w:sdtPr>
                    <w:sdtContent>
                      <w:r>
                        <w:rPr>
                          <w:szCs w:val="24"/>
                        </w:rPr>
                        <w:t>24</w:t>
                      </w:r>
                    </w:sdtContent>
                  </w:sdt>
                  <w:r>
                    <w:rPr>
                      <w:szCs w:val="24"/>
                    </w:rPr>
                    <w:t>.</w:t>
                    <w:tab/>
                    <w:t>SGG sistemos turi būti taip suprojektuotos ir įrengtos, kad, suveikus vienam sprinkleriui, pavojaus signalizavimo vožtuvas praneštų apie kilusį gaisrą. Laikas nuo sprinklerio suveikimo iki signalo apie kilusį gaisrą, išduodamo pavojaus signalizavimo vožtuvo, neturi viršyti 1 min.</w:t>
                  </w:r>
                </w:p>
              </w:sdtContent>
            </w:sdt>
            <w:sdt>
              <w:sdtPr>
                <w:alias w:val="25 p."/>
                <w:tag w:val="part_21329129e115404f9df89eb2bda6873d"/>
                <w:lock w:val="sdtLocked"/>
                <w:richText/>
              </w:sdtPr>
              <w:sdtContent>
                <w:p>
                  <w:pPr>
                    <w:tabs>
                      <w:tab w:val="left" w:pos="709"/>
                      <w:tab w:val="left" w:pos="851"/>
                    </w:tabs>
                    <w:ind w:firstLine="709"/>
                    <w:jc w:val="both"/>
                    <w:rPr>
                      <w:szCs w:val="24"/>
                    </w:rPr>
                  </w:pPr>
                  <w:sdt>
                    <w:sdtPr>
                      <w:alias w:val="Numeris"/>
                      <w:tag w:val="nr_21329129e115404f9df89eb2bda6873d"/>
                      <w:lock w:val="sdtLocked"/>
                      <w:richText/>
                    </w:sdtPr>
                    <w:sdtContent>
                      <w:r>
                        <w:rPr>
                          <w:szCs w:val="24"/>
                          <w:lang w:eastAsia="lt-LT"/>
                        </w:rPr>
                        <w:t>25</w:t>
                      </w:r>
                    </w:sdtContent>
                  </w:sdt>
                  <w:r>
                    <w:rPr>
                      <w:szCs w:val="24"/>
                      <w:lang w:eastAsia="lt-LT"/>
                    </w:rPr>
                    <w:t xml:space="preserve">. SGGV sistemose turi būti įrengtas pastato išorėje išvestas 89 mm skersmens atvamzdis, turintis B(75) dydžio jungiamąsias movas PN 16, atitinkančias privalomuosius produktų saugos reikalavimus [15.12], skirtas B(75) dydžio gaisrinių slėginių žarnų movoms prijungti ir vandeniui į SGGV sistemos atitekamąjį vamzdyną gaisrine technika tiekti. Jungiamoji mova turi būti įrengiama nuo 1 m iki 1,5 m aukštyje nuo žemės paviršiaus. Movos įrengimo vietoje turi būti užrašas „JUNGTIS GAISRINIAM AUTOMOBILIUI“. </w:t>
                  </w:r>
                  <w:r>
                    <w:rPr>
                      <w:color w:val="000000"/>
                      <w:szCs w:val="24"/>
                      <w:lang w:eastAsia="lt-LT"/>
                    </w:rPr>
                    <w:t>Ši jungtis turi būti su sklende ir atbuliniu vožtuvu.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c770969011efa605b9842742bf37">
                    <w:r w:rsidRPr="00532B9F">
                      <w:rPr>
                        <w:rFonts w:ascii="Times New Roman" w:eastAsia="MS Mincho" w:hAnsi="Times New Roman"/>
                        <w:sz w:val="20"/>
                        <w:i/>
                        <w:iCs/>
                        <w:color w:val="0000FF" w:themeColor="hyperlink"/>
                        <w:u w:val="single"/>
                      </w:rPr>
                      <w:t>1-642 /2024 (1.4 E)</w:t>
                    </w:r>
                  </w:fldSimple>
                  <w:r>
                    <w:rPr>
                      <w:rFonts w:ascii="Times New Roman" w:eastAsia="MS Mincho" w:hAnsi="Times New Roman"/>
                      <w:sz w:val="20"/>
                      <w:i/>
                      <w:iCs/>
                    </w:rPr>
                    <w:t>,
2024-10-30,
paskelbta TAR 2024-10-30, i. k. 2024-18779            </w:t>
                  </w:r>
                </w:p>
                <w:p/>
              </w:sdtContent>
            </w:sdt>
          </w:sdtContent>
        </w:sdt>
        <w:sdt>
          <w:sdtPr>
            <w:alias w:val="skyrius"/>
            <w:tag w:val="part_c16b4dbf2a05457bbb6ad21ef156088c"/>
            <w:lock w:val="sdtLocked"/>
            <w:richText/>
          </w:sdtPr>
          <w:sdtContent>
            <w:p>
              <w:pPr>
                <w:jc w:val="center"/>
                <w:rPr>
                  <w:b/>
                  <w:szCs w:val="24"/>
                </w:rPr>
              </w:pPr>
              <w:sdt>
                <w:sdtPr>
                  <w:alias w:val="Numeris"/>
                  <w:tag w:val="nr_c16b4dbf2a05457bbb6ad21ef156088c"/>
                  <w:lock w:val="sdtLocked"/>
                  <w:richText/>
                </w:sdtPr>
                <w:sdtContent>
                  <w:r>
                    <w:rPr>
                      <w:b/>
                      <w:szCs w:val="24"/>
                    </w:rPr>
                    <w:t>V</w:t>
                  </w:r>
                </w:sdtContent>
              </w:sdt>
              <w:r>
                <w:rPr>
                  <w:b/>
                  <w:szCs w:val="24"/>
                </w:rPr>
                <w:t xml:space="preserve"> SKYRIUS</w:t>
              </w:r>
            </w:p>
            <w:p>
              <w:pPr>
                <w:jc w:val="center"/>
                <w:rPr>
                  <w:szCs w:val="24"/>
                </w:rPr>
              </w:pPr>
              <w:sdt>
                <w:sdtPr>
                  <w:alias w:val="Pavadinimas"/>
                  <w:tag w:val="title_c16b4dbf2a05457bbb6ad21ef156088c"/>
                  <w:lock w:val="sdtLocked"/>
                  <w:richText/>
                </w:sdtPr>
                <w:sdtContent>
                  <w:r>
                    <w:rPr>
                      <w:b/>
                      <w:caps/>
                      <w:szCs w:val="24"/>
                    </w:rPr>
                    <w:t xml:space="preserve">statinių, </w:t>
                  </w:r>
                  <w:r>
                    <w:rPr>
                      <w:b/>
                      <w:bCs/>
                      <w:szCs w:val="24"/>
                    </w:rPr>
                    <w:t>KURIUOSE</w:t>
                  </w:r>
                  <w:r>
                    <w:rPr>
                      <w:b/>
                      <w:caps/>
                      <w:szCs w:val="24"/>
                    </w:rPr>
                    <w:t xml:space="preserve"> </w:t>
                  </w:r>
                  <w:r>
                    <w:rPr>
                      <w:b/>
                      <w:caps/>
                      <w:szCs w:val="24"/>
                      <w:lang w:eastAsia="ja-JP"/>
                    </w:rPr>
                    <w:t>privaloma</w:t>
                  </w:r>
                  <w:r>
                    <w:rPr>
                      <w:b/>
                      <w:caps/>
                      <w:szCs w:val="24"/>
                    </w:rPr>
                    <w:t xml:space="preserve"> įrengti SGG sistemas, sąrašas</w:t>
                  </w:r>
                </w:sdtContent>
              </w:sdt>
            </w:p>
            <w:p>
              <w:pPr>
                <w:tabs>
                  <w:tab w:val="left" w:pos="1134"/>
                </w:tabs>
                <w:jc w:val="both"/>
                <w:rPr>
                  <w:szCs w:val="24"/>
                </w:rPr>
              </w:pPr>
            </w:p>
            <w:sdt>
              <w:sdtPr>
                <w:alias w:val="26 p."/>
                <w:tag w:val="part_7e9336f85c2143189f50b141b1525776"/>
                <w:lock w:val="sdtLocked"/>
                <w:richText/>
              </w:sdtPr>
              <w:sdtContent>
                <w:p>
                  <w:pPr>
                    <w:tabs>
                      <w:tab w:val="left" w:pos="1134"/>
                    </w:tabs>
                    <w:ind w:firstLine="709"/>
                    <w:jc w:val="both"/>
                    <w:rPr>
                      <w:szCs w:val="24"/>
                    </w:rPr>
                  </w:pPr>
                  <w:sdt>
                    <w:sdtPr>
                      <w:alias w:val="Numeris"/>
                      <w:tag w:val="nr_7e9336f85c2143189f50b141b1525776"/>
                      <w:lock w:val="sdtLocked"/>
                      <w:richText/>
                    </w:sdtPr>
                    <w:sdtContent>
                      <w:r>
                        <w:rPr>
                          <w:szCs w:val="24"/>
                        </w:rPr>
                        <w:t>26</w:t>
                      </w:r>
                    </w:sdtContent>
                  </w:sdt>
                  <w:r>
                    <w:rPr>
                      <w:szCs w:val="24"/>
                    </w:rPr>
                    <w:t xml:space="preserve">. Rodikliai, kuriuos viršijus </w:t>
                  </w:r>
                  <w:r>
                    <w:rPr>
                      <w:szCs w:val="24"/>
                      <w:lang w:eastAsia="ja-JP"/>
                    </w:rPr>
                    <w:t>privaloma</w:t>
                  </w:r>
                  <w:r>
                    <w:rPr>
                      <w:szCs w:val="24"/>
                    </w:rPr>
                    <w:t xml:space="preserve"> įrengti SGG sistemas inžineriniuose statiniuose, išdėstyti 1 lentelėje:</w:t>
                  </w:r>
                </w:p>
                <w:p>
                  <w:pPr>
                    <w:tabs>
                      <w:tab w:val="left" w:pos="1134"/>
                    </w:tabs>
                    <w:ind w:firstLine="709"/>
                    <w:jc w:val="both"/>
                    <w:rPr>
                      <w:szCs w:val="24"/>
                    </w:rPr>
                  </w:pPr>
                </w:p>
                <w:p>
                  <w:pPr>
                    <w:ind w:firstLine="709"/>
                    <w:jc w:val="both"/>
                    <w:rPr>
                      <w:b/>
                      <w:bCs/>
                      <w:szCs w:val="24"/>
                    </w:rPr>
                  </w:pPr>
                  <w:r>
                    <w:rPr>
                      <w:szCs w:val="24"/>
                    </w:rPr>
                    <w:t xml:space="preserve">1 lentelė. </w:t>
                  </w:r>
                  <w:r>
                    <w:rPr>
                      <w:b/>
                      <w:bCs/>
                      <w:szCs w:val="24"/>
                    </w:rPr>
                    <w:t>Inžineriniai statiniai</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85"/>
                    <w:gridCol w:w="3131"/>
                    <w:gridCol w:w="1503"/>
                    <w:gridCol w:w="1041"/>
                    <w:gridCol w:w="1090"/>
                    <w:gridCol w:w="2362"/>
                  </w:tblGrid>
                  <w:tr>
                    <w:trPr>
                      <w:trHeight w:val="255"/>
                    </w:trPr>
                    <w:tc>
                      <w:tcPr>
                        <w:tcW w:w="301" w:type="pct"/>
                        <w:vMerge w:val="restart"/>
                        <w:tcMar>
                          <w:top w:w="0" w:type="dxa"/>
                          <w:left w:w="108" w:type="dxa"/>
                          <w:bottom w:w="0" w:type="dxa"/>
                          <w:right w:w="108" w:type="dxa"/>
                        </w:tcMar>
                        <w:vAlign w:val="center"/>
                        <w:hideMark/>
                      </w:tcPr>
                      <w:p>
                        <w:pPr>
                          <w:jc w:val="center"/>
                          <w:rPr>
                            <w:b/>
                            <w:bCs/>
                            <w:szCs w:val="24"/>
                          </w:rPr>
                        </w:pPr>
                        <w:r>
                          <w:rPr>
                            <w:b/>
                            <w:bCs/>
                            <w:szCs w:val="24"/>
                          </w:rPr>
                          <w:t>Eil. Nr.</w:t>
                        </w:r>
                      </w:p>
                    </w:tc>
                    <w:tc>
                      <w:tcPr>
                        <w:tcW w:w="1612" w:type="pct"/>
                        <w:vMerge w:val="restart"/>
                        <w:tcMar>
                          <w:top w:w="0" w:type="dxa"/>
                          <w:left w:w="108" w:type="dxa"/>
                          <w:bottom w:w="0" w:type="dxa"/>
                          <w:right w:w="108" w:type="dxa"/>
                        </w:tcMar>
                        <w:vAlign w:val="center"/>
                        <w:hideMark/>
                      </w:tcPr>
                      <w:p>
                        <w:pPr>
                          <w:jc w:val="center"/>
                          <w:rPr>
                            <w:b/>
                            <w:bCs/>
                            <w:szCs w:val="24"/>
                          </w:rPr>
                        </w:pPr>
                        <w:r>
                          <w:rPr>
                            <w:b/>
                            <w:bCs/>
                            <w:szCs w:val="24"/>
                          </w:rPr>
                          <w:t>Paskirtis [15.11]</w:t>
                        </w:r>
                      </w:p>
                    </w:tc>
                    <w:tc>
                      <w:tcPr>
                        <w:tcW w:w="3087" w:type="pct"/>
                        <w:gridSpan w:val="4"/>
                        <w:tcMar>
                          <w:top w:w="0" w:type="dxa"/>
                          <w:left w:w="108" w:type="dxa"/>
                          <w:bottom w:w="0" w:type="dxa"/>
                          <w:right w:w="108" w:type="dxa"/>
                        </w:tcMar>
                        <w:vAlign w:val="center"/>
                        <w:hideMark/>
                      </w:tcPr>
                      <w:p>
                        <w:pPr>
                          <w:jc w:val="both"/>
                          <w:rPr>
                            <w:b/>
                            <w:bCs/>
                            <w:szCs w:val="24"/>
                          </w:rPr>
                        </w:pPr>
                        <w:r>
                          <w:rPr>
                            <w:b/>
                            <w:bCs/>
                            <w:szCs w:val="24"/>
                          </w:rPr>
                          <w:t>Rodikliai, kuriuos viršijus privaloma įrengti SGG sistemas (1 pastaba)</w:t>
                        </w:r>
                      </w:p>
                    </w:tc>
                  </w:tr>
                  <w:tr>
                    <w:trPr>
                      <w:trHeight w:val="690"/>
                    </w:trPr>
                    <w:tc>
                      <w:tcPr>
                        <w:tcW w:w="301" w:type="pct"/>
                        <w:vMerge/>
                        <w:vAlign w:val="center"/>
                        <w:hideMark/>
                      </w:tcPr>
                      <w:p>
                        <w:pPr>
                          <w:jc w:val="center"/>
                          <w:rPr>
                            <w:b/>
                            <w:bCs/>
                            <w:szCs w:val="24"/>
                          </w:rPr>
                        </w:pPr>
                      </w:p>
                    </w:tc>
                    <w:tc>
                      <w:tcPr>
                        <w:tcW w:w="1612" w:type="pct"/>
                        <w:vMerge/>
                        <w:vAlign w:val="center"/>
                        <w:hideMark/>
                      </w:tcPr>
                      <w:p>
                        <w:pPr>
                          <w:jc w:val="center"/>
                          <w:rPr>
                            <w:b/>
                            <w:bCs/>
                            <w:szCs w:val="24"/>
                          </w:rPr>
                        </w:pPr>
                      </w:p>
                    </w:tc>
                    <w:tc>
                      <w:tcPr>
                        <w:tcW w:w="774" w:type="pct"/>
                        <w:tcMar>
                          <w:top w:w="0" w:type="dxa"/>
                          <w:left w:w="108" w:type="dxa"/>
                          <w:bottom w:w="0" w:type="dxa"/>
                          <w:right w:w="108" w:type="dxa"/>
                        </w:tcMar>
                        <w:vAlign w:val="center"/>
                        <w:hideMark/>
                      </w:tcPr>
                      <w:p>
                        <w:pPr>
                          <w:jc w:val="center"/>
                          <w:rPr>
                            <w:b/>
                            <w:bCs/>
                            <w:szCs w:val="24"/>
                          </w:rPr>
                        </w:pPr>
                        <w:r>
                          <w:rPr>
                            <w:b/>
                            <w:bCs/>
                            <w:szCs w:val="24"/>
                          </w:rPr>
                          <w:t>plotas</w:t>
                        </w:r>
                      </w:p>
                      <w:p>
                        <w:pPr>
                          <w:jc w:val="center"/>
                          <w:rPr>
                            <w:b/>
                            <w:bCs/>
                            <w:szCs w:val="24"/>
                          </w:rPr>
                        </w:pPr>
                        <w:r>
                          <w:rPr>
                            <w:b/>
                            <w:bCs/>
                            <w:szCs w:val="24"/>
                          </w:rPr>
                          <w:t>(kv. m)</w:t>
                        </w:r>
                      </w:p>
                      <w:p>
                        <w:pPr>
                          <w:jc w:val="center"/>
                          <w:rPr>
                            <w:b/>
                            <w:bCs/>
                            <w:szCs w:val="24"/>
                          </w:rPr>
                        </w:pPr>
                        <w:r>
                          <w:rPr>
                            <w:b/>
                            <w:bCs/>
                            <w:szCs w:val="24"/>
                          </w:rPr>
                          <w:t>(2 pastaba)</w:t>
                        </w:r>
                      </w:p>
                    </w:tc>
                    <w:tc>
                      <w:tcPr>
                        <w:tcW w:w="536" w:type="pct"/>
                        <w:tcMar>
                          <w:top w:w="0" w:type="dxa"/>
                          <w:left w:w="108" w:type="dxa"/>
                          <w:bottom w:w="0" w:type="dxa"/>
                          <w:right w:w="108" w:type="dxa"/>
                        </w:tcMar>
                        <w:vAlign w:val="center"/>
                        <w:hideMark/>
                      </w:tcPr>
                      <w:p>
                        <w:pPr>
                          <w:jc w:val="center"/>
                          <w:rPr>
                            <w:b/>
                            <w:bCs/>
                            <w:szCs w:val="24"/>
                          </w:rPr>
                        </w:pPr>
                        <w:r>
                          <w:rPr>
                            <w:b/>
                            <w:bCs/>
                            <w:szCs w:val="24"/>
                          </w:rPr>
                          <w:t>ilgis (m)</w:t>
                        </w:r>
                      </w:p>
                    </w:tc>
                    <w:tc>
                      <w:tcPr>
                        <w:tcW w:w="561" w:type="pct"/>
                        <w:tcMar>
                          <w:top w:w="0" w:type="dxa"/>
                          <w:left w:w="108" w:type="dxa"/>
                          <w:bottom w:w="0" w:type="dxa"/>
                          <w:right w:w="108" w:type="dxa"/>
                        </w:tcMar>
                        <w:vAlign w:val="center"/>
                        <w:hideMark/>
                      </w:tcPr>
                      <w:p>
                        <w:pPr>
                          <w:jc w:val="center"/>
                          <w:rPr>
                            <w:b/>
                            <w:bCs/>
                            <w:szCs w:val="24"/>
                          </w:rPr>
                        </w:pPr>
                        <w:r>
                          <w:rPr>
                            <w:b/>
                            <w:bCs/>
                            <w:szCs w:val="24"/>
                          </w:rPr>
                          <w:t>tūris (kub. m)</w:t>
                        </w:r>
                      </w:p>
                    </w:tc>
                    <w:tc>
                      <w:tcPr>
                        <w:tcW w:w="1216" w:type="pct"/>
                        <w:tcMar>
                          <w:top w:w="0" w:type="dxa"/>
                          <w:left w:w="108" w:type="dxa"/>
                          <w:bottom w:w="0" w:type="dxa"/>
                          <w:right w:w="108" w:type="dxa"/>
                        </w:tcMar>
                        <w:vAlign w:val="center"/>
                        <w:hideMark/>
                      </w:tcPr>
                      <w:p>
                        <w:pPr>
                          <w:jc w:val="center"/>
                          <w:rPr>
                            <w:b/>
                            <w:bCs/>
                            <w:szCs w:val="24"/>
                          </w:rPr>
                        </w:pPr>
                        <w:r>
                          <w:rPr>
                            <w:b/>
                            <w:bCs/>
                            <w:szCs w:val="24"/>
                          </w:rPr>
                          <w:t>kiti rodikliai</w:t>
                        </w:r>
                      </w:p>
                    </w:tc>
                  </w:tr>
                  <w:tr>
                    <w:trPr>
                      <w:trHeight w:val="315"/>
                    </w:trPr>
                    <w:tc>
                      <w:tcPr>
                        <w:tcW w:w="5000" w:type="pct"/>
                        <w:gridSpan w:val="6"/>
                        <w:tcBorders>
                          <w:bottom w:val="single" w:sz="8" w:space="0" w:color="auto"/>
                        </w:tcBorders>
                        <w:tcMar>
                          <w:top w:w="0" w:type="dxa"/>
                          <w:left w:w="108" w:type="dxa"/>
                          <w:bottom w:w="0" w:type="dxa"/>
                          <w:right w:w="108" w:type="dxa"/>
                        </w:tcMar>
                        <w:vAlign w:val="center"/>
                        <w:hideMark/>
                      </w:tcPr>
                      <w:p>
                        <w:pPr>
                          <w:jc w:val="center"/>
                          <w:rPr>
                            <w:strike/>
                            <w:szCs w:val="24"/>
                          </w:rPr>
                        </w:pPr>
                        <w:r>
                          <w:rPr>
                            <w:szCs w:val="24"/>
                          </w:rPr>
                          <w:t>Susisiekimo komunikacijų statiniai</w:t>
                        </w:r>
                      </w:p>
                    </w:tc>
                  </w:tr>
                  <w:tr>
                    <w:trPr>
                      <w:trHeight w:val="676"/>
                    </w:trPr>
                    <w:tc>
                      <w:tcPr>
                        <w:tcW w:w="301" w:type="pct"/>
                        <w:tcBorders>
                          <w:bottom w:val="single" w:sz="4" w:space="0" w:color="auto"/>
                        </w:tcBorders>
                        <w:tcMar>
                          <w:top w:w="0" w:type="dxa"/>
                          <w:left w:w="108" w:type="dxa"/>
                          <w:bottom w:w="0" w:type="dxa"/>
                          <w:right w:w="108" w:type="dxa"/>
                        </w:tcMar>
                        <w:vAlign w:val="center"/>
                        <w:hideMark/>
                      </w:tcPr>
                      <w:p>
                        <w:pPr>
                          <w:jc w:val="center"/>
                          <w:rPr>
                            <w:strike/>
                            <w:szCs w:val="24"/>
                          </w:rPr>
                        </w:pPr>
                        <w:r>
                          <w:rPr>
                            <w:szCs w:val="24"/>
                          </w:rPr>
                          <w:t>1.</w:t>
                        </w:r>
                      </w:p>
                    </w:tc>
                    <w:tc>
                      <w:tcPr>
                        <w:tcW w:w="1612" w:type="pct"/>
                        <w:tcBorders>
                          <w:bottom w:val="single" w:sz="4" w:space="0" w:color="auto"/>
                        </w:tcBorders>
                        <w:tcMar>
                          <w:top w:w="0" w:type="dxa"/>
                          <w:left w:w="108" w:type="dxa"/>
                          <w:bottom w:w="0" w:type="dxa"/>
                          <w:right w:w="108" w:type="dxa"/>
                        </w:tcMar>
                        <w:vAlign w:val="center"/>
                        <w:hideMark/>
                      </w:tcPr>
                      <w:p>
                        <w:pPr>
                          <w:jc w:val="center"/>
                          <w:rPr>
                            <w:szCs w:val="24"/>
                          </w:rPr>
                        </w:pPr>
                        <w:r>
                          <w:rPr>
                            <w:szCs w:val="24"/>
                          </w:rPr>
                          <w:t>Kelių</w:t>
                        </w:r>
                      </w:p>
                    </w:tc>
                    <w:tc>
                      <w:tcPr>
                        <w:tcW w:w="774" w:type="pct"/>
                        <w:tcBorders>
                          <w:bottom w:val="single" w:sz="4" w:space="0" w:color="auto"/>
                        </w:tcBorders>
                        <w:noWrap/>
                        <w:tcMar>
                          <w:top w:w="0" w:type="dxa"/>
                          <w:left w:w="108" w:type="dxa"/>
                          <w:bottom w:w="0" w:type="dxa"/>
                          <w:right w:w="108" w:type="dxa"/>
                        </w:tcMar>
                        <w:vAlign w:val="center"/>
                        <w:hideMark/>
                      </w:tcPr>
                      <w:p>
                        <w:pPr>
                          <w:jc w:val="both"/>
                          <w:rPr>
                            <w:szCs w:val="24"/>
                          </w:rPr>
                        </w:pPr>
                      </w:p>
                    </w:tc>
                    <w:tc>
                      <w:tcPr>
                        <w:tcW w:w="536" w:type="pct"/>
                        <w:tcBorders>
                          <w:bottom w:val="single" w:sz="4" w:space="0" w:color="auto"/>
                        </w:tcBorders>
                        <w:noWrap/>
                        <w:tcMar>
                          <w:top w:w="0" w:type="dxa"/>
                          <w:left w:w="108" w:type="dxa"/>
                          <w:bottom w:w="0" w:type="dxa"/>
                          <w:right w:w="108" w:type="dxa"/>
                        </w:tcMar>
                        <w:vAlign w:val="center"/>
                        <w:hideMark/>
                      </w:tcPr>
                      <w:p>
                        <w:pPr>
                          <w:jc w:val="center"/>
                          <w:rPr>
                            <w:szCs w:val="24"/>
                          </w:rPr>
                        </w:pPr>
                        <w:r>
                          <w:rPr>
                            <w:szCs w:val="24"/>
                          </w:rPr>
                          <w:t>≥ 1 000</w:t>
                        </w:r>
                      </w:p>
                    </w:tc>
                    <w:tc>
                      <w:tcPr>
                        <w:tcW w:w="561" w:type="pct"/>
                        <w:tcBorders>
                          <w:bottom w:val="single" w:sz="4" w:space="0" w:color="auto"/>
                        </w:tcBorders>
                        <w:noWrap/>
                        <w:tcMar>
                          <w:top w:w="0" w:type="dxa"/>
                          <w:left w:w="108" w:type="dxa"/>
                          <w:bottom w:w="0" w:type="dxa"/>
                          <w:right w:w="108" w:type="dxa"/>
                        </w:tcMar>
                        <w:vAlign w:val="center"/>
                        <w:hideMark/>
                      </w:tcPr>
                      <w:p>
                        <w:pPr>
                          <w:jc w:val="both"/>
                          <w:rPr>
                            <w:szCs w:val="24"/>
                          </w:rPr>
                        </w:pPr>
                      </w:p>
                    </w:tc>
                    <w:tc>
                      <w:tcPr>
                        <w:tcW w:w="1216" w:type="pct"/>
                        <w:tcBorders>
                          <w:bottom w:val="single" w:sz="4" w:space="0" w:color="auto"/>
                        </w:tcBorders>
                        <w:tcMar>
                          <w:top w:w="0" w:type="dxa"/>
                          <w:left w:w="108" w:type="dxa"/>
                          <w:bottom w:w="0" w:type="dxa"/>
                          <w:right w:w="108" w:type="dxa"/>
                        </w:tcMar>
                        <w:vAlign w:val="center"/>
                        <w:hideMark/>
                      </w:tcPr>
                      <w:p>
                        <w:pPr>
                          <w:jc w:val="both"/>
                          <w:rPr>
                            <w:szCs w:val="24"/>
                          </w:rPr>
                        </w:pPr>
                        <w:r>
                          <w:rPr>
                            <w:szCs w:val="24"/>
                          </w:rPr>
                          <w:t>tuneliuose</w:t>
                        </w:r>
                      </w:p>
                    </w:tc>
                  </w:tr>
                  <w:tr>
                    <w:trPr>
                      <w:trHeight w:val="558"/>
                    </w:trPr>
                    <w:tc>
                      <w:tcPr>
                        <w:tcW w:w="301" w:type="pct"/>
                        <w:tcBorders>
                          <w:top w:val="single" w:sz="4" w:space="0" w:color="auto"/>
                          <w:bottom w:val="single" w:sz="4" w:space="0" w:color="auto"/>
                        </w:tcBorders>
                        <w:tcMar>
                          <w:top w:w="0" w:type="dxa"/>
                          <w:left w:w="108" w:type="dxa"/>
                          <w:bottom w:w="0" w:type="dxa"/>
                          <w:right w:w="108" w:type="dxa"/>
                        </w:tcMar>
                        <w:vAlign w:val="center"/>
                        <w:hideMark/>
                      </w:tcPr>
                      <w:p>
                        <w:pPr>
                          <w:jc w:val="center"/>
                          <w:rPr>
                            <w:strike/>
                            <w:szCs w:val="24"/>
                          </w:rPr>
                        </w:pPr>
                        <w:r>
                          <w:rPr>
                            <w:szCs w:val="24"/>
                          </w:rPr>
                          <w:t>2.</w:t>
                        </w:r>
                      </w:p>
                    </w:tc>
                    <w:tc>
                      <w:tcPr>
                        <w:tcW w:w="1612" w:type="pct"/>
                        <w:tcBorders>
                          <w:top w:val="single" w:sz="4" w:space="0" w:color="auto"/>
                          <w:bottom w:val="single" w:sz="4" w:space="0" w:color="auto"/>
                        </w:tcBorders>
                        <w:tcMar>
                          <w:top w:w="0" w:type="dxa"/>
                          <w:left w:w="108" w:type="dxa"/>
                          <w:bottom w:w="0" w:type="dxa"/>
                          <w:right w:w="108" w:type="dxa"/>
                        </w:tcMar>
                        <w:vAlign w:val="center"/>
                        <w:hideMark/>
                      </w:tcPr>
                      <w:p>
                        <w:pPr>
                          <w:jc w:val="center"/>
                          <w:rPr>
                            <w:szCs w:val="24"/>
                          </w:rPr>
                        </w:pPr>
                        <w:r>
                          <w:rPr>
                            <w:szCs w:val="24"/>
                          </w:rPr>
                          <w:t>Geležinkelių</w:t>
                        </w:r>
                      </w:p>
                    </w:tc>
                    <w:tc>
                      <w:tcPr>
                        <w:tcW w:w="774" w:type="pct"/>
                        <w:tcBorders>
                          <w:top w:val="single" w:sz="4" w:space="0" w:color="auto"/>
                          <w:bottom w:val="single" w:sz="4" w:space="0" w:color="auto"/>
                        </w:tcBorders>
                        <w:noWrap/>
                        <w:tcMar>
                          <w:top w:w="0" w:type="dxa"/>
                          <w:left w:w="108" w:type="dxa"/>
                          <w:bottom w:w="0" w:type="dxa"/>
                          <w:right w:w="108" w:type="dxa"/>
                        </w:tcMar>
                        <w:vAlign w:val="center"/>
                        <w:hideMark/>
                      </w:tcPr>
                      <w:p>
                        <w:pPr>
                          <w:jc w:val="both"/>
                          <w:rPr>
                            <w:szCs w:val="24"/>
                          </w:rPr>
                        </w:pPr>
                      </w:p>
                    </w:tc>
                    <w:tc>
                      <w:tcPr>
                        <w:tcW w:w="536" w:type="pct"/>
                        <w:tcBorders>
                          <w:top w:val="single" w:sz="4" w:space="0" w:color="auto"/>
                          <w:bottom w:val="single" w:sz="4" w:space="0" w:color="auto"/>
                        </w:tcBorders>
                        <w:noWrap/>
                        <w:tcMar>
                          <w:top w:w="0" w:type="dxa"/>
                          <w:left w:w="108" w:type="dxa"/>
                          <w:bottom w:w="0" w:type="dxa"/>
                          <w:right w:w="108" w:type="dxa"/>
                        </w:tcMar>
                        <w:vAlign w:val="center"/>
                        <w:hideMark/>
                      </w:tcPr>
                      <w:p>
                        <w:pPr>
                          <w:jc w:val="center"/>
                          <w:rPr>
                            <w:szCs w:val="24"/>
                          </w:rPr>
                        </w:pPr>
                        <w:r>
                          <w:rPr>
                            <w:szCs w:val="24"/>
                          </w:rPr>
                          <w:t>≥ 1 000</w:t>
                        </w:r>
                      </w:p>
                    </w:tc>
                    <w:tc>
                      <w:tcPr>
                        <w:tcW w:w="561" w:type="pct"/>
                        <w:tcBorders>
                          <w:top w:val="single" w:sz="4" w:space="0" w:color="auto"/>
                          <w:bottom w:val="single" w:sz="4" w:space="0" w:color="auto"/>
                        </w:tcBorders>
                        <w:noWrap/>
                        <w:tcMar>
                          <w:top w:w="0" w:type="dxa"/>
                          <w:left w:w="108" w:type="dxa"/>
                          <w:bottom w:w="0" w:type="dxa"/>
                          <w:right w:w="108" w:type="dxa"/>
                        </w:tcMar>
                        <w:vAlign w:val="center"/>
                        <w:hideMark/>
                      </w:tcPr>
                      <w:p>
                        <w:pPr>
                          <w:jc w:val="both"/>
                          <w:rPr>
                            <w:szCs w:val="24"/>
                          </w:rPr>
                        </w:pPr>
                      </w:p>
                    </w:tc>
                    <w:tc>
                      <w:tcPr>
                        <w:tcW w:w="1216" w:type="pct"/>
                        <w:tcBorders>
                          <w:top w:val="single" w:sz="4" w:space="0" w:color="auto"/>
                          <w:bottom w:val="single" w:sz="4" w:space="0" w:color="auto"/>
                        </w:tcBorders>
                        <w:tcMar>
                          <w:top w:w="0" w:type="dxa"/>
                          <w:left w:w="108" w:type="dxa"/>
                          <w:bottom w:w="0" w:type="dxa"/>
                          <w:right w:w="108" w:type="dxa"/>
                        </w:tcMar>
                        <w:vAlign w:val="center"/>
                        <w:hideMark/>
                      </w:tcPr>
                      <w:p>
                        <w:pPr>
                          <w:jc w:val="both"/>
                          <w:rPr>
                            <w:szCs w:val="24"/>
                          </w:rPr>
                        </w:pPr>
                        <w:r>
                          <w:rPr>
                            <w:szCs w:val="24"/>
                          </w:rPr>
                          <w:t>tuneliuose</w:t>
                        </w:r>
                      </w:p>
                    </w:tc>
                  </w:tr>
                  <w:tr>
                    <w:trPr>
                      <w:trHeight w:val="315"/>
                    </w:trPr>
                    <w:tc>
                      <w:tcPr>
                        <w:tcW w:w="5000" w:type="pct"/>
                        <w:gridSpan w:val="6"/>
                        <w:tcBorders>
                          <w:top w:val="single" w:sz="4" w:space="0" w:color="auto"/>
                        </w:tcBorders>
                        <w:tcMar>
                          <w:top w:w="0" w:type="dxa"/>
                          <w:left w:w="108" w:type="dxa"/>
                          <w:bottom w:w="0" w:type="dxa"/>
                          <w:right w:w="108" w:type="dxa"/>
                        </w:tcMar>
                        <w:vAlign w:val="center"/>
                        <w:hideMark/>
                      </w:tcPr>
                      <w:p>
                        <w:pPr>
                          <w:jc w:val="center"/>
                          <w:rPr>
                            <w:szCs w:val="24"/>
                          </w:rPr>
                        </w:pPr>
                        <w:r>
                          <w:rPr>
                            <w:szCs w:val="24"/>
                          </w:rPr>
                          <w:t>Inžineriniai tinklai</w:t>
                        </w:r>
                      </w:p>
                    </w:tc>
                  </w:tr>
                  <w:tr>
                    <w:trPr>
                      <w:trHeight w:val="942"/>
                    </w:trPr>
                    <w:tc>
                      <w:tcPr>
                        <w:tcW w:w="301" w:type="pct"/>
                        <w:vMerge w:val="restart"/>
                        <w:tcMar>
                          <w:top w:w="0" w:type="dxa"/>
                          <w:left w:w="108" w:type="dxa"/>
                          <w:bottom w:w="0" w:type="dxa"/>
                          <w:right w:w="108" w:type="dxa"/>
                        </w:tcMar>
                        <w:vAlign w:val="center"/>
                        <w:hideMark/>
                      </w:tcPr>
                      <w:p>
                        <w:pPr>
                          <w:jc w:val="center"/>
                          <w:rPr>
                            <w:strike/>
                            <w:szCs w:val="24"/>
                          </w:rPr>
                        </w:pPr>
                        <w:r>
                          <w:rPr>
                            <w:szCs w:val="24"/>
                          </w:rPr>
                          <w:t xml:space="preserve">3. </w:t>
                        </w:r>
                      </w:p>
                    </w:tc>
                    <w:tc>
                      <w:tcPr>
                        <w:tcW w:w="1612" w:type="pct"/>
                        <w:vMerge w:val="restart"/>
                        <w:tcMar>
                          <w:top w:w="0" w:type="dxa"/>
                          <w:left w:w="108" w:type="dxa"/>
                          <w:bottom w:w="0" w:type="dxa"/>
                          <w:right w:w="108" w:type="dxa"/>
                        </w:tcMar>
                        <w:vAlign w:val="center"/>
                        <w:hideMark/>
                      </w:tcPr>
                      <w:p>
                        <w:pPr>
                          <w:jc w:val="center"/>
                          <w:rPr>
                            <w:szCs w:val="24"/>
                          </w:rPr>
                        </w:pPr>
                        <w:r>
                          <w:rPr>
                            <w:szCs w:val="24"/>
                          </w:rPr>
                          <w:t>Naftos tinklų</w:t>
                        </w:r>
                      </w:p>
                    </w:tc>
                    <w:tc>
                      <w:tcPr>
                        <w:tcW w:w="774" w:type="pct"/>
                        <w:tcMar>
                          <w:top w:w="0" w:type="dxa"/>
                          <w:left w:w="108" w:type="dxa"/>
                          <w:bottom w:w="0" w:type="dxa"/>
                          <w:right w:w="108" w:type="dxa"/>
                        </w:tcMar>
                        <w:vAlign w:val="center"/>
                        <w:hideMark/>
                      </w:tcPr>
                      <w:p>
                        <w:pPr>
                          <w:jc w:val="both"/>
                          <w:rPr>
                            <w:szCs w:val="24"/>
                          </w:rPr>
                        </w:pPr>
                      </w:p>
                    </w:tc>
                    <w:tc>
                      <w:tcPr>
                        <w:tcW w:w="536" w:type="pct"/>
                        <w:tcMar>
                          <w:top w:w="0" w:type="dxa"/>
                          <w:left w:w="108" w:type="dxa"/>
                          <w:bottom w:w="0" w:type="dxa"/>
                          <w:right w:w="108" w:type="dxa"/>
                        </w:tcMar>
                        <w:vAlign w:val="center"/>
                        <w:hideMark/>
                      </w:tcPr>
                      <w:p>
                        <w:pPr>
                          <w:jc w:val="both"/>
                          <w:rPr>
                            <w:szCs w:val="24"/>
                          </w:rPr>
                        </w:pPr>
                      </w:p>
                    </w:tc>
                    <w:tc>
                      <w:tcPr>
                        <w:tcW w:w="561" w:type="pct"/>
                        <w:tcMar>
                          <w:top w:w="0" w:type="dxa"/>
                          <w:left w:w="108" w:type="dxa"/>
                          <w:bottom w:w="0" w:type="dxa"/>
                          <w:right w:w="108" w:type="dxa"/>
                        </w:tcMar>
                        <w:vAlign w:val="center"/>
                        <w:hideMark/>
                      </w:tcPr>
                      <w:p>
                        <w:pPr>
                          <w:jc w:val="both"/>
                          <w:rPr>
                            <w:szCs w:val="24"/>
                          </w:rPr>
                        </w:pPr>
                        <w:r>
                          <w:rPr>
                            <w:szCs w:val="24"/>
                          </w:rPr>
                          <w:t>≥ 20 000</w:t>
                        </w:r>
                      </w:p>
                    </w:tc>
                    <w:tc>
                      <w:tcPr>
                        <w:tcW w:w="1216" w:type="pct"/>
                        <w:tcMar>
                          <w:top w:w="0" w:type="dxa"/>
                          <w:left w:w="108" w:type="dxa"/>
                          <w:bottom w:w="0" w:type="dxa"/>
                          <w:right w:w="108" w:type="dxa"/>
                        </w:tcMar>
                        <w:vAlign w:val="center"/>
                        <w:hideMark/>
                      </w:tcPr>
                      <w:p>
                        <w:pPr>
                          <w:jc w:val="both"/>
                          <w:rPr>
                            <w:szCs w:val="24"/>
                          </w:rPr>
                        </w:pPr>
                        <w:r>
                          <w:rPr>
                            <w:szCs w:val="24"/>
                          </w:rPr>
                          <w:t>antžeminiuose rezervuaruose, kai juose laikomų skysčių pliūpsnio temperatūra 120 °C ir didesnė</w:t>
                        </w:r>
                      </w:p>
                    </w:tc>
                  </w:tr>
                  <w:tr>
                    <w:trPr>
                      <w:trHeight w:val="998"/>
                    </w:trPr>
                    <w:tc>
                      <w:tcPr>
                        <w:tcW w:w="301" w:type="pct"/>
                        <w:vMerge/>
                        <w:vAlign w:val="center"/>
                        <w:hideMark/>
                      </w:tcPr>
                      <w:p>
                        <w:pPr>
                          <w:jc w:val="center"/>
                          <w:rPr>
                            <w:szCs w:val="24"/>
                          </w:rPr>
                        </w:pPr>
                      </w:p>
                    </w:tc>
                    <w:tc>
                      <w:tcPr>
                        <w:tcW w:w="1612" w:type="pct"/>
                        <w:vMerge/>
                        <w:vAlign w:val="center"/>
                        <w:hideMark/>
                      </w:tcPr>
                      <w:p>
                        <w:pPr>
                          <w:jc w:val="center"/>
                          <w:rPr>
                            <w:szCs w:val="24"/>
                          </w:rPr>
                        </w:pPr>
                      </w:p>
                    </w:tc>
                    <w:tc>
                      <w:tcPr>
                        <w:tcW w:w="774" w:type="pct"/>
                        <w:tcMar>
                          <w:top w:w="0" w:type="dxa"/>
                          <w:left w:w="108" w:type="dxa"/>
                          <w:bottom w:w="0" w:type="dxa"/>
                          <w:right w:w="108" w:type="dxa"/>
                        </w:tcMar>
                        <w:vAlign w:val="center"/>
                        <w:hideMark/>
                      </w:tcPr>
                      <w:p>
                        <w:pPr>
                          <w:jc w:val="both"/>
                          <w:rPr>
                            <w:szCs w:val="24"/>
                          </w:rPr>
                        </w:pPr>
                      </w:p>
                    </w:tc>
                    <w:tc>
                      <w:tcPr>
                        <w:tcW w:w="536" w:type="pct"/>
                        <w:tcMar>
                          <w:top w:w="0" w:type="dxa"/>
                          <w:left w:w="108" w:type="dxa"/>
                          <w:bottom w:w="0" w:type="dxa"/>
                          <w:right w:w="108" w:type="dxa"/>
                        </w:tcMar>
                        <w:vAlign w:val="center"/>
                        <w:hideMark/>
                      </w:tcPr>
                      <w:p>
                        <w:pPr>
                          <w:jc w:val="both"/>
                          <w:rPr>
                            <w:szCs w:val="24"/>
                          </w:rPr>
                        </w:pPr>
                      </w:p>
                    </w:tc>
                    <w:tc>
                      <w:tcPr>
                        <w:tcW w:w="561" w:type="pct"/>
                        <w:tcMar>
                          <w:top w:w="0" w:type="dxa"/>
                          <w:left w:w="108" w:type="dxa"/>
                          <w:bottom w:w="0" w:type="dxa"/>
                          <w:right w:w="108" w:type="dxa"/>
                        </w:tcMar>
                        <w:vAlign w:val="center"/>
                        <w:hideMark/>
                      </w:tcPr>
                      <w:p>
                        <w:pPr>
                          <w:jc w:val="both"/>
                          <w:rPr>
                            <w:szCs w:val="24"/>
                          </w:rPr>
                        </w:pPr>
                        <w:r>
                          <w:rPr>
                            <w:szCs w:val="24"/>
                          </w:rPr>
                          <w:t>≥ 10 000</w:t>
                        </w:r>
                      </w:p>
                    </w:tc>
                    <w:tc>
                      <w:tcPr>
                        <w:tcW w:w="1216" w:type="pct"/>
                        <w:tcMar>
                          <w:top w:w="0" w:type="dxa"/>
                          <w:left w:w="108" w:type="dxa"/>
                          <w:bottom w:w="0" w:type="dxa"/>
                          <w:right w:w="108" w:type="dxa"/>
                        </w:tcMar>
                        <w:vAlign w:val="center"/>
                        <w:hideMark/>
                      </w:tcPr>
                      <w:p>
                        <w:pPr>
                          <w:jc w:val="both"/>
                          <w:rPr>
                            <w:szCs w:val="24"/>
                          </w:rPr>
                        </w:pPr>
                        <w:r>
                          <w:rPr>
                            <w:szCs w:val="24"/>
                          </w:rPr>
                          <w:t>antžeminiuose rezervuaruose, kai juose laikomų skysčių pliūpsnio temperatūra iki 120 °C</w:t>
                        </w:r>
                      </w:p>
                    </w:tc>
                  </w:tr>
                  <w:tr>
                    <w:trPr>
                      <w:trHeight w:val="630"/>
                    </w:trPr>
                    <w:tc>
                      <w:tcPr>
                        <w:tcW w:w="301" w:type="pct"/>
                        <w:vMerge/>
                        <w:vAlign w:val="center"/>
                        <w:hideMark/>
                      </w:tcPr>
                      <w:p>
                        <w:pPr>
                          <w:jc w:val="center"/>
                          <w:rPr>
                            <w:szCs w:val="24"/>
                          </w:rPr>
                        </w:pPr>
                      </w:p>
                    </w:tc>
                    <w:tc>
                      <w:tcPr>
                        <w:tcW w:w="1612" w:type="pct"/>
                        <w:vMerge/>
                        <w:vAlign w:val="center"/>
                        <w:hideMark/>
                      </w:tcPr>
                      <w:p>
                        <w:pPr>
                          <w:jc w:val="center"/>
                          <w:rPr>
                            <w:szCs w:val="24"/>
                          </w:rPr>
                        </w:pPr>
                      </w:p>
                    </w:tc>
                    <w:tc>
                      <w:tcPr>
                        <w:tcW w:w="774" w:type="pct"/>
                        <w:noWrap/>
                        <w:tcMar>
                          <w:top w:w="0" w:type="dxa"/>
                          <w:left w:w="108" w:type="dxa"/>
                          <w:bottom w:w="0" w:type="dxa"/>
                          <w:right w:w="108" w:type="dxa"/>
                        </w:tcMar>
                        <w:vAlign w:val="center"/>
                        <w:hideMark/>
                      </w:tcPr>
                      <w:p>
                        <w:pPr>
                          <w:jc w:val="center"/>
                          <w:rPr>
                            <w:szCs w:val="24"/>
                          </w:rPr>
                        </w:pPr>
                        <w:r>
                          <w:rPr>
                            <w:szCs w:val="24"/>
                          </w:rPr>
                          <w:t>≥ 100</w:t>
                        </w:r>
                      </w:p>
                    </w:tc>
                    <w:tc>
                      <w:tcPr>
                        <w:tcW w:w="536" w:type="pct"/>
                        <w:tcMar>
                          <w:top w:w="0" w:type="dxa"/>
                          <w:left w:w="108" w:type="dxa"/>
                          <w:bottom w:w="0" w:type="dxa"/>
                          <w:right w:w="108" w:type="dxa"/>
                        </w:tcMar>
                        <w:vAlign w:val="center"/>
                        <w:hideMark/>
                      </w:tcPr>
                      <w:p>
                        <w:pPr>
                          <w:jc w:val="both"/>
                          <w:rPr>
                            <w:szCs w:val="24"/>
                          </w:rPr>
                        </w:pPr>
                      </w:p>
                    </w:tc>
                    <w:tc>
                      <w:tcPr>
                        <w:tcW w:w="561" w:type="pct"/>
                        <w:tcMar>
                          <w:top w:w="0" w:type="dxa"/>
                          <w:left w:w="108" w:type="dxa"/>
                          <w:bottom w:w="0" w:type="dxa"/>
                          <w:right w:w="108" w:type="dxa"/>
                        </w:tcMar>
                        <w:vAlign w:val="center"/>
                        <w:hideMark/>
                      </w:tcPr>
                      <w:p>
                        <w:pPr>
                          <w:jc w:val="both"/>
                          <w:rPr>
                            <w:szCs w:val="24"/>
                          </w:rPr>
                        </w:pPr>
                      </w:p>
                    </w:tc>
                    <w:tc>
                      <w:tcPr>
                        <w:tcW w:w="1216" w:type="pct"/>
                        <w:tcMar>
                          <w:top w:w="0" w:type="dxa"/>
                          <w:left w:w="108" w:type="dxa"/>
                          <w:bottom w:w="0" w:type="dxa"/>
                          <w:right w:w="108" w:type="dxa"/>
                        </w:tcMar>
                        <w:vAlign w:val="center"/>
                        <w:hideMark/>
                      </w:tcPr>
                      <w:p>
                        <w:pPr>
                          <w:jc w:val="both"/>
                          <w:rPr>
                            <w:szCs w:val="24"/>
                          </w:rPr>
                        </w:pPr>
                        <w:r>
                          <w:rPr>
                            <w:szCs w:val="24"/>
                          </w:rPr>
                          <w:t>ypač degių ir labai degių skysčių siurblinėse</w:t>
                        </w:r>
                      </w:p>
                    </w:tc>
                  </w:tr>
                  <w:tr>
                    <w:trPr>
                      <w:trHeight w:val="630"/>
                    </w:trPr>
                    <w:tc>
                      <w:tcPr>
                        <w:tcW w:w="301" w:type="pct"/>
                        <w:vMerge w:val="restart"/>
                        <w:vAlign w:val="center"/>
                        <w:hideMark/>
                      </w:tcPr>
                      <w:p>
                        <w:pPr>
                          <w:jc w:val="center"/>
                          <w:rPr>
                            <w:strike/>
                            <w:szCs w:val="24"/>
                          </w:rPr>
                        </w:pPr>
                        <w:r>
                          <w:rPr>
                            <w:szCs w:val="24"/>
                          </w:rPr>
                          <w:t>4.</w:t>
                        </w:r>
                      </w:p>
                    </w:tc>
                    <w:tc>
                      <w:tcPr>
                        <w:tcW w:w="1612" w:type="pct"/>
                        <w:vMerge w:val="restart"/>
                        <w:vAlign w:val="center"/>
                        <w:hideMark/>
                      </w:tcPr>
                      <w:p>
                        <w:pPr>
                          <w:jc w:val="center"/>
                          <w:rPr>
                            <w:szCs w:val="24"/>
                          </w:rPr>
                        </w:pPr>
                        <w:r>
                          <w:rPr>
                            <w:szCs w:val="24"/>
                          </w:rPr>
                          <w:t>Elektros tinklų</w:t>
                        </w:r>
                      </w:p>
                    </w:tc>
                    <w:tc>
                      <w:tcPr>
                        <w:tcW w:w="774" w:type="pct"/>
                        <w:noWrap/>
                        <w:tcMar>
                          <w:top w:w="0" w:type="dxa"/>
                          <w:left w:w="108" w:type="dxa"/>
                          <w:bottom w:w="0" w:type="dxa"/>
                          <w:right w:w="108" w:type="dxa"/>
                        </w:tcMar>
                        <w:vAlign w:val="center"/>
                      </w:tcPr>
                      <w:p>
                        <w:pPr>
                          <w:jc w:val="both"/>
                          <w:rPr>
                            <w:szCs w:val="24"/>
                          </w:rPr>
                        </w:pPr>
                      </w:p>
                    </w:tc>
                    <w:tc>
                      <w:tcPr>
                        <w:tcW w:w="536" w:type="pct"/>
                        <w:tcMar>
                          <w:top w:w="0" w:type="dxa"/>
                          <w:left w:w="108" w:type="dxa"/>
                          <w:bottom w:w="0" w:type="dxa"/>
                          <w:right w:w="108" w:type="dxa"/>
                        </w:tcMar>
                        <w:vAlign w:val="center"/>
                      </w:tcPr>
                      <w:p>
                        <w:pPr>
                          <w:jc w:val="both"/>
                          <w:rPr>
                            <w:szCs w:val="24"/>
                          </w:rPr>
                        </w:pPr>
                      </w:p>
                    </w:tc>
                    <w:tc>
                      <w:tcPr>
                        <w:tcW w:w="561" w:type="pct"/>
                        <w:tcMar>
                          <w:top w:w="0" w:type="dxa"/>
                          <w:left w:w="108" w:type="dxa"/>
                          <w:bottom w:w="0" w:type="dxa"/>
                          <w:right w:w="108" w:type="dxa"/>
                        </w:tcMar>
                        <w:vAlign w:val="center"/>
                      </w:tcPr>
                      <w:p>
                        <w:pPr>
                          <w:jc w:val="both"/>
                          <w:rPr>
                            <w:szCs w:val="24"/>
                          </w:rPr>
                        </w:pPr>
                      </w:p>
                    </w:tc>
                    <w:tc>
                      <w:tcPr>
                        <w:tcW w:w="1216" w:type="pct"/>
                        <w:tcMar>
                          <w:top w:w="0" w:type="dxa"/>
                          <w:left w:w="108" w:type="dxa"/>
                          <w:bottom w:w="0" w:type="dxa"/>
                          <w:right w:w="108" w:type="dxa"/>
                        </w:tcMar>
                        <w:vAlign w:val="center"/>
                        <w:hideMark/>
                      </w:tcPr>
                      <w:p>
                        <w:pPr>
                          <w:jc w:val="both"/>
                          <w:rPr>
                            <w:szCs w:val="24"/>
                          </w:rPr>
                        </w:pPr>
                        <w:r>
                          <w:rPr>
                            <w:szCs w:val="24"/>
                          </w:rPr>
                          <w:t xml:space="preserve">vertikaliose kabelių šachtose, kuriose tiesiami aukštesnės kaip 1 000 V įtampos kabeliai ir gaisro apkrova viršija </w:t>
                          <w:br/>
                          <w:t>1 200 MJ/kv. m</w:t>
                        </w:r>
                      </w:p>
                    </w:tc>
                  </w:tr>
                  <w:tr>
                    <w:trPr>
                      <w:trHeight w:val="630"/>
                    </w:trPr>
                    <w:tc>
                      <w:tcPr>
                        <w:tcW w:w="301" w:type="pct"/>
                        <w:vMerge/>
                        <w:vAlign w:val="center"/>
                        <w:hideMark/>
                      </w:tcPr>
                      <w:p>
                        <w:pPr>
                          <w:jc w:val="center"/>
                          <w:rPr>
                            <w:szCs w:val="24"/>
                          </w:rPr>
                        </w:pPr>
                      </w:p>
                    </w:tc>
                    <w:tc>
                      <w:tcPr>
                        <w:tcW w:w="1612" w:type="pct"/>
                        <w:vMerge/>
                        <w:vAlign w:val="center"/>
                        <w:hideMark/>
                      </w:tcPr>
                      <w:p>
                        <w:pPr>
                          <w:jc w:val="center"/>
                          <w:rPr>
                            <w:szCs w:val="24"/>
                          </w:rPr>
                        </w:pPr>
                      </w:p>
                    </w:tc>
                    <w:tc>
                      <w:tcPr>
                        <w:tcW w:w="774" w:type="pct"/>
                        <w:noWrap/>
                        <w:tcMar>
                          <w:top w:w="0" w:type="dxa"/>
                          <w:left w:w="108" w:type="dxa"/>
                          <w:bottom w:w="0" w:type="dxa"/>
                          <w:right w:w="108" w:type="dxa"/>
                        </w:tcMar>
                        <w:vAlign w:val="center"/>
                      </w:tcPr>
                      <w:p>
                        <w:pPr>
                          <w:keepNext/>
                          <w:pageBreakBefore/>
                          <w:jc w:val="both"/>
                          <w:rPr>
                            <w:szCs w:val="24"/>
                          </w:rPr>
                        </w:pPr>
                      </w:p>
                    </w:tc>
                    <w:tc>
                      <w:tcPr>
                        <w:tcW w:w="536" w:type="pct"/>
                        <w:tcMar>
                          <w:top w:w="0" w:type="dxa"/>
                          <w:left w:w="108" w:type="dxa"/>
                          <w:bottom w:w="0" w:type="dxa"/>
                          <w:right w:w="108" w:type="dxa"/>
                        </w:tcMar>
                        <w:vAlign w:val="center"/>
                      </w:tcPr>
                      <w:p>
                        <w:pPr>
                          <w:keepNext/>
                          <w:pageBreakBefore/>
                          <w:jc w:val="both"/>
                          <w:rPr>
                            <w:szCs w:val="24"/>
                          </w:rPr>
                        </w:pPr>
                      </w:p>
                    </w:tc>
                    <w:tc>
                      <w:tcPr>
                        <w:tcW w:w="561" w:type="pct"/>
                        <w:tcMar>
                          <w:top w:w="0" w:type="dxa"/>
                          <w:left w:w="108" w:type="dxa"/>
                          <w:bottom w:w="0" w:type="dxa"/>
                          <w:right w:w="108" w:type="dxa"/>
                        </w:tcMar>
                        <w:vAlign w:val="center"/>
                      </w:tcPr>
                      <w:p>
                        <w:pPr>
                          <w:keepNext/>
                          <w:pageBreakBefore/>
                          <w:jc w:val="both"/>
                          <w:rPr>
                            <w:szCs w:val="24"/>
                          </w:rPr>
                        </w:pPr>
                      </w:p>
                    </w:tc>
                    <w:tc>
                      <w:tcPr>
                        <w:tcW w:w="1216" w:type="pct"/>
                        <w:tcMar>
                          <w:top w:w="0" w:type="dxa"/>
                          <w:left w:w="108" w:type="dxa"/>
                          <w:bottom w:w="0" w:type="dxa"/>
                          <w:right w:w="108" w:type="dxa"/>
                        </w:tcMar>
                        <w:vAlign w:val="center"/>
                        <w:hideMark/>
                      </w:tcPr>
                      <w:p>
                        <w:pPr>
                          <w:keepNext/>
                          <w:pageBreakBefore/>
                          <w:jc w:val="both"/>
                          <w:rPr>
                            <w:szCs w:val="24"/>
                          </w:rPr>
                        </w:pPr>
                        <w:r>
                          <w:rPr>
                            <w:szCs w:val="24"/>
                          </w:rPr>
                          <w:t xml:space="preserve">horizontaliuose kabelių tuneliuose, kuriuose tiesiami aukštesnės kaip 1 000 V įtampos kabeliai ir gaisro apkrova viršija </w:t>
                        </w:r>
                      </w:p>
                      <w:p>
                        <w:pPr>
                          <w:keepNext/>
                          <w:pageBreakBefore/>
                          <w:jc w:val="both"/>
                          <w:rPr>
                            <w:szCs w:val="24"/>
                          </w:rPr>
                        </w:pPr>
                        <w:r>
                          <w:rPr>
                            <w:szCs w:val="24"/>
                          </w:rPr>
                          <w:t>1 200 MJ/kv. m</w:t>
                        </w:r>
                      </w:p>
                    </w:tc>
                  </w:tr>
                  <w:tr>
                    <w:trPr>
                      <w:trHeight w:val="630"/>
                    </w:trPr>
                    <w:tc>
                      <w:tcPr>
                        <w:tcW w:w="301" w:type="pct"/>
                        <w:vMerge/>
                        <w:vAlign w:val="center"/>
                        <w:hideMark/>
                      </w:tcPr>
                      <w:p>
                        <w:pPr>
                          <w:jc w:val="center"/>
                          <w:rPr>
                            <w:szCs w:val="24"/>
                          </w:rPr>
                        </w:pPr>
                      </w:p>
                    </w:tc>
                    <w:tc>
                      <w:tcPr>
                        <w:tcW w:w="1612" w:type="pct"/>
                        <w:vMerge/>
                        <w:vAlign w:val="center"/>
                        <w:hideMark/>
                      </w:tcPr>
                      <w:p>
                        <w:pPr>
                          <w:jc w:val="center"/>
                          <w:rPr>
                            <w:szCs w:val="24"/>
                          </w:rPr>
                        </w:pPr>
                      </w:p>
                    </w:tc>
                    <w:tc>
                      <w:tcPr>
                        <w:tcW w:w="774" w:type="pct"/>
                        <w:noWrap/>
                        <w:tcMar>
                          <w:top w:w="0" w:type="dxa"/>
                          <w:left w:w="108" w:type="dxa"/>
                          <w:bottom w:w="0" w:type="dxa"/>
                          <w:right w:w="108" w:type="dxa"/>
                        </w:tcMar>
                        <w:vAlign w:val="center"/>
                      </w:tcPr>
                      <w:p>
                        <w:pPr>
                          <w:jc w:val="both"/>
                          <w:rPr>
                            <w:szCs w:val="24"/>
                          </w:rPr>
                        </w:pPr>
                      </w:p>
                    </w:tc>
                    <w:tc>
                      <w:tcPr>
                        <w:tcW w:w="536" w:type="pct"/>
                        <w:tcMar>
                          <w:top w:w="0" w:type="dxa"/>
                          <w:left w:w="108" w:type="dxa"/>
                          <w:bottom w:w="0" w:type="dxa"/>
                          <w:right w:w="108" w:type="dxa"/>
                        </w:tcMar>
                        <w:vAlign w:val="center"/>
                      </w:tcPr>
                      <w:p>
                        <w:pPr>
                          <w:jc w:val="both"/>
                          <w:rPr>
                            <w:szCs w:val="24"/>
                          </w:rPr>
                        </w:pPr>
                      </w:p>
                    </w:tc>
                    <w:tc>
                      <w:tcPr>
                        <w:tcW w:w="561" w:type="pct"/>
                        <w:tcMar>
                          <w:top w:w="0" w:type="dxa"/>
                          <w:left w:w="108" w:type="dxa"/>
                          <w:bottom w:w="0" w:type="dxa"/>
                          <w:right w:w="108" w:type="dxa"/>
                        </w:tcMar>
                        <w:vAlign w:val="center"/>
                      </w:tcPr>
                      <w:p>
                        <w:pPr>
                          <w:jc w:val="both"/>
                          <w:rPr>
                            <w:szCs w:val="24"/>
                          </w:rPr>
                        </w:pPr>
                      </w:p>
                    </w:tc>
                    <w:tc>
                      <w:tcPr>
                        <w:tcW w:w="1216" w:type="pct"/>
                        <w:tcMar>
                          <w:top w:w="0" w:type="dxa"/>
                          <w:left w:w="108" w:type="dxa"/>
                          <w:bottom w:w="0" w:type="dxa"/>
                          <w:right w:w="108" w:type="dxa"/>
                        </w:tcMar>
                        <w:vAlign w:val="center"/>
                        <w:hideMark/>
                      </w:tcPr>
                      <w:p>
                        <w:pPr>
                          <w:jc w:val="both"/>
                          <w:rPr>
                            <w:szCs w:val="24"/>
                          </w:rPr>
                        </w:pPr>
                        <w:r>
                          <w:rPr>
                            <w:szCs w:val="24"/>
                          </w:rPr>
                          <w:t>automatizuotose hidroelektrinėse hidrogeneratoriams ir oru aušinamiems sinchroniniams kompensatoriams gesinti</w:t>
                        </w:r>
                      </w:p>
                    </w:tc>
                  </w:tr>
                  <w:tr>
                    <w:trPr>
                      <w:trHeight w:val="48"/>
                    </w:trPr>
                    <w:tc>
                      <w:tcPr>
                        <w:tcW w:w="301" w:type="pct"/>
                        <w:vMerge/>
                        <w:vAlign w:val="center"/>
                        <w:hideMark/>
                      </w:tcPr>
                      <w:p>
                        <w:pPr>
                          <w:jc w:val="center"/>
                          <w:rPr>
                            <w:szCs w:val="24"/>
                          </w:rPr>
                        </w:pPr>
                      </w:p>
                    </w:tc>
                    <w:tc>
                      <w:tcPr>
                        <w:tcW w:w="1612" w:type="pct"/>
                        <w:vMerge/>
                        <w:vAlign w:val="center"/>
                        <w:hideMark/>
                      </w:tcPr>
                      <w:p>
                        <w:pPr>
                          <w:jc w:val="center"/>
                          <w:rPr>
                            <w:szCs w:val="24"/>
                          </w:rPr>
                        </w:pPr>
                      </w:p>
                    </w:tc>
                    <w:tc>
                      <w:tcPr>
                        <w:tcW w:w="774" w:type="pct"/>
                        <w:noWrap/>
                        <w:tcMar>
                          <w:top w:w="0" w:type="dxa"/>
                          <w:left w:w="108" w:type="dxa"/>
                          <w:bottom w:w="0" w:type="dxa"/>
                          <w:right w:w="108" w:type="dxa"/>
                        </w:tcMar>
                        <w:vAlign w:val="center"/>
                      </w:tcPr>
                      <w:p>
                        <w:pPr>
                          <w:jc w:val="both"/>
                          <w:rPr>
                            <w:szCs w:val="24"/>
                          </w:rPr>
                        </w:pPr>
                      </w:p>
                    </w:tc>
                    <w:tc>
                      <w:tcPr>
                        <w:tcW w:w="536" w:type="pct"/>
                        <w:tcMar>
                          <w:top w:w="0" w:type="dxa"/>
                          <w:left w:w="108" w:type="dxa"/>
                          <w:bottom w:w="0" w:type="dxa"/>
                          <w:right w:w="108" w:type="dxa"/>
                        </w:tcMar>
                        <w:vAlign w:val="center"/>
                      </w:tcPr>
                      <w:p>
                        <w:pPr>
                          <w:jc w:val="both"/>
                          <w:rPr>
                            <w:szCs w:val="24"/>
                          </w:rPr>
                        </w:pPr>
                      </w:p>
                    </w:tc>
                    <w:tc>
                      <w:tcPr>
                        <w:tcW w:w="561" w:type="pct"/>
                        <w:tcMar>
                          <w:top w:w="0" w:type="dxa"/>
                          <w:left w:w="108" w:type="dxa"/>
                          <w:bottom w:w="0" w:type="dxa"/>
                          <w:right w:w="108" w:type="dxa"/>
                        </w:tcMar>
                        <w:vAlign w:val="center"/>
                      </w:tcPr>
                      <w:p>
                        <w:pPr>
                          <w:jc w:val="both"/>
                          <w:rPr>
                            <w:szCs w:val="24"/>
                          </w:rPr>
                        </w:pPr>
                      </w:p>
                    </w:tc>
                    <w:tc>
                      <w:tcPr>
                        <w:tcW w:w="1216" w:type="pct"/>
                        <w:tcMar>
                          <w:top w:w="0" w:type="dxa"/>
                          <w:left w:w="108" w:type="dxa"/>
                          <w:bottom w:w="0" w:type="dxa"/>
                          <w:right w:w="108" w:type="dxa"/>
                        </w:tcMar>
                        <w:vAlign w:val="center"/>
                        <w:hideMark/>
                      </w:tcPr>
                      <w:p>
                        <w:pPr>
                          <w:jc w:val="both"/>
                          <w:rPr>
                            <w:szCs w:val="24"/>
                          </w:rPr>
                        </w:pPr>
                        <w:r>
                          <w:rPr>
                            <w:szCs w:val="24"/>
                          </w:rPr>
                          <w:t>aukštesnių nei vieno aukšto statinių pirmojo aukšto lygyje esančiose patalpose su transformatorinių, transformatorių pastočių arba keitiklių įrenginiais, pripildytais alyvos, kai bendras alyvos kiekis didesnis kaip 10 t;</w:t>
                        </w:r>
                      </w:p>
                      <w:p>
                        <w:pPr>
                          <w:jc w:val="both"/>
                          <w:rPr>
                            <w:szCs w:val="24"/>
                          </w:rPr>
                        </w:pPr>
                        <w:r>
                          <w:rPr>
                            <w:szCs w:val="24"/>
                          </w:rPr>
                          <w:t>žemiau pirmojo aukšto lygio esančiose patalpose su transformatorinių, transformatorių pastočių arba keitiklių įrenginiais, pripildytais alyvos, virš kurių yra kitos patalpos, kai bendras alyvos kiekis didesnis kaip 0,6 t</w:t>
                        </w:r>
                      </w:p>
                    </w:tc>
                  </w:tr>
                  <w:tr>
                    <w:trPr>
                      <w:trHeight w:val="295"/>
                    </w:trPr>
                    <w:tc>
                      <w:tcPr>
                        <w:tcW w:w="5000" w:type="pct"/>
                        <w:gridSpan w:val="6"/>
                        <w:vAlign w:val="center"/>
                        <w:hideMark/>
                      </w:tcPr>
                      <w:p>
                        <w:pPr>
                          <w:jc w:val="center"/>
                          <w:rPr>
                            <w:szCs w:val="24"/>
                          </w:rPr>
                        </w:pPr>
                        <w:r>
                          <w:rPr>
                            <w:szCs w:val="24"/>
                          </w:rPr>
                          <w:t>Kiti inžineriniai statiniai</w:t>
                        </w:r>
                      </w:p>
                    </w:tc>
                  </w:tr>
                  <w:tr>
                    <w:trPr>
                      <w:trHeight w:val="630"/>
                    </w:trPr>
                    <w:tc>
                      <w:tcPr>
                        <w:tcW w:w="301" w:type="pct"/>
                        <w:vMerge w:val="restart"/>
                        <w:vAlign w:val="center"/>
                      </w:tcPr>
                      <w:p>
                        <w:pPr>
                          <w:jc w:val="center"/>
                          <w:rPr>
                            <w:szCs w:val="24"/>
                          </w:rPr>
                        </w:pPr>
                        <w:r>
                          <w:rPr>
                            <w:szCs w:val="24"/>
                          </w:rPr>
                          <w:t>5.</w:t>
                        </w:r>
                      </w:p>
                    </w:tc>
                    <w:tc>
                      <w:tcPr>
                        <w:tcW w:w="1612" w:type="pct"/>
                        <w:vMerge w:val="restart"/>
                        <w:vAlign w:val="center"/>
                      </w:tcPr>
                      <w:p>
                        <w:pPr>
                          <w:rPr>
                            <w:szCs w:val="24"/>
                          </w:rPr>
                        </w:pPr>
                      </w:p>
                      <w:p>
                        <w:pPr>
                          <w:jc w:val="center"/>
                          <w:rPr>
                            <w:szCs w:val="24"/>
                          </w:rPr>
                        </w:pPr>
                        <w:r>
                          <w:rPr>
                            <w:szCs w:val="24"/>
                          </w:rPr>
                          <w:t>Kitos paskirties</w:t>
                        </w:r>
                      </w:p>
                      <w:p>
                        <w:pPr>
                          <w:jc w:val="center"/>
                          <w:rPr>
                            <w:szCs w:val="24"/>
                          </w:rPr>
                        </w:pPr>
                        <w:r>
                          <w:rPr>
                            <w:szCs w:val="24"/>
                          </w:rPr>
                          <w:t>(automatizuoti sandėliavimo sistemų statiniai) (3 pastaba)</w:t>
                        </w:r>
                      </w:p>
                    </w:tc>
                    <w:tc>
                      <w:tcPr>
                        <w:tcW w:w="774" w:type="pct"/>
                        <w:vMerge w:val="restart"/>
                        <w:noWrap/>
                        <w:tcMar>
                          <w:top w:w="0" w:type="dxa"/>
                          <w:left w:w="108" w:type="dxa"/>
                          <w:bottom w:w="0" w:type="dxa"/>
                          <w:right w:w="108" w:type="dxa"/>
                        </w:tcMar>
                        <w:vAlign w:val="center"/>
                      </w:tcPr>
                      <w:p>
                        <w:pPr>
                          <w:jc w:val="both"/>
                          <w:rPr>
                            <w:szCs w:val="24"/>
                          </w:rPr>
                        </w:pPr>
                      </w:p>
                      <w:p>
                        <w:pPr>
                          <w:jc w:val="center"/>
                          <w:rPr>
                            <w:szCs w:val="24"/>
                          </w:rPr>
                        </w:pPr>
                        <w:r>
                          <w:rPr>
                            <w:szCs w:val="24"/>
                          </w:rPr>
                          <w:t>≥ 750</w:t>
                        </w:r>
                      </w:p>
                    </w:tc>
                    <w:tc>
                      <w:tcPr>
                        <w:tcW w:w="536" w:type="pct"/>
                        <w:tcMar>
                          <w:top w:w="0" w:type="dxa"/>
                          <w:left w:w="108" w:type="dxa"/>
                          <w:bottom w:w="0" w:type="dxa"/>
                          <w:right w:w="108" w:type="dxa"/>
                        </w:tcMar>
                        <w:vAlign w:val="center"/>
                      </w:tcPr>
                      <w:p>
                        <w:pPr>
                          <w:jc w:val="both"/>
                          <w:rPr>
                            <w:szCs w:val="24"/>
                          </w:rPr>
                        </w:pPr>
                      </w:p>
                    </w:tc>
                    <w:tc>
                      <w:tcPr>
                        <w:tcW w:w="561" w:type="pct"/>
                        <w:tcMar>
                          <w:top w:w="0" w:type="dxa"/>
                          <w:left w:w="108" w:type="dxa"/>
                          <w:bottom w:w="0" w:type="dxa"/>
                          <w:right w:w="108" w:type="dxa"/>
                        </w:tcMar>
                        <w:vAlign w:val="center"/>
                      </w:tcPr>
                      <w:p>
                        <w:pPr>
                          <w:jc w:val="both"/>
                          <w:rPr>
                            <w:szCs w:val="24"/>
                          </w:rPr>
                        </w:pPr>
                      </w:p>
                    </w:tc>
                    <w:tc>
                      <w:tcPr>
                        <w:tcW w:w="1216" w:type="pct"/>
                        <w:tcMar>
                          <w:top w:w="0" w:type="dxa"/>
                          <w:left w:w="108" w:type="dxa"/>
                          <w:bottom w:w="0" w:type="dxa"/>
                          <w:right w:w="108" w:type="dxa"/>
                        </w:tcMar>
                        <w:vAlign w:val="center"/>
                        <w:hideMark/>
                      </w:tcPr>
                      <w:p>
                        <w:pPr>
                          <w:jc w:val="both"/>
                          <w:rPr>
                            <w:szCs w:val="24"/>
                          </w:rPr>
                        </w:pPr>
                        <w:r>
                          <w:rPr>
                            <w:szCs w:val="24"/>
                          </w:rPr>
                          <w:t>statiniai priskiriami Asg ir Bsg kategorijai pagal sprogimo ar gaisro kilimo pavojų</w:t>
                        </w:r>
                      </w:p>
                    </w:tc>
                  </w:tr>
                  <w:tr>
                    <w:trPr>
                      <w:trHeight w:val="630"/>
                    </w:trPr>
                    <w:tc>
                      <w:tcPr>
                        <w:tcW w:w="301" w:type="pct"/>
                        <w:vMerge/>
                        <w:vAlign w:val="center"/>
                        <w:hideMark/>
                      </w:tcPr>
                      <w:p>
                        <w:pPr>
                          <w:jc w:val="center"/>
                          <w:rPr>
                            <w:szCs w:val="24"/>
                          </w:rPr>
                        </w:pPr>
                      </w:p>
                    </w:tc>
                    <w:tc>
                      <w:tcPr>
                        <w:tcW w:w="1612" w:type="pct"/>
                        <w:vMerge/>
                        <w:vAlign w:val="center"/>
                        <w:hideMark/>
                      </w:tcPr>
                      <w:p>
                        <w:pPr>
                          <w:jc w:val="center"/>
                          <w:rPr>
                            <w:szCs w:val="24"/>
                          </w:rPr>
                        </w:pPr>
                      </w:p>
                    </w:tc>
                    <w:tc>
                      <w:tcPr>
                        <w:tcW w:w="774" w:type="pct"/>
                        <w:vMerge/>
                        <w:vAlign w:val="center"/>
                        <w:hideMark/>
                      </w:tcPr>
                      <w:p>
                        <w:pPr>
                          <w:jc w:val="both"/>
                          <w:rPr>
                            <w:szCs w:val="24"/>
                          </w:rPr>
                        </w:pPr>
                      </w:p>
                    </w:tc>
                    <w:tc>
                      <w:tcPr>
                        <w:tcW w:w="536" w:type="pct"/>
                        <w:tcMar>
                          <w:top w:w="0" w:type="dxa"/>
                          <w:left w:w="108" w:type="dxa"/>
                          <w:bottom w:w="0" w:type="dxa"/>
                          <w:right w:w="108" w:type="dxa"/>
                        </w:tcMar>
                        <w:vAlign w:val="center"/>
                      </w:tcPr>
                      <w:p>
                        <w:pPr>
                          <w:jc w:val="both"/>
                          <w:rPr>
                            <w:szCs w:val="24"/>
                          </w:rPr>
                        </w:pPr>
                      </w:p>
                    </w:tc>
                    <w:tc>
                      <w:tcPr>
                        <w:tcW w:w="561" w:type="pct"/>
                        <w:tcMar>
                          <w:top w:w="0" w:type="dxa"/>
                          <w:left w:w="108" w:type="dxa"/>
                          <w:bottom w:w="0" w:type="dxa"/>
                          <w:right w:w="108" w:type="dxa"/>
                        </w:tcMar>
                        <w:vAlign w:val="center"/>
                      </w:tcPr>
                      <w:p>
                        <w:pPr>
                          <w:jc w:val="both"/>
                          <w:rPr>
                            <w:szCs w:val="24"/>
                          </w:rPr>
                        </w:pPr>
                      </w:p>
                    </w:tc>
                    <w:tc>
                      <w:tcPr>
                        <w:tcW w:w="1216" w:type="pct"/>
                        <w:tcMar>
                          <w:top w:w="0" w:type="dxa"/>
                          <w:left w:w="108" w:type="dxa"/>
                          <w:bottom w:w="0" w:type="dxa"/>
                          <w:right w:w="108" w:type="dxa"/>
                        </w:tcMar>
                        <w:vAlign w:val="center"/>
                        <w:hideMark/>
                      </w:tcPr>
                      <w:p>
                        <w:pPr>
                          <w:jc w:val="both"/>
                          <w:rPr>
                            <w:szCs w:val="24"/>
                          </w:rPr>
                        </w:pPr>
                        <w:r>
                          <w:rPr>
                            <w:szCs w:val="24"/>
                          </w:rPr>
                          <w:t>kaučiuko, gumos ar šių medžiagų gaminių, vaistų ir reagentų gaminių, taroje laikomų naftos ir jos produktų gaminių, ypač degių, labai degių ir degių skysčių sandėliavimas ir laikymas</w:t>
                        </w:r>
                      </w:p>
                    </w:tc>
                  </w:tr>
                  <w:tr>
                    <w:trPr>
                      <w:trHeight w:val="630"/>
                    </w:trPr>
                    <w:tc>
                      <w:tcPr>
                        <w:tcW w:w="301" w:type="pct"/>
                        <w:vMerge/>
                        <w:vAlign w:val="center"/>
                        <w:hideMark/>
                      </w:tcPr>
                      <w:p>
                        <w:pPr>
                          <w:jc w:val="center"/>
                          <w:rPr>
                            <w:szCs w:val="24"/>
                          </w:rPr>
                        </w:pPr>
                      </w:p>
                    </w:tc>
                    <w:tc>
                      <w:tcPr>
                        <w:tcW w:w="1612" w:type="pct"/>
                        <w:vMerge/>
                        <w:vAlign w:val="center"/>
                        <w:hideMark/>
                      </w:tcPr>
                      <w:p>
                        <w:pPr>
                          <w:jc w:val="center"/>
                          <w:rPr>
                            <w:szCs w:val="24"/>
                          </w:rPr>
                        </w:pPr>
                      </w:p>
                    </w:tc>
                    <w:tc>
                      <w:tcPr>
                        <w:tcW w:w="774" w:type="pct"/>
                        <w:noWrap/>
                        <w:tcMar>
                          <w:top w:w="0" w:type="dxa"/>
                          <w:left w:w="108" w:type="dxa"/>
                          <w:bottom w:w="0" w:type="dxa"/>
                          <w:right w:w="108" w:type="dxa"/>
                        </w:tcMar>
                        <w:vAlign w:val="center"/>
                        <w:hideMark/>
                      </w:tcPr>
                      <w:p>
                        <w:pPr>
                          <w:jc w:val="center"/>
                          <w:rPr>
                            <w:szCs w:val="24"/>
                          </w:rPr>
                        </w:pPr>
                        <w:r>
                          <w:rPr>
                            <w:szCs w:val="24"/>
                          </w:rPr>
                          <w:t>≥ 2 000</w:t>
                        </w:r>
                      </w:p>
                    </w:tc>
                    <w:tc>
                      <w:tcPr>
                        <w:tcW w:w="536" w:type="pct"/>
                        <w:tcMar>
                          <w:top w:w="0" w:type="dxa"/>
                          <w:left w:w="108" w:type="dxa"/>
                          <w:bottom w:w="0" w:type="dxa"/>
                          <w:right w:w="108" w:type="dxa"/>
                        </w:tcMar>
                        <w:vAlign w:val="center"/>
                      </w:tcPr>
                      <w:p>
                        <w:pPr>
                          <w:jc w:val="both"/>
                          <w:rPr>
                            <w:szCs w:val="24"/>
                          </w:rPr>
                        </w:pPr>
                      </w:p>
                    </w:tc>
                    <w:tc>
                      <w:tcPr>
                        <w:tcW w:w="561" w:type="pct"/>
                        <w:tcMar>
                          <w:top w:w="0" w:type="dxa"/>
                          <w:left w:w="108" w:type="dxa"/>
                          <w:bottom w:w="0" w:type="dxa"/>
                          <w:right w:w="108" w:type="dxa"/>
                        </w:tcMar>
                        <w:vAlign w:val="center"/>
                      </w:tcPr>
                      <w:p>
                        <w:pPr>
                          <w:jc w:val="both"/>
                          <w:rPr>
                            <w:szCs w:val="24"/>
                          </w:rPr>
                        </w:pPr>
                      </w:p>
                    </w:tc>
                    <w:tc>
                      <w:tcPr>
                        <w:tcW w:w="1216" w:type="pct"/>
                        <w:tcMar>
                          <w:top w:w="0" w:type="dxa"/>
                          <w:left w:w="108" w:type="dxa"/>
                          <w:bottom w:w="0" w:type="dxa"/>
                          <w:right w:w="108" w:type="dxa"/>
                        </w:tcMar>
                        <w:vAlign w:val="center"/>
                        <w:hideMark/>
                      </w:tcPr>
                      <w:p>
                        <w:pPr>
                          <w:jc w:val="both"/>
                          <w:rPr>
                            <w:szCs w:val="24"/>
                          </w:rPr>
                        </w:pPr>
                        <w:r>
                          <w:rPr>
                            <w:szCs w:val="24"/>
                          </w:rPr>
                          <w:t>statiniai priskiriami Cg kategorijai pagal sprogimo ar gaisro kilimo pavojų</w:t>
                        </w:r>
                      </w:p>
                    </w:tc>
                  </w:tr>
                  <w:tr>
                    <w:trPr>
                      <w:trHeight w:val="630"/>
                    </w:trPr>
                    <w:tc>
                      <w:tcPr>
                        <w:tcW w:w="301" w:type="pct"/>
                        <w:vMerge/>
                        <w:vAlign w:val="center"/>
                        <w:hideMark/>
                      </w:tcPr>
                      <w:p>
                        <w:pPr>
                          <w:jc w:val="center"/>
                          <w:rPr>
                            <w:szCs w:val="24"/>
                          </w:rPr>
                        </w:pPr>
                      </w:p>
                    </w:tc>
                    <w:tc>
                      <w:tcPr>
                        <w:tcW w:w="1612" w:type="pct"/>
                        <w:vMerge/>
                        <w:vAlign w:val="center"/>
                        <w:hideMark/>
                      </w:tcPr>
                      <w:p>
                        <w:pPr>
                          <w:jc w:val="center"/>
                          <w:rPr>
                            <w:szCs w:val="24"/>
                          </w:rPr>
                        </w:pPr>
                      </w:p>
                    </w:tc>
                    <w:tc>
                      <w:tcPr>
                        <w:tcW w:w="774" w:type="pct"/>
                        <w:noWrap/>
                        <w:tcMar>
                          <w:top w:w="0" w:type="dxa"/>
                          <w:left w:w="108" w:type="dxa"/>
                          <w:bottom w:w="0" w:type="dxa"/>
                          <w:right w:w="108" w:type="dxa"/>
                        </w:tcMar>
                        <w:vAlign w:val="center"/>
                        <w:hideMark/>
                      </w:tcPr>
                      <w:p>
                        <w:pPr>
                          <w:jc w:val="center"/>
                          <w:rPr>
                            <w:szCs w:val="24"/>
                          </w:rPr>
                        </w:pPr>
                        <w:r>
                          <w:rPr>
                            <w:szCs w:val="24"/>
                          </w:rPr>
                          <w:t>≥ 250</w:t>
                        </w:r>
                      </w:p>
                    </w:tc>
                    <w:tc>
                      <w:tcPr>
                        <w:tcW w:w="536" w:type="pct"/>
                        <w:tcMar>
                          <w:top w:w="0" w:type="dxa"/>
                          <w:left w:w="108" w:type="dxa"/>
                          <w:bottom w:w="0" w:type="dxa"/>
                          <w:right w:w="108" w:type="dxa"/>
                        </w:tcMar>
                        <w:vAlign w:val="center"/>
                      </w:tcPr>
                      <w:p>
                        <w:pPr>
                          <w:jc w:val="both"/>
                          <w:rPr>
                            <w:szCs w:val="24"/>
                          </w:rPr>
                        </w:pPr>
                      </w:p>
                    </w:tc>
                    <w:tc>
                      <w:tcPr>
                        <w:tcW w:w="561" w:type="pct"/>
                        <w:tcMar>
                          <w:top w:w="0" w:type="dxa"/>
                          <w:left w:w="108" w:type="dxa"/>
                          <w:bottom w:w="0" w:type="dxa"/>
                          <w:right w:w="108" w:type="dxa"/>
                        </w:tcMar>
                        <w:vAlign w:val="center"/>
                      </w:tcPr>
                      <w:p>
                        <w:pPr>
                          <w:jc w:val="both"/>
                          <w:rPr>
                            <w:szCs w:val="24"/>
                          </w:rPr>
                        </w:pPr>
                      </w:p>
                    </w:tc>
                    <w:tc>
                      <w:tcPr>
                        <w:tcW w:w="1216" w:type="pct"/>
                        <w:tcMar>
                          <w:top w:w="0" w:type="dxa"/>
                          <w:left w:w="108" w:type="dxa"/>
                          <w:bottom w:w="0" w:type="dxa"/>
                          <w:right w:w="108" w:type="dxa"/>
                        </w:tcMar>
                        <w:vAlign w:val="center"/>
                        <w:hideMark/>
                      </w:tcPr>
                      <w:p>
                        <w:pPr>
                          <w:jc w:val="both"/>
                          <w:rPr>
                            <w:szCs w:val="24"/>
                          </w:rPr>
                        </w:pPr>
                        <w:r>
                          <w:rPr>
                            <w:szCs w:val="24"/>
                          </w:rPr>
                          <w:t xml:space="preserve">statiniai priskiriami Asg, Bsg ir Cg kategorijai pagal sprogimo ar gaisro kilimo pavojų, produkcija ir medžiagos juose laikomos stelažuose (lentynose), kai produkcijos ir medžiagų sandėliavimo aukštis nuo grindų viršija </w:t>
                        </w:r>
                      </w:p>
                      <w:p>
                        <w:pPr>
                          <w:jc w:val="both"/>
                          <w:rPr>
                            <w:szCs w:val="24"/>
                          </w:rPr>
                        </w:pPr>
                        <w:r>
                          <w:rPr>
                            <w:szCs w:val="24"/>
                          </w:rPr>
                          <w:t>5,5 m</w:t>
                        </w:r>
                      </w:p>
                    </w:tc>
                  </w:tr>
                </w:tbl>
                <w:p>
                  <w:pPr>
                    <w:jc w:val="both"/>
                    <w:rPr>
                      <w:szCs w:val="24"/>
                      <w:vertAlign w:val="superscript"/>
                    </w:rPr>
                  </w:pPr>
                </w:p>
                <w:p>
                  <w:pPr>
                    <w:ind w:left="709"/>
                    <w:jc w:val="both"/>
                    <w:rPr>
                      <w:b/>
                      <w:bCs/>
                      <w:color w:val="000000"/>
                      <w:szCs w:val="24"/>
                    </w:rPr>
                  </w:pPr>
                  <w:r>
                    <w:rPr>
                      <w:b/>
                      <w:bCs/>
                      <w:color w:val="000000"/>
                      <w:szCs w:val="24"/>
                    </w:rPr>
                    <w:t>Pastabos:</w:t>
                  </w:r>
                </w:p>
                <w:sdt>
                  <w:sdtPr>
                    <w:alias w:val="1 p."/>
                    <w:tag w:val="part_984a6ffcf283448c907b58133fac8f26"/>
                    <w:lock w:val="sdtLocked"/>
                    <w:richText/>
                  </w:sdtPr>
                  <w:sdtContent>
                    <w:p>
                      <w:pPr>
                        <w:ind w:left="709"/>
                        <w:jc w:val="both"/>
                        <w:rPr>
                          <w:bCs/>
                          <w:color w:val="000000"/>
                          <w:szCs w:val="24"/>
                        </w:rPr>
                      </w:pPr>
                      <w:sdt>
                        <w:sdtPr>
                          <w:alias w:val="Numeris"/>
                          <w:tag w:val="nr_984a6ffcf283448c907b58133fac8f26"/>
                          <w:lock w:val="sdtLocked"/>
                          <w:richText/>
                        </w:sdtPr>
                        <w:sdtContent>
                          <w:r>
                            <w:rPr>
                              <w:bCs/>
                              <w:color w:val="000000"/>
                              <w:szCs w:val="24"/>
                            </w:rPr>
                            <w:t>1</w:t>
                          </w:r>
                        </w:sdtContent>
                      </w:sdt>
                      <w:r>
                        <w:rPr>
                          <w:bCs/>
                          <w:color w:val="000000"/>
                          <w:szCs w:val="24"/>
                        </w:rPr>
                        <w:t>. Nustatant SGG sistemos poreikį, turi būti vertinami visi vienoje eilutėje nurodyti rodikliai.</w:t>
                      </w:r>
                    </w:p>
                  </w:sdtContent>
                </w:sdt>
                <w:sdt>
                  <w:sdtPr>
                    <w:alias w:val="2 p."/>
                    <w:tag w:val="part_f2a3e788978043739c1e5d4780121c0c"/>
                    <w:lock w:val="sdtLocked"/>
                    <w:richText/>
                  </w:sdtPr>
                  <w:sdtContent>
                    <w:p>
                      <w:pPr>
                        <w:ind w:left="709"/>
                        <w:jc w:val="both"/>
                        <w:rPr>
                          <w:bCs/>
                          <w:color w:val="000000"/>
                          <w:szCs w:val="24"/>
                        </w:rPr>
                      </w:pPr>
                      <w:sdt>
                        <w:sdtPr>
                          <w:alias w:val="Numeris"/>
                          <w:tag w:val="nr_f2a3e788978043739c1e5d4780121c0c"/>
                          <w:lock w:val="sdtLocked"/>
                          <w:richText/>
                        </w:sdtPr>
                        <w:sdtContent>
                          <w:r>
                            <w:rPr>
                              <w:bCs/>
                              <w:color w:val="000000"/>
                              <w:szCs w:val="24"/>
                            </w:rPr>
                            <w:t>2</w:t>
                          </w:r>
                        </w:sdtContent>
                      </w:sdt>
                      <w:r>
                        <w:rPr>
                          <w:bCs/>
                          <w:color w:val="000000"/>
                          <w:szCs w:val="24"/>
                        </w:rPr>
                        <w:t>. Plotas vertinamas pagal užstatymo arba stogo projekcijos į žemės paviršių plotą.</w:t>
                      </w:r>
                    </w:p>
                  </w:sdtContent>
                </w:sdt>
                <w:sdt>
                  <w:sdtPr>
                    <w:alias w:val="3 p."/>
                    <w:tag w:val="part_95813a4fd8c44d40b640604dcdda5c20"/>
                    <w:lock w:val="sdtLocked"/>
                    <w:richText/>
                  </w:sdtPr>
                  <w:sdtContent>
                    <w:p>
                      <w:pPr>
                        <w:ind w:firstLine="709"/>
                        <w:jc w:val="both"/>
                        <w:rPr>
                          <w:bCs/>
                          <w:color w:val="000000"/>
                          <w:szCs w:val="24"/>
                        </w:rPr>
                      </w:pPr>
                      <w:sdt>
                        <w:sdtPr>
                          <w:alias w:val="Numeris"/>
                          <w:tag w:val="nr_95813a4fd8c44d40b640604dcdda5c20"/>
                          <w:lock w:val="sdtLocked"/>
                          <w:richText/>
                        </w:sdtPr>
                        <w:sdtContent>
                          <w:r>
                            <w:rPr>
                              <w:bCs/>
                              <w:color w:val="000000"/>
                              <w:szCs w:val="24"/>
                            </w:rPr>
                            <w:t>3</w:t>
                          </w:r>
                        </w:sdtContent>
                      </w:sdt>
                      <w:r>
                        <w:rPr>
                          <w:bCs/>
                          <w:color w:val="000000"/>
                          <w:szCs w:val="24"/>
                        </w:rPr>
                        <w:t>. Automatizuotų sandėliavimo sistemų statinių plieninėms laikančiosioms konstrukcijoms, taip pat, kai produkcijos ir medžiagų laikymas numatomas plieniniuose stelažuose (lentynose), kurių konstrukcijos naudojamos kaip statinį laikančiosios konstrukcijos, atsparumo ugniai reikalavimai, nustatyti Gaisrinės saugos pagrindiniuose reikalavimuose [15.6], neprivalomi, kai, vadovaujantis LST EN 12845 serijos standartais, stacionariosios gaisro gesinimo sistemos įrengiamos tarp stelažų (lentynų) ir numatoma papildoma apsauga automatiniais purkštuvais (sprinkleriais), laikantis vieno iš nurodytų reikalavimų:</w:t>
                      </w:r>
                    </w:p>
                    <w:p>
                      <w:pPr>
                        <w:ind w:firstLine="709"/>
                        <w:jc w:val="both"/>
                        <w:rPr>
                          <w:bCs/>
                          <w:color w:val="000000"/>
                          <w:szCs w:val="24"/>
                        </w:rPr>
                      </w:pPr>
                      <w:r>
                        <w:rPr>
                          <w:bCs/>
                          <w:color w:val="000000"/>
                          <w:szCs w:val="24"/>
                        </w:rPr>
                        <w:t>a. įrengiami šoniniai purkštuvai (sprinkleriai) yra nukreipti į ne mažiau kaip vieną statinį laikančios konstrukcijos pusę ir išdėstomi tolygiai per visą statinį laikančiosios konstrukcijos aukštį ne rečiau kaip kas 4,6 m, skaičiuojant nuo grindų.</w:t>
                      </w:r>
                      <w:r>
                        <w:rPr>
                          <w:b/>
                          <w:bCs/>
                          <w:color w:val="000000"/>
                          <w:szCs w:val="24"/>
                        </w:rPr>
                        <w:t xml:space="preserve"> </w:t>
                      </w:r>
                      <w:r>
                        <w:rPr>
                          <w:bCs/>
                          <w:color w:val="000000"/>
                          <w:szCs w:val="24"/>
                        </w:rPr>
                        <w:t>Šiuo atveju šoniniais purkštuvais (sprinkleriais) leidžiama apsaugoti neriboto aukščio automatizuotų sandėliavimo sistemų statinių plienines laikančiąsias konstrukcijas;</w:t>
                      </w:r>
                    </w:p>
                    <w:p>
                      <w:pPr>
                        <w:ind w:firstLine="709"/>
                        <w:jc w:val="both"/>
                        <w:rPr>
                          <w:bCs/>
                          <w:color w:val="000000"/>
                          <w:szCs w:val="24"/>
                        </w:rPr>
                      </w:pPr>
                      <w:r>
                        <w:rPr>
                          <w:bCs/>
                          <w:color w:val="000000"/>
                          <w:szCs w:val="24"/>
                        </w:rPr>
                        <w:t>b. stacionariosios gaisro gesinimo sistemos įrengiamos prie lubų su purkštuvais (sprinkleriais), kurių nominalios temperatūros rodiklis 68 ºC ar 79 ºC, skaičiuojant minimalų skaičiuojamąjį gesinimo plotą – 260 kv. m. Kai medžiagų sandėliavimo aukštis, jį skaičiuojant nuo grindų, yra nuo 4,6 m iki 6,1 m, šie purkštuvai (sprinkleriai) gali būti su aukštesniu kaip 141 ºC nominalios temperatūros rodikliu, skaičiuojant pagal LST EN 12845:2015+A1:2020 standarto 7.2 dalyje nurodytus projektavimo rodiklius;</w:t>
                      </w:r>
                    </w:p>
                    <w:p>
                      <w:pPr>
                        <w:ind w:firstLine="567"/>
                        <w:jc w:val="both"/>
                        <w:rPr>
                          <w:bCs/>
                          <w:color w:val="000000"/>
                          <w:szCs w:val="24"/>
                        </w:rPr>
                      </w:pPr>
                      <w:r>
                        <w:rPr>
                          <w:bCs/>
                          <w:color w:val="000000"/>
                          <w:szCs w:val="24"/>
                        </w:rPr>
                        <w:t>c. prie lubų įrengiamos ankstyvojo slopinimo greito suveikimo ESFR (angl.</w:t>
                      </w:r>
                      <w:r>
                        <w:rPr>
                          <w:bCs/>
                          <w:i/>
                          <w:iCs/>
                          <w:color w:val="000000"/>
                          <w:szCs w:val="24"/>
                        </w:rPr>
                        <w:t xml:space="preserve"> Early Suppression Fast Response</w:t>
                      </w:r>
                      <w:r>
                        <w:rPr>
                          <w:bCs/>
                          <w:color w:val="000000"/>
                          <w:szCs w:val="24"/>
                        </w:rPr>
                        <w:t>) purkštuvų (sprinklerių) sistemos arba CMSA (angl.</w:t>
                      </w:r>
                      <w:r>
                        <w:rPr>
                          <w:bCs/>
                          <w:i/>
                          <w:iCs/>
                          <w:color w:val="000000"/>
                          <w:szCs w:val="24"/>
                        </w:rPr>
                        <w:t xml:space="preserve"> Control Mode Specific Application Sprinklers</w:t>
                      </w:r>
                      <w:r>
                        <w:rPr>
                          <w:bCs/>
                          <w:color w:val="000000"/>
                          <w:szCs w:val="24"/>
                        </w:rPr>
                        <w:t>) purkštuvų (sprinklerių) sistemos.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892530017311efa28cd23166221a3c">
                    <w:r w:rsidRPr="00532B9F">
                      <w:rPr>
                        <w:rFonts w:ascii="Times New Roman" w:eastAsia="MS Mincho" w:hAnsi="Times New Roman"/>
                        <w:sz w:val="20"/>
                        <w:i/>
                        <w:iCs/>
                        <w:color w:val="0000FF" w:themeColor="hyperlink"/>
                        <w:u w:val="single"/>
                      </w:rPr>
                      <w:t>1-274 /2024 (1.4 E)</w:t>
                    </w:r>
                  </w:fldSimple>
                  <w:r>
                    <w:rPr>
                      <w:rFonts w:ascii="Times New Roman" w:eastAsia="MS Mincho" w:hAnsi="Times New Roman"/>
                      <w:sz w:val="20"/>
                      <w:i/>
                      <w:iCs/>
                    </w:rPr>
                    <w:t>,
2024-04-23,
paskelbta TAR 2024-04-23, i. k. 2024-07417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c770969011efa605b9842742bf37">
                    <w:r w:rsidRPr="00532B9F">
                      <w:rPr>
                        <w:rFonts w:ascii="Times New Roman" w:eastAsia="MS Mincho" w:hAnsi="Times New Roman"/>
                        <w:sz w:val="20"/>
                        <w:i/>
                        <w:iCs/>
                        <w:color w:val="0000FF" w:themeColor="hyperlink"/>
                        <w:u w:val="single"/>
                      </w:rPr>
                      <w:t>1-642 /2024 (1.4 E)</w:t>
                    </w:r>
                  </w:fldSimple>
                  <w:r>
                    <w:rPr>
                      <w:rFonts w:ascii="Times New Roman" w:eastAsia="MS Mincho" w:hAnsi="Times New Roman"/>
                      <w:sz w:val="20"/>
                      <w:i/>
                      <w:iCs/>
                    </w:rPr>
                    <w:t>,
2024-10-30,
paskelbta TAR 2024-10-30, i. k. 2024-18779            </w:t>
                  </w:r>
                </w:p>
                <w:p/>
              </w:sdtContent>
            </w:sdt>
            <w:sdt>
              <w:sdtPr>
                <w:alias w:val="27 p."/>
                <w:tag w:val="part_da975bc4eafb49febaf8c4c44999152c"/>
                <w:lock w:val="sdtLocked"/>
                <w:richText/>
              </w:sdtPr>
              <w:sdtContent>
                <w:p>
                  <w:pPr>
                    <w:ind w:firstLine="567"/>
                    <w:jc w:val="both"/>
                    <w:rPr>
                      <w:szCs w:val="24"/>
                    </w:rPr>
                  </w:pPr>
                  <w:sdt>
                    <w:sdtPr>
                      <w:alias w:val="Numeris"/>
                      <w:tag w:val="nr_da975bc4eafb49febaf8c4c44999152c"/>
                      <w:lock w:val="sdtLocked"/>
                      <w:richText/>
                    </w:sdtPr>
                    <w:sdtContent>
                      <w:r>
                        <w:rPr>
                          <w:szCs w:val="24"/>
                        </w:rPr>
                        <w:t>27</w:t>
                      </w:r>
                    </w:sdtContent>
                  </w:sdt>
                  <w:r>
                    <w:rPr>
                      <w:szCs w:val="24"/>
                    </w:rPr>
                    <w:t xml:space="preserve">. Rodikliai, kuriuos viršijus </w:t>
                  </w:r>
                  <w:r>
                    <w:rPr>
                      <w:szCs w:val="24"/>
                      <w:lang w:eastAsia="ja-JP"/>
                    </w:rPr>
                    <w:t>privaloma</w:t>
                  </w:r>
                  <w:r>
                    <w:rPr>
                      <w:szCs w:val="24"/>
                    </w:rPr>
                    <w:t xml:space="preserve"> įrengti SGG sistemas pastatuose, išdėstyti 2 lentelėje. </w:t>
                  </w:r>
                  <w:r>
                    <w:rPr>
                      <w:spacing w:val="-4"/>
                      <w:szCs w:val="24"/>
                    </w:rPr>
                    <w:t xml:space="preserve">Pastatų rodikliai (plotas, žmonių skaičius ir kt.), kuriuos viršijus privaloma įrengti SGG sistemas, nustatomi tarp </w:t>
                  </w:r>
                  <w:r>
                    <w:rPr>
                      <w:szCs w:val="24"/>
                    </w:rPr>
                    <w:t>ne mažesnio kaip REI 60 atsparumo ugniai sienų ir perdangų. Sublokuotų pastatų, neatskirtų nurodyto atsparumo ugniai sienomis ir perdangomis, rodikliai sumuojami. SGG sistemos įrengiamos visose pastato dalyse, kurios vertinamos nustatant pastato rodiklius.</w:t>
                  </w:r>
                </w:p>
                <w:p>
                  <w:pPr>
                    <w:tabs>
                      <w:tab w:val="left" w:pos="1843"/>
                    </w:tabs>
                    <w:ind w:firstLine="709"/>
                    <w:jc w:val="both"/>
                    <w:rPr>
                      <w:szCs w:val="24"/>
                    </w:rPr>
                  </w:pPr>
                </w:p>
                <w:p>
                  <w:pPr>
                    <w:tabs>
                      <w:tab w:val="left" w:pos="1843"/>
                    </w:tabs>
                    <w:ind w:left="709" w:firstLine="709"/>
                    <w:jc w:val="both"/>
                    <w:rPr>
                      <w:szCs w:val="24"/>
                    </w:rPr>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567" w:bottom="1134" w:left="1701" w:header="567" w:footer="567" w:gutter="0"/>
                      <w:pgNumType w:start="1"/>
                      <w:cols w:space="1296"/>
                      <w:titlePg/>
                      <w:docGrid w:linePitch="360"/>
                    </w:sectPr>
                  </w:pPr>
                </w:p>
                <w:p>
                  <w:pPr>
                    <w:tabs>
                      <w:tab w:val="left" w:pos="1843"/>
                    </w:tabs>
                    <w:ind w:left="709" w:firstLine="709"/>
                    <w:jc w:val="both"/>
                    <w:rPr>
                      <w:szCs w:val="24"/>
                    </w:rPr>
                  </w:pPr>
                  <w:r>
                    <w:rPr>
                      <w:szCs w:val="24"/>
                    </w:rPr>
                    <w:t xml:space="preserve">2 lentelė. </w:t>
                  </w:r>
                  <w:r>
                    <w:rPr>
                      <w:b/>
                      <w:bCs/>
                      <w:szCs w:val="24"/>
                    </w:rPr>
                    <w:t>Pastatų rodikliai</w:t>
                  </w:r>
                </w:p>
                <w:tbl>
                  <w:tblPr>
                    <w:tblW w:w="1474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843"/>
                    <w:gridCol w:w="1275"/>
                    <w:gridCol w:w="1276"/>
                    <w:gridCol w:w="1134"/>
                    <w:gridCol w:w="1701"/>
                    <w:gridCol w:w="6804"/>
                  </w:tblGrid>
                  <w:tr>
                    <w:trPr>
                      <w:cantSplit/>
                      <w:trHeight w:val="20"/>
                    </w:trPr>
                    <w:tc>
                      <w:tcPr>
                        <w:tcW w:w="709" w:type="dxa"/>
                        <w:vMerge w:val="restart"/>
                        <w:shd w:val="clear" w:color="auto" w:fill="auto"/>
                        <w:vAlign w:val="center"/>
                      </w:tcPr>
                      <w:p>
                        <w:pPr>
                          <w:jc w:val="center"/>
                          <w:rPr>
                            <w:b/>
                            <w:bCs/>
                            <w:szCs w:val="24"/>
                            <w:lang w:eastAsia="ja-JP"/>
                          </w:rPr>
                        </w:pPr>
                        <w:r>
                          <w:rPr>
                            <w:b/>
                            <w:bCs/>
                            <w:szCs w:val="24"/>
                            <w:lang w:eastAsia="ja-JP"/>
                          </w:rPr>
                          <w:t>Eil. Nr.</w:t>
                        </w:r>
                      </w:p>
                    </w:tc>
                    <w:tc>
                      <w:tcPr>
                        <w:tcW w:w="1843" w:type="dxa"/>
                        <w:vMerge w:val="restart"/>
                        <w:shd w:val="clear" w:color="auto" w:fill="auto"/>
                        <w:vAlign w:val="center"/>
                      </w:tcPr>
                      <w:p>
                        <w:pPr>
                          <w:jc w:val="center"/>
                          <w:rPr>
                            <w:b/>
                            <w:bCs/>
                            <w:szCs w:val="24"/>
                            <w:lang w:eastAsia="ja-JP"/>
                          </w:rPr>
                        </w:pPr>
                        <w:r>
                          <w:rPr>
                            <w:b/>
                            <w:bCs/>
                            <w:szCs w:val="24"/>
                            <w:lang w:eastAsia="ja-JP"/>
                          </w:rPr>
                          <w:t>Pastatų paskirtis [15.11]</w:t>
                        </w:r>
                      </w:p>
                    </w:tc>
                    <w:tc>
                      <w:tcPr>
                        <w:tcW w:w="12190" w:type="dxa"/>
                        <w:gridSpan w:val="5"/>
                        <w:shd w:val="clear" w:color="auto" w:fill="auto"/>
                        <w:vAlign w:val="center"/>
                      </w:tcPr>
                      <w:p>
                        <w:pPr>
                          <w:jc w:val="center"/>
                          <w:rPr>
                            <w:b/>
                            <w:bCs/>
                            <w:szCs w:val="24"/>
                            <w:lang w:eastAsia="ja-JP"/>
                          </w:rPr>
                        </w:pPr>
                        <w:r>
                          <w:rPr>
                            <w:b/>
                            <w:bCs/>
                            <w:szCs w:val="24"/>
                            <w:lang w:eastAsia="ja-JP"/>
                          </w:rPr>
                          <w:t>Rodikliai, kuriuos viršijus privaloma įrengti SGG sistemas</w:t>
                        </w:r>
                        <w:r>
                          <w:rPr>
                            <w:b/>
                            <w:bCs/>
                            <w:szCs w:val="24"/>
                          </w:rPr>
                          <w:t xml:space="preserve"> (1 pastaba)</w:t>
                        </w:r>
                      </w:p>
                    </w:tc>
                  </w:tr>
                  <w:tr>
                    <w:trPr>
                      <w:cantSplit/>
                      <w:trHeight w:val="20"/>
                    </w:trPr>
                    <w:tc>
                      <w:tcPr>
                        <w:tcW w:w="709" w:type="dxa"/>
                        <w:vMerge/>
                        <w:shd w:val="clear" w:color="auto" w:fill="auto"/>
                        <w:vAlign w:val="center"/>
                      </w:tcPr>
                      <w:p>
                        <w:pPr>
                          <w:rPr>
                            <w:b/>
                            <w:bCs/>
                            <w:szCs w:val="24"/>
                            <w:lang w:eastAsia="ja-JP"/>
                          </w:rPr>
                        </w:pPr>
                      </w:p>
                    </w:tc>
                    <w:tc>
                      <w:tcPr>
                        <w:tcW w:w="1843" w:type="dxa"/>
                        <w:vMerge/>
                        <w:shd w:val="clear" w:color="auto" w:fill="auto"/>
                        <w:vAlign w:val="center"/>
                      </w:tcPr>
                      <w:p>
                        <w:pPr>
                          <w:rPr>
                            <w:b/>
                            <w:bCs/>
                            <w:szCs w:val="24"/>
                            <w:lang w:eastAsia="ja-JP"/>
                          </w:rPr>
                        </w:pPr>
                      </w:p>
                    </w:tc>
                    <w:tc>
                      <w:tcPr>
                        <w:tcW w:w="1275" w:type="dxa"/>
                        <w:shd w:val="clear" w:color="auto" w:fill="auto"/>
                        <w:vAlign w:val="center"/>
                      </w:tcPr>
                      <w:p>
                        <w:pPr>
                          <w:jc w:val="center"/>
                          <w:rPr>
                            <w:b/>
                            <w:bCs/>
                            <w:szCs w:val="24"/>
                            <w:lang w:eastAsia="ja-JP"/>
                          </w:rPr>
                        </w:pPr>
                        <w:r>
                          <w:rPr>
                            <w:b/>
                            <w:bCs/>
                            <w:szCs w:val="24"/>
                            <w:lang w:eastAsia="ja-JP"/>
                          </w:rPr>
                          <w:t>plotas</w:t>
                        </w:r>
                      </w:p>
                      <w:p>
                        <w:pPr>
                          <w:jc w:val="center"/>
                          <w:rPr>
                            <w:b/>
                            <w:bCs/>
                            <w:szCs w:val="24"/>
                            <w:lang w:eastAsia="ja-JP"/>
                          </w:rPr>
                        </w:pPr>
                        <w:r>
                          <w:rPr>
                            <w:b/>
                            <w:bCs/>
                            <w:szCs w:val="24"/>
                            <w:lang w:eastAsia="ja-JP"/>
                          </w:rPr>
                          <w:t xml:space="preserve">(kv. m) </w:t>
                        </w:r>
                      </w:p>
                      <w:p>
                        <w:pPr>
                          <w:jc w:val="center"/>
                          <w:rPr>
                            <w:b/>
                            <w:bCs/>
                            <w:szCs w:val="24"/>
                            <w:lang w:eastAsia="ja-JP"/>
                          </w:rPr>
                        </w:pPr>
                        <w:r>
                          <w:rPr>
                            <w:b/>
                            <w:bCs/>
                            <w:szCs w:val="24"/>
                            <w:lang w:eastAsia="ja-JP"/>
                          </w:rPr>
                          <w:t>(2 pastaba)</w:t>
                        </w:r>
                      </w:p>
                    </w:tc>
                    <w:tc>
                      <w:tcPr>
                        <w:tcW w:w="1276" w:type="dxa"/>
                        <w:shd w:val="clear" w:color="auto" w:fill="auto"/>
                        <w:vAlign w:val="center"/>
                      </w:tcPr>
                      <w:p>
                        <w:pPr>
                          <w:jc w:val="center"/>
                          <w:rPr>
                            <w:b/>
                            <w:bCs/>
                            <w:szCs w:val="24"/>
                            <w:lang w:eastAsia="ja-JP"/>
                          </w:rPr>
                        </w:pPr>
                        <w:r>
                          <w:rPr>
                            <w:b/>
                            <w:bCs/>
                            <w:szCs w:val="24"/>
                            <w:lang w:eastAsia="ja-JP"/>
                          </w:rPr>
                          <w:t>kategorija pagal sprogimo ar gaisro kilimo pavojų</w:t>
                        </w:r>
                      </w:p>
                    </w:tc>
                    <w:tc>
                      <w:tcPr>
                        <w:tcW w:w="1134" w:type="dxa"/>
                        <w:shd w:val="clear" w:color="auto" w:fill="auto"/>
                        <w:vAlign w:val="center"/>
                      </w:tcPr>
                      <w:p>
                        <w:pPr>
                          <w:jc w:val="center"/>
                          <w:rPr>
                            <w:b/>
                            <w:bCs/>
                            <w:szCs w:val="24"/>
                            <w:lang w:eastAsia="ja-JP"/>
                          </w:rPr>
                        </w:pPr>
                        <w:r>
                          <w:rPr>
                            <w:b/>
                            <w:bCs/>
                            <w:szCs w:val="24"/>
                            <w:lang w:eastAsia="ja-JP"/>
                          </w:rPr>
                          <w:t>žmonių skaičius (vnt.)</w:t>
                        </w:r>
                      </w:p>
                    </w:tc>
                    <w:tc>
                      <w:tcPr>
                        <w:tcW w:w="1701" w:type="dxa"/>
                        <w:shd w:val="clear" w:color="auto" w:fill="auto"/>
                        <w:vAlign w:val="center"/>
                      </w:tcPr>
                      <w:p>
                        <w:pPr>
                          <w:jc w:val="center"/>
                          <w:rPr>
                            <w:b/>
                            <w:bCs/>
                            <w:strike/>
                            <w:szCs w:val="24"/>
                            <w:lang w:eastAsia="ja-JP"/>
                          </w:rPr>
                        </w:pPr>
                        <w:r>
                          <w:rPr>
                            <w:b/>
                            <w:bCs/>
                            <w:szCs w:val="24"/>
                            <w:lang w:eastAsia="ja-JP"/>
                          </w:rPr>
                          <w:t>aukšto grindų altitudė nuo gaisrinių automobilių privažiavimo paviršiaus (m)</w:t>
                        </w:r>
                      </w:p>
                      <w:p>
                        <w:pPr>
                          <w:jc w:val="center"/>
                          <w:rPr>
                            <w:b/>
                            <w:bCs/>
                            <w:szCs w:val="24"/>
                            <w:lang w:eastAsia="ja-JP"/>
                          </w:rPr>
                        </w:pPr>
                        <w:r>
                          <w:rPr>
                            <w:b/>
                            <w:bCs/>
                            <w:szCs w:val="24"/>
                            <w:lang w:eastAsia="ja-JP"/>
                          </w:rPr>
                          <w:t>(3 pastaba)</w:t>
                        </w:r>
                      </w:p>
                    </w:tc>
                    <w:tc>
                      <w:tcPr>
                        <w:tcW w:w="6804" w:type="dxa"/>
                        <w:shd w:val="clear" w:color="auto" w:fill="auto"/>
                        <w:vAlign w:val="center"/>
                      </w:tcPr>
                      <w:p>
                        <w:pPr>
                          <w:jc w:val="center"/>
                          <w:rPr>
                            <w:b/>
                            <w:bCs/>
                            <w:szCs w:val="24"/>
                            <w:lang w:eastAsia="ja-JP"/>
                          </w:rPr>
                        </w:pPr>
                        <w:r>
                          <w:rPr>
                            <w:b/>
                            <w:bCs/>
                            <w:szCs w:val="24"/>
                            <w:lang w:eastAsia="ja-JP"/>
                          </w:rPr>
                          <w:t>kiti rodikliai</w:t>
                        </w:r>
                      </w:p>
                    </w:tc>
                  </w:tr>
                  <w:tr>
                    <w:trPr>
                      <w:cantSplit/>
                      <w:trHeight w:val="20"/>
                    </w:trPr>
                    <w:tc>
                      <w:tcPr>
                        <w:tcW w:w="709" w:type="dxa"/>
                        <w:shd w:val="clear" w:color="auto" w:fill="auto"/>
                        <w:vAlign w:val="center"/>
                      </w:tcPr>
                      <w:p>
                        <w:pPr>
                          <w:jc w:val="center"/>
                          <w:rPr>
                            <w:szCs w:val="24"/>
                            <w:lang w:eastAsia="ja-JP"/>
                          </w:rPr>
                        </w:pPr>
                        <w:r>
                          <w:rPr>
                            <w:szCs w:val="24"/>
                            <w:lang w:eastAsia="ja-JP"/>
                          </w:rPr>
                          <w:t xml:space="preserve">1. </w:t>
                        </w:r>
                      </w:p>
                    </w:tc>
                    <w:tc>
                      <w:tcPr>
                        <w:tcW w:w="1843" w:type="dxa"/>
                        <w:shd w:val="clear" w:color="auto" w:fill="auto"/>
                        <w:vAlign w:val="center"/>
                      </w:tcPr>
                      <w:p>
                        <w:pPr>
                          <w:jc w:val="center"/>
                          <w:rPr>
                            <w:szCs w:val="24"/>
                            <w:lang w:eastAsia="ja-JP"/>
                          </w:rPr>
                        </w:pPr>
                        <w:r>
                          <w:rPr>
                            <w:szCs w:val="24"/>
                            <w:lang w:eastAsia="ja-JP"/>
                          </w:rPr>
                          <w:t>Daugiabučių</w:t>
                        </w:r>
                        <w:r>
                          <w:rPr>
                            <w:strike/>
                            <w:szCs w:val="24"/>
                            <w:lang w:eastAsia="ja-JP"/>
                          </w:rPr>
                          <w:t xml:space="preserve"> </w:t>
                        </w:r>
                      </w:p>
                    </w:tc>
                    <w:tc>
                      <w:tcPr>
                        <w:tcW w:w="1275" w:type="dxa"/>
                        <w:shd w:val="clear" w:color="auto" w:fill="auto"/>
                        <w:vAlign w:val="center"/>
                      </w:tcPr>
                      <w:p>
                        <w:pPr>
                          <w:ind w:firstLine="60"/>
                          <w:jc w:val="center"/>
                          <w:rPr>
                            <w:szCs w:val="24"/>
                            <w:lang w:eastAsia="ja-JP"/>
                          </w:rPr>
                        </w:pPr>
                      </w:p>
                    </w:tc>
                    <w:tc>
                      <w:tcPr>
                        <w:tcW w:w="1276" w:type="dxa"/>
                        <w:shd w:val="clear" w:color="auto" w:fill="auto"/>
                        <w:vAlign w:val="center"/>
                      </w:tcPr>
                      <w:p>
                        <w:pPr>
                          <w:ind w:firstLine="60"/>
                          <w:jc w:val="center"/>
                          <w:rPr>
                            <w:szCs w:val="24"/>
                            <w:lang w:eastAsia="ja-JP"/>
                          </w:rPr>
                        </w:pPr>
                      </w:p>
                    </w:tc>
                    <w:tc>
                      <w:tcPr>
                        <w:tcW w:w="1134" w:type="dxa"/>
                        <w:shd w:val="clear" w:color="auto" w:fill="auto"/>
                        <w:noWrap/>
                        <w:vAlign w:val="center"/>
                      </w:tcPr>
                      <w:p>
                        <w:pPr>
                          <w:ind w:firstLine="60"/>
                          <w:jc w:val="center"/>
                          <w:rPr>
                            <w:szCs w:val="24"/>
                            <w:lang w:eastAsia="ja-JP"/>
                          </w:rPr>
                        </w:pPr>
                      </w:p>
                    </w:tc>
                    <w:tc>
                      <w:tcPr>
                        <w:tcW w:w="1701" w:type="dxa"/>
                        <w:shd w:val="clear" w:color="auto" w:fill="auto"/>
                        <w:noWrap/>
                        <w:vAlign w:val="center"/>
                      </w:tcPr>
                      <w:p>
                        <w:pPr>
                          <w:jc w:val="center"/>
                          <w:rPr>
                            <w:szCs w:val="24"/>
                            <w:lang w:eastAsia="ja-JP"/>
                          </w:rPr>
                        </w:pPr>
                        <w:r>
                          <w:rPr>
                            <w:szCs w:val="24"/>
                            <w:lang w:eastAsia="ja-JP"/>
                          </w:rPr>
                          <w:t>≥ 75</w:t>
                        </w:r>
                      </w:p>
                    </w:tc>
                    <w:tc>
                      <w:tcPr>
                        <w:tcW w:w="6804" w:type="dxa"/>
                        <w:shd w:val="clear" w:color="auto" w:fill="auto"/>
                        <w:vAlign w:val="center"/>
                      </w:tcPr>
                      <w:p>
                        <w:pPr>
                          <w:ind w:firstLine="60"/>
                          <w:jc w:val="center"/>
                          <w:rPr>
                            <w:szCs w:val="24"/>
                            <w:lang w:eastAsia="ja-JP"/>
                          </w:rPr>
                        </w:pPr>
                      </w:p>
                    </w:tc>
                  </w:tr>
                  <w:tr>
                    <w:trPr>
                      <w:cantSplit/>
                      <w:trHeight w:val="20"/>
                    </w:trPr>
                    <w:tc>
                      <w:tcPr>
                        <w:tcW w:w="709" w:type="dxa"/>
                        <w:shd w:val="clear" w:color="auto" w:fill="auto"/>
                        <w:vAlign w:val="center"/>
                      </w:tcPr>
                      <w:p>
                        <w:pPr>
                          <w:jc w:val="center"/>
                          <w:rPr>
                            <w:szCs w:val="24"/>
                            <w:lang w:eastAsia="ja-JP"/>
                          </w:rPr>
                        </w:pPr>
                        <w:r>
                          <w:rPr>
                            <w:szCs w:val="24"/>
                            <w:lang w:eastAsia="ja-JP"/>
                          </w:rPr>
                          <w:t xml:space="preserve">2. </w:t>
                        </w:r>
                      </w:p>
                    </w:tc>
                    <w:tc>
                      <w:tcPr>
                        <w:tcW w:w="1843" w:type="dxa"/>
                        <w:shd w:val="clear" w:color="auto" w:fill="auto"/>
                        <w:vAlign w:val="center"/>
                      </w:tcPr>
                      <w:p>
                        <w:pPr>
                          <w:jc w:val="center"/>
                          <w:rPr>
                            <w:strike/>
                            <w:szCs w:val="24"/>
                            <w:lang w:eastAsia="ja-JP"/>
                          </w:rPr>
                        </w:pPr>
                        <w:r>
                          <w:rPr>
                            <w:szCs w:val="24"/>
                            <w:lang w:eastAsia="ja-JP"/>
                          </w:rPr>
                          <w:t>Įvairių socialinių grupių</w:t>
                        </w:r>
                        <w:r>
                          <w:rPr>
                            <w:strike/>
                            <w:szCs w:val="24"/>
                            <w:lang w:eastAsia="ja-JP"/>
                          </w:rPr>
                          <w:t xml:space="preserve"> </w:t>
                        </w:r>
                      </w:p>
                    </w:tc>
                    <w:tc>
                      <w:tcPr>
                        <w:tcW w:w="1275" w:type="dxa"/>
                        <w:shd w:val="clear" w:color="auto" w:fill="auto"/>
                        <w:vAlign w:val="center"/>
                      </w:tcPr>
                      <w:p>
                        <w:pPr>
                          <w:ind w:firstLine="60"/>
                          <w:jc w:val="center"/>
                          <w:rPr>
                            <w:szCs w:val="24"/>
                            <w:lang w:eastAsia="ja-JP"/>
                          </w:rPr>
                        </w:pPr>
                      </w:p>
                    </w:tc>
                    <w:tc>
                      <w:tcPr>
                        <w:tcW w:w="1276" w:type="dxa"/>
                        <w:shd w:val="clear" w:color="auto" w:fill="auto"/>
                        <w:noWrap/>
                        <w:vAlign w:val="center"/>
                      </w:tcPr>
                      <w:p>
                        <w:pPr>
                          <w:ind w:firstLine="60"/>
                          <w:jc w:val="center"/>
                          <w:rPr>
                            <w:szCs w:val="24"/>
                            <w:lang w:eastAsia="ja-JP"/>
                          </w:rPr>
                        </w:pPr>
                      </w:p>
                    </w:tc>
                    <w:tc>
                      <w:tcPr>
                        <w:tcW w:w="1134" w:type="dxa"/>
                        <w:shd w:val="clear" w:color="auto" w:fill="auto"/>
                        <w:vAlign w:val="center"/>
                      </w:tcPr>
                      <w:p>
                        <w:pPr>
                          <w:ind w:firstLine="60"/>
                          <w:jc w:val="center"/>
                          <w:rPr>
                            <w:szCs w:val="24"/>
                            <w:lang w:eastAsia="ja-JP"/>
                          </w:rPr>
                        </w:pPr>
                      </w:p>
                    </w:tc>
                    <w:tc>
                      <w:tcPr>
                        <w:tcW w:w="1701" w:type="dxa"/>
                        <w:shd w:val="clear" w:color="auto" w:fill="auto"/>
                        <w:vAlign w:val="center"/>
                      </w:tcPr>
                      <w:p>
                        <w:pPr>
                          <w:jc w:val="center"/>
                          <w:rPr>
                            <w:szCs w:val="24"/>
                            <w:lang w:eastAsia="ja-JP"/>
                          </w:rPr>
                        </w:pPr>
                        <w:r>
                          <w:rPr>
                            <w:szCs w:val="24"/>
                            <w:lang w:eastAsia="ja-JP"/>
                          </w:rPr>
                          <w:t>≥ 42</w:t>
                        </w:r>
                      </w:p>
                    </w:tc>
                    <w:tc>
                      <w:tcPr>
                        <w:tcW w:w="6804" w:type="dxa"/>
                        <w:shd w:val="clear" w:color="auto" w:fill="auto"/>
                        <w:noWrap/>
                        <w:vAlign w:val="center"/>
                      </w:tcPr>
                      <w:p>
                        <w:pPr>
                          <w:ind w:firstLine="60"/>
                          <w:jc w:val="center"/>
                          <w:rPr>
                            <w:szCs w:val="24"/>
                            <w:lang w:eastAsia="ja-JP"/>
                          </w:rPr>
                        </w:pPr>
                      </w:p>
                    </w:tc>
                  </w:tr>
                  <w:tr>
                    <w:trPr>
                      <w:cantSplit/>
                      <w:trHeight w:val="20"/>
                    </w:trPr>
                    <w:tc>
                      <w:tcPr>
                        <w:tcW w:w="709" w:type="dxa"/>
                        <w:shd w:val="clear" w:color="auto" w:fill="auto"/>
                        <w:vAlign w:val="center"/>
                      </w:tcPr>
                      <w:p>
                        <w:pPr>
                          <w:jc w:val="center"/>
                          <w:rPr>
                            <w:strike/>
                            <w:szCs w:val="24"/>
                            <w:lang w:eastAsia="ja-JP"/>
                          </w:rPr>
                        </w:pPr>
                        <w:r>
                          <w:rPr>
                            <w:szCs w:val="24"/>
                            <w:lang w:eastAsia="ja-JP"/>
                          </w:rPr>
                          <w:t>3.</w:t>
                        </w:r>
                      </w:p>
                    </w:tc>
                    <w:tc>
                      <w:tcPr>
                        <w:tcW w:w="1843" w:type="dxa"/>
                        <w:shd w:val="clear" w:color="auto" w:fill="auto"/>
                        <w:vAlign w:val="center"/>
                      </w:tcPr>
                      <w:p>
                        <w:pPr>
                          <w:jc w:val="center"/>
                          <w:rPr>
                            <w:szCs w:val="24"/>
                            <w:lang w:eastAsia="ja-JP"/>
                          </w:rPr>
                        </w:pPr>
                        <w:r>
                          <w:rPr>
                            <w:szCs w:val="24"/>
                            <w:lang w:eastAsia="ja-JP"/>
                          </w:rPr>
                          <w:t>Viešbučių</w:t>
                        </w:r>
                      </w:p>
                    </w:tc>
                    <w:tc>
                      <w:tcPr>
                        <w:tcW w:w="1275" w:type="dxa"/>
                        <w:shd w:val="clear" w:color="auto" w:fill="auto"/>
                        <w:vAlign w:val="center"/>
                      </w:tcPr>
                      <w:p>
                        <w:pPr>
                          <w:ind w:firstLine="60"/>
                          <w:jc w:val="center"/>
                          <w:rPr>
                            <w:szCs w:val="24"/>
                            <w:lang w:eastAsia="ja-JP"/>
                          </w:rPr>
                        </w:pPr>
                      </w:p>
                    </w:tc>
                    <w:tc>
                      <w:tcPr>
                        <w:tcW w:w="1276" w:type="dxa"/>
                        <w:shd w:val="clear" w:color="auto" w:fill="auto"/>
                        <w:noWrap/>
                        <w:vAlign w:val="center"/>
                      </w:tcPr>
                      <w:p>
                        <w:pPr>
                          <w:ind w:firstLine="60"/>
                          <w:jc w:val="center"/>
                          <w:rPr>
                            <w:szCs w:val="24"/>
                            <w:lang w:eastAsia="ja-JP"/>
                          </w:rPr>
                        </w:pPr>
                      </w:p>
                    </w:tc>
                    <w:tc>
                      <w:tcPr>
                        <w:tcW w:w="1134" w:type="dxa"/>
                        <w:shd w:val="clear" w:color="auto" w:fill="auto"/>
                        <w:noWrap/>
                        <w:vAlign w:val="center"/>
                      </w:tcPr>
                      <w:p>
                        <w:pPr>
                          <w:ind w:firstLine="60"/>
                          <w:jc w:val="center"/>
                          <w:rPr>
                            <w:szCs w:val="24"/>
                            <w:lang w:eastAsia="ja-JP"/>
                          </w:rPr>
                        </w:pPr>
                      </w:p>
                    </w:tc>
                    <w:tc>
                      <w:tcPr>
                        <w:tcW w:w="1701" w:type="dxa"/>
                        <w:shd w:val="clear" w:color="auto" w:fill="auto"/>
                        <w:vAlign w:val="center"/>
                      </w:tcPr>
                      <w:p>
                        <w:pPr>
                          <w:jc w:val="center"/>
                          <w:rPr>
                            <w:szCs w:val="24"/>
                            <w:lang w:eastAsia="ja-JP"/>
                          </w:rPr>
                        </w:pPr>
                        <w:r>
                          <w:rPr>
                            <w:szCs w:val="24"/>
                            <w:lang w:eastAsia="ja-JP"/>
                          </w:rPr>
                          <w:t>≥ 26,5</w:t>
                        </w:r>
                      </w:p>
                    </w:tc>
                    <w:tc>
                      <w:tcPr>
                        <w:tcW w:w="6804" w:type="dxa"/>
                        <w:shd w:val="clear" w:color="auto" w:fill="auto"/>
                        <w:vAlign w:val="center"/>
                      </w:tcPr>
                      <w:p>
                        <w:pPr>
                          <w:ind w:firstLine="60"/>
                          <w:jc w:val="center"/>
                          <w:rPr>
                            <w:szCs w:val="24"/>
                            <w:lang w:eastAsia="ja-JP"/>
                          </w:rPr>
                        </w:pPr>
                      </w:p>
                    </w:tc>
                  </w:tr>
                  <w:tr>
                    <w:trPr>
                      <w:cantSplit/>
                      <w:trHeight w:val="20"/>
                    </w:trPr>
                    <w:tc>
                      <w:tcPr>
                        <w:tcW w:w="709" w:type="dxa"/>
                        <w:shd w:val="clear" w:color="auto" w:fill="auto"/>
                        <w:vAlign w:val="center"/>
                      </w:tcPr>
                      <w:p>
                        <w:pPr>
                          <w:jc w:val="center"/>
                          <w:rPr>
                            <w:strike/>
                            <w:szCs w:val="24"/>
                            <w:lang w:eastAsia="ja-JP"/>
                          </w:rPr>
                        </w:pPr>
                        <w:r>
                          <w:rPr>
                            <w:szCs w:val="24"/>
                            <w:lang w:eastAsia="ja-JP"/>
                          </w:rPr>
                          <w:t>4.</w:t>
                        </w:r>
                      </w:p>
                    </w:tc>
                    <w:tc>
                      <w:tcPr>
                        <w:tcW w:w="1843" w:type="dxa"/>
                        <w:shd w:val="clear" w:color="auto" w:fill="auto"/>
                        <w:vAlign w:val="center"/>
                      </w:tcPr>
                      <w:p>
                        <w:pPr>
                          <w:jc w:val="center"/>
                          <w:rPr>
                            <w:szCs w:val="24"/>
                            <w:lang w:eastAsia="ja-JP"/>
                          </w:rPr>
                        </w:pPr>
                        <w:r>
                          <w:rPr>
                            <w:szCs w:val="24"/>
                            <w:lang w:eastAsia="ja-JP"/>
                          </w:rPr>
                          <w:t>Bendro gyvenimo namų</w:t>
                        </w:r>
                      </w:p>
                    </w:tc>
                    <w:tc>
                      <w:tcPr>
                        <w:tcW w:w="1275" w:type="dxa"/>
                        <w:shd w:val="clear" w:color="auto" w:fill="auto"/>
                        <w:vAlign w:val="center"/>
                      </w:tcPr>
                      <w:p>
                        <w:pPr>
                          <w:ind w:firstLine="60"/>
                          <w:jc w:val="center"/>
                          <w:rPr>
                            <w:szCs w:val="24"/>
                            <w:lang w:eastAsia="ja-JP"/>
                          </w:rPr>
                        </w:pPr>
                      </w:p>
                    </w:tc>
                    <w:tc>
                      <w:tcPr>
                        <w:tcW w:w="1276" w:type="dxa"/>
                        <w:shd w:val="clear" w:color="auto" w:fill="auto"/>
                        <w:noWrap/>
                        <w:vAlign w:val="center"/>
                      </w:tcPr>
                      <w:p>
                        <w:pPr>
                          <w:ind w:firstLine="60"/>
                          <w:jc w:val="center"/>
                          <w:rPr>
                            <w:szCs w:val="24"/>
                            <w:lang w:eastAsia="ja-JP"/>
                          </w:rPr>
                        </w:pPr>
                      </w:p>
                    </w:tc>
                    <w:tc>
                      <w:tcPr>
                        <w:tcW w:w="1134" w:type="dxa"/>
                        <w:shd w:val="clear" w:color="auto" w:fill="auto"/>
                        <w:noWrap/>
                        <w:vAlign w:val="center"/>
                      </w:tcPr>
                      <w:p>
                        <w:pPr>
                          <w:ind w:firstLine="60"/>
                          <w:jc w:val="center"/>
                          <w:rPr>
                            <w:szCs w:val="24"/>
                            <w:lang w:eastAsia="ja-JP"/>
                          </w:rPr>
                        </w:pPr>
                      </w:p>
                    </w:tc>
                    <w:tc>
                      <w:tcPr>
                        <w:tcW w:w="1701" w:type="dxa"/>
                        <w:shd w:val="clear" w:color="auto" w:fill="auto"/>
                        <w:vAlign w:val="center"/>
                      </w:tcPr>
                      <w:p>
                        <w:pPr>
                          <w:jc w:val="center"/>
                          <w:rPr>
                            <w:szCs w:val="24"/>
                            <w:lang w:eastAsia="ja-JP"/>
                          </w:rPr>
                        </w:pPr>
                        <w:r>
                          <w:rPr>
                            <w:szCs w:val="24"/>
                            <w:lang w:eastAsia="ja-JP"/>
                          </w:rPr>
                          <w:t>≥ 26,5</w:t>
                        </w:r>
                        <w:r>
                          <w:rPr>
                            <w:strike/>
                            <w:szCs w:val="24"/>
                            <w:lang w:eastAsia="ja-JP"/>
                          </w:rPr>
                          <w:t xml:space="preserve"> </w:t>
                        </w:r>
                      </w:p>
                    </w:tc>
                    <w:tc>
                      <w:tcPr>
                        <w:tcW w:w="6804" w:type="dxa"/>
                        <w:shd w:val="clear" w:color="auto" w:fill="auto"/>
                        <w:vAlign w:val="center"/>
                      </w:tcPr>
                      <w:p>
                        <w:pPr>
                          <w:ind w:firstLine="60"/>
                          <w:jc w:val="center"/>
                          <w:rPr>
                            <w:szCs w:val="24"/>
                            <w:lang w:eastAsia="ja-JP"/>
                          </w:rPr>
                        </w:pPr>
                      </w:p>
                    </w:tc>
                  </w:tr>
                  <w:tr>
                    <w:trPr>
                      <w:cantSplit/>
                      <w:trHeight w:val="20"/>
                    </w:trPr>
                    <w:tc>
                      <w:tcPr>
                        <w:tcW w:w="709" w:type="dxa"/>
                        <w:shd w:val="clear" w:color="auto" w:fill="auto"/>
                        <w:vAlign w:val="center"/>
                      </w:tcPr>
                      <w:p>
                        <w:pPr>
                          <w:jc w:val="center"/>
                          <w:rPr>
                            <w:strike/>
                            <w:szCs w:val="24"/>
                            <w:lang w:eastAsia="ja-JP"/>
                          </w:rPr>
                        </w:pPr>
                        <w:r>
                          <w:rPr>
                            <w:szCs w:val="24"/>
                            <w:lang w:eastAsia="ja-JP"/>
                          </w:rPr>
                          <w:t>5.</w:t>
                        </w:r>
                        <w:r>
                          <w:rPr>
                            <w:strike/>
                            <w:szCs w:val="24"/>
                            <w:lang w:eastAsia="ja-JP"/>
                          </w:rPr>
                          <w:t xml:space="preserve"> </w:t>
                        </w:r>
                      </w:p>
                    </w:tc>
                    <w:tc>
                      <w:tcPr>
                        <w:tcW w:w="1843" w:type="dxa"/>
                        <w:shd w:val="clear" w:color="auto" w:fill="auto"/>
                        <w:vAlign w:val="center"/>
                      </w:tcPr>
                      <w:p>
                        <w:pPr>
                          <w:jc w:val="center"/>
                          <w:rPr>
                            <w:szCs w:val="24"/>
                            <w:lang w:eastAsia="ja-JP"/>
                          </w:rPr>
                        </w:pPr>
                        <w:r>
                          <w:rPr>
                            <w:szCs w:val="24"/>
                            <w:lang w:eastAsia="ja-JP"/>
                          </w:rPr>
                          <w:t>Administracinių</w:t>
                        </w:r>
                      </w:p>
                    </w:tc>
                    <w:tc>
                      <w:tcPr>
                        <w:tcW w:w="1275" w:type="dxa"/>
                        <w:shd w:val="clear" w:color="auto" w:fill="auto"/>
                        <w:vAlign w:val="center"/>
                      </w:tcPr>
                      <w:p>
                        <w:pPr>
                          <w:ind w:firstLine="60"/>
                          <w:jc w:val="center"/>
                          <w:rPr>
                            <w:szCs w:val="24"/>
                            <w:lang w:eastAsia="ja-JP"/>
                          </w:rPr>
                        </w:pPr>
                      </w:p>
                    </w:tc>
                    <w:tc>
                      <w:tcPr>
                        <w:tcW w:w="1276" w:type="dxa"/>
                        <w:shd w:val="clear" w:color="auto" w:fill="auto"/>
                        <w:noWrap/>
                        <w:vAlign w:val="center"/>
                      </w:tcPr>
                      <w:p>
                        <w:pPr>
                          <w:ind w:firstLine="60"/>
                          <w:jc w:val="center"/>
                          <w:rPr>
                            <w:szCs w:val="24"/>
                            <w:lang w:eastAsia="ja-JP"/>
                          </w:rPr>
                        </w:pPr>
                      </w:p>
                    </w:tc>
                    <w:tc>
                      <w:tcPr>
                        <w:tcW w:w="1134" w:type="dxa"/>
                        <w:shd w:val="clear" w:color="auto" w:fill="auto"/>
                        <w:noWrap/>
                        <w:vAlign w:val="center"/>
                      </w:tcPr>
                      <w:p>
                        <w:pPr>
                          <w:ind w:firstLine="60"/>
                          <w:jc w:val="center"/>
                          <w:rPr>
                            <w:szCs w:val="24"/>
                            <w:lang w:eastAsia="ja-JP"/>
                          </w:rPr>
                        </w:pPr>
                      </w:p>
                    </w:tc>
                    <w:tc>
                      <w:tcPr>
                        <w:tcW w:w="1701" w:type="dxa"/>
                        <w:shd w:val="clear" w:color="auto" w:fill="auto"/>
                        <w:vAlign w:val="center"/>
                      </w:tcPr>
                      <w:p>
                        <w:pPr>
                          <w:jc w:val="center"/>
                          <w:rPr>
                            <w:szCs w:val="24"/>
                            <w:lang w:eastAsia="ja-JP"/>
                          </w:rPr>
                        </w:pPr>
                        <w:r>
                          <w:rPr>
                            <w:szCs w:val="24"/>
                            <w:lang w:eastAsia="ja-JP"/>
                          </w:rPr>
                          <w:t>≥ 42</w:t>
                        </w:r>
                      </w:p>
                    </w:tc>
                    <w:tc>
                      <w:tcPr>
                        <w:tcW w:w="6804" w:type="dxa"/>
                        <w:shd w:val="clear" w:color="auto" w:fill="auto"/>
                        <w:vAlign w:val="center"/>
                      </w:tcPr>
                      <w:p>
                        <w:pPr>
                          <w:ind w:firstLine="60"/>
                          <w:jc w:val="center"/>
                          <w:rPr>
                            <w:szCs w:val="24"/>
                            <w:lang w:eastAsia="ja-JP"/>
                          </w:rPr>
                        </w:pPr>
                      </w:p>
                    </w:tc>
                  </w:tr>
                  <w:tr>
                    <w:trPr>
                      <w:cantSplit/>
                      <w:trHeight w:val="20"/>
                    </w:trPr>
                    <w:tc>
                      <w:tcPr>
                        <w:tcW w:w="709" w:type="dxa"/>
                        <w:shd w:val="clear" w:color="auto" w:fill="auto"/>
                        <w:vAlign w:val="center"/>
                      </w:tcPr>
                      <w:p>
                        <w:pPr>
                          <w:jc w:val="center"/>
                          <w:rPr>
                            <w:szCs w:val="24"/>
                            <w:lang w:eastAsia="ja-JP"/>
                          </w:rPr>
                        </w:pPr>
                        <w:r>
                          <w:rPr>
                            <w:szCs w:val="24"/>
                            <w:lang w:eastAsia="ja-JP"/>
                          </w:rPr>
                          <w:t>6.</w:t>
                        </w:r>
                      </w:p>
                    </w:tc>
                    <w:tc>
                      <w:tcPr>
                        <w:tcW w:w="1843" w:type="dxa"/>
                        <w:shd w:val="clear" w:color="auto" w:fill="auto"/>
                        <w:vAlign w:val="center"/>
                      </w:tcPr>
                      <w:p>
                        <w:pPr>
                          <w:jc w:val="center"/>
                          <w:rPr>
                            <w:szCs w:val="24"/>
                            <w:lang w:eastAsia="ja-JP"/>
                          </w:rPr>
                        </w:pPr>
                        <w:r>
                          <w:rPr>
                            <w:szCs w:val="24"/>
                            <w:lang w:eastAsia="ja-JP"/>
                          </w:rPr>
                          <w:t>Prekybos</w:t>
                        </w:r>
                      </w:p>
                    </w:tc>
                    <w:tc>
                      <w:tcPr>
                        <w:tcW w:w="1275" w:type="dxa"/>
                        <w:shd w:val="clear" w:color="auto" w:fill="auto"/>
                        <w:noWrap/>
                        <w:vAlign w:val="center"/>
                      </w:tcPr>
                      <w:p>
                        <w:pPr>
                          <w:jc w:val="center"/>
                          <w:rPr>
                            <w:szCs w:val="24"/>
                            <w:lang w:eastAsia="ja-JP"/>
                          </w:rPr>
                        </w:pPr>
                        <w:r>
                          <w:rPr>
                            <w:szCs w:val="24"/>
                            <w:lang w:eastAsia="ja-JP"/>
                          </w:rPr>
                          <w:t>≥ 2 000</w:t>
                        </w:r>
                      </w:p>
                    </w:tc>
                    <w:tc>
                      <w:tcPr>
                        <w:tcW w:w="1276" w:type="dxa"/>
                        <w:shd w:val="clear" w:color="auto" w:fill="auto"/>
                        <w:noWrap/>
                        <w:vAlign w:val="center"/>
                      </w:tcPr>
                      <w:p>
                        <w:pPr>
                          <w:ind w:firstLine="60"/>
                          <w:jc w:val="center"/>
                          <w:rPr>
                            <w:szCs w:val="24"/>
                            <w:lang w:eastAsia="ja-JP"/>
                          </w:rPr>
                        </w:pPr>
                      </w:p>
                    </w:tc>
                    <w:tc>
                      <w:tcPr>
                        <w:tcW w:w="1134" w:type="dxa"/>
                        <w:shd w:val="clear" w:color="auto" w:fill="auto"/>
                        <w:noWrap/>
                        <w:vAlign w:val="center"/>
                      </w:tcPr>
                      <w:p>
                        <w:pPr>
                          <w:ind w:firstLine="60"/>
                          <w:jc w:val="center"/>
                          <w:rPr>
                            <w:szCs w:val="24"/>
                            <w:lang w:eastAsia="ja-JP"/>
                          </w:rPr>
                        </w:pPr>
                      </w:p>
                    </w:tc>
                    <w:tc>
                      <w:tcPr>
                        <w:tcW w:w="1701" w:type="dxa"/>
                        <w:shd w:val="clear" w:color="auto" w:fill="auto"/>
                        <w:noWrap/>
                        <w:vAlign w:val="center"/>
                      </w:tcPr>
                      <w:p>
                        <w:pPr>
                          <w:ind w:firstLine="60"/>
                          <w:jc w:val="center"/>
                          <w:rPr>
                            <w:szCs w:val="24"/>
                            <w:lang w:eastAsia="ja-JP"/>
                          </w:rPr>
                        </w:pPr>
                      </w:p>
                    </w:tc>
                    <w:tc>
                      <w:tcPr>
                        <w:tcW w:w="6804" w:type="dxa"/>
                        <w:shd w:val="clear" w:color="auto" w:fill="auto"/>
                        <w:vAlign w:val="center"/>
                      </w:tcPr>
                      <w:p>
                        <w:pPr>
                          <w:ind w:firstLine="60"/>
                          <w:jc w:val="center"/>
                          <w:rPr>
                            <w:szCs w:val="24"/>
                            <w:lang w:eastAsia="ja-JP"/>
                          </w:rPr>
                        </w:pPr>
                      </w:p>
                    </w:tc>
                  </w:tr>
                  <w:tr>
                    <w:trPr>
                      <w:cantSplit/>
                      <w:trHeight w:val="20"/>
                    </w:trPr>
                    <w:tc>
                      <w:tcPr>
                        <w:tcW w:w="709" w:type="dxa"/>
                        <w:vMerge w:val="restart"/>
                        <w:shd w:val="clear" w:color="auto" w:fill="auto"/>
                        <w:vAlign w:val="center"/>
                      </w:tcPr>
                      <w:p>
                        <w:pPr>
                          <w:jc w:val="center"/>
                          <w:rPr>
                            <w:szCs w:val="24"/>
                            <w:lang w:eastAsia="ja-JP"/>
                          </w:rPr>
                        </w:pPr>
                        <w:r>
                          <w:rPr>
                            <w:szCs w:val="24"/>
                            <w:lang w:eastAsia="ja-JP"/>
                          </w:rPr>
                          <w:t>7.</w:t>
                        </w:r>
                      </w:p>
                    </w:tc>
                    <w:tc>
                      <w:tcPr>
                        <w:tcW w:w="1843" w:type="dxa"/>
                        <w:vMerge w:val="restart"/>
                        <w:shd w:val="clear" w:color="auto" w:fill="auto"/>
                        <w:vAlign w:val="center"/>
                      </w:tcPr>
                      <w:p>
                        <w:pPr>
                          <w:jc w:val="center"/>
                          <w:rPr>
                            <w:szCs w:val="24"/>
                            <w:lang w:eastAsia="ja-JP"/>
                          </w:rPr>
                        </w:pPr>
                        <w:r>
                          <w:rPr>
                            <w:szCs w:val="24"/>
                            <w:lang w:eastAsia="ja-JP"/>
                          </w:rPr>
                          <w:t>Paslaugų, specialiųjų paslaugų</w:t>
                        </w:r>
                      </w:p>
                    </w:tc>
                    <w:tc>
                      <w:tcPr>
                        <w:tcW w:w="1275" w:type="dxa"/>
                        <w:shd w:val="clear" w:color="auto" w:fill="auto"/>
                        <w:noWrap/>
                        <w:vAlign w:val="center"/>
                      </w:tcPr>
                      <w:p>
                        <w:pPr>
                          <w:ind w:firstLine="60"/>
                          <w:jc w:val="center"/>
                          <w:rPr>
                            <w:szCs w:val="24"/>
                            <w:lang w:eastAsia="ja-JP"/>
                          </w:rPr>
                        </w:pPr>
                      </w:p>
                    </w:tc>
                    <w:tc>
                      <w:tcPr>
                        <w:tcW w:w="1276" w:type="dxa"/>
                        <w:shd w:val="clear" w:color="auto" w:fill="auto"/>
                        <w:noWrap/>
                        <w:vAlign w:val="center"/>
                      </w:tcPr>
                      <w:p>
                        <w:pPr>
                          <w:ind w:firstLine="60"/>
                          <w:jc w:val="center"/>
                          <w:rPr>
                            <w:szCs w:val="24"/>
                            <w:lang w:eastAsia="ja-JP"/>
                          </w:rPr>
                        </w:pPr>
                      </w:p>
                    </w:tc>
                    <w:tc>
                      <w:tcPr>
                        <w:tcW w:w="1134" w:type="dxa"/>
                        <w:shd w:val="clear" w:color="auto" w:fill="auto"/>
                        <w:vAlign w:val="center"/>
                      </w:tcPr>
                      <w:p>
                        <w:pPr>
                          <w:jc w:val="center"/>
                          <w:rPr>
                            <w:szCs w:val="24"/>
                            <w:lang w:eastAsia="ja-JP"/>
                          </w:rPr>
                        </w:pPr>
                        <w:r>
                          <w:rPr>
                            <w:szCs w:val="24"/>
                            <w:lang w:eastAsia="ja-JP"/>
                          </w:rPr>
                          <w:t>≥ 5 000</w:t>
                        </w:r>
                      </w:p>
                    </w:tc>
                    <w:tc>
                      <w:tcPr>
                        <w:tcW w:w="1701" w:type="dxa"/>
                        <w:shd w:val="clear" w:color="auto" w:fill="auto"/>
                        <w:noWrap/>
                        <w:vAlign w:val="center"/>
                      </w:tcPr>
                      <w:p>
                        <w:pPr>
                          <w:ind w:firstLine="60"/>
                          <w:jc w:val="center"/>
                          <w:rPr>
                            <w:szCs w:val="24"/>
                            <w:lang w:eastAsia="ja-JP"/>
                          </w:rPr>
                        </w:pPr>
                      </w:p>
                    </w:tc>
                    <w:tc>
                      <w:tcPr>
                        <w:tcW w:w="6804" w:type="dxa"/>
                        <w:shd w:val="clear" w:color="auto" w:fill="auto"/>
                        <w:noWrap/>
                        <w:vAlign w:val="center"/>
                      </w:tcPr>
                      <w:p>
                        <w:pPr>
                          <w:ind w:firstLine="60"/>
                          <w:jc w:val="center"/>
                          <w:rPr>
                            <w:szCs w:val="24"/>
                            <w:lang w:eastAsia="ja-JP"/>
                          </w:rPr>
                        </w:pPr>
                      </w:p>
                    </w:tc>
                  </w:tr>
                  <w:tr>
                    <w:trPr>
                      <w:cantSplit/>
                      <w:trHeight w:val="20"/>
                    </w:trPr>
                    <w:tc>
                      <w:tcPr>
                        <w:tcW w:w="709" w:type="dxa"/>
                        <w:vMerge/>
                        <w:shd w:val="clear" w:color="auto" w:fill="auto"/>
                        <w:vAlign w:val="center"/>
                      </w:tcPr>
                      <w:p>
                        <w:pPr>
                          <w:rPr>
                            <w:szCs w:val="24"/>
                            <w:lang w:eastAsia="ja-JP"/>
                          </w:rPr>
                        </w:pPr>
                      </w:p>
                    </w:tc>
                    <w:tc>
                      <w:tcPr>
                        <w:tcW w:w="1843" w:type="dxa"/>
                        <w:vMerge/>
                        <w:shd w:val="clear" w:color="auto" w:fill="auto"/>
                        <w:vAlign w:val="center"/>
                      </w:tcPr>
                      <w:p>
                        <w:pPr>
                          <w:rPr>
                            <w:szCs w:val="24"/>
                            <w:lang w:eastAsia="ja-JP"/>
                          </w:rPr>
                        </w:pPr>
                      </w:p>
                    </w:tc>
                    <w:tc>
                      <w:tcPr>
                        <w:tcW w:w="1275" w:type="dxa"/>
                        <w:shd w:val="clear" w:color="auto" w:fill="auto"/>
                        <w:vAlign w:val="center"/>
                      </w:tcPr>
                      <w:p>
                        <w:pPr>
                          <w:jc w:val="center"/>
                          <w:rPr>
                            <w:szCs w:val="24"/>
                            <w:lang w:eastAsia="ja-JP"/>
                          </w:rPr>
                        </w:pPr>
                        <w:r>
                          <w:rPr>
                            <w:szCs w:val="24"/>
                            <w:lang w:eastAsia="ja-JP"/>
                          </w:rPr>
                          <w:t>≥ 2 000</w:t>
                        </w:r>
                      </w:p>
                    </w:tc>
                    <w:tc>
                      <w:tcPr>
                        <w:tcW w:w="1276" w:type="dxa"/>
                        <w:shd w:val="clear" w:color="auto" w:fill="auto"/>
                        <w:vAlign w:val="center"/>
                      </w:tcPr>
                      <w:p>
                        <w:pPr>
                          <w:jc w:val="center"/>
                          <w:rPr>
                            <w:szCs w:val="24"/>
                            <w:lang w:eastAsia="ja-JP"/>
                          </w:rPr>
                        </w:pPr>
                      </w:p>
                    </w:tc>
                    <w:tc>
                      <w:tcPr>
                        <w:tcW w:w="1134" w:type="dxa"/>
                        <w:shd w:val="clear" w:color="auto" w:fill="auto"/>
                        <w:vAlign w:val="center"/>
                      </w:tcPr>
                      <w:p>
                        <w:pPr>
                          <w:ind w:firstLine="60"/>
                          <w:jc w:val="center"/>
                          <w:rPr>
                            <w:szCs w:val="24"/>
                            <w:lang w:eastAsia="ja-JP"/>
                          </w:rPr>
                        </w:pPr>
                      </w:p>
                    </w:tc>
                    <w:tc>
                      <w:tcPr>
                        <w:tcW w:w="1701" w:type="dxa"/>
                        <w:shd w:val="clear" w:color="auto" w:fill="auto"/>
                        <w:noWrap/>
                        <w:vAlign w:val="center"/>
                      </w:tcPr>
                      <w:p>
                        <w:pPr>
                          <w:ind w:firstLine="60"/>
                          <w:jc w:val="center"/>
                          <w:rPr>
                            <w:szCs w:val="24"/>
                            <w:lang w:eastAsia="ja-JP"/>
                          </w:rPr>
                        </w:pPr>
                      </w:p>
                    </w:tc>
                    <w:tc>
                      <w:tcPr>
                        <w:tcW w:w="6804" w:type="dxa"/>
                        <w:shd w:val="clear" w:color="auto" w:fill="auto"/>
                        <w:noWrap/>
                        <w:vAlign w:val="center"/>
                      </w:tcPr>
                      <w:p>
                        <w:pPr>
                          <w:rPr>
                            <w:szCs w:val="24"/>
                            <w:lang w:eastAsia="ja-JP"/>
                          </w:rPr>
                        </w:pPr>
                        <w:r>
                          <w:rPr>
                            <w:szCs w:val="24"/>
                            <w:lang w:eastAsia="ja-JP"/>
                          </w:rPr>
                          <w:t>automobilių servisuose </w:t>
                        </w:r>
                      </w:p>
                    </w:tc>
                  </w:tr>
                  <w:tr>
                    <w:trPr>
                      <w:cantSplit/>
                      <w:trHeight w:val="20"/>
                    </w:trPr>
                    <w:tc>
                      <w:tcPr>
                        <w:tcW w:w="709" w:type="dxa"/>
                        <w:shd w:val="clear" w:color="auto" w:fill="auto"/>
                        <w:vAlign w:val="center"/>
                      </w:tcPr>
                      <w:p>
                        <w:pPr>
                          <w:jc w:val="center"/>
                          <w:rPr>
                            <w:szCs w:val="24"/>
                            <w:lang w:eastAsia="ja-JP"/>
                          </w:rPr>
                        </w:pPr>
                        <w:r>
                          <w:rPr>
                            <w:szCs w:val="24"/>
                            <w:lang w:eastAsia="ja-JP"/>
                          </w:rPr>
                          <w:t>8.</w:t>
                        </w:r>
                      </w:p>
                    </w:tc>
                    <w:tc>
                      <w:tcPr>
                        <w:tcW w:w="1843" w:type="dxa"/>
                        <w:shd w:val="clear" w:color="auto" w:fill="auto"/>
                        <w:vAlign w:val="center"/>
                      </w:tcPr>
                      <w:p>
                        <w:pPr>
                          <w:jc w:val="center"/>
                          <w:rPr>
                            <w:szCs w:val="24"/>
                            <w:lang w:eastAsia="ja-JP"/>
                          </w:rPr>
                        </w:pPr>
                        <w:r>
                          <w:rPr>
                            <w:szCs w:val="24"/>
                            <w:lang w:eastAsia="ja-JP"/>
                          </w:rPr>
                          <w:t>Maitinimo</w:t>
                        </w:r>
                      </w:p>
                    </w:tc>
                    <w:tc>
                      <w:tcPr>
                        <w:tcW w:w="1275" w:type="dxa"/>
                        <w:shd w:val="clear" w:color="auto" w:fill="auto"/>
                        <w:noWrap/>
                        <w:vAlign w:val="center"/>
                      </w:tcPr>
                      <w:p>
                        <w:pPr>
                          <w:ind w:firstLine="60"/>
                          <w:jc w:val="center"/>
                          <w:rPr>
                            <w:szCs w:val="24"/>
                            <w:lang w:eastAsia="ja-JP"/>
                          </w:rPr>
                        </w:pPr>
                      </w:p>
                    </w:tc>
                    <w:tc>
                      <w:tcPr>
                        <w:tcW w:w="1276" w:type="dxa"/>
                        <w:shd w:val="clear" w:color="auto" w:fill="auto"/>
                        <w:noWrap/>
                        <w:vAlign w:val="center"/>
                      </w:tcPr>
                      <w:p>
                        <w:pPr>
                          <w:ind w:firstLine="60"/>
                          <w:jc w:val="center"/>
                          <w:rPr>
                            <w:szCs w:val="24"/>
                            <w:lang w:eastAsia="ja-JP"/>
                          </w:rPr>
                        </w:pPr>
                      </w:p>
                    </w:tc>
                    <w:tc>
                      <w:tcPr>
                        <w:tcW w:w="1134" w:type="dxa"/>
                        <w:shd w:val="clear" w:color="auto" w:fill="auto"/>
                        <w:vAlign w:val="center"/>
                      </w:tcPr>
                      <w:p>
                        <w:pPr>
                          <w:jc w:val="center"/>
                          <w:rPr>
                            <w:szCs w:val="24"/>
                            <w:lang w:eastAsia="ja-JP"/>
                          </w:rPr>
                        </w:pPr>
                        <w:r>
                          <w:rPr>
                            <w:szCs w:val="24"/>
                            <w:lang w:eastAsia="ja-JP"/>
                          </w:rPr>
                          <w:t>≥ 5 000</w:t>
                        </w:r>
                      </w:p>
                    </w:tc>
                    <w:tc>
                      <w:tcPr>
                        <w:tcW w:w="1701" w:type="dxa"/>
                        <w:shd w:val="clear" w:color="auto" w:fill="auto"/>
                        <w:noWrap/>
                        <w:vAlign w:val="center"/>
                      </w:tcPr>
                      <w:p>
                        <w:pPr>
                          <w:ind w:firstLine="60"/>
                          <w:jc w:val="center"/>
                          <w:rPr>
                            <w:szCs w:val="24"/>
                            <w:lang w:eastAsia="ja-JP"/>
                          </w:rPr>
                        </w:pPr>
                      </w:p>
                    </w:tc>
                    <w:tc>
                      <w:tcPr>
                        <w:tcW w:w="6804" w:type="dxa"/>
                        <w:shd w:val="clear" w:color="auto" w:fill="auto"/>
                        <w:noWrap/>
                        <w:vAlign w:val="center"/>
                      </w:tcPr>
                      <w:p>
                        <w:pPr>
                          <w:ind w:firstLine="60"/>
                          <w:jc w:val="center"/>
                          <w:rPr>
                            <w:szCs w:val="24"/>
                            <w:lang w:eastAsia="ja-JP"/>
                          </w:rPr>
                        </w:pPr>
                      </w:p>
                    </w:tc>
                  </w:tr>
                  <w:tr>
                    <w:trPr>
                      <w:cantSplit/>
                      <w:trHeight w:val="20"/>
                    </w:trPr>
                    <w:tc>
                      <w:tcPr>
                        <w:tcW w:w="709" w:type="dxa"/>
                        <w:vMerge w:val="restart"/>
                        <w:shd w:val="clear" w:color="auto" w:fill="auto"/>
                        <w:vAlign w:val="center"/>
                      </w:tcPr>
                      <w:p>
                        <w:pPr>
                          <w:jc w:val="center"/>
                          <w:rPr>
                            <w:szCs w:val="24"/>
                            <w:lang w:eastAsia="ja-JP"/>
                          </w:rPr>
                        </w:pPr>
                        <w:r>
                          <w:rPr>
                            <w:szCs w:val="24"/>
                            <w:lang w:eastAsia="ja-JP"/>
                          </w:rPr>
                          <w:t>9.</w:t>
                        </w:r>
                      </w:p>
                    </w:tc>
                    <w:tc>
                      <w:tcPr>
                        <w:tcW w:w="1843" w:type="dxa"/>
                        <w:vMerge w:val="restart"/>
                        <w:shd w:val="clear" w:color="auto" w:fill="auto"/>
                        <w:vAlign w:val="center"/>
                      </w:tcPr>
                      <w:p>
                        <w:pPr>
                          <w:jc w:val="center"/>
                          <w:rPr>
                            <w:szCs w:val="24"/>
                            <w:lang w:eastAsia="ja-JP"/>
                          </w:rPr>
                        </w:pPr>
                        <w:r>
                          <w:rPr>
                            <w:szCs w:val="24"/>
                            <w:lang w:eastAsia="ja-JP"/>
                          </w:rPr>
                          <w:t>Transporto</w:t>
                        </w:r>
                      </w:p>
                    </w:tc>
                    <w:tc>
                      <w:tcPr>
                        <w:tcW w:w="1275" w:type="dxa"/>
                        <w:shd w:val="clear" w:color="auto" w:fill="auto"/>
                        <w:noWrap/>
                        <w:vAlign w:val="center"/>
                      </w:tcPr>
                      <w:p>
                        <w:pPr>
                          <w:ind w:firstLine="60"/>
                          <w:jc w:val="center"/>
                          <w:rPr>
                            <w:szCs w:val="24"/>
                            <w:lang w:eastAsia="ja-JP"/>
                          </w:rPr>
                        </w:pPr>
                      </w:p>
                    </w:tc>
                    <w:tc>
                      <w:tcPr>
                        <w:tcW w:w="1276" w:type="dxa"/>
                        <w:shd w:val="clear" w:color="auto" w:fill="auto"/>
                        <w:noWrap/>
                        <w:vAlign w:val="center"/>
                      </w:tcPr>
                      <w:p>
                        <w:pPr>
                          <w:ind w:firstLine="60"/>
                          <w:jc w:val="center"/>
                          <w:rPr>
                            <w:szCs w:val="24"/>
                            <w:lang w:eastAsia="ja-JP"/>
                          </w:rPr>
                        </w:pPr>
                      </w:p>
                    </w:tc>
                    <w:tc>
                      <w:tcPr>
                        <w:tcW w:w="1134" w:type="dxa"/>
                        <w:shd w:val="clear" w:color="auto" w:fill="auto"/>
                        <w:vAlign w:val="center"/>
                      </w:tcPr>
                      <w:p>
                        <w:pPr>
                          <w:jc w:val="center"/>
                          <w:rPr>
                            <w:szCs w:val="24"/>
                            <w:lang w:eastAsia="ja-JP"/>
                          </w:rPr>
                        </w:pPr>
                        <w:r>
                          <w:rPr>
                            <w:szCs w:val="24"/>
                            <w:lang w:eastAsia="ja-JP"/>
                          </w:rPr>
                          <w:t>≥ 5 000</w:t>
                        </w:r>
                      </w:p>
                    </w:tc>
                    <w:tc>
                      <w:tcPr>
                        <w:tcW w:w="1701" w:type="dxa"/>
                        <w:shd w:val="clear" w:color="auto" w:fill="auto"/>
                        <w:noWrap/>
                        <w:vAlign w:val="center"/>
                      </w:tcPr>
                      <w:p>
                        <w:pPr>
                          <w:ind w:firstLine="60"/>
                          <w:jc w:val="center"/>
                          <w:rPr>
                            <w:szCs w:val="24"/>
                            <w:lang w:eastAsia="ja-JP"/>
                          </w:rPr>
                        </w:pPr>
                      </w:p>
                    </w:tc>
                    <w:tc>
                      <w:tcPr>
                        <w:tcW w:w="6804" w:type="dxa"/>
                        <w:shd w:val="clear" w:color="auto" w:fill="auto"/>
                        <w:noWrap/>
                        <w:vAlign w:val="center"/>
                      </w:tcPr>
                      <w:p>
                        <w:pPr>
                          <w:ind w:firstLine="60"/>
                          <w:jc w:val="center"/>
                          <w:rPr>
                            <w:szCs w:val="24"/>
                            <w:lang w:eastAsia="ja-JP"/>
                          </w:rPr>
                        </w:pPr>
                      </w:p>
                    </w:tc>
                  </w:tr>
                  <w:tr>
                    <w:trPr>
                      <w:cantSplit/>
                      <w:trHeight w:val="20"/>
                    </w:trPr>
                    <w:tc>
                      <w:tcPr>
                        <w:tcW w:w="709" w:type="dxa"/>
                        <w:vMerge/>
                        <w:tcBorders>
                          <w:bottom w:val="single" w:sz="4" w:space="0" w:color="auto"/>
                        </w:tcBorders>
                        <w:shd w:val="clear" w:color="auto" w:fill="auto"/>
                        <w:vAlign w:val="center"/>
                      </w:tcPr>
                      <w:p>
                        <w:pPr>
                          <w:rPr>
                            <w:szCs w:val="24"/>
                            <w:lang w:eastAsia="ja-JP"/>
                          </w:rPr>
                        </w:pPr>
                      </w:p>
                    </w:tc>
                    <w:tc>
                      <w:tcPr>
                        <w:tcW w:w="1843" w:type="dxa"/>
                        <w:vMerge/>
                        <w:tcBorders>
                          <w:bottom w:val="single" w:sz="4" w:space="0" w:color="auto"/>
                        </w:tcBorders>
                        <w:shd w:val="clear" w:color="auto" w:fill="auto"/>
                        <w:vAlign w:val="center"/>
                      </w:tcPr>
                      <w:p>
                        <w:pPr>
                          <w:rPr>
                            <w:szCs w:val="24"/>
                            <w:lang w:eastAsia="ja-JP"/>
                          </w:rPr>
                        </w:pPr>
                      </w:p>
                    </w:tc>
                    <w:tc>
                      <w:tcPr>
                        <w:tcW w:w="1275" w:type="dxa"/>
                        <w:tcBorders>
                          <w:bottom w:val="single" w:sz="4" w:space="0" w:color="auto"/>
                        </w:tcBorders>
                        <w:shd w:val="clear" w:color="auto" w:fill="auto"/>
                        <w:vAlign w:val="center"/>
                      </w:tcPr>
                      <w:p>
                        <w:pPr>
                          <w:jc w:val="center"/>
                          <w:rPr>
                            <w:szCs w:val="24"/>
                            <w:lang w:eastAsia="ja-JP"/>
                          </w:rPr>
                        </w:pPr>
                        <w:r>
                          <w:rPr>
                            <w:szCs w:val="24"/>
                            <w:lang w:eastAsia="ja-JP"/>
                          </w:rPr>
                          <w:t>≥ 2 000</w:t>
                        </w:r>
                      </w:p>
                    </w:tc>
                    <w:tc>
                      <w:tcPr>
                        <w:tcW w:w="1276" w:type="dxa"/>
                        <w:tcBorders>
                          <w:bottom w:val="single" w:sz="4" w:space="0" w:color="auto"/>
                        </w:tcBorders>
                        <w:shd w:val="clear" w:color="auto" w:fill="auto"/>
                        <w:vAlign w:val="center"/>
                      </w:tcPr>
                      <w:p>
                        <w:pPr>
                          <w:jc w:val="center"/>
                          <w:rPr>
                            <w:szCs w:val="24"/>
                            <w:lang w:eastAsia="ja-JP"/>
                          </w:rPr>
                        </w:pPr>
                      </w:p>
                    </w:tc>
                    <w:tc>
                      <w:tcPr>
                        <w:tcW w:w="1134" w:type="dxa"/>
                        <w:tcBorders>
                          <w:bottom w:val="single" w:sz="4" w:space="0" w:color="auto"/>
                        </w:tcBorders>
                        <w:shd w:val="clear" w:color="auto" w:fill="auto"/>
                        <w:vAlign w:val="center"/>
                      </w:tcPr>
                      <w:p>
                        <w:pPr>
                          <w:ind w:firstLine="60"/>
                          <w:jc w:val="center"/>
                          <w:rPr>
                            <w:szCs w:val="24"/>
                            <w:lang w:eastAsia="ja-JP"/>
                          </w:rPr>
                        </w:pPr>
                      </w:p>
                    </w:tc>
                    <w:tc>
                      <w:tcPr>
                        <w:tcW w:w="1701" w:type="dxa"/>
                        <w:tcBorders>
                          <w:bottom w:val="single" w:sz="4" w:space="0" w:color="auto"/>
                        </w:tcBorders>
                        <w:shd w:val="clear" w:color="auto" w:fill="auto"/>
                        <w:noWrap/>
                        <w:vAlign w:val="center"/>
                      </w:tcPr>
                      <w:p>
                        <w:pPr>
                          <w:ind w:firstLine="60"/>
                          <w:jc w:val="center"/>
                          <w:rPr>
                            <w:szCs w:val="24"/>
                            <w:lang w:eastAsia="ja-JP"/>
                          </w:rPr>
                        </w:pPr>
                      </w:p>
                    </w:tc>
                    <w:tc>
                      <w:tcPr>
                        <w:tcW w:w="6804" w:type="dxa"/>
                        <w:tcBorders>
                          <w:bottom w:val="single" w:sz="4" w:space="0" w:color="auto"/>
                        </w:tcBorders>
                        <w:shd w:val="clear" w:color="auto" w:fill="auto"/>
                        <w:noWrap/>
                        <w:vAlign w:val="center"/>
                      </w:tcPr>
                      <w:p>
                        <w:pPr>
                          <w:ind w:firstLine="60"/>
                          <w:jc w:val="center"/>
                          <w:rPr>
                            <w:szCs w:val="24"/>
                            <w:lang w:eastAsia="ja-JP"/>
                          </w:rPr>
                        </w:pPr>
                      </w:p>
                    </w:tc>
                  </w:tr>
                  <w:tr>
                    <w:trPr>
                      <w:cantSplit/>
                      <w:trHeight w:val="20"/>
                    </w:trPr>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10.</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trike/>
                            <w:szCs w:val="24"/>
                            <w:vertAlign w:val="superscript"/>
                            <w:lang w:eastAsia="ja-JP"/>
                          </w:rPr>
                        </w:pPr>
                        <w:r>
                          <w:rPr>
                            <w:szCs w:val="24"/>
                            <w:lang w:eastAsia="ja-JP"/>
                          </w:rPr>
                          <w:t>Garažų</w:t>
                        </w:r>
                        <w:r>
                          <w:rPr>
                            <w:strike/>
                            <w:szCs w:val="24"/>
                            <w:vertAlign w:val="superscript"/>
                            <w:lang w:eastAsia="ja-JP"/>
                          </w:rPr>
                          <w:t xml:space="preserve"> </w:t>
                        </w:r>
                      </w:p>
                      <w:p>
                        <w:pPr>
                          <w:jc w:val="center"/>
                          <w:rPr>
                            <w:b/>
                            <w:bCs/>
                            <w:szCs w:val="24"/>
                            <w:lang w:eastAsia="ja-JP"/>
                          </w:rPr>
                        </w:pPr>
                        <w:r>
                          <w:rPr>
                            <w:b/>
                            <w:bCs/>
                            <w:szCs w:val="24"/>
                            <w:lang w:eastAsia="ja-JP"/>
                          </w:rPr>
                          <w:t>(4 pastaba)</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vAlign w:val="bottom"/>
                      </w:tcPr>
                      <w:p>
                        <w:pPr>
                          <w:rPr>
                            <w:szCs w:val="24"/>
                            <w:lang w:eastAsia="ja-JP"/>
                          </w:rPr>
                        </w:pPr>
                        <w:r>
                          <w:rPr>
                            <w:szCs w:val="24"/>
                            <w:lang w:eastAsia="ja-JP"/>
                          </w:rPr>
                          <w:t xml:space="preserve">25 vietų ir daugiau požeminėse arba mechanizuotose automobilių saugyklose </w:t>
                        </w:r>
                      </w:p>
                    </w:tc>
                  </w:tr>
                  <w:tr>
                    <w:trPr>
                      <w:cantSplit/>
                      <w:trHeight w:val="20"/>
                    </w:trPr>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vAlign w:val="bottom"/>
                      </w:tcPr>
                      <w:p>
                        <w:pPr>
                          <w:rPr>
                            <w:szCs w:val="24"/>
                            <w:lang w:eastAsia="ja-JP"/>
                          </w:rPr>
                        </w:pPr>
                        <w:r>
                          <w:rPr>
                            <w:szCs w:val="24"/>
                            <w:lang w:eastAsia="ja-JP"/>
                          </w:rPr>
                          <w:t>naftą ir jos produktus gabenantiems automobiliams laikyti skirtose automobilių saugyklose</w:t>
                        </w:r>
                      </w:p>
                    </w:tc>
                  </w:tr>
                  <w:tr>
                    <w:trPr>
                      <w:cantSplit/>
                      <w:trHeight w:val="20"/>
                    </w:trPr>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r>
                          <w:rPr>
                            <w:szCs w:val="24"/>
                            <w:lang w:eastAsia="ja-JP"/>
                          </w:rPr>
                          <w:t>≥ 7</w:t>
                        </w:r>
                      </w:p>
                    </w:tc>
                    <w:tc>
                      <w:tcPr>
                        <w:tcW w:w="6804" w:type="dxa"/>
                        <w:tcBorders>
                          <w:top w:val="single" w:sz="4" w:space="0" w:color="auto"/>
                          <w:left w:val="single" w:sz="4" w:space="0" w:color="auto"/>
                          <w:bottom w:val="single" w:sz="4" w:space="0" w:color="auto"/>
                          <w:right w:val="single" w:sz="4" w:space="0" w:color="auto"/>
                        </w:tcBorders>
                        <w:shd w:val="clear" w:color="auto" w:fill="auto"/>
                        <w:vAlign w:val="center"/>
                      </w:tcPr>
                      <w:p>
                        <w:pPr>
                          <w:jc w:val="both"/>
                          <w:rPr>
                            <w:szCs w:val="24"/>
                            <w:lang w:eastAsia="ja-JP"/>
                          </w:rPr>
                        </w:pPr>
                      </w:p>
                    </w:tc>
                  </w:tr>
                  <w:tr>
                    <w:trPr>
                      <w:cantSplit/>
                      <w:trHeight w:val="20"/>
                    </w:trPr>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r>
                          <w:rPr>
                            <w:szCs w:val="24"/>
                            <w:lang w:eastAsia="ja-JP"/>
                          </w:rPr>
                          <w:t>≥ 1 000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vAlign w:val="center"/>
                      </w:tcPr>
                      <w:p>
                        <w:pPr>
                          <w:jc w:val="both"/>
                          <w:rPr>
                            <w:rFonts w:eastAsia="Andale Sans UI"/>
                            <w:szCs w:val="24"/>
                          </w:rPr>
                        </w:pPr>
                        <w:r>
                          <w:rPr>
                            <w:szCs w:val="24"/>
                            <w:lang w:eastAsia="ja-JP"/>
                          </w:rPr>
                          <w:t>III atsparumo ugniai laipsnio automobilių saugyklose</w:t>
                        </w:r>
                      </w:p>
                    </w:tc>
                  </w:tr>
                  <w:tr>
                    <w:trPr>
                      <w:cantSplit/>
                      <w:trHeight w:val="20"/>
                    </w:trPr>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r>
                          <w:rPr>
                            <w:szCs w:val="24"/>
                            <w:lang w:eastAsia="ja-JP"/>
                          </w:rPr>
                          <w:t>≥ 2 000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vAlign w:val="center"/>
                      </w:tcPr>
                      <w:p>
                        <w:pPr>
                          <w:jc w:val="both"/>
                          <w:rPr>
                            <w:rFonts w:eastAsia="Andale Sans UI"/>
                            <w:szCs w:val="24"/>
                          </w:rPr>
                        </w:pPr>
                        <w:r>
                          <w:rPr>
                            <w:szCs w:val="24"/>
                            <w:lang w:eastAsia="ja-JP"/>
                          </w:rPr>
                          <w:t>II atsparumo ugniai laipsnio automobilių saugyklose </w:t>
                        </w:r>
                      </w:p>
                    </w:tc>
                  </w:tr>
                  <w:tr>
                    <w:trPr>
                      <w:cantSplit/>
                      <w:trHeight w:val="20"/>
                    </w:trPr>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 5 000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r>
                          <w:rPr>
                            <w:szCs w:val="24"/>
                            <w:lang w:eastAsia="ja-JP"/>
                          </w:rPr>
                          <w:t>I atsparumo ugniai laipsnio automobilių saugyklose</w:t>
                        </w:r>
                      </w:p>
                    </w:tc>
                  </w:tr>
                  <w:tr>
                    <w:trPr>
                      <w:cantSplit/>
                      <w:trHeight w:val="20"/>
                    </w:trPr>
                    <w:tc>
                      <w:tcPr>
                        <w:tcW w:w="709" w:type="dxa"/>
                        <w:vMerge w:val="restart"/>
                        <w:tcBorders>
                          <w:top w:val="single" w:sz="4" w:space="0" w:color="auto"/>
                          <w:left w:val="single" w:sz="4" w:space="0" w:color="auto"/>
                          <w:right w:val="single" w:sz="4" w:space="0" w:color="auto"/>
                        </w:tcBorders>
                        <w:shd w:val="clear" w:color="auto" w:fill="auto"/>
                        <w:vAlign w:val="center"/>
                      </w:tcPr>
                      <w:p>
                        <w:pPr>
                          <w:jc w:val="center"/>
                          <w:rPr>
                            <w:szCs w:val="24"/>
                            <w:lang w:eastAsia="ja-JP"/>
                          </w:rPr>
                        </w:pPr>
                        <w:r>
                          <w:rPr>
                            <w:szCs w:val="24"/>
                            <w:lang w:eastAsia="ja-JP"/>
                          </w:rPr>
                          <w:t>11.</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Gamybos, pramonės</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 750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Asg ir Bsg</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r>
                  <w:tr>
                    <w:trPr>
                      <w:cantSplit/>
                      <w:trHeight w:val="20"/>
                    </w:trPr>
                    <w:tc>
                      <w:tcPr>
                        <w:tcW w:w="709" w:type="dxa"/>
                        <w:vMerge/>
                        <w:tcBorders>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 100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Cs w:val="24"/>
                            <w:lang w:eastAsia="ja-JP"/>
                          </w:rPr>
                        </w:pPr>
                        <w:r>
                          <w:rPr>
                            <w:szCs w:val="24"/>
                            <w:lang w:eastAsia="ja-JP"/>
                          </w:rPr>
                          <w:t>bunkeriuose, kuriuose surenkamos ypač degių, labai degių medžiagų (dažų, ir kt.) atliekos</w:t>
                        </w:r>
                      </w:p>
                    </w:tc>
                  </w:tr>
                  <w:tr>
                    <w:trPr>
                      <w:cantSplit/>
                      <w:trHeight w:val="20"/>
                    </w:trPr>
                    <w:tc>
                      <w:tcPr>
                        <w:tcW w:w="709" w:type="dxa"/>
                        <w:vMerge/>
                        <w:tcBorders>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 2 000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Cg</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r>
                  <w:tr>
                    <w:trPr>
                      <w:cantSplit/>
                      <w:trHeight w:val="20"/>
                    </w:trPr>
                    <w:tc>
                      <w:tcPr>
                        <w:tcW w:w="709" w:type="dxa"/>
                        <w:vMerge w:val="restart"/>
                        <w:tcBorders>
                          <w:top w:val="single" w:sz="4" w:space="0" w:color="auto"/>
                          <w:left w:val="single" w:sz="4" w:space="0" w:color="auto"/>
                          <w:right w:val="single" w:sz="4" w:space="0" w:color="auto"/>
                        </w:tcBorders>
                        <w:shd w:val="clear" w:color="auto" w:fill="auto"/>
                        <w:vAlign w:val="center"/>
                      </w:tcPr>
                      <w:p>
                        <w:pPr>
                          <w:jc w:val="center"/>
                          <w:rPr>
                            <w:szCs w:val="24"/>
                            <w:lang w:eastAsia="ja-JP"/>
                          </w:rPr>
                        </w:pPr>
                      </w:p>
                      <w:p>
                        <w:pPr>
                          <w:jc w:val="center"/>
                          <w:rPr>
                            <w:szCs w:val="24"/>
                            <w:lang w:eastAsia="ja-JP"/>
                          </w:rPr>
                        </w:pPr>
                        <w:r>
                          <w:rPr>
                            <w:szCs w:val="24"/>
                            <w:lang w:eastAsia="ja-JP"/>
                          </w:rPr>
                          <w:t>12.</w:t>
                        </w:r>
                      </w:p>
                      <w:p>
                        <w:pPr>
                          <w:jc w:val="center"/>
                          <w:rPr>
                            <w:szCs w:val="24"/>
                            <w:lang w:eastAsia="ja-JP"/>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Energetikos</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 750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Asg ir Bsg</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b/>
                            <w:bCs/>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vAlign w:val="center"/>
                      </w:tcPr>
                      <w:p>
                        <w:pPr>
                          <w:rPr>
                            <w:b/>
                            <w:bCs/>
                            <w:szCs w:val="24"/>
                            <w:lang w:eastAsia="ja-JP"/>
                          </w:rPr>
                        </w:pPr>
                      </w:p>
                    </w:tc>
                  </w:tr>
                  <w:tr>
                    <w:trPr>
                      <w:cantSplit/>
                      <w:trHeight w:val="20"/>
                    </w:trPr>
                    <w:tc>
                      <w:tcPr>
                        <w:tcW w:w="709" w:type="dxa"/>
                        <w:vMerge/>
                        <w:tcBorders>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 2 000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Cg</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b/>
                            <w:bCs/>
                            <w:szCs w:val="24"/>
                            <w:lang w:eastAsia="ja-JP"/>
                          </w:rPr>
                        </w:pPr>
                      </w:p>
                    </w:tc>
                    <w:tc>
                      <w:tcPr>
                        <w:tcW w:w="680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b/>
                            <w:bCs/>
                            <w:szCs w:val="24"/>
                            <w:lang w:eastAsia="ja-JP"/>
                          </w:rPr>
                        </w:pPr>
                      </w:p>
                    </w:tc>
                  </w:tr>
                  <w:tr>
                    <w:trPr>
                      <w:cantSplit/>
                      <w:trHeight w:val="20"/>
                    </w:trPr>
                    <w:tc>
                      <w:tcPr>
                        <w:tcW w:w="709" w:type="dxa"/>
                        <w:vMerge w:val="restart"/>
                        <w:tcBorders>
                          <w:top w:val="single" w:sz="4" w:space="0" w:color="auto"/>
                        </w:tcBorders>
                        <w:shd w:val="clear" w:color="auto" w:fill="auto"/>
                        <w:vAlign w:val="center"/>
                      </w:tcPr>
                      <w:p>
                        <w:pPr>
                          <w:widowControl w:val="0"/>
                          <w:jc w:val="center"/>
                          <w:rPr>
                            <w:strike/>
                            <w:szCs w:val="24"/>
                            <w:lang w:eastAsia="ja-JP"/>
                          </w:rPr>
                        </w:pPr>
                        <w:r>
                          <w:rPr>
                            <w:szCs w:val="24"/>
                            <w:lang w:eastAsia="ja-JP"/>
                          </w:rPr>
                          <w:t>13.</w:t>
                        </w:r>
                        <w:r>
                          <w:rPr>
                            <w:strike/>
                            <w:szCs w:val="24"/>
                            <w:lang w:eastAsia="ja-JP"/>
                          </w:rPr>
                          <w:t xml:space="preserve"> </w:t>
                        </w:r>
                      </w:p>
                    </w:tc>
                    <w:tc>
                      <w:tcPr>
                        <w:tcW w:w="1843" w:type="dxa"/>
                        <w:vMerge w:val="restart"/>
                        <w:tcBorders>
                          <w:top w:val="single" w:sz="4" w:space="0" w:color="auto"/>
                        </w:tcBorders>
                        <w:shd w:val="clear" w:color="auto" w:fill="auto"/>
                        <w:vAlign w:val="center"/>
                      </w:tcPr>
                      <w:p>
                        <w:pPr>
                          <w:pageBreakBefore/>
                          <w:jc w:val="center"/>
                          <w:rPr>
                            <w:szCs w:val="24"/>
                            <w:lang w:eastAsia="ja-JP"/>
                          </w:rPr>
                        </w:pPr>
                        <w:r>
                          <w:rPr>
                            <w:szCs w:val="24"/>
                            <w:lang w:eastAsia="ja-JP"/>
                          </w:rPr>
                          <w:t>Sandėliavimo</w:t>
                        </w:r>
                      </w:p>
                    </w:tc>
                    <w:tc>
                      <w:tcPr>
                        <w:tcW w:w="1275" w:type="dxa"/>
                        <w:tcBorders>
                          <w:top w:val="single" w:sz="4" w:space="0" w:color="auto"/>
                        </w:tcBorders>
                        <w:shd w:val="clear" w:color="auto" w:fill="auto"/>
                        <w:vAlign w:val="center"/>
                      </w:tcPr>
                      <w:p>
                        <w:pPr>
                          <w:jc w:val="center"/>
                          <w:rPr>
                            <w:szCs w:val="24"/>
                            <w:lang w:eastAsia="ja-JP"/>
                          </w:rPr>
                        </w:pPr>
                        <w:r>
                          <w:rPr>
                            <w:szCs w:val="24"/>
                            <w:lang w:eastAsia="ja-JP"/>
                          </w:rPr>
                          <w:t>≥ 750</w:t>
                        </w:r>
                      </w:p>
                    </w:tc>
                    <w:tc>
                      <w:tcPr>
                        <w:tcW w:w="1276" w:type="dxa"/>
                        <w:tcBorders>
                          <w:top w:val="single" w:sz="4" w:space="0" w:color="auto"/>
                        </w:tcBorders>
                        <w:shd w:val="clear" w:color="auto" w:fill="auto"/>
                        <w:vAlign w:val="center"/>
                      </w:tcPr>
                      <w:p>
                        <w:pPr>
                          <w:jc w:val="center"/>
                          <w:rPr>
                            <w:szCs w:val="24"/>
                            <w:lang w:eastAsia="ja-JP"/>
                          </w:rPr>
                        </w:pPr>
                        <w:r>
                          <w:rPr>
                            <w:szCs w:val="24"/>
                            <w:lang w:eastAsia="ja-JP"/>
                          </w:rPr>
                          <w:t>Asg ir Bsg</w:t>
                        </w:r>
                      </w:p>
                    </w:tc>
                    <w:tc>
                      <w:tcPr>
                        <w:tcW w:w="1134" w:type="dxa"/>
                        <w:tcBorders>
                          <w:top w:val="single" w:sz="4" w:space="0" w:color="auto"/>
                        </w:tcBorders>
                        <w:shd w:val="clear" w:color="auto" w:fill="auto"/>
                        <w:vAlign w:val="center"/>
                      </w:tcPr>
                      <w:p>
                        <w:pPr>
                          <w:pageBreakBefore/>
                          <w:jc w:val="center"/>
                          <w:rPr>
                            <w:szCs w:val="24"/>
                            <w:lang w:eastAsia="ja-JP"/>
                          </w:rPr>
                        </w:pPr>
                      </w:p>
                    </w:tc>
                    <w:tc>
                      <w:tcPr>
                        <w:tcW w:w="1701" w:type="dxa"/>
                        <w:tcBorders>
                          <w:top w:val="single" w:sz="4" w:space="0" w:color="auto"/>
                        </w:tcBorders>
                        <w:shd w:val="clear" w:color="auto" w:fill="auto"/>
                        <w:noWrap/>
                        <w:vAlign w:val="center"/>
                      </w:tcPr>
                      <w:p>
                        <w:pPr>
                          <w:pageBreakBefore/>
                          <w:jc w:val="center"/>
                          <w:rPr>
                            <w:szCs w:val="24"/>
                            <w:lang w:eastAsia="ja-JP"/>
                          </w:rPr>
                        </w:pPr>
                      </w:p>
                    </w:tc>
                    <w:tc>
                      <w:tcPr>
                        <w:tcW w:w="6804" w:type="dxa"/>
                        <w:tcBorders>
                          <w:top w:val="single" w:sz="4" w:space="0" w:color="auto"/>
                        </w:tcBorders>
                        <w:shd w:val="clear" w:color="auto" w:fill="auto"/>
                        <w:vAlign w:val="center"/>
                      </w:tcPr>
                      <w:p>
                        <w:pPr>
                          <w:pageBreakBefore/>
                          <w:jc w:val="both"/>
                          <w:rPr>
                            <w:szCs w:val="24"/>
                            <w:lang w:eastAsia="ja-JP"/>
                          </w:rPr>
                        </w:pPr>
                      </w:p>
                    </w:tc>
                  </w:tr>
                  <w:tr>
                    <w:trPr>
                      <w:cantSplit/>
                      <w:trHeight w:val="20"/>
                    </w:trPr>
                    <w:tc>
                      <w:tcPr>
                        <w:tcW w:w="709" w:type="dxa"/>
                        <w:vMerge/>
                        <w:shd w:val="clear" w:color="auto" w:fill="auto"/>
                        <w:vAlign w:val="center"/>
                      </w:tcPr>
                      <w:p>
                        <w:pPr>
                          <w:rPr>
                            <w:szCs w:val="24"/>
                            <w:lang w:eastAsia="ja-JP"/>
                          </w:rPr>
                        </w:pPr>
                      </w:p>
                    </w:tc>
                    <w:tc>
                      <w:tcPr>
                        <w:tcW w:w="1843" w:type="dxa"/>
                        <w:vMerge/>
                        <w:shd w:val="clear" w:color="auto" w:fill="auto"/>
                        <w:vAlign w:val="center"/>
                      </w:tcPr>
                      <w:p>
                        <w:pPr>
                          <w:rPr>
                            <w:szCs w:val="24"/>
                            <w:lang w:eastAsia="ja-JP"/>
                          </w:rPr>
                        </w:pPr>
                      </w:p>
                    </w:tc>
                    <w:tc>
                      <w:tcPr>
                        <w:tcW w:w="1275" w:type="dxa"/>
                        <w:shd w:val="clear" w:color="auto" w:fill="auto"/>
                        <w:vAlign w:val="center"/>
                      </w:tcPr>
                      <w:p>
                        <w:pPr>
                          <w:jc w:val="center"/>
                          <w:rPr>
                            <w:szCs w:val="24"/>
                            <w:lang w:eastAsia="ja-JP"/>
                          </w:rPr>
                        </w:pPr>
                        <w:r>
                          <w:rPr>
                            <w:szCs w:val="24"/>
                            <w:lang w:eastAsia="ja-JP"/>
                          </w:rPr>
                          <w:t>≥ 2 000</w:t>
                        </w:r>
                      </w:p>
                    </w:tc>
                    <w:tc>
                      <w:tcPr>
                        <w:tcW w:w="1276" w:type="dxa"/>
                        <w:shd w:val="clear" w:color="auto" w:fill="auto"/>
                        <w:vAlign w:val="center"/>
                      </w:tcPr>
                      <w:p>
                        <w:pPr>
                          <w:jc w:val="center"/>
                          <w:rPr>
                            <w:szCs w:val="24"/>
                            <w:lang w:eastAsia="ja-JP"/>
                          </w:rPr>
                        </w:pPr>
                        <w:r>
                          <w:rPr>
                            <w:szCs w:val="24"/>
                            <w:lang w:eastAsia="ja-JP"/>
                          </w:rPr>
                          <w:t>Cg</w:t>
                        </w:r>
                      </w:p>
                    </w:tc>
                    <w:tc>
                      <w:tcPr>
                        <w:tcW w:w="1134" w:type="dxa"/>
                        <w:shd w:val="clear" w:color="auto" w:fill="auto"/>
                        <w:noWrap/>
                        <w:vAlign w:val="center"/>
                      </w:tcPr>
                      <w:p>
                        <w:pPr>
                          <w:ind w:firstLine="60"/>
                          <w:jc w:val="center"/>
                          <w:rPr>
                            <w:szCs w:val="24"/>
                            <w:lang w:eastAsia="ja-JP"/>
                          </w:rPr>
                        </w:pPr>
                      </w:p>
                    </w:tc>
                    <w:tc>
                      <w:tcPr>
                        <w:tcW w:w="1701" w:type="dxa"/>
                        <w:shd w:val="clear" w:color="auto" w:fill="auto"/>
                        <w:noWrap/>
                        <w:vAlign w:val="center"/>
                      </w:tcPr>
                      <w:p>
                        <w:pPr>
                          <w:ind w:firstLine="60"/>
                          <w:jc w:val="center"/>
                          <w:rPr>
                            <w:szCs w:val="24"/>
                            <w:lang w:eastAsia="ja-JP"/>
                          </w:rPr>
                        </w:pPr>
                      </w:p>
                    </w:tc>
                    <w:tc>
                      <w:tcPr>
                        <w:tcW w:w="6804" w:type="dxa"/>
                        <w:shd w:val="clear" w:color="auto" w:fill="auto"/>
                        <w:vAlign w:val="center"/>
                      </w:tcPr>
                      <w:p>
                        <w:pPr>
                          <w:ind w:firstLine="60"/>
                          <w:jc w:val="center"/>
                          <w:rPr>
                            <w:szCs w:val="24"/>
                            <w:lang w:eastAsia="ja-JP"/>
                          </w:rPr>
                        </w:pPr>
                      </w:p>
                    </w:tc>
                  </w:tr>
                  <w:tr>
                    <w:trPr>
                      <w:cantSplit/>
                      <w:trHeight w:val="20"/>
                    </w:trPr>
                    <w:tc>
                      <w:tcPr>
                        <w:tcW w:w="709" w:type="dxa"/>
                        <w:vMerge/>
                        <w:shd w:val="clear" w:color="auto" w:fill="auto"/>
                        <w:vAlign w:val="center"/>
                      </w:tcPr>
                      <w:p>
                        <w:pPr>
                          <w:rPr>
                            <w:szCs w:val="24"/>
                            <w:lang w:eastAsia="ja-JP"/>
                          </w:rPr>
                        </w:pPr>
                      </w:p>
                    </w:tc>
                    <w:tc>
                      <w:tcPr>
                        <w:tcW w:w="1843" w:type="dxa"/>
                        <w:vMerge/>
                        <w:shd w:val="clear" w:color="auto" w:fill="auto"/>
                        <w:vAlign w:val="center"/>
                      </w:tcPr>
                      <w:p>
                        <w:pPr>
                          <w:rPr>
                            <w:szCs w:val="24"/>
                            <w:lang w:eastAsia="ja-JP"/>
                          </w:rPr>
                        </w:pPr>
                      </w:p>
                    </w:tc>
                    <w:tc>
                      <w:tcPr>
                        <w:tcW w:w="1275" w:type="dxa"/>
                        <w:shd w:val="clear" w:color="auto" w:fill="auto"/>
                        <w:vAlign w:val="center"/>
                      </w:tcPr>
                      <w:p>
                        <w:pPr>
                          <w:jc w:val="center"/>
                          <w:rPr>
                            <w:szCs w:val="24"/>
                            <w:lang w:eastAsia="ja-JP"/>
                          </w:rPr>
                        </w:pPr>
                        <w:r>
                          <w:rPr>
                            <w:szCs w:val="24"/>
                            <w:lang w:eastAsia="ja-JP"/>
                          </w:rPr>
                          <w:t>≥ 750</w:t>
                        </w:r>
                      </w:p>
                    </w:tc>
                    <w:tc>
                      <w:tcPr>
                        <w:tcW w:w="1276" w:type="dxa"/>
                        <w:shd w:val="clear" w:color="auto" w:fill="auto"/>
                        <w:vAlign w:val="center"/>
                      </w:tcPr>
                      <w:p>
                        <w:pPr>
                          <w:ind w:firstLine="60"/>
                          <w:jc w:val="center"/>
                          <w:rPr>
                            <w:szCs w:val="24"/>
                            <w:lang w:eastAsia="ja-JP"/>
                          </w:rPr>
                        </w:pPr>
                      </w:p>
                    </w:tc>
                    <w:tc>
                      <w:tcPr>
                        <w:tcW w:w="1134" w:type="dxa"/>
                        <w:shd w:val="clear" w:color="auto" w:fill="auto"/>
                        <w:noWrap/>
                        <w:vAlign w:val="center"/>
                      </w:tcPr>
                      <w:p>
                        <w:pPr>
                          <w:ind w:firstLine="60"/>
                          <w:jc w:val="center"/>
                          <w:rPr>
                            <w:szCs w:val="24"/>
                            <w:lang w:eastAsia="ja-JP"/>
                          </w:rPr>
                        </w:pPr>
                      </w:p>
                    </w:tc>
                    <w:tc>
                      <w:tcPr>
                        <w:tcW w:w="1701" w:type="dxa"/>
                        <w:shd w:val="clear" w:color="auto" w:fill="auto"/>
                        <w:noWrap/>
                        <w:vAlign w:val="center"/>
                      </w:tcPr>
                      <w:p>
                        <w:pPr>
                          <w:ind w:firstLine="60"/>
                          <w:jc w:val="center"/>
                          <w:rPr>
                            <w:szCs w:val="24"/>
                            <w:lang w:eastAsia="ja-JP"/>
                          </w:rPr>
                        </w:pPr>
                      </w:p>
                    </w:tc>
                    <w:tc>
                      <w:tcPr>
                        <w:tcW w:w="6804" w:type="dxa"/>
                        <w:shd w:val="clear" w:color="auto" w:fill="auto"/>
                        <w:vAlign w:val="center"/>
                      </w:tcPr>
                      <w:p>
                        <w:pPr>
                          <w:jc w:val="both"/>
                          <w:rPr>
                            <w:szCs w:val="24"/>
                            <w:lang w:eastAsia="ja-JP"/>
                          </w:rPr>
                        </w:pPr>
                        <w:r>
                          <w:rPr>
                            <w:szCs w:val="24"/>
                            <w:lang w:eastAsia="ja-JP"/>
                          </w:rPr>
                          <w:t xml:space="preserve">pastatuose, kuriuose laikomi kaučiuko, gumos ir šių medžiagų techniniai gaminiai; vaistų ir reagentų gaminiai; taroje laikomi naftos ir jos produktų gaminiai </w:t>
                        </w:r>
                      </w:p>
                    </w:tc>
                  </w:tr>
                  <w:tr>
                    <w:trPr>
                      <w:cantSplit/>
                      <w:trHeight w:val="20"/>
                    </w:trPr>
                    <w:tc>
                      <w:tcPr>
                        <w:tcW w:w="709" w:type="dxa"/>
                        <w:vMerge/>
                        <w:shd w:val="clear" w:color="auto" w:fill="auto"/>
                        <w:vAlign w:val="center"/>
                      </w:tcPr>
                      <w:p>
                        <w:pPr>
                          <w:rPr>
                            <w:szCs w:val="24"/>
                            <w:lang w:eastAsia="ja-JP"/>
                          </w:rPr>
                        </w:pPr>
                      </w:p>
                    </w:tc>
                    <w:tc>
                      <w:tcPr>
                        <w:tcW w:w="1843" w:type="dxa"/>
                        <w:vMerge/>
                        <w:shd w:val="clear" w:color="auto" w:fill="auto"/>
                        <w:vAlign w:val="center"/>
                      </w:tcPr>
                      <w:p>
                        <w:pPr>
                          <w:rPr>
                            <w:szCs w:val="24"/>
                            <w:lang w:eastAsia="ja-JP"/>
                          </w:rPr>
                        </w:pPr>
                      </w:p>
                    </w:tc>
                    <w:tc>
                      <w:tcPr>
                        <w:tcW w:w="1275" w:type="dxa"/>
                        <w:shd w:val="clear" w:color="auto" w:fill="auto"/>
                        <w:vAlign w:val="center"/>
                      </w:tcPr>
                      <w:p>
                        <w:pPr>
                          <w:jc w:val="center"/>
                          <w:rPr>
                            <w:szCs w:val="24"/>
                            <w:lang w:eastAsia="ja-JP"/>
                          </w:rPr>
                        </w:pPr>
                        <w:r>
                          <w:rPr>
                            <w:szCs w:val="24"/>
                            <w:lang w:eastAsia="ja-JP"/>
                          </w:rPr>
                          <w:t>≥ 250</w:t>
                        </w:r>
                      </w:p>
                    </w:tc>
                    <w:tc>
                      <w:tcPr>
                        <w:tcW w:w="1276" w:type="dxa"/>
                        <w:shd w:val="clear" w:color="auto" w:fill="auto"/>
                        <w:vAlign w:val="center"/>
                      </w:tcPr>
                      <w:p>
                        <w:pPr>
                          <w:ind w:firstLine="60"/>
                          <w:jc w:val="center"/>
                          <w:rPr>
                            <w:szCs w:val="24"/>
                            <w:lang w:eastAsia="ja-JP"/>
                          </w:rPr>
                        </w:pPr>
                        <w:r>
                          <w:rPr>
                            <w:szCs w:val="24"/>
                            <w:lang w:eastAsia="ja-JP"/>
                          </w:rPr>
                          <w:t>Asg, Bsg, Cg</w:t>
                        </w:r>
                      </w:p>
                    </w:tc>
                    <w:tc>
                      <w:tcPr>
                        <w:tcW w:w="1134" w:type="dxa"/>
                        <w:shd w:val="clear" w:color="auto" w:fill="auto"/>
                        <w:noWrap/>
                        <w:vAlign w:val="center"/>
                      </w:tcPr>
                      <w:p>
                        <w:pPr>
                          <w:ind w:firstLine="60"/>
                          <w:jc w:val="center"/>
                          <w:rPr>
                            <w:szCs w:val="24"/>
                            <w:lang w:eastAsia="ja-JP"/>
                          </w:rPr>
                        </w:pPr>
                      </w:p>
                    </w:tc>
                    <w:tc>
                      <w:tcPr>
                        <w:tcW w:w="1701" w:type="dxa"/>
                        <w:shd w:val="clear" w:color="auto" w:fill="auto"/>
                        <w:noWrap/>
                        <w:vAlign w:val="center"/>
                      </w:tcPr>
                      <w:p>
                        <w:pPr>
                          <w:ind w:firstLine="60"/>
                          <w:jc w:val="center"/>
                          <w:rPr>
                            <w:szCs w:val="24"/>
                            <w:lang w:eastAsia="ja-JP"/>
                          </w:rPr>
                        </w:pPr>
                      </w:p>
                    </w:tc>
                    <w:tc>
                      <w:tcPr>
                        <w:tcW w:w="6804" w:type="dxa"/>
                        <w:shd w:val="clear" w:color="auto" w:fill="auto"/>
                        <w:vAlign w:val="center"/>
                      </w:tcPr>
                      <w:p>
                        <w:pPr>
                          <w:jc w:val="both"/>
                          <w:rPr>
                            <w:szCs w:val="24"/>
                            <w:lang w:eastAsia="ja-JP"/>
                          </w:rPr>
                        </w:pPr>
                        <w:r>
                          <w:rPr>
                            <w:szCs w:val="24"/>
                            <w:lang w:eastAsia="ja-JP"/>
                          </w:rPr>
                          <w:t>pastato nurodyto ploto sandėliavimo patalpose, kuriose prekės ir medžiagos laikomos stelažuose (lentynose), kai prekių sandėliavimo aukštis viršija 5,5 m</w:t>
                        </w:r>
                      </w:p>
                    </w:tc>
                  </w:tr>
                  <w:tr>
                    <w:trPr>
                      <w:cantSplit/>
                      <w:trHeight w:val="20"/>
                    </w:trPr>
                    <w:tc>
                      <w:tcPr>
                        <w:tcW w:w="709" w:type="dxa"/>
                        <w:vMerge w:val="restart"/>
                        <w:shd w:val="clear" w:color="auto" w:fill="auto"/>
                        <w:vAlign w:val="center"/>
                      </w:tcPr>
                      <w:p>
                        <w:pPr>
                          <w:jc w:val="center"/>
                          <w:rPr>
                            <w:strike/>
                            <w:szCs w:val="24"/>
                            <w:lang w:eastAsia="ja-JP"/>
                          </w:rPr>
                        </w:pPr>
                        <w:r>
                          <w:rPr>
                            <w:szCs w:val="24"/>
                            <w:lang w:eastAsia="ja-JP"/>
                          </w:rPr>
                          <w:t>14.</w:t>
                        </w:r>
                      </w:p>
                    </w:tc>
                    <w:tc>
                      <w:tcPr>
                        <w:tcW w:w="1843" w:type="dxa"/>
                        <w:vMerge w:val="restart"/>
                        <w:shd w:val="clear" w:color="auto" w:fill="auto"/>
                        <w:vAlign w:val="center"/>
                      </w:tcPr>
                      <w:p>
                        <w:pPr>
                          <w:jc w:val="center"/>
                          <w:rPr>
                            <w:szCs w:val="24"/>
                            <w:lang w:eastAsia="ja-JP"/>
                          </w:rPr>
                        </w:pPr>
                        <w:r>
                          <w:rPr>
                            <w:szCs w:val="24"/>
                            <w:lang w:eastAsia="ja-JP"/>
                          </w:rPr>
                          <w:t>Kultūros</w:t>
                        </w:r>
                      </w:p>
                    </w:tc>
                    <w:tc>
                      <w:tcPr>
                        <w:tcW w:w="1275" w:type="dxa"/>
                        <w:shd w:val="clear" w:color="auto" w:fill="auto"/>
                        <w:noWrap/>
                        <w:vAlign w:val="center"/>
                      </w:tcPr>
                      <w:p>
                        <w:pPr>
                          <w:ind w:firstLine="60"/>
                          <w:jc w:val="center"/>
                          <w:rPr>
                            <w:szCs w:val="24"/>
                            <w:lang w:eastAsia="ja-JP"/>
                          </w:rPr>
                        </w:pPr>
                      </w:p>
                    </w:tc>
                    <w:tc>
                      <w:tcPr>
                        <w:tcW w:w="1276" w:type="dxa"/>
                        <w:shd w:val="clear" w:color="auto" w:fill="auto"/>
                        <w:noWrap/>
                        <w:vAlign w:val="center"/>
                      </w:tcPr>
                      <w:p>
                        <w:pPr>
                          <w:ind w:firstLine="60"/>
                          <w:jc w:val="center"/>
                          <w:rPr>
                            <w:szCs w:val="24"/>
                            <w:lang w:eastAsia="ja-JP"/>
                          </w:rPr>
                        </w:pPr>
                      </w:p>
                    </w:tc>
                    <w:tc>
                      <w:tcPr>
                        <w:tcW w:w="1134" w:type="dxa"/>
                        <w:shd w:val="clear" w:color="auto" w:fill="auto"/>
                        <w:vAlign w:val="center"/>
                      </w:tcPr>
                      <w:p>
                        <w:pPr>
                          <w:jc w:val="center"/>
                          <w:rPr>
                            <w:szCs w:val="24"/>
                            <w:lang w:eastAsia="ja-JP"/>
                          </w:rPr>
                        </w:pPr>
                        <w:r>
                          <w:rPr>
                            <w:szCs w:val="24"/>
                            <w:lang w:eastAsia="ja-JP"/>
                          </w:rPr>
                          <w:t>≥ 5 000</w:t>
                        </w:r>
                      </w:p>
                    </w:tc>
                    <w:tc>
                      <w:tcPr>
                        <w:tcW w:w="1701" w:type="dxa"/>
                        <w:shd w:val="clear" w:color="auto" w:fill="auto"/>
                        <w:vAlign w:val="center"/>
                      </w:tcPr>
                      <w:p>
                        <w:pPr>
                          <w:ind w:firstLine="60"/>
                          <w:jc w:val="center"/>
                          <w:rPr>
                            <w:szCs w:val="24"/>
                            <w:lang w:eastAsia="ja-JP"/>
                          </w:rPr>
                        </w:pPr>
                      </w:p>
                    </w:tc>
                    <w:tc>
                      <w:tcPr>
                        <w:tcW w:w="6804" w:type="dxa"/>
                        <w:shd w:val="clear" w:color="auto" w:fill="auto"/>
                        <w:noWrap/>
                        <w:vAlign w:val="center"/>
                      </w:tcPr>
                      <w:p>
                        <w:pPr>
                          <w:ind w:firstLine="60"/>
                          <w:jc w:val="center"/>
                          <w:rPr>
                            <w:szCs w:val="24"/>
                            <w:lang w:eastAsia="ja-JP"/>
                          </w:rPr>
                        </w:pPr>
                      </w:p>
                    </w:tc>
                  </w:tr>
                  <w:tr>
                    <w:trPr>
                      <w:cantSplit/>
                      <w:trHeight w:val="20"/>
                    </w:trPr>
                    <w:tc>
                      <w:tcPr>
                        <w:tcW w:w="709" w:type="dxa"/>
                        <w:vMerge/>
                        <w:shd w:val="clear" w:color="auto" w:fill="auto"/>
                        <w:vAlign w:val="center"/>
                      </w:tcPr>
                      <w:p>
                        <w:pPr>
                          <w:rPr>
                            <w:strike/>
                            <w:color w:val="FF0000"/>
                            <w:szCs w:val="24"/>
                            <w:highlight w:val="yellow"/>
                            <w:lang w:eastAsia="ja-JP"/>
                          </w:rPr>
                        </w:pPr>
                      </w:p>
                    </w:tc>
                    <w:tc>
                      <w:tcPr>
                        <w:tcW w:w="1843" w:type="dxa"/>
                        <w:vMerge/>
                        <w:shd w:val="clear" w:color="auto" w:fill="auto"/>
                        <w:vAlign w:val="center"/>
                      </w:tcPr>
                      <w:p>
                        <w:pPr>
                          <w:rPr>
                            <w:szCs w:val="24"/>
                            <w:lang w:eastAsia="ja-JP"/>
                          </w:rPr>
                        </w:pPr>
                      </w:p>
                    </w:tc>
                    <w:tc>
                      <w:tcPr>
                        <w:tcW w:w="1275" w:type="dxa"/>
                        <w:shd w:val="clear" w:color="auto" w:fill="auto"/>
                        <w:noWrap/>
                        <w:vAlign w:val="center"/>
                      </w:tcPr>
                      <w:p>
                        <w:pPr>
                          <w:ind w:firstLine="60"/>
                          <w:jc w:val="center"/>
                          <w:rPr>
                            <w:szCs w:val="24"/>
                            <w:lang w:eastAsia="ja-JP"/>
                          </w:rPr>
                        </w:pPr>
                      </w:p>
                    </w:tc>
                    <w:tc>
                      <w:tcPr>
                        <w:tcW w:w="1276" w:type="dxa"/>
                        <w:shd w:val="clear" w:color="auto" w:fill="auto"/>
                        <w:noWrap/>
                        <w:vAlign w:val="center"/>
                      </w:tcPr>
                      <w:p>
                        <w:pPr>
                          <w:ind w:firstLine="60"/>
                          <w:jc w:val="center"/>
                          <w:rPr>
                            <w:szCs w:val="24"/>
                            <w:lang w:eastAsia="ja-JP"/>
                          </w:rPr>
                        </w:pPr>
                      </w:p>
                    </w:tc>
                    <w:tc>
                      <w:tcPr>
                        <w:tcW w:w="1134" w:type="dxa"/>
                        <w:shd w:val="clear" w:color="auto" w:fill="auto"/>
                        <w:vAlign w:val="center"/>
                      </w:tcPr>
                      <w:p>
                        <w:pPr>
                          <w:ind w:firstLine="60"/>
                          <w:jc w:val="center"/>
                          <w:rPr>
                            <w:szCs w:val="24"/>
                            <w:lang w:eastAsia="ja-JP"/>
                          </w:rPr>
                        </w:pPr>
                      </w:p>
                    </w:tc>
                    <w:tc>
                      <w:tcPr>
                        <w:tcW w:w="1701" w:type="dxa"/>
                        <w:shd w:val="clear" w:color="auto" w:fill="auto"/>
                        <w:vAlign w:val="center"/>
                      </w:tcPr>
                      <w:p>
                        <w:pPr>
                          <w:ind w:firstLine="60"/>
                          <w:jc w:val="center"/>
                          <w:rPr>
                            <w:szCs w:val="24"/>
                            <w:lang w:eastAsia="ja-JP"/>
                          </w:rPr>
                        </w:pPr>
                        <w:r>
                          <w:rPr>
                            <w:szCs w:val="24"/>
                            <w:lang w:eastAsia="ja-JP"/>
                          </w:rPr>
                          <w:t>≥ 42</w:t>
                        </w:r>
                      </w:p>
                    </w:tc>
                    <w:tc>
                      <w:tcPr>
                        <w:tcW w:w="6804" w:type="dxa"/>
                        <w:shd w:val="clear" w:color="auto" w:fill="auto"/>
                        <w:noWrap/>
                        <w:vAlign w:val="center"/>
                      </w:tcPr>
                      <w:p>
                        <w:pPr>
                          <w:ind w:firstLine="60"/>
                          <w:jc w:val="center"/>
                          <w:rPr>
                            <w:szCs w:val="24"/>
                            <w:lang w:eastAsia="ja-JP"/>
                          </w:rPr>
                        </w:pPr>
                      </w:p>
                    </w:tc>
                  </w:tr>
                  <w:tr>
                    <w:trPr>
                      <w:cantSplit/>
                      <w:trHeight w:val="20"/>
                    </w:trPr>
                    <w:tc>
                      <w:tcPr>
                        <w:tcW w:w="709" w:type="dxa"/>
                        <w:vMerge w:val="restart"/>
                        <w:shd w:val="clear" w:color="auto" w:fill="auto"/>
                        <w:vAlign w:val="center"/>
                      </w:tcPr>
                      <w:p>
                        <w:pPr>
                          <w:jc w:val="center"/>
                          <w:rPr>
                            <w:szCs w:val="24"/>
                            <w:lang w:eastAsia="ja-JP"/>
                          </w:rPr>
                        </w:pPr>
                        <w:r>
                          <w:rPr>
                            <w:szCs w:val="24"/>
                            <w:lang w:eastAsia="ja-JP"/>
                          </w:rPr>
                          <w:t>15.</w:t>
                        </w:r>
                      </w:p>
                    </w:tc>
                    <w:tc>
                      <w:tcPr>
                        <w:tcW w:w="1843" w:type="dxa"/>
                        <w:vMerge w:val="restart"/>
                        <w:shd w:val="clear" w:color="auto" w:fill="auto"/>
                        <w:vAlign w:val="center"/>
                      </w:tcPr>
                      <w:p>
                        <w:pPr>
                          <w:jc w:val="center"/>
                          <w:rPr>
                            <w:szCs w:val="24"/>
                            <w:lang w:eastAsia="ja-JP"/>
                          </w:rPr>
                        </w:pPr>
                        <w:r>
                          <w:rPr>
                            <w:szCs w:val="24"/>
                            <w:lang w:eastAsia="ja-JP"/>
                          </w:rPr>
                          <w:t>Mokslo, gydymo, viešojo poilsio, specialiųjų, sporto, religinių</w:t>
                        </w:r>
                      </w:p>
                    </w:tc>
                    <w:tc>
                      <w:tcPr>
                        <w:tcW w:w="1275" w:type="dxa"/>
                        <w:shd w:val="clear" w:color="auto" w:fill="auto"/>
                        <w:noWrap/>
                        <w:vAlign w:val="center"/>
                      </w:tcPr>
                      <w:p>
                        <w:pPr>
                          <w:ind w:firstLine="60"/>
                          <w:jc w:val="center"/>
                          <w:rPr>
                            <w:szCs w:val="24"/>
                            <w:lang w:eastAsia="ja-JP"/>
                          </w:rPr>
                        </w:pPr>
                      </w:p>
                    </w:tc>
                    <w:tc>
                      <w:tcPr>
                        <w:tcW w:w="1276" w:type="dxa"/>
                        <w:shd w:val="clear" w:color="auto" w:fill="auto"/>
                        <w:noWrap/>
                        <w:vAlign w:val="center"/>
                      </w:tcPr>
                      <w:p>
                        <w:pPr>
                          <w:ind w:firstLine="60"/>
                          <w:jc w:val="center"/>
                          <w:rPr>
                            <w:szCs w:val="24"/>
                            <w:lang w:eastAsia="ja-JP"/>
                          </w:rPr>
                        </w:pPr>
                      </w:p>
                    </w:tc>
                    <w:tc>
                      <w:tcPr>
                        <w:tcW w:w="1134" w:type="dxa"/>
                        <w:shd w:val="clear" w:color="auto" w:fill="auto"/>
                        <w:vAlign w:val="center"/>
                      </w:tcPr>
                      <w:p>
                        <w:pPr>
                          <w:ind w:firstLine="60"/>
                          <w:jc w:val="center"/>
                          <w:rPr>
                            <w:szCs w:val="24"/>
                            <w:lang w:eastAsia="ja-JP"/>
                          </w:rPr>
                        </w:pPr>
                      </w:p>
                    </w:tc>
                    <w:tc>
                      <w:tcPr>
                        <w:tcW w:w="1701" w:type="dxa"/>
                        <w:shd w:val="clear" w:color="auto" w:fill="auto"/>
                        <w:vAlign w:val="center"/>
                      </w:tcPr>
                      <w:p>
                        <w:pPr>
                          <w:ind w:firstLine="60"/>
                          <w:jc w:val="center"/>
                          <w:rPr>
                            <w:szCs w:val="24"/>
                            <w:lang w:eastAsia="ja-JP"/>
                          </w:rPr>
                        </w:pPr>
                        <w:r>
                          <w:rPr>
                            <w:szCs w:val="24"/>
                            <w:lang w:eastAsia="ja-JP"/>
                          </w:rPr>
                          <w:t>≥ 42</w:t>
                        </w:r>
                      </w:p>
                    </w:tc>
                    <w:tc>
                      <w:tcPr>
                        <w:tcW w:w="6804" w:type="dxa"/>
                        <w:shd w:val="clear" w:color="auto" w:fill="auto"/>
                        <w:noWrap/>
                        <w:vAlign w:val="center"/>
                      </w:tcPr>
                      <w:p>
                        <w:pPr>
                          <w:ind w:firstLine="60"/>
                          <w:jc w:val="center"/>
                          <w:rPr>
                            <w:szCs w:val="24"/>
                            <w:lang w:eastAsia="ja-JP"/>
                          </w:rPr>
                        </w:pPr>
                      </w:p>
                    </w:tc>
                  </w:tr>
                  <w:tr>
                    <w:trPr>
                      <w:cantSplit/>
                      <w:trHeight w:val="20"/>
                    </w:trPr>
                    <w:tc>
                      <w:tcPr>
                        <w:tcW w:w="709" w:type="dxa"/>
                        <w:vMerge/>
                        <w:shd w:val="clear" w:color="auto" w:fill="auto"/>
                        <w:vAlign w:val="center"/>
                      </w:tcPr>
                      <w:p>
                        <w:pPr>
                          <w:rPr>
                            <w:szCs w:val="24"/>
                            <w:lang w:eastAsia="ja-JP"/>
                          </w:rPr>
                        </w:pPr>
                      </w:p>
                    </w:tc>
                    <w:tc>
                      <w:tcPr>
                        <w:tcW w:w="1843" w:type="dxa"/>
                        <w:vMerge/>
                        <w:shd w:val="clear" w:color="auto" w:fill="auto"/>
                        <w:vAlign w:val="center"/>
                      </w:tcPr>
                      <w:p>
                        <w:pPr>
                          <w:rPr>
                            <w:szCs w:val="24"/>
                            <w:lang w:eastAsia="ja-JP"/>
                          </w:rPr>
                        </w:pPr>
                      </w:p>
                    </w:tc>
                    <w:tc>
                      <w:tcPr>
                        <w:tcW w:w="1275" w:type="dxa"/>
                        <w:shd w:val="clear" w:color="auto" w:fill="auto"/>
                        <w:noWrap/>
                        <w:vAlign w:val="center"/>
                      </w:tcPr>
                      <w:p>
                        <w:pPr>
                          <w:ind w:firstLine="60"/>
                          <w:jc w:val="center"/>
                          <w:rPr>
                            <w:szCs w:val="24"/>
                            <w:lang w:eastAsia="ja-JP"/>
                          </w:rPr>
                        </w:pPr>
                      </w:p>
                    </w:tc>
                    <w:tc>
                      <w:tcPr>
                        <w:tcW w:w="1276" w:type="dxa"/>
                        <w:shd w:val="clear" w:color="auto" w:fill="auto"/>
                        <w:noWrap/>
                        <w:vAlign w:val="center"/>
                      </w:tcPr>
                      <w:p>
                        <w:pPr>
                          <w:ind w:firstLine="60"/>
                          <w:jc w:val="center"/>
                          <w:rPr>
                            <w:szCs w:val="24"/>
                            <w:lang w:eastAsia="ja-JP"/>
                          </w:rPr>
                        </w:pPr>
                      </w:p>
                    </w:tc>
                    <w:tc>
                      <w:tcPr>
                        <w:tcW w:w="1134" w:type="dxa"/>
                        <w:shd w:val="clear" w:color="auto" w:fill="auto"/>
                        <w:vAlign w:val="center"/>
                      </w:tcPr>
                      <w:p>
                        <w:pPr>
                          <w:jc w:val="center"/>
                          <w:rPr>
                            <w:szCs w:val="24"/>
                            <w:lang w:eastAsia="ja-JP"/>
                          </w:rPr>
                        </w:pPr>
                        <w:r>
                          <w:rPr>
                            <w:szCs w:val="24"/>
                            <w:lang w:eastAsia="ja-JP"/>
                          </w:rPr>
                          <w:t>≥ 5 000</w:t>
                        </w:r>
                      </w:p>
                    </w:tc>
                    <w:tc>
                      <w:tcPr>
                        <w:tcW w:w="1701" w:type="dxa"/>
                        <w:shd w:val="clear" w:color="auto" w:fill="auto"/>
                        <w:noWrap/>
                        <w:vAlign w:val="center"/>
                      </w:tcPr>
                      <w:p>
                        <w:pPr>
                          <w:ind w:firstLine="60"/>
                          <w:jc w:val="center"/>
                          <w:rPr>
                            <w:szCs w:val="24"/>
                            <w:lang w:eastAsia="ja-JP"/>
                          </w:rPr>
                        </w:pPr>
                      </w:p>
                    </w:tc>
                    <w:tc>
                      <w:tcPr>
                        <w:tcW w:w="6804" w:type="dxa"/>
                        <w:shd w:val="clear" w:color="auto" w:fill="auto"/>
                        <w:noWrap/>
                        <w:vAlign w:val="center"/>
                      </w:tcPr>
                      <w:p>
                        <w:pPr>
                          <w:ind w:firstLine="60"/>
                          <w:jc w:val="center"/>
                          <w:rPr>
                            <w:szCs w:val="24"/>
                            <w:lang w:eastAsia="ja-JP"/>
                          </w:rPr>
                        </w:pPr>
                      </w:p>
                    </w:tc>
                  </w:tr>
                  <w:tr>
                    <w:trPr>
                      <w:cantSplit/>
                      <w:trHeight w:val="20"/>
                    </w:trPr>
                    <w:tc>
                      <w:tcPr>
                        <w:tcW w:w="709" w:type="dxa"/>
                        <w:shd w:val="clear" w:color="auto" w:fill="auto"/>
                        <w:vAlign w:val="center"/>
                      </w:tcPr>
                      <w:p>
                        <w:pPr>
                          <w:jc w:val="center"/>
                          <w:rPr>
                            <w:strike/>
                            <w:szCs w:val="24"/>
                            <w:lang w:eastAsia="ja-JP"/>
                          </w:rPr>
                        </w:pPr>
                        <w:r>
                          <w:rPr>
                            <w:szCs w:val="24"/>
                            <w:lang w:eastAsia="ja-JP"/>
                          </w:rPr>
                          <w:t>16.</w:t>
                        </w:r>
                        <w:r>
                          <w:rPr>
                            <w:strike/>
                            <w:szCs w:val="24"/>
                            <w:lang w:eastAsia="ja-JP"/>
                          </w:rPr>
                          <w:t xml:space="preserve"> </w:t>
                        </w:r>
                      </w:p>
                    </w:tc>
                    <w:tc>
                      <w:tcPr>
                        <w:tcW w:w="1843" w:type="dxa"/>
                        <w:shd w:val="clear" w:color="auto" w:fill="auto"/>
                        <w:vAlign w:val="center"/>
                      </w:tcPr>
                      <w:p>
                        <w:pPr>
                          <w:jc w:val="center"/>
                          <w:rPr>
                            <w:szCs w:val="24"/>
                            <w:lang w:eastAsia="ja-JP"/>
                          </w:rPr>
                        </w:pPr>
                        <w:r>
                          <w:rPr>
                            <w:szCs w:val="24"/>
                            <w:lang w:eastAsia="ja-JP"/>
                          </w:rPr>
                          <w:t>Kitų pagalbinių</w:t>
                        </w:r>
                      </w:p>
                    </w:tc>
                    <w:tc>
                      <w:tcPr>
                        <w:tcW w:w="1275" w:type="dxa"/>
                        <w:shd w:val="clear" w:color="auto" w:fill="auto"/>
                        <w:noWrap/>
                        <w:vAlign w:val="center"/>
                      </w:tcPr>
                      <w:p>
                        <w:pPr>
                          <w:ind w:firstLine="60"/>
                          <w:jc w:val="center"/>
                          <w:rPr>
                            <w:szCs w:val="24"/>
                            <w:lang w:eastAsia="ja-JP"/>
                          </w:rPr>
                        </w:pPr>
                      </w:p>
                    </w:tc>
                    <w:tc>
                      <w:tcPr>
                        <w:tcW w:w="1276" w:type="dxa"/>
                        <w:shd w:val="clear" w:color="auto" w:fill="auto"/>
                        <w:noWrap/>
                        <w:vAlign w:val="center"/>
                      </w:tcPr>
                      <w:p>
                        <w:pPr>
                          <w:ind w:firstLine="60"/>
                          <w:jc w:val="center"/>
                          <w:rPr>
                            <w:szCs w:val="24"/>
                            <w:lang w:eastAsia="ja-JP"/>
                          </w:rPr>
                        </w:pPr>
                      </w:p>
                    </w:tc>
                    <w:tc>
                      <w:tcPr>
                        <w:tcW w:w="1134" w:type="dxa"/>
                        <w:shd w:val="clear" w:color="auto" w:fill="auto"/>
                        <w:noWrap/>
                        <w:vAlign w:val="center"/>
                      </w:tcPr>
                      <w:p>
                        <w:pPr>
                          <w:jc w:val="center"/>
                          <w:rPr>
                            <w:szCs w:val="24"/>
                            <w:lang w:eastAsia="ja-JP"/>
                          </w:rPr>
                        </w:pPr>
                        <w:r>
                          <w:rPr>
                            <w:szCs w:val="24"/>
                            <w:lang w:eastAsia="ja-JP"/>
                          </w:rPr>
                          <w:t>≥ 1 000</w:t>
                        </w:r>
                      </w:p>
                    </w:tc>
                    <w:tc>
                      <w:tcPr>
                        <w:tcW w:w="1701" w:type="dxa"/>
                        <w:shd w:val="clear" w:color="auto" w:fill="auto"/>
                        <w:noWrap/>
                        <w:vAlign w:val="center"/>
                      </w:tcPr>
                      <w:p>
                        <w:pPr>
                          <w:ind w:firstLine="60"/>
                          <w:jc w:val="center"/>
                          <w:rPr>
                            <w:szCs w:val="24"/>
                            <w:lang w:eastAsia="ja-JP"/>
                          </w:rPr>
                        </w:pPr>
                      </w:p>
                    </w:tc>
                    <w:tc>
                      <w:tcPr>
                        <w:tcW w:w="6804" w:type="dxa"/>
                        <w:shd w:val="clear" w:color="auto" w:fill="auto"/>
                        <w:noWrap/>
                        <w:vAlign w:val="center"/>
                      </w:tcPr>
                      <w:p>
                        <w:pPr>
                          <w:ind w:firstLine="60"/>
                          <w:jc w:val="center"/>
                          <w:rPr>
                            <w:szCs w:val="24"/>
                            <w:lang w:eastAsia="ja-JP"/>
                          </w:rPr>
                        </w:pPr>
                      </w:p>
                    </w:tc>
                  </w:tr>
                </w:tbl>
                <w:p>
                  <w:pPr>
                    <w:tabs>
                      <w:tab w:val="left" w:pos="1134"/>
                    </w:tabs>
                    <w:jc w:val="both"/>
                    <w:rPr>
                      <w:strike/>
                      <w:szCs w:val="24"/>
                    </w:rPr>
                  </w:pPr>
                </w:p>
                <w:p>
                  <w:pPr>
                    <w:tabs>
                      <w:tab w:val="left" w:pos="1134"/>
                    </w:tabs>
                    <w:ind w:left="720"/>
                    <w:jc w:val="both"/>
                    <w:rPr>
                      <w:b/>
                      <w:bCs/>
                      <w:szCs w:val="24"/>
                    </w:rPr>
                  </w:pPr>
                  <w:r>
                    <w:rPr>
                      <w:b/>
                      <w:bCs/>
                      <w:szCs w:val="24"/>
                    </w:rPr>
                    <w:t>Pastabos:</w:t>
                  </w:r>
                </w:p>
                <w:sdt>
                  <w:sdtPr>
                    <w:alias w:val="1 p."/>
                    <w:tag w:val="part_ad485cb04d3140e583b847b9ddc91cfc"/>
                    <w:lock w:val="sdtLocked"/>
                    <w:richText/>
                  </w:sdtPr>
                  <w:sdtContent>
                    <w:p>
                      <w:pPr>
                        <w:tabs>
                          <w:tab w:val="left" w:pos="1134"/>
                        </w:tabs>
                        <w:ind w:left="720"/>
                        <w:jc w:val="both"/>
                        <w:rPr>
                          <w:szCs w:val="24"/>
                        </w:rPr>
                      </w:pPr>
                      <w:sdt>
                        <w:sdtPr>
                          <w:alias w:val="Numeris"/>
                          <w:tag w:val="nr_ad485cb04d3140e583b847b9ddc91cfc"/>
                          <w:lock w:val="sdtLocked"/>
                          <w:richText/>
                        </w:sdtPr>
                        <w:sdtContent>
                          <w:r>
                            <w:rPr>
                              <w:szCs w:val="24"/>
                            </w:rPr>
                            <w:t>1</w:t>
                          </w:r>
                        </w:sdtContent>
                      </w:sdt>
                      <w:r>
                        <w:rPr>
                          <w:szCs w:val="24"/>
                        </w:rPr>
                        <w:t>. Nustatant SGG sistemos poreikį turi būti vertinami visi vienoje eilutėje nurodyti rodikliai.</w:t>
                      </w:r>
                    </w:p>
                  </w:sdtContent>
                </w:sdt>
                <w:sdt>
                  <w:sdtPr>
                    <w:alias w:val="2 p."/>
                    <w:tag w:val="part_2bc59a6d10bb4bd28705497426f09818"/>
                    <w:lock w:val="sdtLocked"/>
                    <w:richText/>
                  </w:sdtPr>
                  <w:sdtContent>
                    <w:p>
                      <w:pPr>
                        <w:tabs>
                          <w:tab w:val="left" w:pos="1134"/>
                        </w:tabs>
                        <w:ind w:left="720"/>
                        <w:jc w:val="both"/>
                        <w:rPr>
                          <w:szCs w:val="24"/>
                        </w:rPr>
                      </w:pPr>
                      <w:sdt>
                        <w:sdtPr>
                          <w:alias w:val="Numeris"/>
                          <w:tag w:val="nr_2bc59a6d10bb4bd28705497426f09818"/>
                          <w:lock w:val="sdtLocked"/>
                          <w:richText/>
                        </w:sdtPr>
                        <w:sdtContent>
                          <w:r>
                            <w:rPr>
                              <w:szCs w:val="24"/>
                            </w:rPr>
                            <w:t>2</w:t>
                          </w:r>
                        </w:sdtContent>
                      </w:sdt>
                      <w:r>
                        <w:rPr>
                          <w:szCs w:val="24"/>
                        </w:rPr>
                        <w:t>. Patalpų, kuriose, vadovaujantis Taisyklių 19 punktu, SGG sistemos gali būti neįrengiamos, plotas neįskaičiuojamas.</w:t>
                      </w:r>
                    </w:p>
                  </w:sdtContent>
                </w:sdt>
                <w:sdt>
                  <w:sdtPr>
                    <w:alias w:val="3 p."/>
                    <w:tag w:val="part_74a1bfac04324e06a2b65ebb1df649b8"/>
                    <w:lock w:val="sdtLocked"/>
                    <w:richText/>
                  </w:sdtPr>
                  <w:sdtContent>
                    <w:p>
                      <w:pPr>
                        <w:tabs>
                          <w:tab w:val="left" w:pos="1134"/>
                        </w:tabs>
                        <w:ind w:left="720"/>
                        <w:jc w:val="both"/>
                        <w:rPr>
                          <w:szCs w:val="24"/>
                        </w:rPr>
                      </w:pPr>
                      <w:sdt>
                        <w:sdtPr>
                          <w:alias w:val="Numeris"/>
                          <w:tag w:val="nr_74a1bfac04324e06a2b65ebb1df649b8"/>
                          <w:lock w:val="sdtLocked"/>
                          <w:richText/>
                        </w:sdtPr>
                        <w:sdtContent>
                          <w:r>
                            <w:rPr>
                              <w:szCs w:val="24"/>
                            </w:rPr>
                            <w:t>3</w:t>
                          </w:r>
                        </w:sdtContent>
                      </w:sdt>
                      <w:r>
                        <w:rPr>
                          <w:szCs w:val="24"/>
                        </w:rPr>
                        <w:t>. Antžeminei pastato daliai skirstymas gaisrinių skyrių perdangomis nevertinamas.</w:t>
                      </w:r>
                    </w:p>
                  </w:sdtContent>
                </w:sdt>
                <w:sdt>
                  <w:sdtPr>
                    <w:alias w:val="4 p."/>
                    <w:tag w:val="part_4a7132ad6dca4f079ef96e36af890e05"/>
                    <w:lock w:val="sdtLocked"/>
                    <w:richText/>
                  </w:sdtPr>
                  <w:sdtContent>
                    <w:p>
                      <w:pPr>
                        <w:tabs>
                          <w:tab w:val="left" w:pos="1134"/>
                        </w:tabs>
                        <w:ind w:left="720"/>
                        <w:jc w:val="both"/>
                        <w:rPr>
                          <w:szCs w:val="24"/>
                        </w:rPr>
                      </w:pPr>
                      <w:sdt>
                        <w:sdtPr>
                          <w:alias w:val="Numeris"/>
                          <w:tag w:val="nr_4a7132ad6dca4f079ef96e36af890e05"/>
                          <w:lock w:val="sdtLocked"/>
                          <w:richText/>
                        </w:sdtPr>
                        <w:sdtContent>
                          <w:r>
                            <w:rPr>
                              <w:szCs w:val="24"/>
                            </w:rPr>
                            <w:t>4</w:t>
                          </w:r>
                        </w:sdtContent>
                      </w:sdt>
                      <w:r>
                        <w:rPr>
                          <w:szCs w:val="24"/>
                        </w:rPr>
                        <w:t>. SGG sistemų leidžiama neįrengti atvirojo tipo automobilių saugyklose.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c53d0825611e7804fae56a3fa17a5">
                    <w:r w:rsidRPr="00532B9F">
                      <w:rPr>
                        <w:rFonts w:ascii="Times New Roman" w:eastAsia="MS Mincho" w:hAnsi="Times New Roman"/>
                        <w:sz w:val="20"/>
                        <w:i/>
                        <w:iCs/>
                        <w:color w:val="0000FF" w:themeColor="hyperlink"/>
                        <w:u w:val="single"/>
                      </w:rPr>
                      <w:t>1-263</w:t>
                    </w:r>
                  </w:fldSimple>
                  <w:r>
                    <w:rPr>
                      <w:rFonts w:ascii="Times New Roman" w:eastAsia="MS Mincho" w:hAnsi="Times New Roman"/>
                      <w:sz w:val="20"/>
                      <w:i/>
                      <w:iCs/>
                    </w:rPr>
                    <w:t>,
2017-08-16,
paskelbta TAR 2017-08-16, i. k. 2017-13351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c770969011efa605b9842742bf37">
                    <w:r w:rsidRPr="00532B9F">
                      <w:rPr>
                        <w:rFonts w:ascii="Times New Roman" w:eastAsia="MS Mincho" w:hAnsi="Times New Roman"/>
                        <w:sz w:val="20"/>
                        <w:i/>
                        <w:iCs/>
                        <w:color w:val="0000FF" w:themeColor="hyperlink"/>
                        <w:u w:val="single"/>
                      </w:rPr>
                      <w:t>1-642 /2024 (1.4 E)</w:t>
                    </w:r>
                  </w:fldSimple>
                  <w:r>
                    <w:rPr>
                      <w:rFonts w:ascii="Times New Roman" w:eastAsia="MS Mincho" w:hAnsi="Times New Roman"/>
                      <w:sz w:val="20"/>
                      <w:i/>
                      <w:iCs/>
                    </w:rPr>
                    <w:t>,
2024-10-30,
paskelbta TAR 2024-10-30, i. k. 2024-18779            </w:t>
                  </w:r>
                </w:p>
                <w:p/>
              </w:sdtContent>
            </w:sdt>
            <w:sdt>
              <w:sdtPr>
                <w:alias w:val="28 p."/>
                <w:tag w:val="part_c61c2598976049d882e5f7fce40d38b8"/>
                <w:lock w:val="sdtLocked"/>
                <w:richText/>
              </w:sdtPr>
              <w:sdtContent>
                <w:p>
                  <w:pPr>
                    <w:tabs>
                      <w:tab w:val="left" w:pos="709"/>
                    </w:tabs>
                    <w:ind w:firstLine="709"/>
                    <w:jc w:val="both"/>
                    <w:rPr>
                      <w:szCs w:val="24"/>
                    </w:rPr>
                  </w:pPr>
                  <w:sdt>
                    <w:sdtPr>
                      <w:alias w:val="Numeris"/>
                      <w:tag w:val="nr_c61c2598976049d882e5f7fce40d38b8"/>
                      <w:lock w:val="sdtLocked"/>
                      <w:richText/>
                    </w:sdtPr>
                    <w:sdtContent>
                      <w:r>
                        <w:rPr>
                          <w:szCs w:val="24"/>
                        </w:rPr>
                        <w:t>28</w:t>
                      </w:r>
                    </w:sdtContent>
                  </w:sdt>
                  <w:r>
                    <w:rPr>
                      <w:szCs w:val="24"/>
                    </w:rPr>
                    <w:t xml:space="preserve">. Rodikliai, kuriuos viršijus </w:t>
                  </w:r>
                  <w:r>
                    <w:rPr>
                      <w:szCs w:val="24"/>
                      <w:lang w:eastAsia="ja-JP"/>
                    </w:rPr>
                    <w:t>privaloma</w:t>
                  </w:r>
                  <w:r>
                    <w:rPr>
                      <w:szCs w:val="24"/>
                    </w:rPr>
                    <w:t xml:space="preserve"> įrengti SGG sistemas patalpose, išdėstyti 3 lentelėje. Patalpų </w:t>
                  </w:r>
                  <w:r>
                    <w:rPr>
                      <w:spacing w:val="-4"/>
                      <w:szCs w:val="24"/>
                    </w:rPr>
                    <w:t xml:space="preserve">rodikliai (plotas, žmonių skaičius ir kt.), kuriuos viršijus privaloma įrengti SGG sistemas, nustatomi patalpoms ar pastato dalims, kurios nuo </w:t>
                  </w:r>
                  <w:r>
                    <w:rPr>
                      <w:szCs w:val="24"/>
                    </w:rPr>
                    <w:t xml:space="preserve">kitų patalpų atskirtos ne mažesnio kaip EI 60 atsparumo ugniai pertvaromis ir ne mažesnio kaip REI 60 atsparumo ugniai perdangomis. Patalpų, neatskirtų nurodyto atsparumo ugniai priešgaisrinėmis atitvaromis, rodikliai sumuojami. SGG sistemos įrengiamos visose patalpose, kurios vertinamos nustatant patalpų rodiklius. </w:t>
                  </w:r>
                </w:p>
                <w:p>
                  <w:pPr>
                    <w:tabs>
                      <w:tab w:val="left" w:pos="709"/>
                    </w:tabs>
                    <w:jc w:val="both"/>
                    <w:rPr>
                      <w:szCs w:val="24"/>
                    </w:rPr>
                  </w:pPr>
                </w:p>
                <w:p>
                  <w:pPr>
                    <w:tabs>
                      <w:tab w:val="left" w:pos="1134"/>
                    </w:tabs>
                    <w:ind w:firstLine="709"/>
                    <w:jc w:val="both"/>
                    <w:rPr>
                      <w:szCs w:val="24"/>
                    </w:rPr>
                  </w:pPr>
                  <w:r>
                    <w:rPr>
                      <w:szCs w:val="24"/>
                    </w:rPr>
                    <w:t xml:space="preserve">3 lentelė. </w:t>
                  </w:r>
                  <w:r>
                    <w:rPr>
                      <w:b/>
                      <w:bCs/>
                      <w:szCs w:val="24"/>
                    </w:rPr>
                    <w:t>Patalpų rodikliai (1 pastaba)</w:t>
                  </w:r>
                </w:p>
                <w:tbl>
                  <w:tblPr>
                    <w:tblW w:w="14786" w:type="dxa"/>
                    <w:tblInd w:w="93" w:type="dxa"/>
                    <w:tblLook w:val="0000" w:firstRow="0" w:lastRow="0" w:firstColumn="0" w:lastColumn="0" w:noHBand="0" w:noVBand="0"/>
                  </w:tblPr>
                  <w:tblGrid>
                    <w:gridCol w:w="756"/>
                    <w:gridCol w:w="3120"/>
                    <w:gridCol w:w="1696"/>
                    <w:gridCol w:w="1560"/>
                    <w:gridCol w:w="1030"/>
                    <w:gridCol w:w="6662"/>
                  </w:tblGrid>
                  <w:tr>
                    <w:trPr>
                      <w:cantSplit/>
                      <w:trHeight w:val="20"/>
                    </w:trPr>
                    <w:tc>
                      <w:tcPr>
                        <w:tcW w:w="7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b/>
                            <w:bCs/>
                            <w:szCs w:val="24"/>
                            <w:lang w:eastAsia="ja-JP"/>
                          </w:rPr>
                        </w:pPr>
                        <w:r>
                          <w:rPr>
                            <w:b/>
                            <w:bCs/>
                            <w:szCs w:val="24"/>
                            <w:lang w:eastAsia="ja-JP"/>
                          </w:rPr>
                          <w:t>Eil. Nr.</w:t>
                        </w:r>
                      </w:p>
                    </w:tc>
                    <w:tc>
                      <w:tcPr>
                        <w:tcW w:w="3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b/>
                            <w:bCs/>
                            <w:szCs w:val="24"/>
                            <w:lang w:eastAsia="ja-JP"/>
                          </w:rPr>
                        </w:pPr>
                        <w:r>
                          <w:rPr>
                            <w:b/>
                            <w:bCs/>
                            <w:szCs w:val="24"/>
                            <w:lang w:eastAsia="ja-JP"/>
                          </w:rPr>
                          <w:t>Patalpų paskirtis [15.11]</w:t>
                        </w:r>
                      </w:p>
                    </w:tc>
                    <w:tc>
                      <w:tcPr>
                        <w:tcW w:w="10910" w:type="dxa"/>
                        <w:gridSpan w:val="4"/>
                        <w:tcBorders>
                          <w:top w:val="single" w:sz="4" w:space="0" w:color="auto"/>
                          <w:left w:val="nil"/>
                          <w:bottom w:val="single" w:sz="4" w:space="0" w:color="auto"/>
                          <w:right w:val="single" w:sz="4" w:space="0" w:color="000000"/>
                        </w:tcBorders>
                        <w:shd w:val="clear" w:color="auto" w:fill="auto"/>
                        <w:noWrap/>
                        <w:vAlign w:val="center"/>
                      </w:tcPr>
                      <w:p>
                        <w:pPr>
                          <w:ind w:firstLine="57"/>
                          <w:jc w:val="center"/>
                          <w:rPr>
                            <w:b/>
                            <w:bCs/>
                            <w:szCs w:val="24"/>
                            <w:lang w:eastAsia="ja-JP"/>
                          </w:rPr>
                        </w:pPr>
                        <w:r>
                          <w:rPr>
                            <w:b/>
                            <w:bCs/>
                            <w:szCs w:val="24"/>
                            <w:lang w:eastAsia="ja-JP"/>
                          </w:rPr>
                          <w:t>Rodikliai, kuriuos viršijus privaloma įrengti SGG sistemas (2 pastaba)</w:t>
                        </w: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b/>
                            <w:bCs/>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b/>
                            <w:bCs/>
                            <w:szCs w:val="24"/>
                            <w:lang w:eastAsia="ja-JP"/>
                          </w:rPr>
                        </w:pPr>
                      </w:p>
                    </w:tc>
                    <w:tc>
                      <w:tcPr>
                        <w:tcW w:w="1696" w:type="dxa"/>
                        <w:tcBorders>
                          <w:top w:val="nil"/>
                          <w:left w:val="nil"/>
                          <w:bottom w:val="single" w:sz="4" w:space="0" w:color="auto"/>
                          <w:right w:val="single" w:sz="4" w:space="0" w:color="auto"/>
                        </w:tcBorders>
                        <w:shd w:val="clear" w:color="auto" w:fill="auto"/>
                        <w:vAlign w:val="center"/>
                      </w:tcPr>
                      <w:p>
                        <w:pPr>
                          <w:ind w:firstLine="57"/>
                          <w:jc w:val="center"/>
                          <w:rPr>
                            <w:b/>
                            <w:bCs/>
                            <w:szCs w:val="24"/>
                            <w:lang w:eastAsia="ja-JP"/>
                          </w:rPr>
                        </w:pPr>
                        <w:r>
                          <w:rPr>
                            <w:b/>
                            <w:bCs/>
                            <w:szCs w:val="24"/>
                            <w:lang w:eastAsia="ja-JP"/>
                          </w:rPr>
                          <w:t>plotas (kv. m) (3 pastaba)</w:t>
                        </w:r>
                      </w:p>
                    </w:tc>
                    <w:tc>
                      <w:tcPr>
                        <w:tcW w:w="1560" w:type="dxa"/>
                        <w:tcBorders>
                          <w:top w:val="nil"/>
                          <w:left w:val="nil"/>
                          <w:bottom w:val="single" w:sz="4" w:space="0" w:color="auto"/>
                          <w:right w:val="single" w:sz="4" w:space="0" w:color="auto"/>
                        </w:tcBorders>
                        <w:shd w:val="clear" w:color="auto" w:fill="auto"/>
                        <w:vAlign w:val="center"/>
                      </w:tcPr>
                      <w:p>
                        <w:pPr>
                          <w:ind w:firstLine="57"/>
                          <w:jc w:val="center"/>
                          <w:rPr>
                            <w:b/>
                            <w:bCs/>
                            <w:szCs w:val="24"/>
                            <w:lang w:eastAsia="ja-JP"/>
                          </w:rPr>
                        </w:pPr>
                        <w:r>
                          <w:rPr>
                            <w:b/>
                            <w:bCs/>
                            <w:szCs w:val="24"/>
                            <w:lang w:eastAsia="ja-JP"/>
                          </w:rPr>
                          <w:t>kategorija pagal sprogimo ar gaisro kilimo pavojų</w:t>
                        </w:r>
                      </w:p>
                    </w:tc>
                    <w:tc>
                      <w:tcPr>
                        <w:tcW w:w="992" w:type="dxa"/>
                        <w:tcBorders>
                          <w:top w:val="nil"/>
                          <w:left w:val="nil"/>
                          <w:bottom w:val="single" w:sz="4" w:space="0" w:color="auto"/>
                          <w:right w:val="single" w:sz="4" w:space="0" w:color="auto"/>
                        </w:tcBorders>
                        <w:shd w:val="clear" w:color="auto" w:fill="auto"/>
                        <w:vAlign w:val="center"/>
                      </w:tcPr>
                      <w:p>
                        <w:pPr>
                          <w:ind w:firstLine="57"/>
                          <w:jc w:val="center"/>
                          <w:rPr>
                            <w:b/>
                            <w:bCs/>
                            <w:szCs w:val="24"/>
                            <w:lang w:eastAsia="ja-JP"/>
                          </w:rPr>
                        </w:pPr>
                        <w:r>
                          <w:rPr>
                            <w:b/>
                            <w:bCs/>
                            <w:szCs w:val="24"/>
                            <w:lang w:eastAsia="ja-JP"/>
                          </w:rPr>
                          <w:t>žmonių skaičius (vnt.)</w:t>
                        </w:r>
                      </w:p>
                    </w:tc>
                    <w:tc>
                      <w:tcPr>
                        <w:tcW w:w="6662" w:type="dxa"/>
                        <w:tcBorders>
                          <w:top w:val="nil"/>
                          <w:left w:val="nil"/>
                          <w:bottom w:val="single" w:sz="4" w:space="0" w:color="auto"/>
                          <w:right w:val="single" w:sz="4" w:space="0" w:color="auto"/>
                        </w:tcBorders>
                        <w:shd w:val="clear" w:color="auto" w:fill="auto"/>
                        <w:noWrap/>
                        <w:vAlign w:val="center"/>
                      </w:tcPr>
                      <w:p>
                        <w:pPr>
                          <w:ind w:firstLine="57"/>
                          <w:jc w:val="center"/>
                          <w:rPr>
                            <w:b/>
                            <w:bCs/>
                            <w:szCs w:val="24"/>
                            <w:lang w:eastAsia="ja-JP"/>
                          </w:rPr>
                        </w:pPr>
                        <w:r>
                          <w:rPr>
                            <w:b/>
                            <w:bCs/>
                            <w:szCs w:val="24"/>
                            <w:lang w:eastAsia="ja-JP"/>
                          </w:rPr>
                          <w:t>kiti rodikliai</w:t>
                        </w:r>
                      </w:p>
                    </w:tc>
                  </w:tr>
                  <w:tr>
                    <w:trPr>
                      <w:cantSplit/>
                      <w:trHeight w:val="20"/>
                    </w:trPr>
                    <w:tc>
                      <w:tcPr>
                        <w:tcW w:w="756" w:type="dxa"/>
                        <w:tcBorders>
                          <w:top w:val="nil"/>
                          <w:left w:val="single" w:sz="4" w:space="0" w:color="auto"/>
                          <w:bottom w:val="single" w:sz="4" w:space="0" w:color="auto"/>
                          <w:right w:val="single" w:sz="4" w:space="0" w:color="auto"/>
                        </w:tcBorders>
                        <w:shd w:val="clear" w:color="auto" w:fill="auto"/>
                        <w:noWrap/>
                        <w:vAlign w:val="center"/>
                      </w:tcPr>
                      <w:p>
                        <w:pPr>
                          <w:jc w:val="center"/>
                          <w:rPr>
                            <w:szCs w:val="24"/>
                            <w:lang w:eastAsia="ja-JP"/>
                          </w:rPr>
                        </w:pPr>
                        <w:r>
                          <w:rPr>
                            <w:szCs w:val="24"/>
                            <w:lang w:eastAsia="ja-JP"/>
                          </w:rPr>
                          <w:t>1.</w:t>
                        </w:r>
                      </w:p>
                    </w:tc>
                    <w:tc>
                      <w:tcPr>
                        <w:tcW w:w="3120"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Prekybos</w:t>
                        </w:r>
                      </w:p>
                    </w:tc>
                    <w:tc>
                      <w:tcPr>
                        <w:tcW w:w="169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560"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nil"/>
                          <w:left w:val="nil"/>
                          <w:bottom w:val="single" w:sz="4" w:space="0" w:color="auto"/>
                          <w:right w:val="single" w:sz="4" w:space="0" w:color="auto"/>
                        </w:tcBorders>
                        <w:shd w:val="clear" w:color="auto" w:fill="auto"/>
                        <w:vAlign w:val="center"/>
                      </w:tcPr>
                      <w:p>
                        <w:pPr>
                          <w:ind w:firstLine="1"/>
                          <w:rPr>
                            <w:szCs w:val="24"/>
                            <w:lang w:eastAsia="ja-JP"/>
                          </w:rPr>
                        </w:pPr>
                      </w:p>
                    </w:tc>
                  </w:tr>
                  <w:tr>
                    <w:trPr>
                      <w:cantSplit/>
                      <w:trHeight w:val="20"/>
                    </w:trPr>
                    <w:tc>
                      <w:tcPr>
                        <w:tcW w:w="756" w:type="dxa"/>
                        <w:vMerge w:val="restart"/>
                        <w:tcBorders>
                          <w:left w:val="single" w:sz="4" w:space="0" w:color="auto"/>
                          <w:right w:val="single" w:sz="4" w:space="0" w:color="auto"/>
                        </w:tcBorders>
                        <w:shd w:val="clear" w:color="auto" w:fill="auto"/>
                        <w:vAlign w:val="center"/>
                      </w:tcPr>
                      <w:p>
                        <w:pPr>
                          <w:jc w:val="center"/>
                          <w:rPr>
                            <w:strike/>
                            <w:szCs w:val="24"/>
                            <w:lang w:eastAsia="ja-JP"/>
                          </w:rPr>
                        </w:pPr>
                        <w:r>
                          <w:rPr>
                            <w:szCs w:val="24"/>
                            <w:lang w:eastAsia="ja-JP"/>
                          </w:rPr>
                          <w:t>2.</w:t>
                        </w:r>
                      </w:p>
                    </w:tc>
                    <w:tc>
                      <w:tcPr>
                        <w:tcW w:w="3120" w:type="dxa"/>
                        <w:vMerge w:val="restart"/>
                        <w:tcBorders>
                          <w:left w:val="single" w:sz="4" w:space="0" w:color="auto"/>
                          <w:right w:val="single" w:sz="4" w:space="0" w:color="auto"/>
                        </w:tcBorders>
                        <w:shd w:val="clear" w:color="auto" w:fill="auto"/>
                        <w:vAlign w:val="center"/>
                      </w:tcPr>
                      <w:p>
                        <w:pPr>
                          <w:ind w:firstLine="57"/>
                          <w:jc w:val="center"/>
                          <w:rPr>
                            <w:szCs w:val="24"/>
                            <w:lang w:eastAsia="ja-JP"/>
                          </w:rPr>
                        </w:pPr>
                        <w:r>
                          <w:rPr>
                            <w:szCs w:val="24"/>
                            <w:lang w:eastAsia="ja-JP"/>
                          </w:rPr>
                          <w:t>Paslaugų, specialiųjų paslaugų</w:t>
                        </w:r>
                      </w:p>
                    </w:tc>
                    <w:tc>
                      <w:tcPr>
                        <w:tcW w:w="1696" w:type="dxa"/>
                        <w:tcBorders>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560" w:type="dxa"/>
                        <w:tcBorders>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992" w:type="dxa"/>
                        <w:tcBorders>
                          <w:left w:val="nil"/>
                          <w:bottom w:val="single" w:sz="4" w:space="0" w:color="auto"/>
                          <w:right w:val="single" w:sz="4" w:space="0" w:color="auto"/>
                        </w:tcBorders>
                        <w:shd w:val="clear" w:color="auto" w:fill="auto"/>
                        <w:noWrap/>
                        <w:vAlign w:val="center"/>
                      </w:tcPr>
                      <w:p>
                        <w:pPr>
                          <w:jc w:val="center"/>
                          <w:rPr>
                            <w:szCs w:val="24"/>
                            <w:lang w:eastAsia="ja-JP"/>
                          </w:rPr>
                        </w:pPr>
                        <w:r>
                          <w:rPr>
                            <w:szCs w:val="24"/>
                            <w:lang w:eastAsia="ja-JP"/>
                          </w:rPr>
                          <w:t>≥ 5 000</w:t>
                        </w:r>
                      </w:p>
                    </w:tc>
                    <w:tc>
                      <w:tcPr>
                        <w:tcW w:w="6662" w:type="dxa"/>
                        <w:tcBorders>
                          <w:top w:val="nil"/>
                          <w:left w:val="single" w:sz="4" w:space="0" w:color="auto"/>
                          <w:bottom w:val="single" w:sz="4" w:space="0" w:color="000000"/>
                          <w:right w:val="single" w:sz="4" w:space="0" w:color="auto"/>
                        </w:tcBorders>
                        <w:shd w:val="clear" w:color="auto" w:fill="auto"/>
                        <w:vAlign w:val="center"/>
                      </w:tcPr>
                      <w:p>
                        <w:pPr>
                          <w:ind w:firstLine="1"/>
                          <w:rPr>
                            <w:szCs w:val="24"/>
                            <w:lang w:eastAsia="ja-JP"/>
                          </w:rPr>
                        </w:pPr>
                      </w:p>
                    </w:tc>
                  </w:tr>
                  <w:tr>
                    <w:trPr>
                      <w:cantSplit/>
                      <w:trHeight w:val="20"/>
                    </w:trPr>
                    <w:tc>
                      <w:tcPr>
                        <w:tcW w:w="756" w:type="dxa"/>
                        <w:vMerge/>
                        <w:tcBorders>
                          <w:left w:val="single" w:sz="4" w:space="0" w:color="auto"/>
                          <w:bottom w:val="single" w:sz="4" w:space="0" w:color="000000"/>
                          <w:right w:val="single" w:sz="4" w:space="0" w:color="auto"/>
                        </w:tcBorders>
                        <w:shd w:val="clear" w:color="auto" w:fill="auto"/>
                        <w:vAlign w:val="center"/>
                      </w:tcPr>
                      <w:p>
                        <w:pPr>
                          <w:ind w:firstLine="57"/>
                          <w:jc w:val="center"/>
                          <w:rPr>
                            <w:strike/>
                            <w:szCs w:val="24"/>
                            <w:lang w:eastAsia="ja-JP"/>
                          </w:rPr>
                        </w:pPr>
                      </w:p>
                    </w:tc>
                    <w:tc>
                      <w:tcPr>
                        <w:tcW w:w="3120" w:type="dxa"/>
                        <w:vMerge/>
                        <w:tcBorders>
                          <w:left w:val="single" w:sz="4" w:space="0" w:color="auto"/>
                          <w:bottom w:val="single" w:sz="4" w:space="0" w:color="000000"/>
                          <w:right w:val="single" w:sz="4" w:space="0" w:color="auto"/>
                        </w:tcBorders>
                        <w:shd w:val="clear" w:color="auto" w:fill="auto"/>
                        <w:vAlign w:val="center"/>
                      </w:tcPr>
                      <w:p>
                        <w:pPr>
                          <w:ind w:firstLine="57"/>
                          <w:rPr>
                            <w:szCs w:val="24"/>
                            <w:lang w:eastAsia="ja-JP"/>
                          </w:rPr>
                        </w:pPr>
                      </w:p>
                    </w:tc>
                    <w:tc>
                      <w:tcPr>
                        <w:tcW w:w="1696" w:type="dxa"/>
                        <w:tcBorders>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560" w:type="dxa"/>
                        <w:tcBorders>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992" w:type="dxa"/>
                        <w:tcBorders>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nil"/>
                          <w:left w:val="single" w:sz="4" w:space="0" w:color="auto"/>
                          <w:bottom w:val="single" w:sz="4" w:space="0" w:color="000000"/>
                          <w:right w:val="single" w:sz="4" w:space="0" w:color="auto"/>
                        </w:tcBorders>
                        <w:shd w:val="clear" w:color="auto" w:fill="auto"/>
                        <w:vAlign w:val="center"/>
                      </w:tcPr>
                      <w:p>
                        <w:pPr>
                          <w:ind w:firstLine="1"/>
                          <w:rPr>
                            <w:szCs w:val="24"/>
                            <w:lang w:eastAsia="ja-JP"/>
                          </w:rPr>
                        </w:pPr>
                        <w:r>
                          <w:rPr>
                            <w:szCs w:val="24"/>
                            <w:lang w:eastAsia="ja-JP"/>
                          </w:rPr>
                          <w:t>automobilių servisuose</w:t>
                        </w:r>
                      </w:p>
                    </w:tc>
                  </w:tr>
                  <w:tr>
                    <w:trPr>
                      <w:cantSplit/>
                      <w:trHeight w:val="20"/>
                    </w:trPr>
                    <w:tc>
                      <w:tcPr>
                        <w:tcW w:w="756" w:type="dxa"/>
                        <w:tcBorders>
                          <w:top w:val="nil"/>
                          <w:left w:val="single" w:sz="4" w:space="0" w:color="auto"/>
                          <w:bottom w:val="single" w:sz="4" w:space="0" w:color="auto"/>
                          <w:right w:val="single" w:sz="4" w:space="0" w:color="auto"/>
                        </w:tcBorders>
                        <w:shd w:val="clear" w:color="auto" w:fill="auto"/>
                        <w:noWrap/>
                        <w:vAlign w:val="center"/>
                      </w:tcPr>
                      <w:p>
                        <w:pPr>
                          <w:ind w:firstLine="57"/>
                          <w:jc w:val="center"/>
                          <w:rPr>
                            <w:strike/>
                            <w:szCs w:val="24"/>
                            <w:lang w:eastAsia="ja-JP"/>
                          </w:rPr>
                        </w:pPr>
                        <w:r>
                          <w:rPr>
                            <w:szCs w:val="24"/>
                            <w:lang w:eastAsia="ja-JP"/>
                          </w:rPr>
                          <w:t>3.</w:t>
                        </w:r>
                      </w:p>
                    </w:tc>
                    <w:tc>
                      <w:tcPr>
                        <w:tcW w:w="3120"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Maitinimo</w:t>
                        </w:r>
                      </w:p>
                    </w:tc>
                    <w:tc>
                      <w:tcPr>
                        <w:tcW w:w="1696"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560"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pPr>
                          <w:jc w:val="center"/>
                          <w:rPr>
                            <w:strike/>
                            <w:szCs w:val="24"/>
                            <w:lang w:eastAsia="ja-JP"/>
                          </w:rPr>
                        </w:pPr>
                        <w:r>
                          <w:rPr>
                            <w:szCs w:val="24"/>
                            <w:lang w:eastAsia="ja-JP"/>
                          </w:rPr>
                          <w:t>≥ 5 000</w:t>
                        </w:r>
                      </w:p>
                    </w:tc>
                    <w:tc>
                      <w:tcPr>
                        <w:tcW w:w="6662" w:type="dxa"/>
                        <w:tcBorders>
                          <w:top w:val="nil"/>
                          <w:left w:val="nil"/>
                          <w:bottom w:val="single" w:sz="4" w:space="0" w:color="auto"/>
                          <w:right w:val="single" w:sz="4" w:space="0" w:color="auto"/>
                        </w:tcBorders>
                        <w:shd w:val="clear" w:color="auto" w:fill="auto"/>
                        <w:noWrap/>
                        <w:vAlign w:val="center"/>
                      </w:tcPr>
                      <w:p>
                        <w:pPr>
                          <w:ind w:firstLine="61"/>
                          <w:rPr>
                            <w:szCs w:val="24"/>
                            <w:lang w:eastAsia="ja-JP"/>
                          </w:rPr>
                        </w:pPr>
                      </w:p>
                    </w:tc>
                  </w:tr>
                  <w:tr>
                    <w:trPr>
                      <w:cantSplit/>
                      <w:trHeight w:val="20"/>
                    </w:trPr>
                    <w:tc>
                      <w:tcPr>
                        <w:tcW w:w="756" w:type="dxa"/>
                        <w:vMerge w:val="restart"/>
                        <w:tcBorders>
                          <w:top w:val="nil"/>
                          <w:left w:val="single" w:sz="4" w:space="0" w:color="auto"/>
                          <w:bottom w:val="single" w:sz="4" w:space="0" w:color="000000"/>
                          <w:right w:val="single" w:sz="4" w:space="0" w:color="auto"/>
                        </w:tcBorders>
                        <w:shd w:val="clear" w:color="auto" w:fill="auto"/>
                        <w:noWrap/>
                        <w:vAlign w:val="center"/>
                      </w:tcPr>
                      <w:p>
                        <w:pPr>
                          <w:ind w:firstLine="57"/>
                          <w:jc w:val="center"/>
                          <w:rPr>
                            <w:strike/>
                            <w:szCs w:val="24"/>
                            <w:lang w:eastAsia="ja-JP"/>
                          </w:rPr>
                        </w:pPr>
                        <w:r>
                          <w:rPr>
                            <w:szCs w:val="24"/>
                            <w:lang w:eastAsia="ja-JP"/>
                          </w:rPr>
                          <w:t>4.</w:t>
                        </w:r>
                      </w:p>
                    </w:tc>
                    <w:tc>
                      <w:tcPr>
                        <w:tcW w:w="3120" w:type="dxa"/>
                        <w:vMerge w:val="restart"/>
                        <w:tcBorders>
                          <w:top w:val="nil"/>
                          <w:left w:val="single" w:sz="4" w:space="0" w:color="auto"/>
                          <w:bottom w:val="single" w:sz="4" w:space="0" w:color="000000"/>
                          <w:right w:val="single" w:sz="4" w:space="0" w:color="auto"/>
                        </w:tcBorders>
                        <w:shd w:val="clear" w:color="auto" w:fill="auto"/>
                        <w:noWrap/>
                        <w:vAlign w:val="center"/>
                      </w:tcPr>
                      <w:p>
                        <w:pPr>
                          <w:ind w:firstLine="57"/>
                          <w:jc w:val="center"/>
                          <w:rPr>
                            <w:szCs w:val="24"/>
                            <w:lang w:eastAsia="ja-JP"/>
                          </w:rPr>
                        </w:pPr>
                        <w:r>
                          <w:rPr>
                            <w:szCs w:val="24"/>
                            <w:lang w:eastAsia="ja-JP"/>
                          </w:rPr>
                          <w:t>Transporto</w:t>
                        </w:r>
                      </w:p>
                    </w:tc>
                    <w:tc>
                      <w:tcPr>
                        <w:tcW w:w="1696"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560"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pPr>
                          <w:jc w:val="center"/>
                          <w:rPr>
                            <w:strike/>
                            <w:szCs w:val="24"/>
                            <w:lang w:eastAsia="ja-JP"/>
                          </w:rPr>
                        </w:pPr>
                        <w:r>
                          <w:rPr>
                            <w:szCs w:val="24"/>
                            <w:lang w:eastAsia="ja-JP"/>
                          </w:rPr>
                          <w:t>≥ 5 000</w:t>
                        </w:r>
                      </w:p>
                    </w:tc>
                    <w:tc>
                      <w:tcPr>
                        <w:tcW w:w="6662" w:type="dxa"/>
                        <w:vMerge w:val="restart"/>
                        <w:tcBorders>
                          <w:top w:val="nil"/>
                          <w:left w:val="single" w:sz="4" w:space="0" w:color="auto"/>
                          <w:bottom w:val="single" w:sz="4" w:space="0" w:color="000000"/>
                          <w:right w:val="single" w:sz="4" w:space="0" w:color="auto"/>
                        </w:tcBorders>
                        <w:shd w:val="clear" w:color="auto" w:fill="auto"/>
                        <w:noWrap/>
                        <w:vAlign w:val="center"/>
                      </w:tcPr>
                      <w:p>
                        <w:pPr>
                          <w:ind w:firstLine="61"/>
                          <w:rPr>
                            <w:szCs w:val="24"/>
                            <w:lang w:eastAsia="ja-JP"/>
                          </w:rPr>
                        </w:pPr>
                      </w:p>
                    </w:tc>
                  </w:tr>
                  <w:tr>
                    <w:trPr>
                      <w:cantSplit/>
                      <w:trHeight w:val="20"/>
                    </w:trPr>
                    <w:tc>
                      <w:tcPr>
                        <w:tcW w:w="756" w:type="dxa"/>
                        <w:vMerge/>
                        <w:tcBorders>
                          <w:top w:val="nil"/>
                          <w:left w:val="single" w:sz="4" w:space="0" w:color="auto"/>
                          <w:bottom w:val="single" w:sz="4" w:space="0" w:color="000000"/>
                          <w:right w:val="single" w:sz="4" w:space="0" w:color="auto"/>
                        </w:tcBorders>
                        <w:shd w:val="clear" w:color="auto" w:fill="auto"/>
                        <w:vAlign w:val="center"/>
                      </w:tcPr>
                      <w:p>
                        <w:pPr>
                          <w:ind w:firstLine="57"/>
                          <w:jc w:val="center"/>
                          <w:rPr>
                            <w:strike/>
                            <w:szCs w:val="24"/>
                            <w:lang w:eastAsia="ja-JP"/>
                          </w:rPr>
                        </w:pPr>
                      </w:p>
                    </w:tc>
                    <w:tc>
                      <w:tcPr>
                        <w:tcW w:w="3120" w:type="dxa"/>
                        <w:vMerge/>
                        <w:tcBorders>
                          <w:top w:val="nil"/>
                          <w:left w:val="single" w:sz="4" w:space="0" w:color="auto"/>
                          <w:bottom w:val="single" w:sz="4" w:space="0" w:color="000000"/>
                          <w:right w:val="single" w:sz="4" w:space="0" w:color="auto"/>
                        </w:tcBorders>
                        <w:shd w:val="clear" w:color="auto" w:fill="auto"/>
                        <w:vAlign w:val="center"/>
                      </w:tcPr>
                      <w:p>
                        <w:pPr>
                          <w:ind w:firstLine="57"/>
                          <w:rPr>
                            <w:szCs w:val="24"/>
                            <w:lang w:eastAsia="ja-JP"/>
                          </w:rPr>
                        </w:pPr>
                      </w:p>
                    </w:tc>
                    <w:tc>
                      <w:tcPr>
                        <w:tcW w:w="169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560"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vMerge/>
                        <w:tcBorders>
                          <w:top w:val="nil"/>
                          <w:left w:val="single" w:sz="4" w:space="0" w:color="auto"/>
                          <w:bottom w:val="single" w:sz="4" w:space="0" w:color="000000"/>
                          <w:right w:val="single" w:sz="4" w:space="0" w:color="auto"/>
                        </w:tcBorders>
                        <w:shd w:val="clear" w:color="auto" w:fill="auto"/>
                        <w:vAlign w:val="center"/>
                      </w:tcPr>
                      <w:p>
                        <w:pPr>
                          <w:ind w:firstLine="1"/>
                          <w:rPr>
                            <w:szCs w:val="24"/>
                            <w:lang w:eastAsia="ja-JP"/>
                          </w:rPr>
                        </w:pPr>
                      </w:p>
                    </w:tc>
                  </w:tr>
                  <w:tr>
                    <w:trPr>
                      <w:cantSplit/>
                      <w:trHeight w:val="20"/>
                    </w:trPr>
                    <w:tc>
                      <w:tcPr>
                        <w:tcW w:w="756" w:type="dxa"/>
                        <w:vMerge w:val="restart"/>
                        <w:tcBorders>
                          <w:top w:val="nil"/>
                          <w:left w:val="single" w:sz="4" w:space="0" w:color="auto"/>
                          <w:right w:val="single" w:sz="4" w:space="0" w:color="auto"/>
                        </w:tcBorders>
                        <w:shd w:val="clear" w:color="auto" w:fill="auto"/>
                        <w:noWrap/>
                        <w:vAlign w:val="center"/>
                      </w:tcPr>
                      <w:p>
                        <w:pPr>
                          <w:ind w:firstLine="57"/>
                          <w:jc w:val="center"/>
                          <w:rPr>
                            <w:strike/>
                            <w:szCs w:val="24"/>
                            <w:lang w:eastAsia="ja-JP"/>
                          </w:rPr>
                        </w:pPr>
                        <w:r>
                          <w:rPr>
                            <w:szCs w:val="24"/>
                            <w:lang w:eastAsia="ja-JP"/>
                          </w:rPr>
                          <w:t>5.</w:t>
                        </w:r>
                      </w:p>
                    </w:tc>
                    <w:tc>
                      <w:tcPr>
                        <w:tcW w:w="3120" w:type="dxa"/>
                        <w:vMerge w:val="restart"/>
                        <w:tcBorders>
                          <w:top w:val="nil"/>
                          <w:left w:val="nil"/>
                          <w:right w:val="single" w:sz="4" w:space="0" w:color="auto"/>
                        </w:tcBorders>
                        <w:shd w:val="clear" w:color="auto" w:fill="auto"/>
                        <w:noWrap/>
                        <w:vAlign w:val="center"/>
                      </w:tcPr>
                      <w:p>
                        <w:pPr>
                          <w:ind w:firstLine="57"/>
                          <w:jc w:val="center"/>
                          <w:rPr>
                            <w:szCs w:val="24"/>
                            <w:lang w:eastAsia="ja-JP"/>
                          </w:rPr>
                        </w:pPr>
                        <w:r>
                          <w:rPr>
                            <w:szCs w:val="24"/>
                            <w:lang w:eastAsia="ja-JP"/>
                          </w:rPr>
                          <w:t xml:space="preserve">Garažų </w:t>
                        </w:r>
                        <w:r>
                          <w:rPr>
                            <w:b/>
                            <w:bCs/>
                            <w:szCs w:val="24"/>
                            <w:lang w:eastAsia="ja-JP"/>
                          </w:rPr>
                          <w:t>(4 pastaba)</w:t>
                        </w:r>
                      </w:p>
                    </w:tc>
                    <w:tc>
                      <w:tcPr>
                        <w:tcW w:w="169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1 000</w:t>
                        </w:r>
                      </w:p>
                    </w:tc>
                    <w:tc>
                      <w:tcPr>
                        <w:tcW w:w="1560"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662"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automobilių saugyklose, esančiose III atsparumo ugniai laipsnio pastatuose</w:t>
                        </w:r>
                      </w:p>
                    </w:tc>
                  </w:tr>
                  <w:tr>
                    <w:trPr>
                      <w:cantSplit/>
                      <w:trHeight w:val="20"/>
                    </w:trPr>
                    <w:tc>
                      <w:tcPr>
                        <w:tcW w:w="756" w:type="dxa"/>
                        <w:vMerge/>
                        <w:tcBorders>
                          <w:left w:val="single" w:sz="4" w:space="0" w:color="auto"/>
                          <w:right w:val="single" w:sz="4" w:space="0" w:color="auto"/>
                        </w:tcBorders>
                        <w:shd w:val="clear" w:color="auto" w:fill="auto"/>
                        <w:noWrap/>
                        <w:vAlign w:val="center"/>
                      </w:tcPr>
                      <w:p>
                        <w:pPr>
                          <w:ind w:firstLine="57"/>
                          <w:jc w:val="center"/>
                          <w:rPr>
                            <w:szCs w:val="24"/>
                            <w:lang w:eastAsia="ja-JP"/>
                          </w:rPr>
                        </w:pPr>
                      </w:p>
                    </w:tc>
                    <w:tc>
                      <w:tcPr>
                        <w:tcW w:w="3120" w:type="dxa"/>
                        <w:vMerge/>
                        <w:tcBorders>
                          <w:left w:val="nil"/>
                          <w:right w:val="single" w:sz="4" w:space="0" w:color="auto"/>
                        </w:tcBorders>
                        <w:shd w:val="clear" w:color="auto" w:fill="auto"/>
                        <w:noWrap/>
                        <w:vAlign w:val="center"/>
                      </w:tcPr>
                      <w:p>
                        <w:pPr>
                          <w:ind w:firstLine="57"/>
                          <w:jc w:val="center"/>
                          <w:rPr>
                            <w:szCs w:val="24"/>
                            <w:lang w:eastAsia="ja-JP"/>
                          </w:rPr>
                        </w:pPr>
                      </w:p>
                    </w:tc>
                    <w:tc>
                      <w:tcPr>
                        <w:tcW w:w="169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560"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662"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automobilių saugyklose, esančiose II atsparumo ugniai laipsnio pastatuose</w:t>
                        </w:r>
                      </w:p>
                    </w:tc>
                  </w:tr>
                  <w:tr>
                    <w:trPr>
                      <w:cantSplit/>
                      <w:trHeight w:val="20"/>
                    </w:trPr>
                    <w:tc>
                      <w:tcPr>
                        <w:tcW w:w="756" w:type="dxa"/>
                        <w:vMerge/>
                        <w:tcBorders>
                          <w:left w:val="single" w:sz="4" w:space="0" w:color="auto"/>
                          <w:right w:val="single" w:sz="4" w:space="0" w:color="auto"/>
                        </w:tcBorders>
                        <w:shd w:val="clear" w:color="auto" w:fill="auto"/>
                        <w:noWrap/>
                        <w:vAlign w:val="center"/>
                      </w:tcPr>
                      <w:p>
                        <w:pPr>
                          <w:ind w:firstLine="57"/>
                          <w:jc w:val="center"/>
                          <w:rPr>
                            <w:szCs w:val="24"/>
                            <w:lang w:eastAsia="ja-JP"/>
                          </w:rPr>
                        </w:pPr>
                      </w:p>
                    </w:tc>
                    <w:tc>
                      <w:tcPr>
                        <w:tcW w:w="3120" w:type="dxa"/>
                        <w:vMerge/>
                        <w:tcBorders>
                          <w:left w:val="nil"/>
                          <w:right w:val="single" w:sz="4" w:space="0" w:color="auto"/>
                        </w:tcBorders>
                        <w:shd w:val="clear" w:color="auto" w:fill="auto"/>
                        <w:noWrap/>
                        <w:vAlign w:val="center"/>
                      </w:tcPr>
                      <w:p>
                        <w:pPr>
                          <w:ind w:firstLine="57"/>
                          <w:jc w:val="center"/>
                          <w:rPr>
                            <w:szCs w:val="24"/>
                            <w:lang w:eastAsia="ja-JP"/>
                          </w:rPr>
                        </w:pPr>
                      </w:p>
                    </w:tc>
                    <w:tc>
                      <w:tcPr>
                        <w:tcW w:w="169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560"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662"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p>
                    </w:tc>
                  </w:tr>
                  <w:tr>
                    <w:trPr>
                      <w:cantSplit/>
                      <w:trHeight w:val="20"/>
                    </w:trPr>
                    <w:tc>
                      <w:tcPr>
                        <w:tcW w:w="756" w:type="dxa"/>
                        <w:vMerge/>
                        <w:tcBorders>
                          <w:left w:val="single" w:sz="4" w:space="0" w:color="auto"/>
                          <w:right w:val="single" w:sz="4" w:space="0" w:color="auto"/>
                        </w:tcBorders>
                        <w:shd w:val="clear" w:color="auto" w:fill="auto"/>
                        <w:noWrap/>
                        <w:vAlign w:val="center"/>
                      </w:tcPr>
                      <w:p>
                        <w:pPr>
                          <w:ind w:firstLine="57"/>
                          <w:jc w:val="center"/>
                          <w:rPr>
                            <w:szCs w:val="24"/>
                            <w:lang w:eastAsia="ja-JP"/>
                          </w:rPr>
                        </w:pPr>
                      </w:p>
                    </w:tc>
                    <w:tc>
                      <w:tcPr>
                        <w:tcW w:w="3120" w:type="dxa"/>
                        <w:vMerge/>
                        <w:tcBorders>
                          <w:left w:val="nil"/>
                          <w:right w:val="single" w:sz="4" w:space="0" w:color="auto"/>
                        </w:tcBorders>
                        <w:shd w:val="clear" w:color="auto" w:fill="auto"/>
                        <w:noWrap/>
                        <w:vAlign w:val="center"/>
                      </w:tcPr>
                      <w:p>
                        <w:pPr>
                          <w:ind w:firstLine="57"/>
                          <w:jc w:val="center"/>
                          <w:rPr>
                            <w:szCs w:val="24"/>
                            <w:lang w:eastAsia="ja-JP"/>
                          </w:rPr>
                        </w:pPr>
                      </w:p>
                    </w:tc>
                    <w:tc>
                      <w:tcPr>
                        <w:tcW w:w="169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5 000</w:t>
                        </w:r>
                      </w:p>
                    </w:tc>
                    <w:tc>
                      <w:tcPr>
                        <w:tcW w:w="1560"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662"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automobilių saugyklose, esančiose I atsparumo ugniai laipsnio pastatuose</w:t>
                        </w:r>
                      </w:p>
                    </w:tc>
                  </w:tr>
                  <w:tr>
                    <w:trPr>
                      <w:cantSplit/>
                      <w:trHeight w:val="20"/>
                    </w:trPr>
                    <w:tc>
                      <w:tcPr>
                        <w:tcW w:w="756" w:type="dxa"/>
                        <w:vMerge/>
                        <w:tcBorders>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3120" w:type="dxa"/>
                        <w:vMerge/>
                        <w:tcBorders>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69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560"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662"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25 vietų ir daugiau požeminėse arba mechanizuotose automobilių saugyklose</w:t>
                        </w:r>
                      </w:p>
                    </w:tc>
                  </w:tr>
                  <w:tr>
                    <w:trPr>
                      <w:cantSplit/>
                      <w:trHeight w:val="20"/>
                    </w:trPr>
                    <w:tc>
                      <w:tcPr>
                        <w:tcW w:w="756" w:type="dxa"/>
                        <w:vMerge/>
                        <w:tcBorders>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3120" w:type="dxa"/>
                        <w:vMerge/>
                        <w:tcBorders>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69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560"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992"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662"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automobilių saugyklose, esančiose po kitos paskirties patalpomis</w:t>
                        </w:r>
                      </w:p>
                    </w:tc>
                  </w:tr>
                  <w:tr>
                    <w:trPr>
                      <w:trHeight w:val="20"/>
                    </w:trPr>
                    <w:tc>
                      <w:tcPr>
                        <w:tcW w:w="7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val="0"/>
                          <w:jc w:val="center"/>
                          <w:rPr>
                            <w:strike/>
                            <w:szCs w:val="24"/>
                            <w:lang w:eastAsia="ja-JP"/>
                          </w:rPr>
                        </w:pPr>
                        <w:r>
                          <w:rPr>
                            <w:szCs w:val="24"/>
                            <w:lang w:eastAsia="ja-JP"/>
                          </w:rPr>
                          <w:t>6.</w:t>
                        </w:r>
                      </w:p>
                    </w:tc>
                    <w:tc>
                      <w:tcPr>
                        <w:tcW w:w="3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pageBreakBefore/>
                          <w:ind w:firstLine="57"/>
                          <w:jc w:val="center"/>
                          <w:rPr>
                            <w:szCs w:val="24"/>
                            <w:lang w:eastAsia="ja-JP"/>
                          </w:rPr>
                        </w:pPr>
                        <w:r>
                          <w:rPr>
                            <w:szCs w:val="24"/>
                            <w:lang w:eastAsia="ja-JP"/>
                          </w:rPr>
                          <w:t>Gamybos</w:t>
                        </w: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pageBreakBefore/>
                          <w:ind w:firstLine="117"/>
                          <w:jc w:val="center"/>
                          <w:rPr>
                            <w:szCs w:val="24"/>
                            <w:lang w:eastAsia="ja-JP"/>
                          </w:rPr>
                        </w:pP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pageBreakBefore/>
                          <w:ind w:firstLine="57"/>
                          <w:jc w:val="center"/>
                          <w:rPr>
                            <w:szCs w:val="24"/>
                            <w:lang w:eastAsia="ja-JP"/>
                          </w:rPr>
                        </w:pPr>
                        <w:r>
                          <w:rPr>
                            <w:szCs w:val="24"/>
                            <w:lang w:eastAsia="ja-JP"/>
                          </w:rPr>
                          <w:t>Asg, Bsg Cg, Dg, Eg</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pageBreakBefore/>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pageBreakBefore/>
                          <w:ind w:firstLine="1"/>
                          <w:rPr>
                            <w:szCs w:val="24"/>
                            <w:lang w:eastAsia="ja-JP"/>
                          </w:rPr>
                        </w:pPr>
                        <w:r>
                          <w:rPr>
                            <w:szCs w:val="24"/>
                            <w:lang w:eastAsia="ja-JP"/>
                          </w:rPr>
                          <w:t>dažymo, lakavimo technologiniams įrenginiams gesinti, išskyrus vandens pagrindu naudojamas dažymo, lakavimo technologijas</w:t>
                        </w: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jc w:val="center"/>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750</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7"/>
                          <w:jc w:val="center"/>
                          <w:rPr>
                            <w:szCs w:val="24"/>
                            <w:lang w:eastAsia="ja-JP"/>
                          </w:rPr>
                        </w:pPr>
                        <w:r>
                          <w:rPr>
                            <w:szCs w:val="24"/>
                            <w:lang w:eastAsia="ja-JP"/>
                          </w:rPr>
                          <w:t>Asg ir Bsg</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1"/>
                          <w:rPr>
                            <w:szCs w:val="24"/>
                            <w:lang w:eastAsia="ja-JP"/>
                          </w:rPr>
                        </w:pP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jc w:val="center"/>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25"/>
                          <w:jc w:val="center"/>
                          <w:rPr>
                            <w:szCs w:val="24"/>
                            <w:lang w:eastAsia="ja-JP"/>
                          </w:rPr>
                        </w:pPr>
                        <w:r>
                          <w:rPr>
                            <w:szCs w:val="24"/>
                            <w:lang w:eastAsia="ja-JP"/>
                          </w:rPr>
                          <w:t>Cg</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
                          <w:rPr>
                            <w:szCs w:val="24"/>
                            <w:lang w:eastAsia="ja-JP"/>
                          </w:rPr>
                        </w:pP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jc w:val="center"/>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85"/>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
                          <w:rPr>
                            <w:szCs w:val="24"/>
                            <w:lang w:eastAsia="ja-JP"/>
                          </w:rPr>
                        </w:pP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jc w:val="center"/>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750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Cg</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 xml:space="preserve">patalpose, kurios yra rūsyje ar cokoliniame aukšte </w:t>
                        </w: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jc w:val="center"/>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500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patalpose, kuriose pilstomi ir fasuojami naftos produktai</w:t>
                        </w: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jc w:val="center"/>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 xml:space="preserve">naftos produktų, kurių pliūpsnio temperatūra  ≤ 120°C, gamybos patalpose;</w:t>
                        </w:r>
                      </w:p>
                      <w:p>
                        <w:pPr>
                          <w:ind w:firstLine="1"/>
                          <w:rPr>
                            <w:szCs w:val="24"/>
                            <w:lang w:eastAsia="ja-JP"/>
                          </w:rPr>
                        </w:pPr>
                        <w:r>
                          <w:rPr>
                            <w:szCs w:val="24"/>
                            <w:lang w:eastAsia="ja-JP"/>
                          </w:rPr>
                          <w:t>celiulioido, plunksnų, natūralių kailių apdirbimo ir jų gaminių patalpose;</w:t>
                        </w:r>
                      </w:p>
                      <w:p>
                        <w:pPr>
                          <w:ind w:firstLine="1"/>
                          <w:rPr>
                            <w:szCs w:val="24"/>
                            <w:lang w:eastAsia="ja-JP"/>
                          </w:rPr>
                        </w:pPr>
                        <w:r>
                          <w:rPr>
                            <w:szCs w:val="24"/>
                            <w:lang w:eastAsia="ja-JP"/>
                          </w:rPr>
                          <w:t>ypač degių, labai degių medžiagų (dažų, ir kt.) ruošimo patalpose;</w:t>
                        </w:r>
                      </w:p>
                      <w:p>
                        <w:pPr>
                          <w:ind w:firstLine="1"/>
                          <w:rPr>
                            <w:szCs w:val="24"/>
                            <w:lang w:eastAsia="ja-JP"/>
                          </w:rPr>
                        </w:pPr>
                        <w:r>
                          <w:rPr>
                            <w:szCs w:val="24"/>
                            <w:lang w:eastAsia="ja-JP"/>
                          </w:rPr>
                          <w:t>gamybinėse dirbtuvėse, kurios yra teatruose</w:t>
                        </w:r>
                      </w:p>
                    </w:tc>
                  </w:tr>
                  <w:tr>
                    <w:trPr>
                      <w:cantSplit/>
                      <w:trHeight w:val="20"/>
                    </w:trPr>
                    <w:tc>
                      <w:tcPr>
                        <w:tcW w:w="756" w:type="dxa"/>
                        <w:vMerge w:val="restart"/>
                        <w:tcBorders>
                          <w:top w:val="single" w:sz="4" w:space="0" w:color="auto"/>
                          <w:left w:val="single" w:sz="4" w:space="0" w:color="auto"/>
                          <w:right w:val="single" w:sz="4" w:space="0" w:color="auto"/>
                        </w:tcBorders>
                        <w:shd w:val="clear" w:color="auto" w:fill="auto"/>
                        <w:vAlign w:val="center"/>
                      </w:tcPr>
                      <w:p>
                        <w:pPr>
                          <w:jc w:val="center"/>
                          <w:rPr>
                            <w:szCs w:val="24"/>
                            <w:lang w:eastAsia="ja-JP"/>
                          </w:rPr>
                        </w:pPr>
                        <w:r>
                          <w:rPr>
                            <w:szCs w:val="24"/>
                            <w:lang w:eastAsia="ja-JP"/>
                          </w:rPr>
                          <w:t>7.</w:t>
                        </w:r>
                      </w:p>
                    </w:tc>
                    <w:tc>
                      <w:tcPr>
                        <w:tcW w:w="3120" w:type="dxa"/>
                        <w:vMerge w:val="restart"/>
                        <w:tcBorders>
                          <w:top w:val="single" w:sz="4" w:space="0" w:color="auto"/>
                          <w:left w:val="single" w:sz="4" w:space="0" w:color="auto"/>
                          <w:right w:val="single" w:sz="4" w:space="0" w:color="auto"/>
                        </w:tcBorders>
                        <w:shd w:val="clear" w:color="auto" w:fill="auto"/>
                        <w:vAlign w:val="center"/>
                      </w:tcPr>
                      <w:p>
                        <w:pPr>
                          <w:ind w:firstLine="57"/>
                          <w:jc w:val="center"/>
                          <w:rPr>
                            <w:szCs w:val="24"/>
                            <w:lang w:eastAsia="ja-JP"/>
                          </w:rPr>
                        </w:pPr>
                        <w:r>
                          <w:rPr>
                            <w:szCs w:val="24"/>
                            <w:lang w:eastAsia="ja-JP"/>
                          </w:rPr>
                          <w:t>Energetikos</w:t>
                        </w: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750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r>
                          <w:rPr>
                            <w:szCs w:val="24"/>
                            <w:lang w:eastAsia="ja-JP"/>
                          </w:rPr>
                          <w:t>Asg ir Bsg</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p>
                    </w:tc>
                  </w:tr>
                  <w:tr>
                    <w:trPr>
                      <w:cantSplit/>
                      <w:trHeight w:val="20"/>
                    </w:trPr>
                    <w:tc>
                      <w:tcPr>
                        <w:tcW w:w="756" w:type="dxa"/>
                        <w:vMerge/>
                        <w:tcBorders>
                          <w:left w:val="single" w:sz="4" w:space="0" w:color="auto"/>
                          <w:right w:val="single" w:sz="4" w:space="0" w:color="auto"/>
                        </w:tcBorders>
                        <w:shd w:val="clear" w:color="auto" w:fill="auto"/>
                        <w:vAlign w:val="center"/>
                      </w:tcPr>
                      <w:p>
                        <w:pPr>
                          <w:ind w:firstLine="57"/>
                          <w:jc w:val="center"/>
                          <w:rPr>
                            <w:strike/>
                            <w:szCs w:val="24"/>
                            <w:lang w:eastAsia="ja-JP"/>
                          </w:rPr>
                        </w:pPr>
                      </w:p>
                    </w:tc>
                    <w:tc>
                      <w:tcPr>
                        <w:tcW w:w="3120" w:type="dxa"/>
                        <w:vMerge/>
                        <w:tcBorders>
                          <w:left w:val="single" w:sz="4" w:space="0" w:color="auto"/>
                          <w:right w:val="single" w:sz="4" w:space="0" w:color="auto"/>
                        </w:tcBorders>
                        <w:shd w:val="clear" w:color="auto" w:fill="auto"/>
                        <w:vAlign w:val="center"/>
                      </w:tcPr>
                      <w:p>
                        <w:pPr>
                          <w:ind w:firstLine="57"/>
                          <w:jc w:val="center"/>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r>
                          <w:rPr>
                            <w:szCs w:val="24"/>
                            <w:lang w:eastAsia="ja-JP"/>
                          </w:rPr>
                          <w:t>Cg</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p>
                    </w:tc>
                  </w:tr>
                  <w:tr>
                    <w:trPr>
                      <w:cantSplit/>
                      <w:trHeight w:val="20"/>
                    </w:trPr>
                    <w:tc>
                      <w:tcPr>
                        <w:tcW w:w="7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trike/>
                            <w:szCs w:val="24"/>
                            <w:lang w:eastAsia="ja-JP"/>
                          </w:rPr>
                        </w:pPr>
                        <w:r>
                          <w:rPr>
                            <w:szCs w:val="24"/>
                            <w:lang w:eastAsia="ja-JP"/>
                          </w:rPr>
                          <w:t>8.</w:t>
                        </w:r>
                        <w:r>
                          <w:rPr>
                            <w:strike/>
                            <w:szCs w:val="24"/>
                            <w:lang w:eastAsia="ja-JP"/>
                          </w:rPr>
                          <w:t xml:space="preserve"> </w:t>
                        </w:r>
                      </w:p>
                    </w:tc>
                    <w:tc>
                      <w:tcPr>
                        <w:tcW w:w="3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Sandėliavimo</w:t>
                        </w: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250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Asg, Bsg, Cg</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patalpose, kuriose prekės ir medžiagos laikomos stelažuose (lentynose), kai prekių sandėliavimo aukštis viršija 5,5 m</w:t>
                        </w: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trike/>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750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Cg</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 xml:space="preserve">patalpose, kurios yra rūsyje ar cokoliniame aukšte </w:t>
                        </w: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trike/>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750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85"/>
                          <w:jc w:val="center"/>
                          <w:rPr>
                            <w:szCs w:val="24"/>
                            <w:lang w:eastAsia="ja-JP"/>
                          </w:rPr>
                        </w:pPr>
                        <w:r>
                          <w:rPr>
                            <w:szCs w:val="24"/>
                            <w:lang w:eastAsia="ja-JP"/>
                          </w:rPr>
                          <w:t>Asg ir Bsg</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1"/>
                          <w:rPr>
                            <w:szCs w:val="24"/>
                            <w:lang w:eastAsia="ja-JP"/>
                          </w:rPr>
                        </w:pP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trike/>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Cg</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1"/>
                          <w:rPr>
                            <w:szCs w:val="24"/>
                            <w:lang w:eastAsia="ja-JP"/>
                          </w:rPr>
                        </w:pP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trike/>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750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 xml:space="preserve">po sporto statinių atviromis tribūnomis, kuriose yra daugiau kaip </w:t>
                          <w:br/>
                          <w:t>3 000 žiūrovų vietų</w:t>
                        </w: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trike/>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750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kaučiuko, gumos ir šių medžiagų techninių gaminių patalpose</w:t>
                        </w: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trike/>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500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ypač degių, labai degių ir degių skysčių sandėliavimo patalpose</w:t>
                        </w:r>
                      </w:p>
                    </w:tc>
                  </w:tr>
                  <w:tr>
                    <w:trPr>
                      <w:cantSplit/>
                      <w:trHeight w:val="20"/>
                    </w:trPr>
                    <w:tc>
                      <w:tcPr>
                        <w:tcW w:w="7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trike/>
                            <w:szCs w:val="24"/>
                            <w:lang w:eastAsia="ja-JP"/>
                          </w:rPr>
                        </w:pPr>
                        <w:r>
                          <w:rPr>
                            <w:szCs w:val="24"/>
                            <w:lang w:eastAsia="ja-JP"/>
                          </w:rPr>
                          <w:t>9.</w:t>
                        </w:r>
                        <w:r>
                          <w:rPr>
                            <w:strike/>
                            <w:szCs w:val="24"/>
                            <w:lang w:eastAsia="ja-JP"/>
                          </w:rPr>
                          <w:t xml:space="preserve"> </w:t>
                        </w:r>
                      </w:p>
                    </w:tc>
                    <w:tc>
                      <w:tcPr>
                        <w:tcW w:w="3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Kultūros</w:t>
                        </w: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teatrų scenose, kai salėje yra daugiau kaip 800 žiūrovų vietų</w:t>
                        </w: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r>
                          <w:rPr>
                            <w:szCs w:val="24"/>
                            <w:lang w:eastAsia="ja-JP"/>
                          </w:rPr>
                          <w:t>≥ 100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archyvų saugyklose, kuriose ilgai ir nuolat saugomi dokumentai</w:t>
                        </w: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degių muziejinių vertybių saugyklose, muziejų fonduose</w:t>
                        </w: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300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 xml:space="preserve">kino studijų filmavimo cechuose ir televizijos studijose </w:t>
                        </w: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200</w:t>
                        </w: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naktiniuose klubuose</w:t>
                        </w: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100</w:t>
                        </w: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naktiniuose klubuose, įrengtuose rūsiuose</w:t>
                        </w:r>
                      </w:p>
                    </w:tc>
                  </w:tr>
                  <w:tr>
                    <w:trPr>
                      <w:cantSplit/>
                      <w:trHeight w:val="20"/>
                    </w:trPr>
                    <w:tc>
                      <w:tcPr>
                        <w:tcW w:w="756"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1 000</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parodose, kuriose eksponuojamos ypač degios, labai degios ir degios medžiagos</w:t>
                        </w:r>
                      </w:p>
                    </w:tc>
                  </w:tr>
                  <w:tr>
                    <w:trPr>
                      <w:cantSplit/>
                      <w:trHeight w:val="20"/>
                    </w:trPr>
                    <w:tc>
                      <w:tcPr>
                        <w:tcW w:w="75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trike/>
                            <w:szCs w:val="24"/>
                            <w:lang w:eastAsia="ja-JP"/>
                          </w:rPr>
                        </w:pPr>
                        <w:r>
                          <w:rPr>
                            <w:szCs w:val="24"/>
                            <w:lang w:eastAsia="ja-JP"/>
                          </w:rPr>
                          <w:t>10.</w:t>
                        </w:r>
                        <w:r>
                          <w:rPr>
                            <w:strike/>
                            <w:szCs w:val="24"/>
                            <w:lang w:eastAsia="ja-JP"/>
                          </w:rPr>
                          <w:t xml:space="preserve"> </w:t>
                        </w:r>
                      </w:p>
                    </w:tc>
                    <w:tc>
                      <w:tcPr>
                        <w:tcW w:w="312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7"/>
                          <w:jc w:val="center"/>
                          <w:rPr>
                            <w:szCs w:val="24"/>
                            <w:lang w:eastAsia="ja-JP"/>
                          </w:rPr>
                        </w:pPr>
                        <w:r>
                          <w:rPr>
                            <w:szCs w:val="24"/>
                            <w:lang w:eastAsia="ja-JP"/>
                          </w:rPr>
                          <w:t>Mokslo, gydymo, viešojo poilsio, specialiosios, religinės, sporto</w:t>
                        </w: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5 000</w:t>
                        </w:r>
                      </w:p>
                    </w:tc>
                    <w:tc>
                      <w:tcPr>
                        <w:tcW w:w="666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1"/>
                          <w:rPr>
                            <w:szCs w:val="24"/>
                            <w:lang w:eastAsia="ja-JP"/>
                          </w:rPr>
                        </w:pPr>
                      </w:p>
                    </w:tc>
                  </w:tr>
                  <w:tr>
                    <w:trPr>
                      <w:cantSplit/>
                      <w:trHeight w:val="20"/>
                    </w:trPr>
                    <w:tc>
                      <w:tcPr>
                        <w:tcW w:w="75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11.</w:t>
                        </w:r>
                      </w:p>
                    </w:tc>
                    <w:tc>
                      <w:tcPr>
                        <w:tcW w:w="312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Kitų pagalbinių</w:t>
                        </w:r>
                      </w:p>
                    </w:tc>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trike/>
                            <w:szCs w:val="24"/>
                            <w:lang w:eastAsia="ja-JP"/>
                          </w:rPr>
                        </w:pP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trike/>
                            <w:szCs w:val="24"/>
                            <w:lang w:eastAsia="ja-JP"/>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1 000</w:t>
                        </w:r>
                      </w:p>
                    </w:tc>
                    <w:tc>
                      <w:tcPr>
                        <w:tcW w:w="666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
                          <w:rPr>
                            <w:szCs w:val="24"/>
                            <w:lang w:eastAsia="ja-JP"/>
                          </w:rPr>
                        </w:pPr>
                      </w:p>
                    </w:tc>
                  </w:tr>
                </w:tbl>
                <w:p>
                  <w:pPr>
                    <w:tabs>
                      <w:tab w:val="left" w:pos="1134"/>
                    </w:tabs>
                    <w:jc w:val="both"/>
                    <w:rPr>
                      <w:szCs w:val="24"/>
                    </w:rPr>
                  </w:pPr>
                </w:p>
                <w:p>
                  <w:pPr>
                    <w:tabs>
                      <w:tab w:val="left" w:pos="1134"/>
                    </w:tabs>
                    <w:ind w:firstLine="709"/>
                    <w:jc w:val="both"/>
                    <w:rPr>
                      <w:b/>
                      <w:bCs/>
                      <w:szCs w:val="24"/>
                    </w:rPr>
                  </w:pPr>
                  <w:r>
                    <w:rPr>
                      <w:b/>
                      <w:bCs/>
                      <w:szCs w:val="24"/>
                    </w:rPr>
                    <w:t>Pastabos:</w:t>
                  </w:r>
                </w:p>
                <w:sdt>
                  <w:sdtPr>
                    <w:alias w:val="1 p."/>
                    <w:tag w:val="part_4454f29e353b45a3a0a7dfe77e8ca8cc"/>
                    <w:lock w:val="sdtLocked"/>
                    <w:richText/>
                  </w:sdtPr>
                  <w:sdtContent>
                    <w:p>
                      <w:pPr>
                        <w:tabs>
                          <w:tab w:val="left" w:pos="709"/>
                        </w:tabs>
                        <w:ind w:firstLine="709"/>
                        <w:jc w:val="both"/>
                        <w:rPr>
                          <w:szCs w:val="24"/>
                        </w:rPr>
                      </w:pPr>
                      <w:sdt>
                        <w:sdtPr>
                          <w:alias w:val="Numeris"/>
                          <w:tag w:val="nr_4454f29e353b45a3a0a7dfe77e8ca8cc"/>
                          <w:lock w:val="sdtLocked"/>
                          <w:richText/>
                        </w:sdtPr>
                        <w:sdtContent>
                          <w:r>
                            <w:rPr>
                              <w:szCs w:val="24"/>
                            </w:rPr>
                            <w:t>1</w:t>
                          </w:r>
                        </w:sdtContent>
                      </w:sdt>
                      <w:r>
                        <w:rPr>
                          <w:szCs w:val="24"/>
                        </w:rPr>
                        <w:t>. 3 lentelėje nurodyti reikalavimai turi būti taikomi atskiroms patalpoms, atsižvelgiant į patalpos (-ų) naudojimo paskirties aprašymą ir (arba) vykdomos veiklos pobūdį.</w:t>
                      </w:r>
                    </w:p>
                  </w:sdtContent>
                </w:sdt>
                <w:sdt>
                  <w:sdtPr>
                    <w:alias w:val="2 p."/>
                    <w:tag w:val="part_840419c305a5498597dbb7148ac43f1f"/>
                    <w:lock w:val="sdtLocked"/>
                    <w:richText/>
                  </w:sdtPr>
                  <w:sdtContent>
                    <w:p>
                      <w:pPr>
                        <w:tabs>
                          <w:tab w:val="left" w:pos="709"/>
                        </w:tabs>
                        <w:ind w:firstLine="709"/>
                        <w:jc w:val="both"/>
                        <w:rPr>
                          <w:szCs w:val="24"/>
                        </w:rPr>
                      </w:pPr>
                      <w:sdt>
                        <w:sdtPr>
                          <w:alias w:val="Numeris"/>
                          <w:tag w:val="nr_840419c305a5498597dbb7148ac43f1f"/>
                          <w:lock w:val="sdtLocked"/>
                          <w:richText/>
                        </w:sdtPr>
                        <w:sdtContent>
                          <w:r>
                            <w:rPr>
                              <w:szCs w:val="24"/>
                            </w:rPr>
                            <w:t>2</w:t>
                          </w:r>
                        </w:sdtContent>
                      </w:sdt>
                      <w:r>
                        <w:rPr>
                          <w:szCs w:val="24"/>
                        </w:rPr>
                        <w:t>. Nustatant SGG sistemos poreikį turi būti vertinami visi vienoje eilutėje nurodyti rodikliai.</w:t>
                      </w:r>
                    </w:p>
                  </w:sdtContent>
                </w:sdt>
                <w:sdt>
                  <w:sdtPr>
                    <w:alias w:val="3 p."/>
                    <w:tag w:val="part_8c7d46c974d54c758a23c1876d30304c"/>
                    <w:lock w:val="sdtLocked"/>
                    <w:richText/>
                  </w:sdtPr>
                  <w:sdtContent>
                    <w:p>
                      <w:pPr>
                        <w:tabs>
                          <w:tab w:val="left" w:pos="709"/>
                        </w:tabs>
                        <w:ind w:firstLine="709"/>
                        <w:jc w:val="both"/>
                        <w:rPr>
                          <w:szCs w:val="24"/>
                        </w:rPr>
                      </w:pPr>
                      <w:sdt>
                        <w:sdtPr>
                          <w:alias w:val="Numeris"/>
                          <w:tag w:val="nr_8c7d46c974d54c758a23c1876d30304c"/>
                          <w:lock w:val="sdtLocked"/>
                          <w:richText/>
                        </w:sdtPr>
                        <w:sdtContent>
                          <w:r>
                            <w:rPr>
                              <w:szCs w:val="24"/>
                            </w:rPr>
                            <w:t>3</w:t>
                          </w:r>
                        </w:sdtContent>
                      </w:sdt>
                      <w:r>
                        <w:rPr>
                          <w:szCs w:val="24"/>
                        </w:rPr>
                        <w:t>. Patalpų, kuriose, vadovaujantis Taisyklių 19 punktu, SGG sistemos gali būti neįrengiamos, plotas neįskaičiuojamas.</w:t>
                      </w:r>
                    </w:p>
                  </w:sdtContent>
                </w:sdt>
                <w:sdt>
                  <w:sdtPr>
                    <w:alias w:val="4 p."/>
                    <w:tag w:val="part_803f711c20c647e08e9eede4267e0238"/>
                    <w:lock w:val="sdtLocked"/>
                    <w:richText/>
                  </w:sdtPr>
                  <w:sdtContent>
                    <w:p>
                      <w:pPr>
                        <w:tabs>
                          <w:tab w:val="left" w:pos="709"/>
                        </w:tabs>
                        <w:ind w:firstLine="709"/>
                        <w:jc w:val="both"/>
                        <w:rPr>
                          <w:szCs w:val="24"/>
                        </w:rPr>
                      </w:pPr>
                      <w:sdt>
                        <w:sdtPr>
                          <w:alias w:val="Numeris"/>
                          <w:tag w:val="nr_803f711c20c647e08e9eede4267e0238"/>
                          <w:lock w:val="sdtLocked"/>
                          <w:richText/>
                        </w:sdtPr>
                        <w:sdtContent>
                          <w:r>
                            <w:rPr>
                              <w:szCs w:val="24"/>
                            </w:rPr>
                            <w:t>4</w:t>
                          </w:r>
                        </w:sdtContent>
                      </w:sdt>
                      <w:r>
                        <w:rPr>
                          <w:szCs w:val="24"/>
                        </w:rPr>
                        <w:t>. SGG sistemų leidžiama neįrengti atvirojo tipo automobilių saugyklose.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c53d0825611e7804fae56a3fa17a5">
                    <w:r w:rsidRPr="00532B9F">
                      <w:rPr>
                        <w:rFonts w:ascii="Times New Roman" w:eastAsia="MS Mincho" w:hAnsi="Times New Roman"/>
                        <w:sz w:val="20"/>
                        <w:i/>
                        <w:iCs/>
                        <w:color w:val="0000FF" w:themeColor="hyperlink"/>
                        <w:u w:val="single"/>
                      </w:rPr>
                      <w:t>1-263</w:t>
                    </w:r>
                  </w:fldSimple>
                  <w:r>
                    <w:rPr>
                      <w:rFonts w:ascii="Times New Roman" w:eastAsia="MS Mincho" w:hAnsi="Times New Roman"/>
                      <w:sz w:val="20"/>
                      <w:i/>
                      <w:iCs/>
                    </w:rPr>
                    <w:t>,
2017-08-16,
paskelbta TAR 2017-08-16, i. k. 2017-13351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4c770969011efa605b9842742bf37">
                    <w:r w:rsidRPr="00532B9F">
                      <w:rPr>
                        <w:rFonts w:ascii="Times New Roman" w:eastAsia="MS Mincho" w:hAnsi="Times New Roman"/>
                        <w:sz w:val="20"/>
                        <w:i/>
                        <w:iCs/>
                        <w:color w:val="0000FF" w:themeColor="hyperlink"/>
                        <w:u w:val="single"/>
                      </w:rPr>
                      <w:t>1-642 /2024 (1.4 E)</w:t>
                    </w:r>
                  </w:fldSimple>
                  <w:r>
                    <w:rPr>
                      <w:rFonts w:ascii="Times New Roman" w:eastAsia="MS Mincho" w:hAnsi="Times New Roman"/>
                      <w:sz w:val="20"/>
                      <w:i/>
                      <w:iCs/>
                    </w:rPr>
                    <w:t>,
2024-10-30,
paskelbta TAR 2024-10-30, i. k. 2024-18779            </w:t>
                  </w:r>
                </w:p>
                <w:p/>
              </w:sdtContent>
            </w:sdt>
          </w:sdtContent>
        </w:sdt>
        <w:sdt>
          <w:sdtPr>
            <w:alias w:val="pabaiga"/>
            <w:tag w:val="part_3c8f10be5a414cf4925d706790bf9ea4"/>
            <w:lock w:val="sdtLocked"/>
            <w:richText/>
          </w:sdtPr>
          <w:sdtContent>
            <w:p>
              <w:pPr>
                <w:tabs>
                  <w:tab w:val="left" w:pos="1134"/>
                </w:tabs>
                <w:jc w:val="center"/>
                <w:rPr>
                  <w:szCs w:val="24"/>
                </w:rPr>
              </w:pPr>
              <w:r>
                <w:rPr>
                  <w:szCs w:val="24"/>
                </w:rPr>
                <w:t>_________________________________________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Priešgaisrinės apsaugos ir gelbėjimo departamentas prie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c53d0825611e7804fae56a3fa17a5">
            <w:r w:rsidRPr="00532B9F">
              <w:rPr>
                <w:rFonts w:ascii="Times New Roman" w:eastAsia="MS Mincho" w:hAnsi="Times New Roman"/>
                <w:sz w:val="20"/>
                <w:iCs/>
                <w:color w:val="0000FF" w:themeColor="hyperlink"/>
                <w:u w:val="single"/>
              </w:rPr>
              <w:t>1-263</w:t>
            </w:r>
          </w:fldSimple>
          <w:r>
            <w:rPr>
              <w:rFonts w:ascii="Times New Roman" w:eastAsia="MS Mincho" w:hAnsi="Times New Roman"/>
              <w:sz w:val="20"/>
              <w:iCs/>
            </w:rPr>
            <w:t>,
2017-08-16,
paskelbta TAR 2017-08-16, i. k. 2017-13351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2016 m. sausio 6 d. įsakymo Nr. 1-1 „Dėl Stacionariųjų gaisrų gesinimo sistemų projektavimo ir įrengimo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Priešgaisrinės apsaugos ir gelbėjimo departamentas prie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892530017311efa28cd23166221a3c">
            <w:r w:rsidRPr="00532B9F">
              <w:rPr>
                <w:rFonts w:ascii="Times New Roman" w:eastAsia="MS Mincho" w:hAnsi="Times New Roman"/>
                <w:sz w:val="20"/>
                <w:iCs/>
                <w:color w:val="0000FF" w:themeColor="hyperlink"/>
                <w:u w:val="single"/>
              </w:rPr>
              <w:t>1-274 /2024 (1.4 E)</w:t>
            </w:r>
          </w:fldSimple>
          <w:r>
            <w:rPr>
              <w:rFonts w:ascii="Times New Roman" w:eastAsia="MS Mincho" w:hAnsi="Times New Roman"/>
              <w:sz w:val="20"/>
              <w:iCs/>
            </w:rPr>
            <w:t>,
2024-04-23,
paskelbta TAR 2024-04-23, i. k. 2024-07417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2016 m. sausio 6 d. įsakymo Nr. 1-1 „Dėl Stacionariųjų gaisrų gesinimo sistemų projektavimo ir įrengimo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Priešgaisrinės apsaugos ir gelbėjimo departamentas prie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14c770969011efa605b9842742bf37">
            <w:r w:rsidRPr="00532B9F">
              <w:rPr>
                <w:rFonts w:ascii="Times New Roman" w:eastAsia="MS Mincho" w:hAnsi="Times New Roman"/>
                <w:sz w:val="20"/>
                <w:iCs/>
                <w:color w:val="0000FF" w:themeColor="hyperlink"/>
                <w:u w:val="single"/>
              </w:rPr>
              <w:t>1-642 /2024 (1.4 E)</w:t>
            </w:r>
          </w:fldSimple>
          <w:r>
            <w:rPr>
              <w:rFonts w:ascii="Times New Roman" w:eastAsia="MS Mincho" w:hAnsi="Times New Roman"/>
              <w:sz w:val="20"/>
              <w:iCs/>
            </w:rPr>
            <w:t>,
2024-10-30,
paskelbta TAR 2024-10-30, i. k. 2024-18779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2016 m. sausio 6 d. įsakymo Nr. 1-1 „Dėl Stacionariųjų gaisrų gesinimo sistemų projektavimo ir įrengimo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701" w:right="1134" w:bottom="709" w:left="1134" w:header="567" w:footer="567"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ndale Sans UI">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 w:val="20"/>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 w:val="20"/>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4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90F1B4A"/>
  <w15:docId w15:val="{B30035B6-981E-4B12-A69B-99905D08B07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4501773">
      <w:bodyDiv w:val="1"/>
      <w:marLeft w:val="0"/>
      <w:marRight w:val="0"/>
      <w:marTop w:val="0"/>
      <w:marBottom w:val="0"/>
      <w:divBdr>
        <w:top w:val="none" w:sz="0" w:space="0" w:color="auto"/>
        <w:left w:val="none" w:sz="0" w:space="0" w:color="auto"/>
        <w:bottom w:val="none" w:sz="0" w:space="0" w:color="auto"/>
        <w:right w:val="none" w:sz="0" w:space="0" w:color="auto"/>
      </w:divBdr>
    </w:div>
    <w:div w:id="591864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xml"/>
  <Relationship Id="rId11" Type="http://schemas.openxmlformats.org/officeDocument/2006/relationships/header" Target="header6.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7.xml"/>
  <Relationship Id="rId15" Type="http://schemas.openxmlformats.org/officeDocument/2006/relationships/footer" Target="footer6.xml"/>
  <Relationship Id="rId16" Type="http://schemas.openxmlformats.org/officeDocument/2006/relationships/header" Target="header9.xml"/>
  <Relationship Id="rId17" Type="http://schemas.openxmlformats.org/officeDocument/2006/relationships/header" Target="header10.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endnotes" Target="endnotes.xml"/>
  <Relationship Id="rId20" Type="http://schemas.openxmlformats.org/officeDocument/2006/relationships/header" Target="header11.xml"/>
  <Relationship Id="rId21" Type="http://schemas.openxmlformats.org/officeDocument/2006/relationships/footer" Target="footer9.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22f9ba3fff24591a048b7ca03ed820b" PartId="6e446468a59f4660aec290db1fa4e005">
    <Part Type="preambule" DocPartId="c610d7893a5747b48125971a71636aa3" PartId="d58c2434c40840d7a4f004ee9f7667f9"/>
    <Part Type="punktas" Nr="1" Abbr="1 p." DocPartId="3105abcb46d44ee89460c3aaf135df42" PartId="9b311cda13e74cb79ac5e3f5034d4053"/>
    <Part Type="punktas" Nr="2" Abbr="2 p." DocPartId="01f729ba0fea4fd284535a926713bd4a" PartId="2a0308d81de948888bf104ce9ee92b04"/>
    <Part Type="punktas" Nr="3" Abbr="3 p." DocPartId="d2d5cd4189dc4c4883d2c19e456398d2" PartId="790ea651549b47319df70d54315bdc9b"/>
    <Part Type="signatura" DocPartId="507b843365994d84ba51d275b044bd0e" PartId="a5e93aab278045d5b9486ddac26d6f46"/>
  </Part>
  <Part Type="patvirtinta" Title="STACIONARIŲJŲ GAISRŲ GESINIMO SISTEMŲ PROJEKTAVIMO IR ĮRENGIMO TAISYKLĖS" DocPartId="7426456fadc74772a5d23a03a620c230" PartId="52bea0640bdc4992ad1b11d479a753c8">
    <Part Type="skyrius" Nr="1" Title="BENDROSIOS NUOSTATOS" DocPartId="e9add7dfef1b43c3a44cf3aa0d938b74" PartId="4937c24946b04663820896f5f30b5d2c">
      <Part Type="punktas" Nr="1" Abbr="1 p." DocPartId="fc0e1b57422746838ece3fbf2403fc69" PartId="1bb3f2665c0a4493adf81cffa0a7fa9e"/>
      <Part Type="punktas" Nr="2" Abbr="2 p." DocPartId="0e7bc6fa44664be8935c5f36bad3d58f" PartId="9ea647a86f0c439dbb010deb7cb5a5cf"/>
      <Part Type="punktas" Nr="3" Abbr="3 p." DocPartId="07ffc059bbb24103ac37e78e8ad11ea7" PartId="bd3637ff216946b09995a927b66ef15e"/>
      <Part Type="punktas" Nr="4" Abbr="4 p." DocPartId="fd740998a9474bfa9984196878d6312d" PartId="aa405f002d224486b2cb82a1b75d93a9">
        <Part Type="papunktis" Nr="4.1" Abbr="4.1 pp." DocPartId="101f28891d0c42cdb24bc0210492d333" PartId="3f6be53161f1456f98b8fde0fba8f397"/>
        <Part Type="papunktis" Nr="4.2" Abbr="4.2 pp." DocPartId="55572f5810434b3eac1a43b2e3722d15" PartId="c2933b6e47654748bcb59504e0c691e0"/>
        <Part Type="papunktis" Nr="4.3" Abbr="4.3 pp." DocPartId="8858e17540834894899465e33d336d9f" PartId="4a5ded360fbb427788d481bda802ff1b"/>
        <Part Type="papunktis" Nr="4.4" Abbr="4.4 pp." DocPartId="080bd62988c7489cad664bea4bbd2798" PartId="a2283a2856644bb880db17f9b75a9017"/>
        <Part Type="papunktis" Nr="4.5" Abbr="4.5 pp." DocPartId="e4c62e3a79014775997fe681f69f51f4" PartId="880205e13ce7479dbce80f0d2e2abd50"/>
        <Part Type="papunktis" Nr="4.6" Abbr="4.6 pp." DocPartId="70a36d02adc54317832398c47ff7037c" PartId="6f4d23c20b9a44b08c4e0c5eff6df464"/>
      </Part>
      <Part Type="punktas" Nr="5" Abbr="5 p." DocPartId="dd3e3db2d51d4e28b4e1c9f506ce8890" PartId="4a60454c6abf40d2a51445dca3bafd5e">
        <Part Type="papunktis" Nr="5.1" Abbr="5.1 pp." DocPartId="b33fbc0389be473294ec24cdbd8d558c" PartId="85deef73c05e4aa7888f59b0a46d0a2e"/>
        <Part Type="papunktis" Nr="5.2" Abbr="5.2 pp." DocPartId="3e06ce301c3c4f8daf946d241fd920bd" PartId="309f136515694452a665b5167f5cd798"/>
        <Part Type="papunktis" Nr="5.3" Abbr="5.3 pp." DocPartId="05641cacadc442f1890158a1f890665c" PartId="eb9e8c040b61452db6437b412f7876e7"/>
        <Part Type="papunktis" Nr="5.4" Abbr="5.4 pp." DocPartId="a3c6b205442e4ba6bdfb36d172089db3" PartId="e2b987339a8e482793c89012982f1db3"/>
        <Part Type="papunktis" Nr="5.5" Abbr="5.5 pp." DocPartId="d36391d69218473d9ff1073fb1069df2" PartId="5e05c9a94c194357bee45871206d748e"/>
        <Part Type="papunktis" Nr="5.6" Abbr="5.6 pp." DocPartId="42f539a387754d50afc98d55fda52c11" PartId="725d09888888402a98b7502d089d1207"/>
        <Part Type="papunktis" Nr="5.7" Abbr="5.7 pp." DocPartId="c8c9c993fe044223b22bfc0f2fa550f8" PartId="29fecda95bdf41e8a8f3d28a8d748a37"/>
        <Part Type="papunktis" Nr="5.8" Abbr="5.8 pp." DocPartId="bd6b8b9e69cc48ad8f131d8e380ce040" PartId="67ed9ff9545b4dde8506430258305367"/>
      </Part>
      <Part Type="punktas" Nr="6" Abbr="6 p." DocPartId="673c41fa21bc4b23aeecccec582eb4c9" PartId="c53430020adc4d82926f1b0417b6ded7"/>
      <Part Type="punktas" Nr="7" Abbr="7 p." DocPartId="06e0a2312b3e4e17acb8899729918823" PartId="a2a3c77143154998a08eae280fbf1870"/>
      <Part Type="punktas" Nr="8" Abbr="8 p." DocPartId="ded3464f4f0249c697adede8c1d13310" PartId="77376aa29b044e7cbbad96e6c2151020"/>
      <Part Type="punktas" Nr="9" Abbr="9 p." DocPartId="328116504e3149b4b0b9fbdfa7fc631a" PartId="e8f512404a1b4446a0d972acb2c86513"/>
      <Part Type="punktas" Nr="10" Abbr="10 p." DocPartId="a92507ddc83a4177992d2ab8c960c9b4" PartId="744a8dab5733456cb5a6cd2fce92a336"/>
      <Part Type="punktas" Nr="11" Abbr="11 p." DocPartId="3f016e1c01244700ac02caad8203caf6" PartId="02dc1b4ae31447df93734ba58019317a"/>
      <Part Type="punktas" Nr="12" Abbr="12 p." DocPartId="5527c5694ae74ffa80a3d54abfc94f5c" PartId="525d78e84b3949d39336f908e1f02f07"/>
      <Part Type="punktas" Nr="13" Abbr="13 p." DocPartId="ce78ce302f724bb9ac412ebea1a64ae5" PartId="8ea31956ee2a4926989bbe044f19b4c6"/>
      <Part Type="punktas" Nr="14" Abbr="14 p." DocPartId="f49f79b3cf0244818d980a785a1c8b8b" PartId="a8af65b381ee4c269add55c2d7cbfcc7"/>
    </Part>
    <Part Type="skyrius" Nr="2" Title="NUORODOS" DocPartId="f0243c7c5aad434598ce188efa116ecb" PartId="d1266712d4ed4a139c37e0781417f91c">
      <Part Type="punktas" Nr="15" Abbr="15 p." DocPartId="510471e5377a4bf090d6d6060610e365" PartId="0aa086127b86477b91b5294c0358582c">
        <Part Type="punktas" Nr="15.1" Abbr="15.1 p." DocPartId="4791652f1f2b4cd1b1cb8a809bde9b8b" PartId="2425c4d6413846618f2f9f315e335f60"/>
        <Part Type="punktas" Nr="15.2" Abbr="15.2 p." DocPartId="9fb577a419cc4a778d01153df02876a7" PartId="c13f254367174eaf992ff9bf0240eeef"/>
        <Part Type="punktas" Nr="15.3" Abbr="15.3 p." DocPartId="74d3455604024245a338935e5ac8503a" PartId="06ee9be4246f4f2bbaaefc9acb4bb8ff"/>
        <Part Type="punktas" Nr="15.4" Abbr="15.4 p." DocPartId="c45f78a9f1ed4575adf696badb709f58" PartId="e9231dfe32a543d985c4a30680bdf5ce"/>
        <Part Type="punktas" Nr="15.5" Abbr="15.5 p." DocPartId="8e38d43fd8cd4a88ab6b5eb8d0661f2a" PartId="cd1b31a9aa0a4cc1927d7b27407bed10"/>
        <Part Type="punktas" Nr="15.6" Abbr="15.6 p." DocPartId="ab1a3b90a9344092895386cb39cdcf06" PartId="6496499024974c008f1bfe8f72597da8"/>
        <Part Type="punktas" Nr="15.7" Abbr="15.7 p." DocPartId="8fe1afe488ab4172b7d34e892e0f8758" PartId="f56c2c0660ec4f729a226bf1a843ee21"/>
        <Part Type="punktas" Nr="15.8" Abbr="15.8 p." DocPartId="0f0cce57462a4c7bb68cc74102a46691" PartId="d9ee944e7ac349db8c4234b2d255107f"/>
        <Part Type="punktas" Nr="15.9" Abbr="15.9 p." DocPartId="a0a707141b6c4a1691e4dfbf8912ec92" PartId="773ee5616ed546b89cdb7b77f0896150"/>
        <Part Type="punktas" Nr="15.10" Abbr="15.10 p." DocPartId="df6fc92ab51e4a909d340e60119aec0e" PartId="4c0841b9e6a14aa4bcf6d8fc3083dd91"/>
        <Part Type="papunktis" Nr="15.11" Abbr="15.11 pp." DocPartId="5db150fe30134d478aec7cd9dea4b272" PartId="8f1925724a3b42b8a5f7c9efb267c5dd"/>
        <Part Type="papunktis" Nr="15.12" Abbr="15.12 pp." DocPartId="53a5daf343ff4ba4b96c86b48227181c" PartId="842d6137839845d8a145c6435b2615dd"/>
        <Part Type="punktas" Nr="15-1" Abbr="15-1 p." DocPartId="6706fb2484a94eed95eec9fa919af0c5" PartId="ba6734f9646e4fb7b022e74c9030d59c"/>
      </Part>
    </Part>
    <Part Type="skyrius" Nr="3" Title="PAGRINDINĖS SĄVOKOS" DocPartId="ada40d5591584d0ba2c7d1c2b4fba0ef" PartId="6d7ed282011b488eb33551a001155d7b">
      <Part Type="punktas" Nr="16" Abbr="16 p." DocPartId="65a2e9470b134eb89dffb9b678c8b818" PartId="5c1d5deb99d44de29e13a984af39ccc2"/>
    </Part>
    <Part Type="skyrius" Nr="4" Title="REIKALAVIMAI SGG SISTEMOMS" DocPartId="88bc0d0ff16b44e1822d1335b9658d62" PartId="27c4a8dad29145f49e9cc91c47720ac9">
      <Part Type="punktas" Nr="17" Abbr="17 p." DocPartId="5b8860eeefce4d2fb31142b4e4bd5b6f" PartId="5df4dcc67c91436f8713db1d4fd4ee9d"/>
      <Part Type="punktas" Nr="18" Abbr="18 p." DocPartId="e383afffa1914eebb8bc56f642b2ea9e" PartId="a465662eced04d289e64084db2afe2bd"/>
      <Part Type="punktas" Nr="19" Abbr="19 p." DocPartId="213346c50c2d4b41a675b36904cabc64" PartId="1d6ce7d565da46648eaebccd52d7905f">
        <Part Type="punktas" Nr="19.1" Abbr="19.1 p." DocPartId="3e8122d6e8b54188836739166e7593b8" PartId="028e14b5570647cf9ab2cc1db5eb1718"/>
        <Part Type="punktas" Nr="19.2" Abbr="19.2 p." DocPartId="6b48aa376d3544208144880cb8085639" PartId="4b290b1e36e941b8aac444f8452efe1e"/>
        <Part Type="punktas" Nr="19.3" Abbr="19.3 p." DocPartId="f7080d7a236441fcb55f53b34c15c04c" PartId="6bcc45b3558446b88a8deb377fff2f49"/>
        <Part Type="punktas" Nr="19.4" Abbr="19.4 p." DocPartId="ce7bb3ed655546de95ef8bca274ae874" PartId="3d7f8c9568fd4da28eaefd167d6dcc37"/>
      </Part>
      <Part Type="punktas" Nr="20" Abbr="20 p." DocPartId="f64c19549e29414d9351c883fd857b79" PartId="962b170a548e4f64af82d5df04e3a46b"/>
      <Part Type="punktas" Nr="21" Abbr="21 p." DocPartId="d63d3478e368462d8414cef1745c4c88" PartId="1b17ca8ad3614817b7199d11e664ec09"/>
      <Part Type="punktas" Nr="22" Abbr="22 p." DocPartId="b40490ded87e4fcc88bb2cc2a94bde89" PartId="afb085413b194bd88e7a7c4ad4a02256"/>
      <Part Type="punktas" Nr="23" Abbr="23 p." DocPartId="caf5f1ec1499422f8b23c68b1d950a9c" PartId="fedf500d62974a3da181447a273882b4"/>
      <Part Type="punktas" Nr="24" Abbr="24 p." DocPartId="562a7eb7d18947de9765a51be261dd99" PartId="e0f5247e7bab4581a00981a566121418"/>
      <Part Type="punktas" Nr="25" Abbr="25 p." DocPartId="a6f919a45944481e85e00f2f73f43833" PartId="21329129e115404f9df89eb2bda6873d"/>
    </Part>
    <Part Type="skyrius" Nr="5" Title="STATINIŲ, KURIUOSE PRIVALOMA ĮRENGTI SGG SISTEMAS, SĄRAŠAS" DocPartId="2a2eeabe93064b61b9dd0a3696c88198" PartId="c16b4dbf2a05457bbb6ad21ef156088c">
      <Part Type="punktas" Nr="26" Abbr="26 p." DocPartId="f8274559224549338acd908ec9f06dd5" PartId="7e9336f85c2143189f50b141b1525776">
        <Part Type="punktas" Nr="1" Abbr="1 p." DocPartId="3b0279b8f3964d5f86ff96ad3397ada2" PartId="984a6ffcf283448c907b58133fac8f26"/>
        <Part Type="punktas" Nr="2" Abbr="2 p." DocPartId="e42a23fdd07042298c9dcb619a1185e0" PartId="f2a3e788978043739c1e5d4780121c0c"/>
        <Part Type="punktas" Nr="3" Abbr="3 p." DocPartId="14be6caac7d74c32b1049715d270e097" PartId="95813a4fd8c44d40b640604dcdda5c20"/>
      </Part>
      <Part Type="punktas" Nr="27" Abbr="27 p." DocPartId="1c2772822a9442859b812e860596de68" PartId="da975bc4eafb49febaf8c4c44999152c">
        <Part Type="punktas" Nr="1" Abbr="1 p." DocPartId="49ad8ae1cbc349ffacdb198b471475d6" PartId="ad485cb04d3140e583b847b9ddc91cfc"/>
        <Part Type="punktas" Nr="2" Abbr="2 p." DocPartId="d771ddf3ec3140ee8714b4b8f2864e03" PartId="2bc59a6d10bb4bd28705497426f09818"/>
        <Part Type="punktas" Nr="3" Abbr="3 p." DocPartId="8b9eaf7af54243529f575284631a7589" PartId="74a1bfac04324e06a2b65ebb1df649b8"/>
        <Part Type="punktas" Nr="4" Abbr="4 p." DocPartId="98a68c93befa4808a52f84d55b626f81" PartId="4a7132ad6dca4f079ef96e36af890e05"/>
      </Part>
      <Part Type="punktas" Nr="28" Abbr="28 p." DocPartId="bc329fde0a1c4c01a7d09df0f050c6f5" PartId="c61c2598976049d882e5f7fce40d38b8">
        <Part Type="punktas" Nr="1" Abbr="1 p." DocPartId="f0e5b57689494c4fb18516b2a6df636e" PartId="4454f29e353b45a3a0a7dfe77e8ca8cc"/>
        <Part Type="punktas" Nr="2" Abbr="2 p." DocPartId="ee946aade98e4bb5a4f8078ac97332ac" PartId="840419c305a5498597dbb7148ac43f1f"/>
        <Part Type="punktas" Nr="3" Abbr="3 p." DocPartId="c516ddcba7014fd5ac6783a0fb90d1fa" PartId="8c7d46c974d54c758a23c1876d30304c"/>
        <Part Type="punktas" Nr="4" Abbr="4 p." DocPartId="475f8d4cf2634610bbf6c8e93e12930e" PartId="803f711c20c647e08e9eede4267e0238"/>
      </Part>
    </Part>
    <Part Type="pabaiga" DocPartId="1d90d583118f4f82a79ee92ce111112d" PartId="3c8f10be5a414cf4925d706790bf9ea4"/>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DFA2402-4300-4F2C-B9A5-FE12E6C52304}">
  <ds:schemaRefs>
    <ds:schemaRef ds:uri="http://lrs.lt/TAIS/DocParts"/>
  </ds:schemaRefs>
</ds:datastoreItem>
</file>

<file path=customXml/itemProps2.xml><?xml version="1.0" encoding="utf-8"?>
<ds:datastoreItem xmlns:ds="http://schemas.openxmlformats.org/officeDocument/2006/customXml" ds:itemID="{9E608B8A-2E0D-4EEF-BB78-02C556A58608}">
  <ds:schemaRefs>
    <ds:schemaRef ds:uri="http://schemas.openxmlformats.org/officeDocument/2006/bibliography"/>
  </ds:schemaRefs>
</ds:datastoreItem>
</file>

<file path=customXml/itemProps3.xml><?xml version="1.0" encoding="utf-8"?>
<ds:datastoreItem xmlns:ds="http://schemas.openxmlformats.org/officeDocument/2006/customXml" ds:itemID="{2631CB63-4578-41C6-82FB-2D2E081E2C1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34</TotalTime>
  <Pages>20</Pages>
  <Words>23385</Words>
  <Characters>13330</Characters>
  <Application>Microsoft Office Word</Application>
  <DocSecurity>0</DocSecurity>
  <Lines>111</Lines>
  <Paragraphs>73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36642</CharactersWithSpaces>
  <SharedDoc>false</SharedDoc>
  <HyperlinkBase/>
  <HLinks>
    <vt:vector xmlns:vt="http://schemas.openxmlformats.org/officeDocument/2006/docPropsVTypes" size="6" baseType="variant">
      <vt:variant>
        <vt:i4>6160405</vt:i4>
      </vt:variant>
      <vt:variant>
        <vt:i4>0</vt:i4>
      </vt:variant>
      <vt:variant>
        <vt:i4>0</vt:i4>
      </vt:variant>
      <vt:variant>
        <vt:i4>5</vt:i4>
      </vt:variant>
      <vt:variant>
        <vt:lpwstr>http://www.lsd.lt/standards/catalog.php?ics=0&amp;pid=636691</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2016-01-06T15:12:00Z</dcterms:created>
  <dc:creator>Aurimas Gudžiauskas</dc:creator>
  <lastModifiedBy>GRINKEVIČIŪTĖ Agnė</lastModifiedBy>
  <lastPrinted>2014-12-19T07:45:00Z</lastPrinted>
  <dcterms:modified xsi:type="dcterms:W3CDTF">2024-10-31T13:32:00Z</dcterms:modified>
  <revision>10</revision>
</coreProperties>
</file>