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e5a62be408d141c19d3b9f28200f711d"/>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2022-12-29, i. k. 2022-27220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2024-11-04:</w:t>
          </w:r>
        </w:p>
        <w:p>
          <w:pPr>
            <w:rPr>
              <w:rFonts w:ascii="Times New Roman" w:hAnsi="Times New Roman"/>
              <w:sz w:val="20"/>
              <w:i/>
            </w:rPr>
          </w:pPr>
          <w:r>
            <w:rPr>
              <w:rFonts w:ascii="Times New Roman" w:hAnsi="Times New Roman"/>
              <w:sz w:val="20"/>
              <w:i/>
            </w:rPr>
            <w:t xml:space="preserve">Nr. </w:t>
          </w:r>
          <w:fldSimple w:instr="HYPERLINK https://www.e-tar.lt/portal/legalAct.html?documentId=b82dba1495d211efa605b9842742bf37">
            <w:r w:rsidRPr="00532B9F">
              <w:rPr>
                <w:rFonts w:ascii="Times New Roman" w:eastAsia="MS Mincho" w:hAnsi="Times New Roman"/>
                <w:sz w:val="20"/>
                <w:i/>
                <w:iCs/>
                <w:color w:val="0000FF" w:themeColor="hyperlink"/>
                <w:u w:val="single"/>
              </w:rPr>
              <w:t>V-1214</w:t>
            </w:r>
          </w:fldSimple>
          <w:r>
            <w:rPr>
              <w:rFonts w:ascii="Times New Roman" w:eastAsia="MS Mincho" w:hAnsi="Times New Roman"/>
              <w:sz w:val="20"/>
              <w:i/>
              <w:iCs/>
            </w:rPr>
            <w:t>,
2024-10-29,
paskelbta TAR 2024-10-29, i. k. 2024-18713                </w:t>
          </w:r>
        </w:p>
        <w:p>
          <w:pPr>
            <w:rPr>
              <w:rFonts w:ascii="Times New Roman" w:hAnsi="Times New Roman"/>
              <w:sz w:val="22"/>
            </w:rPr>
          </w:pPr>
        </w:p>
        <w:p>
          <w:pPr>
            <w:jc w:val="center"/>
            <w:rPr>
              <w:sz w:val="28"/>
              <w:szCs w:val="28"/>
              <w:lang w:eastAsia="lt-LT"/>
            </w:rPr>
          </w:pPr>
          <w:r>
            <w:rPr>
              <w:b/>
              <w:bCs/>
              <w:sz w:val="28"/>
              <w:szCs w:val="28"/>
              <w:lang w:eastAsia="lt-LT"/>
            </w:rPr>
            <w:t>LIETUVOS RESPUBLIKOS ŠVIETIMO, MOKSLO IR SPORTO MINISTRAS</w:t>
          </w:r>
        </w:p>
        <w:p>
          <w:pPr>
            <w:rPr>
              <w:szCs w:val="24"/>
              <w:lang w:eastAsia="lt-LT"/>
            </w:rPr>
          </w:pPr>
        </w:p>
        <w:p>
          <w:pPr>
            <w:overflowPunct w:val="0"/>
            <w:jc w:val="center"/>
            <w:textAlignment w:val="baseline"/>
            <w:rPr>
              <w:b/>
              <w:bCs/>
              <w:szCs w:val="24"/>
              <w:lang w:eastAsia="lt-LT"/>
            </w:rPr>
          </w:pPr>
          <w:r>
            <w:rPr>
              <w:b/>
              <w:bCs/>
              <w:szCs w:val="24"/>
              <w:lang w:eastAsia="lt-LT"/>
            </w:rPr>
            <w:t>ĮSAKYMAS</w:t>
          </w:r>
        </w:p>
        <w:p>
          <w:pPr>
            <w:jc w:val="center"/>
            <w:rPr>
              <w:b/>
              <w:bCs/>
              <w:szCs w:val="24"/>
              <w:lang w:eastAsia="lt-LT"/>
            </w:rPr>
          </w:pPr>
          <w:r>
            <w:rPr>
              <w:b/>
              <w:szCs w:val="24"/>
              <w:lang w:eastAsia="lt-LT"/>
            </w:rPr>
            <w:t xml:space="preserve">DĖL </w:t>
          </w:r>
          <w:r>
            <w:rPr>
              <w:b/>
              <w:bCs/>
              <w:szCs w:val="24"/>
              <w:lang w:eastAsia="lt-LT"/>
            </w:rPr>
            <w:t>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w:t>
          </w:r>
          <w:r>
            <w:rPr>
              <w:bCs/>
              <w:szCs w:val="24"/>
              <w:lang w:eastAsia="lt-LT"/>
            </w:rPr>
            <w:t xml:space="preserve"> </w:t>
          </w:r>
          <w:r>
            <w:rPr>
              <w:b/>
              <w:bCs/>
              <w:szCs w:val="24"/>
              <w:lang w:eastAsia="lt-LT"/>
            </w:rPr>
            <w:t>KOEFICIENTŲ NUSTATYMO</w:t>
          </w:r>
          <w:r>
            <w:rPr>
              <w:b/>
              <w:szCs w:val="24"/>
              <w:lang w:eastAsia="lt-LT"/>
            </w:rPr>
            <w:t xml:space="preserve"> TVARKOS APRAŠO </w:t>
          </w:r>
          <w:r>
            <w:rPr>
              <w:b/>
              <w:bCs/>
              <w:szCs w:val="24"/>
              <w:lang w:eastAsia="lt-LT"/>
            </w:rPr>
            <w:t>PATVIRTINIMO</w:t>
          </w:r>
        </w:p>
        <w:p>
          <w:pPr>
            <w:jc w:val="center"/>
            <w:rPr>
              <w:b/>
              <w:bCs/>
              <w:szCs w:val="24"/>
              <w:lang w:eastAsia="lt-LT"/>
            </w:rPr>
          </w:pPr>
        </w:p>
        <w:p>
          <w:pPr>
            <w:jc w:val="center"/>
          </w:pPr>
          <w:r>
            <w:rPr>
              <w:szCs w:val="24"/>
              <w:lang w:eastAsia="lt-LT"/>
            </w:rPr>
            <w:t xml:space="preserve">2022 m. gruodžio </w:t>
          </w:r>
          <w:r>
            <w:rPr>
              <w:szCs w:val="24"/>
              <w:lang w:val="en-US" w:eastAsia="lt-LT"/>
            </w:rPr>
            <w:t>29</w:t>
          </w:r>
          <w:r>
            <w:rPr>
              <w:szCs w:val="24"/>
              <w:lang w:eastAsia="lt-LT"/>
            </w:rPr>
            <w:t xml:space="preserve"> d. Nr. </w:t>
          </w:r>
          <w:r>
            <w:t>V-2009</w:t>
          </w:r>
        </w:p>
        <w:p>
          <w:pPr>
            <w:jc w:val="center"/>
            <w:rPr>
              <w:b/>
              <w:bCs/>
              <w:szCs w:val="24"/>
              <w:lang w:eastAsia="lt-LT"/>
            </w:rPr>
          </w:pPr>
          <w:r>
            <w:t>Vilnius</w:t>
          </w:r>
        </w:p>
        <w:p>
          <w:pPr>
            <w:jc w:val="center"/>
            <w:rPr>
              <w:b/>
              <w:caps/>
              <w:szCs w:val="24"/>
              <w:lang w:eastAsia="lt-LT"/>
            </w:rPr>
          </w:pPr>
        </w:p>
        <w:sdt>
          <w:sdtPr>
            <w:alias w:val="preambule"/>
            <w:tag w:val="part_efff436575424dc58aa3be8541f7e42e"/>
            <w:lock w:val="sdtLocked"/>
            <w:richText/>
          </w:sdtPr>
          <w:sdtContent>
            <w:p>
              <w:pPr>
                <w:ind w:firstLine="720"/>
                <w:jc w:val="both"/>
                <w:rPr>
                  <w:bCs/>
                  <w:szCs w:val="24"/>
                  <w:lang w:eastAsia="lt-LT"/>
                </w:rPr>
              </w:pPr>
              <w:r>
                <w:rPr>
                  <w:bCs/>
                  <w:szCs w:val="24"/>
                  <w:lang w:eastAsia="lt-LT"/>
                </w:rPr>
                <w:t xml:space="preserve">Vadovaudamasis Lietuvos Respublikos mokslo ir studijų įstatymo 76 straipsnio 3 dalimi, </w:t>
              </w:r>
              <w:r>
                <w:rPr>
                  <w:bCs/>
                  <w:caps/>
                  <w:szCs w:val="24"/>
                  <w:lang w:eastAsia="lt-LT"/>
                </w:rPr>
                <w:t>76</w:t>
              </w:r>
              <w:r>
                <w:rPr>
                  <w:bCs/>
                  <w:caps/>
                  <w:szCs w:val="24"/>
                  <w:vertAlign w:val="superscript"/>
                  <w:lang w:eastAsia="lt-LT"/>
                </w:rPr>
                <w:t>1 </w:t>
              </w:r>
              <w:r>
                <w:rPr>
                  <w:bCs/>
                  <w:szCs w:val="24"/>
                  <w:lang w:eastAsia="lt-LT"/>
                </w:rPr>
                <w:t xml:space="preserve"> straipsnio 2, 3, 4 dalimis, 76</w:t>
              </w:r>
              <w:r>
                <w:rPr>
                  <w:bCs/>
                  <w:szCs w:val="24"/>
                  <w:vertAlign w:val="superscript"/>
                  <w:lang w:eastAsia="lt-LT"/>
                </w:rPr>
                <w:t>2</w:t>
              </w:r>
              <w:r>
                <w:rPr>
                  <w:bCs/>
                  <w:szCs w:val="24"/>
                  <w:lang w:eastAsia="lt-LT"/>
                </w:rPr>
                <w:t xml:space="preserve"> straipsnio 1, 4 dalimis ir įgyvendindamas Lietuvos Respublikos Vyriausybės 2017 m. kovo 1 d. nutarimo Nr. 149 „Dėl Lietuvos Respublikos mokslo ir studijų įstatymo įgyvendinimo“ 2.8 papunktį,</w:t>
              </w:r>
            </w:p>
          </w:sdtContent>
        </w:sdt>
        <w:sdt>
          <w:sdtPr>
            <w:alias w:val="pastraipa"/>
            <w:tag w:val="part_3cff926a59474d3ca9139aba9bdb731e"/>
            <w:lock w:val="sdtLocked"/>
            <w:richText/>
          </w:sdtPr>
          <w:sdtContent>
            <w:p>
              <w:pPr>
                <w:ind w:firstLine="720"/>
                <w:jc w:val="both"/>
              </w:pPr>
              <w:r>
                <w:rPr>
                  <w:spacing w:val="70"/>
                  <w:szCs w:val="24"/>
                  <w:lang w:eastAsia="lt-LT"/>
                </w:rPr>
                <w:t>tvirtinu</w:t>
              </w:r>
              <w:r>
                <w:rPr>
                  <w:szCs w:val="24"/>
                  <w:lang w:eastAsia="lt-LT"/>
                </w:rPr>
                <w:t xml:space="preserve"> </w:t>
              </w:r>
              <w:r>
                <w:rPr>
                  <w:bCs/>
                  <w:szCs w:val="24"/>
                  <w:lang w:eastAsia="lt-LT"/>
                </w:rPr>
                <w:t xml:space="preserve">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w:t>
              </w:r>
              <w:r>
                <w:rPr>
                  <w:szCs w:val="24"/>
                  <w:lang w:eastAsia="lt-LT"/>
                </w:rPr>
                <w:t>tvarkos aprašą (pridedama).</w:t>
              </w:r>
              <w:r>
                <w:t xml:space="preserve"> </w:t>
              </w:r>
            </w:p>
          </w:sdtContent>
        </w:sdt>
        <w:sdt>
          <w:sdtPr>
            <w:alias w:val="signatura"/>
            <w:tag w:val="part_70b24954a7c64305bf21375e2ead1fbe"/>
            <w:lock w:val="sdtLocked"/>
            <w:richText/>
          </w:sdtPr>
          <w:sdtContent>
            <w:p>
              <w:pPr>
                <w:tabs>
                  <w:tab w:val="left" w:pos="7655"/>
                </w:tabs>
                <w:overflowPunct w:val="0"/>
                <w:textAlignment w:val="baseline"/>
              </w:pPr>
            </w:p>
            <w:p>
              <w:pPr>
                <w:tabs>
                  <w:tab w:val="left" w:pos="7655"/>
                </w:tabs>
                <w:overflowPunct w:val="0"/>
                <w:textAlignment w:val="baseline"/>
              </w:pPr>
            </w:p>
            <w:p>
              <w:pPr>
                <w:tabs>
                  <w:tab w:val="left" w:pos="7655"/>
                </w:tabs>
                <w:overflowPunct w:val="0"/>
                <w:textAlignment w:val="baseline"/>
              </w:pPr>
            </w:p>
            <w:p>
              <w:pPr>
                <w:tabs>
                  <w:tab w:val="left" w:pos="7655"/>
                </w:tabs>
                <w:overflowPunct w:val="0"/>
                <w:textAlignment w:val="baseline"/>
                <w:rPr>
                  <w:szCs w:val="24"/>
                  <w:lang w:eastAsia="lt-LT"/>
                </w:rPr>
              </w:pPr>
              <w:r>
                <w:rPr>
                  <w:szCs w:val="24"/>
                  <w:lang w:eastAsia="lt-LT"/>
                </w:rPr>
                <w:t xml:space="preserve">Švietimo, mokslo ir sporto ministrė </w:t>
                <w:tab/>
                <w:t>Jurgita Šiugždinienė</w:t>
              </w:r>
            </w:p>
          </w:sdtContent>
        </w:sdt>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2dba1495d211efa605b9842742bf37">
            <w:r w:rsidRPr="00532B9F">
              <w:rPr>
                <w:rFonts w:ascii="Times New Roman" w:eastAsia="MS Mincho" w:hAnsi="Times New Roman"/>
                <w:sz w:val="20"/>
                <w:i/>
                <w:iCs/>
                <w:color w:val="0000FF" w:themeColor="hyperlink"/>
                <w:u w:val="single"/>
              </w:rPr>
              <w:t>V-1214</w:t>
            </w:r>
          </w:fldSimple>
          <w:r>
            <w:rPr>
              <w:rFonts w:ascii="Times New Roman" w:eastAsia="MS Mincho" w:hAnsi="Times New Roman"/>
              <w:sz w:val="20"/>
              <w:i/>
              <w:iCs/>
            </w:rPr>
            <w:t>,
2024-10-29,
paskelbta TAR 2024-10-29, i. k. 2024-18713            </w:t>
          </w:r>
        </w:p>
        <w:p/>
      </w:sdtContent>
    </w:sdt>
    <w:sdt>
      <w:sdtPr>
        <w:alias w:val="patvirtinta"/>
        <w:tag w:val="part_17f57e571765419dad4bf920e71dc2e1"/>
        <w:lock w:val="sdtLocked"/>
        <w:richText/>
      </w:sdtPr>
      <w:sdtContent>
        <w:p>
          <w:pPr>
            <w:tabs>
              <w:tab w:val="left" w:pos="5387"/>
            </w:tabs>
            <w:ind w:left="3402"/>
            <w:jc w:val="both"/>
            <w:sectPr>
              <w:headerReference w:type="even" r:id="rId24"/>
              <w:headerReference w:type="default" r:id="rId25"/>
              <w:footerReference w:type="even" r:id="rId26"/>
              <w:footerReference w:type="default" r:id="rId27"/>
              <w:headerReference w:type="first" r:id="rId28"/>
              <w:footerReference w:type="first" r:id="rId29"/>
              <w:pgSz w:w="11906" w:h="16838"/>
              <w:pgMar w:top="1134" w:right="567" w:bottom="1134" w:left="1701" w:header="567" w:footer="567" w:gutter="0"/>
              <w:pgNumType w:start="1"/>
              <w:cols w:space="1296"/>
              <w:titlePg/>
              <w:docGrid w:linePitch="326"/>
            </w:sectPr>
          </w:pPr>
        </w:p>
        <w:p>
          <w:pPr>
            <w:tabs>
              <w:tab w:val="left" w:pos="5387"/>
            </w:tabs>
            <w:ind w:left="3402"/>
            <w:jc w:val="both"/>
            <w:rPr>
              <w:color w:val="000000"/>
              <w:szCs w:val="24"/>
              <w:lang w:eastAsia="lt-LT"/>
            </w:rPr>
          </w:pPr>
          <w:r>
            <w:rPr>
              <w:color w:val="000000"/>
              <w:szCs w:val="24"/>
              <w:lang w:eastAsia="lt-LT"/>
            </w:rPr>
            <w:t>PATVIRTINTA</w:t>
          </w:r>
        </w:p>
        <w:p>
          <w:pPr>
            <w:ind w:left="3402"/>
            <w:jc w:val="both"/>
            <w:rPr>
              <w:rFonts w:eastAsia="Calibri"/>
              <w:color w:val="000000"/>
              <w:szCs w:val="24"/>
              <w:lang w:eastAsia="lt-LT"/>
            </w:rPr>
          </w:pPr>
          <w:r>
            <w:rPr>
              <w:rFonts w:eastAsia="Calibri"/>
              <w:color w:val="000000"/>
              <w:szCs w:val="24"/>
              <w:lang w:eastAsia="lt-LT"/>
            </w:rPr>
            <w:t xml:space="preserve">Lietuvos Respublikos švietimo, mokslo ir sporto ministro </w:t>
          </w:r>
        </w:p>
        <w:p>
          <w:pPr>
            <w:ind w:left="3402"/>
            <w:jc w:val="both"/>
            <w:rPr>
              <w:color w:val="000000"/>
            </w:rPr>
          </w:pPr>
          <w:r>
            <w:rPr>
              <w:rFonts w:eastAsia="Calibri"/>
              <w:color w:val="000000"/>
              <w:szCs w:val="24"/>
              <w:lang w:eastAsia="lt-LT"/>
            </w:rPr>
            <w:t xml:space="preserve">2022 m. </w:t>
          </w:r>
          <w:r>
            <w:rPr>
              <w:color w:val="000000"/>
              <w:szCs w:val="24"/>
              <w:lang w:eastAsia="lt-LT"/>
            </w:rPr>
            <w:t xml:space="preserve">gruodžio 29 </w:t>
          </w:r>
          <w:r>
            <w:rPr>
              <w:rFonts w:eastAsia="Calibri"/>
              <w:color w:val="000000"/>
              <w:szCs w:val="24"/>
              <w:lang w:eastAsia="lt-LT"/>
            </w:rPr>
            <w:t xml:space="preserve">d. įsakymu Nr. </w:t>
          </w:r>
          <w:r>
            <w:rPr>
              <w:color w:val="000000"/>
            </w:rPr>
            <w:t>V-2009</w:t>
          </w:r>
        </w:p>
        <w:p>
          <w:pPr>
            <w:ind w:left="3402"/>
            <w:jc w:val="both"/>
            <w:rPr>
              <w:color w:val="000000"/>
              <w:szCs w:val="24"/>
              <w:lang w:eastAsia="lt-LT"/>
            </w:rPr>
          </w:pPr>
          <w:r>
            <w:rPr>
              <w:color w:val="000000"/>
              <w:szCs w:val="24"/>
              <w:lang w:eastAsia="lt-LT"/>
            </w:rPr>
            <w:t xml:space="preserve">(Lietuvos Respublikos švietimo, mokslo ir sporto ministro </w:t>
          </w:r>
        </w:p>
        <w:p>
          <w:pPr>
            <w:ind w:left="3402"/>
            <w:jc w:val="both"/>
            <w:rPr>
              <w:color w:val="000000"/>
              <w:lang w:eastAsia="lt-LT"/>
            </w:rPr>
          </w:pPr>
          <w:r>
            <w:rPr>
              <w:color w:val="000000"/>
              <w:szCs w:val="24"/>
              <w:lang w:eastAsia="lt-LT"/>
            </w:rPr>
            <w:t xml:space="preserve">2026 m. birželio 23 d. </w:t>
          </w:r>
          <w:r>
            <w:rPr>
              <w:color w:val="000000"/>
              <w:lang w:eastAsia="lt-LT"/>
            </w:rPr>
            <w:t xml:space="preserve">įsakymo Nr. V-484 </w:t>
          </w:r>
        </w:p>
        <w:p>
          <w:pPr>
            <w:ind w:left="3402"/>
            <w:jc w:val="both"/>
            <w:rPr>
              <w:color w:val="000000"/>
              <w:lang w:eastAsia="lt-LT"/>
            </w:rPr>
          </w:pPr>
          <w:r>
            <w:rPr>
              <w:color w:val="000000"/>
              <w:szCs w:val="24"/>
              <w:lang w:eastAsia="lt-LT"/>
            </w:rPr>
            <w:t>redakcija)</w:t>
          </w:r>
        </w:p>
        <w:p>
          <w:pPr>
            <w:jc w:val="center"/>
            <w:rPr>
              <w:color w:val="000000"/>
              <w:szCs w:val="24"/>
              <w:lang w:eastAsia="lt-LT"/>
            </w:rPr>
          </w:pPr>
        </w:p>
        <w:p>
          <w:pPr>
            <w:jc w:val="center"/>
            <w:rPr>
              <w:color w:val="000000"/>
              <w:szCs w:val="24"/>
              <w:lang w:eastAsia="lt-LT"/>
            </w:rPr>
          </w:pPr>
        </w:p>
        <w:p>
          <w:pPr>
            <w:jc w:val="center"/>
            <w:rPr>
              <w:b/>
              <w:color w:val="000000"/>
              <w:szCs w:val="24"/>
              <w:lang w:eastAsia="lt-LT"/>
            </w:rPr>
          </w:pPr>
          <w:sdt>
            <w:sdtPr>
              <w:alias w:val="Pavadinimas"/>
              <w:tag w:val="title_17f57e571765419dad4bf920e71dc2e1"/>
              <w:lock w:val="sdtLocked"/>
              <w:richText/>
            </w:sdtPr>
            <w:sdtContent>
              <w:r>
                <w:rPr>
                  <w:b/>
                  <w:bCs/>
                  <w:color w:val="000000"/>
                  <w:szCs w:val="24"/>
                  <w:lang w:eastAsia="lt-LT"/>
                </w:rPr>
                <w:t xml:space="preserve">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w:t>
              </w:r>
              <w:r>
                <w:rPr>
                  <w:b/>
                  <w:color w:val="000000"/>
                  <w:szCs w:val="24"/>
                  <w:lang w:eastAsia="lt-LT"/>
                </w:rPr>
                <w:t>TVARKOS APRAŠAS</w:t>
              </w:r>
            </w:sdtContent>
          </w:sdt>
        </w:p>
        <w:p>
          <w:pPr>
            <w:jc w:val="center"/>
            <w:rPr>
              <w:b/>
              <w:color w:val="000000"/>
              <w:szCs w:val="24"/>
              <w:lang w:eastAsia="lt-LT"/>
            </w:rPr>
          </w:pPr>
        </w:p>
        <w:sdt>
          <w:sdtPr>
            <w:alias w:val="skyrius"/>
            <w:tag w:val="part_86e3100f30d14fd4b37e720b0482c055"/>
            <w:lock w:val="sdtLocked"/>
            <w:richText/>
          </w:sdtPr>
          <w:sdtContent>
            <w:p>
              <w:pPr>
                <w:jc w:val="center"/>
                <w:rPr>
                  <w:b/>
                  <w:color w:val="000000"/>
                  <w:szCs w:val="24"/>
                  <w:lang w:eastAsia="lt-LT"/>
                </w:rPr>
              </w:pPr>
              <w:sdt>
                <w:sdtPr>
                  <w:alias w:val="Numeris"/>
                  <w:tag w:val="nr_86e3100f30d14fd4b37e720b0482c055"/>
                  <w:lock w:val="sdtLocked"/>
                  <w:richText/>
                </w:sdtPr>
                <w:sdtContent>
                  <w:r>
                    <w:rPr>
                      <w:b/>
                      <w:color w:val="000000"/>
                      <w:szCs w:val="24"/>
                      <w:lang w:eastAsia="lt-LT"/>
                    </w:rPr>
                    <w:t>I</w:t>
                  </w:r>
                </w:sdtContent>
              </w:sdt>
              <w:r>
                <w:rPr>
                  <w:b/>
                  <w:color w:val="000000"/>
                  <w:szCs w:val="24"/>
                  <w:lang w:eastAsia="lt-LT"/>
                </w:rPr>
                <w:t xml:space="preserve"> SKYRIUS</w:t>
              </w:r>
            </w:p>
            <w:p>
              <w:pPr>
                <w:jc w:val="center"/>
                <w:rPr>
                  <w:b/>
                  <w:color w:val="000000"/>
                  <w:szCs w:val="24"/>
                  <w:lang w:eastAsia="lt-LT"/>
                </w:rPr>
              </w:pPr>
              <w:sdt>
                <w:sdtPr>
                  <w:alias w:val="Pavadinimas"/>
                  <w:tag w:val="title_86e3100f30d14fd4b37e720b0482c055"/>
                  <w:lock w:val="sdtLocked"/>
                  <w:richText/>
                </w:sdtPr>
                <w:sdtContent>
                  <w:r>
                    <w:rPr>
                      <w:b/>
                      <w:color w:val="000000"/>
                      <w:szCs w:val="24"/>
                      <w:lang w:eastAsia="lt-LT"/>
                    </w:rPr>
                    <w:t>BENDROSIOS NUOSTATOS</w:t>
                  </w:r>
                </w:sdtContent>
              </w:sdt>
            </w:p>
            <w:p>
              <w:pPr>
                <w:jc w:val="center"/>
                <w:rPr>
                  <w:color w:val="000000"/>
                  <w:szCs w:val="24"/>
                  <w:lang w:eastAsia="lt-LT"/>
                </w:rPr>
              </w:pPr>
            </w:p>
            <w:sdt>
              <w:sdtPr>
                <w:alias w:val="1 p."/>
                <w:tag w:val="part_2fa1873485964d4789aa1b5f40f7cb22"/>
                <w:lock w:val="sdtLocked"/>
                <w:richText/>
              </w:sdtPr>
              <w:sdtContent>
                <w:p>
                  <w:pPr>
                    <w:ind w:firstLine="709"/>
                    <w:jc w:val="both"/>
                    <w:rPr>
                      <w:color w:val="000000"/>
                      <w:szCs w:val="24"/>
                      <w:lang w:eastAsia="lt-LT"/>
                    </w:rPr>
                  </w:pPr>
                  <w:sdt>
                    <w:sdtPr>
                      <w:alias w:val="Numeris"/>
                      <w:tag w:val="nr_2fa1873485964d4789aa1b5f40f7cb22"/>
                      <w:lock w:val="sdtLocked"/>
                      <w:richText/>
                    </w:sdtPr>
                    <w:sdtContent>
                      <w:r>
                        <w:rPr>
                          <w:color w:val="000000"/>
                          <w:szCs w:val="24"/>
                          <w:lang w:eastAsia="lt-LT"/>
                        </w:rPr>
                        <w:t>1</w:t>
                      </w:r>
                    </w:sdtContent>
                  </w:sdt>
                  <w:r>
                    <w:rPr>
                      <w:color w:val="000000"/>
                      <w:szCs w:val="24"/>
                      <w:lang w:eastAsia="lt-LT"/>
                    </w:rPr>
                    <w:t xml:space="preserve">. 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tvarkos aprašas (toliau – Tvarkos aprašas) nustato mokslo ir studijų institucijų studijų veiklos pasiekimų (toliau – studijų pasiekimai) vertinimo, valstybės biudžeto skatinamojo finansavimo už studijų veiklos pasiekimus lėšų paskirstymo mokslo ir studijų institucijoms, duomenų, kurių reikia siekiant atlikti studijų veiklos pasiekimų vertinimus, teikimo tvarką ir mokslo ir studijų institucijų studijų veiklos pasiekimų vertinimo kriterijų svorio koeficientus. </w:t>
                  </w:r>
                </w:p>
              </w:sdtContent>
            </w:sdt>
            <w:sdt>
              <w:sdtPr>
                <w:alias w:val="2 p."/>
                <w:tag w:val="part_cf4f75fcbf2c48d79b96d3ee951383fc"/>
                <w:lock w:val="sdtLocked"/>
                <w:richText/>
              </w:sdtPr>
              <w:sdtContent>
                <w:p>
                  <w:pPr>
                    <w:ind w:firstLine="709"/>
                    <w:jc w:val="both"/>
                    <w:rPr>
                      <w:color w:val="000000"/>
                      <w:szCs w:val="24"/>
                      <w:lang w:eastAsia="lt-LT"/>
                    </w:rPr>
                  </w:pPr>
                  <w:sdt>
                    <w:sdtPr>
                      <w:alias w:val="Numeris"/>
                      <w:tag w:val="nr_cf4f75fcbf2c48d79b96d3ee951383fc"/>
                      <w:lock w:val="sdtLocked"/>
                      <w:richText/>
                    </w:sdtPr>
                    <w:sdtContent>
                      <w:r>
                        <w:rPr>
                          <w:color w:val="000000"/>
                          <w:szCs w:val="24"/>
                          <w:lang w:eastAsia="lt-LT"/>
                        </w:rPr>
                        <w:t>2</w:t>
                      </w:r>
                    </w:sdtContent>
                  </w:sdt>
                  <w:r>
                    <w:rPr>
                      <w:color w:val="000000"/>
                      <w:szCs w:val="24"/>
                      <w:lang w:eastAsia="lt-LT"/>
                    </w:rPr>
                    <w:t>. Studijų pasiekimų vertinimas atliekamas pagal šiuos formalius kriterijus:</w:t>
                  </w:r>
                </w:p>
                <w:sdt>
                  <w:sdtPr>
                    <w:alias w:val="2.1 pp."/>
                    <w:tag w:val="part_619ae47b190646ee8c99e6f3448d7cfc"/>
                    <w:lock w:val="sdtLocked"/>
                    <w:richText/>
                  </w:sdtPr>
                  <w:sdtContent>
                    <w:p>
                      <w:pPr>
                        <w:ind w:firstLine="709"/>
                        <w:jc w:val="both"/>
                        <w:rPr>
                          <w:color w:val="000000"/>
                          <w:szCs w:val="24"/>
                          <w:lang w:eastAsia="lt-LT"/>
                        </w:rPr>
                      </w:pPr>
                      <w:sdt>
                        <w:sdtPr>
                          <w:alias w:val="Numeris"/>
                          <w:tag w:val="nr_619ae47b190646ee8c99e6f3448d7cfc"/>
                          <w:lock w:val="sdtLocked"/>
                          <w:richText/>
                        </w:sdtPr>
                        <w:sdtContent>
                          <w:r>
                            <w:rPr>
                              <w:color w:val="000000"/>
                              <w:szCs w:val="24"/>
                              <w:lang w:eastAsia="lt-LT"/>
                            </w:rPr>
                            <w:t>2.1</w:t>
                          </w:r>
                        </w:sdtContent>
                      </w:sdt>
                      <w:r>
                        <w:rPr>
                          <w:color w:val="000000"/>
                          <w:szCs w:val="24"/>
                          <w:lang w:eastAsia="lt-LT"/>
                        </w:rPr>
                        <w:t>. studijų rezultatyvumas;</w:t>
                      </w:r>
                    </w:p>
                  </w:sdtContent>
                </w:sdt>
                <w:sdt>
                  <w:sdtPr>
                    <w:alias w:val="2.2 pp."/>
                    <w:tag w:val="part_d1b6edb46bee419082ae039815f3fe78"/>
                    <w:lock w:val="sdtLocked"/>
                    <w:richText/>
                  </w:sdtPr>
                  <w:sdtContent>
                    <w:p>
                      <w:pPr>
                        <w:ind w:firstLine="709"/>
                        <w:jc w:val="both"/>
                        <w:rPr>
                          <w:color w:val="000000"/>
                          <w:szCs w:val="24"/>
                          <w:lang w:eastAsia="lt-LT"/>
                        </w:rPr>
                      </w:pPr>
                      <w:sdt>
                        <w:sdtPr>
                          <w:alias w:val="Numeris"/>
                          <w:tag w:val="nr_d1b6edb46bee419082ae039815f3fe78"/>
                          <w:lock w:val="sdtLocked"/>
                          <w:richText/>
                        </w:sdtPr>
                        <w:sdtContent>
                          <w:r>
                            <w:rPr>
                              <w:color w:val="000000"/>
                              <w:szCs w:val="24"/>
                              <w:lang w:eastAsia="lt-LT"/>
                            </w:rPr>
                            <w:t>2.2</w:t>
                          </w:r>
                        </w:sdtContent>
                      </w:sdt>
                      <w:r>
                        <w:rPr>
                          <w:color w:val="000000"/>
                          <w:szCs w:val="24"/>
                          <w:lang w:eastAsia="lt-LT"/>
                        </w:rPr>
                        <w:t>. studijų tarptautiškumas;</w:t>
                      </w:r>
                    </w:p>
                  </w:sdtContent>
                </w:sdt>
                <w:sdt>
                  <w:sdtPr>
                    <w:alias w:val="2.3 pp."/>
                    <w:tag w:val="part_866074ac4e414f0eb78f687225d5569d"/>
                    <w:lock w:val="sdtLocked"/>
                    <w:richText/>
                  </w:sdtPr>
                  <w:sdtContent>
                    <w:p>
                      <w:pPr>
                        <w:ind w:firstLine="709"/>
                        <w:jc w:val="both"/>
                        <w:rPr>
                          <w:color w:val="000000"/>
                          <w:szCs w:val="24"/>
                          <w:lang w:eastAsia="lt-LT"/>
                        </w:rPr>
                      </w:pPr>
                      <w:sdt>
                        <w:sdtPr>
                          <w:alias w:val="Numeris"/>
                          <w:tag w:val="nr_866074ac4e414f0eb78f687225d5569d"/>
                          <w:lock w:val="sdtLocked"/>
                          <w:richText/>
                        </w:sdtPr>
                        <w:sdtContent>
                          <w:r>
                            <w:rPr>
                              <w:color w:val="000000"/>
                              <w:szCs w:val="24"/>
                              <w:lang w:eastAsia="lt-LT"/>
                            </w:rPr>
                            <w:t>2.3</w:t>
                          </w:r>
                        </w:sdtContent>
                      </w:sdt>
                      <w:r>
                        <w:rPr>
                          <w:color w:val="000000"/>
                          <w:szCs w:val="24"/>
                          <w:lang w:eastAsia="lt-LT"/>
                        </w:rPr>
                        <w:t>. studentų įdarbinimas į mokslo, meno ir studijų veiklas;</w:t>
                      </w:r>
                    </w:p>
                  </w:sdtContent>
                </w:sdt>
                <w:sdt>
                  <w:sdtPr>
                    <w:alias w:val="2.4 pp."/>
                    <w:tag w:val="part_bc0b915db0ee4555996c5c77b8974f42"/>
                    <w:lock w:val="sdtLocked"/>
                    <w:richText/>
                  </w:sdtPr>
                  <w:sdtContent>
                    <w:p>
                      <w:pPr>
                        <w:ind w:firstLine="709"/>
                        <w:jc w:val="both"/>
                        <w:rPr>
                          <w:color w:val="000000"/>
                          <w:szCs w:val="24"/>
                          <w:lang w:eastAsia="lt-LT"/>
                        </w:rPr>
                      </w:pPr>
                      <w:sdt>
                        <w:sdtPr>
                          <w:alias w:val="Numeris"/>
                          <w:tag w:val="nr_bc0b915db0ee4555996c5c77b8974f42"/>
                          <w:lock w:val="sdtLocked"/>
                          <w:richText/>
                        </w:sdtPr>
                        <w:sdtContent>
                          <w:r>
                            <w:rPr>
                              <w:color w:val="000000"/>
                              <w:szCs w:val="24"/>
                              <w:lang w:eastAsia="lt-LT"/>
                            </w:rPr>
                            <w:t>2.4</w:t>
                          </w:r>
                        </w:sdtContent>
                      </w:sdt>
                      <w:r>
                        <w:rPr>
                          <w:color w:val="000000"/>
                          <w:szCs w:val="24"/>
                          <w:lang w:eastAsia="lt-LT"/>
                        </w:rPr>
                        <w:t>. absolventų karjeros sėkmingumas;</w:t>
                      </w:r>
                    </w:p>
                  </w:sdtContent>
                </w:sdt>
                <w:sdt>
                  <w:sdtPr>
                    <w:alias w:val="2.5 pp."/>
                    <w:tag w:val="part_1f4b1663b9b7486c860aa2cfd903ce07"/>
                    <w:lock w:val="sdtLocked"/>
                    <w:richText/>
                  </w:sdtPr>
                  <w:sdtContent>
                    <w:p>
                      <w:pPr>
                        <w:ind w:firstLine="709"/>
                        <w:jc w:val="both"/>
                        <w:rPr>
                          <w:color w:val="000000"/>
                          <w:szCs w:val="24"/>
                          <w:lang w:eastAsia="lt-LT"/>
                        </w:rPr>
                      </w:pPr>
                      <w:sdt>
                        <w:sdtPr>
                          <w:alias w:val="Numeris"/>
                          <w:tag w:val="nr_1f4b1663b9b7486c860aa2cfd903ce07"/>
                          <w:lock w:val="sdtLocked"/>
                          <w:richText/>
                        </w:sdtPr>
                        <w:sdtContent>
                          <w:r>
                            <w:rPr>
                              <w:color w:val="000000"/>
                              <w:szCs w:val="24"/>
                              <w:lang w:eastAsia="lt-LT"/>
                            </w:rPr>
                            <w:t>2.5</w:t>
                          </w:r>
                        </w:sdtContent>
                      </w:sdt>
                      <w:r>
                        <w:rPr>
                          <w:color w:val="000000"/>
                          <w:szCs w:val="24"/>
                          <w:lang w:eastAsia="lt-LT"/>
                        </w:rPr>
                        <w:t>. studijų prieinamumas;</w:t>
                      </w:r>
                    </w:p>
                  </w:sdtContent>
                </w:sdt>
                <w:sdt>
                  <w:sdtPr>
                    <w:alias w:val="2.6 pp."/>
                    <w:tag w:val="part_aafb724ce32349009ab6fe90484cf385"/>
                    <w:lock w:val="sdtLocked"/>
                    <w:richText/>
                  </w:sdtPr>
                  <w:sdtContent>
                    <w:p>
                      <w:pPr>
                        <w:ind w:firstLine="709"/>
                        <w:jc w:val="both"/>
                        <w:rPr>
                          <w:color w:val="000000"/>
                          <w:szCs w:val="24"/>
                          <w:lang w:eastAsia="lt-LT"/>
                        </w:rPr>
                      </w:pPr>
                      <w:sdt>
                        <w:sdtPr>
                          <w:alias w:val="Numeris"/>
                          <w:tag w:val="nr_aafb724ce32349009ab6fe90484cf385"/>
                          <w:lock w:val="sdtLocked"/>
                          <w:richText/>
                        </w:sdtPr>
                        <w:sdtContent>
                          <w:r>
                            <w:rPr>
                              <w:color w:val="000000"/>
                              <w:szCs w:val="24"/>
                              <w:lang w:eastAsia="lt-LT"/>
                            </w:rPr>
                            <w:t>2.6</w:t>
                          </w:r>
                        </w:sdtContent>
                      </w:sdt>
                      <w:r>
                        <w:rPr>
                          <w:color w:val="000000"/>
                          <w:szCs w:val="24"/>
                          <w:lang w:eastAsia="lt-LT"/>
                        </w:rPr>
                        <w:t>. mokslo ir studijų institucijų lėšos, gautos iš ūkio subjektų, nevyriausybinių organizacijų ir fizinių asmenų už užsakymus studijoms ir pagal paramos sutartis studijų veiklai vykdyti.</w:t>
                      </w:r>
                    </w:p>
                  </w:sdtContent>
                </w:sdt>
              </w:sdtContent>
            </w:sdt>
            <w:sdt>
              <w:sdtPr>
                <w:alias w:val="3 p."/>
                <w:tag w:val="part_0df0da694a044dbcb97021fd5b8e4d7f"/>
                <w:lock w:val="sdtLocked"/>
                <w:richText/>
              </w:sdtPr>
              <w:sdtContent>
                <w:p>
                  <w:pPr>
                    <w:tabs>
                      <w:tab w:val="center" w:pos="4153"/>
                      <w:tab w:val="left" w:pos="6237"/>
                      <w:tab w:val="right" w:pos="8306"/>
                    </w:tabs>
                    <w:ind w:firstLine="709"/>
                    <w:jc w:val="both"/>
                    <w:rPr>
                      <w:color w:val="000000"/>
                      <w:szCs w:val="24"/>
                      <w:lang w:eastAsia="lt-LT"/>
                    </w:rPr>
                  </w:pPr>
                  <w:sdt>
                    <w:sdtPr>
                      <w:alias w:val="Numeris"/>
                      <w:tag w:val="nr_0df0da694a044dbcb97021fd5b8e4d7f"/>
                      <w:lock w:val="sdtLocked"/>
                      <w:richText/>
                    </w:sdtPr>
                    <w:sdtContent>
                      <w:r>
                        <w:rPr>
                          <w:color w:val="000000"/>
                          <w:szCs w:val="24"/>
                          <w:lang w:eastAsia="lt-LT"/>
                        </w:rPr>
                        <w:t>3</w:t>
                      </w:r>
                    </w:sdtContent>
                  </w:sdt>
                  <w:r>
                    <w:rPr>
                      <w:color w:val="000000"/>
                      <w:szCs w:val="24"/>
                      <w:lang w:eastAsia="lt-LT"/>
                    </w:rPr>
                    <w:t>. Tvarkos apraše laikoma, kad:</w:t>
                  </w:r>
                </w:p>
                <w:sdt>
                  <w:sdtPr>
                    <w:alias w:val="3.1 pp."/>
                    <w:tag w:val="part_d92e545a2b04412a90104d21bc1df202"/>
                    <w:lock w:val="sdtLocked"/>
                    <w:richText/>
                  </w:sdtPr>
                  <w:sdtContent>
                    <w:p>
                      <w:pPr>
                        <w:tabs>
                          <w:tab w:val="left" w:pos="993"/>
                        </w:tabs>
                        <w:ind w:firstLine="709"/>
                        <w:jc w:val="both"/>
                        <w:rPr>
                          <w:color w:val="000000"/>
                          <w:szCs w:val="24"/>
                          <w:lang w:eastAsia="lt-LT"/>
                        </w:rPr>
                      </w:pPr>
                      <w:sdt>
                        <w:sdtPr>
                          <w:alias w:val="Numeris"/>
                          <w:tag w:val="nr_d92e545a2b04412a90104d21bc1df202"/>
                          <w:lock w:val="sdtLocked"/>
                          <w:richText/>
                        </w:sdtPr>
                        <w:sdtContent>
                          <w:r>
                            <w:rPr>
                              <w:color w:val="000000"/>
                            </w:rPr>
                            <w:t>3.1</w:t>
                          </w:r>
                        </w:sdtContent>
                      </w:sdt>
                      <w:r>
                        <w:rPr>
                          <w:color w:val="000000"/>
                        </w:rPr>
                        <w:t xml:space="preserve">. ūkio subjektų, nevyriausybinių organizacijų ir fizinių asmenų užsakymai studijoms – tai ūkio subjektų, nevyriausybinių organizacijų, fizinių asmenų raštu, žodžiu ar konkliudentiniais veiksmais sudarytas susitarimas su mokslo ir studijų institucija dėl tam tikros studijų programos ar jos dalies studijų kainos apmokėjimo ir (ar) stipendijos mokėjimo mokslo ir studijų institucijos studentams, mokslininkų parengimo einamaisiais studijų metais. Tvarkos apraše į ūkio subjektų, nevyriausybinių organizacijų ir fizinių asmenų užsakymus neįtraukiami valstybės valdymo institucijų užsakymai bei asmenų, mokančių už savo studijas, įmokos; </w:t>
                      </w:r>
                    </w:p>
                  </w:sdtContent>
                </w:sdt>
                <w:sdt>
                  <w:sdtPr>
                    <w:alias w:val="3.2 pp."/>
                    <w:tag w:val="part_700a2034c4804303b2a5f00d0806f689"/>
                    <w:lock w:val="sdtLocked"/>
                    <w:richText/>
                  </w:sdtPr>
                  <w:sdtContent>
                    <w:p>
                      <w:pPr>
                        <w:tabs>
                          <w:tab w:val="left" w:pos="993"/>
                        </w:tabs>
                        <w:ind w:firstLine="709"/>
                        <w:jc w:val="both"/>
                        <w:rPr>
                          <w:color w:val="000000"/>
                          <w:szCs w:val="24"/>
                        </w:rPr>
                      </w:pPr>
                      <w:sdt>
                        <w:sdtPr>
                          <w:alias w:val="Numeris"/>
                          <w:tag w:val="nr_700a2034c4804303b2a5f00d0806f689"/>
                          <w:lock w:val="sdtLocked"/>
                          <w:richText/>
                        </w:sdtPr>
                        <w:sdtContent>
                          <w:r>
                            <w:rPr>
                              <w:color w:val="000000"/>
                              <w:sz w:val="22"/>
                              <w:szCs w:val="22"/>
                            </w:rPr>
                            <w:t>3.2</w:t>
                          </w:r>
                        </w:sdtContent>
                      </w:sdt>
                      <w:r>
                        <w:rPr>
                          <w:color w:val="000000"/>
                          <w:sz w:val="22"/>
                          <w:szCs w:val="22"/>
                        </w:rPr>
                        <w:t>. u</w:t>
                      </w:r>
                      <w:r>
                        <w:rPr>
                          <w:color w:val="000000"/>
                          <w:szCs w:val="24"/>
                          <w:lang w:eastAsia="lt-LT"/>
                        </w:rPr>
                        <w:t>žsieniečiu laikomas asmuo, kaip jis apibrėžtas Lietuvos Respublikos įstatyme dėl užsieniečių teisinės padėties;</w:t>
                      </w:r>
                    </w:p>
                  </w:sdtContent>
                </w:sdt>
                <w:sdt>
                  <w:sdtPr>
                    <w:alias w:val="3.3 pp."/>
                    <w:tag w:val="part_13e9d10951884db4a698bc3edcfffce0"/>
                    <w:lock w:val="sdtLocked"/>
                    <w:richText/>
                  </w:sdtPr>
                  <w:sdtContent>
                    <w:p>
                      <w:pPr>
                        <w:tabs>
                          <w:tab w:val="left" w:pos="993"/>
                        </w:tabs>
                        <w:ind w:firstLine="709"/>
                        <w:jc w:val="both"/>
                        <w:rPr>
                          <w:color w:val="000000"/>
                          <w:szCs w:val="24"/>
                        </w:rPr>
                      </w:pPr>
                      <w:sdt>
                        <w:sdtPr>
                          <w:alias w:val="Numeris"/>
                          <w:tag w:val="nr_13e9d10951884db4a698bc3edcfffce0"/>
                          <w:lock w:val="sdtLocked"/>
                          <w:richText/>
                        </w:sdtPr>
                        <w:sdtContent>
                          <w:r>
                            <w:rPr>
                              <w:color w:val="000000"/>
                              <w:szCs w:val="24"/>
                            </w:rPr>
                            <w:t>3.3</w:t>
                          </w:r>
                        </w:sdtContent>
                      </w:sdt>
                      <w:r>
                        <w:rPr>
                          <w:color w:val="000000"/>
                          <w:szCs w:val="24"/>
                        </w:rPr>
                        <w:t>.</w:t>
                      </w:r>
                      <w:r>
                        <w:rPr>
                          <w:color w:val="000000"/>
                          <w:szCs w:val="24"/>
                          <w:lang w:eastAsia="lt-LT"/>
                        </w:rPr>
                        <w:t xml:space="preserve"> dalinės studijos – studijų dalis užsienio mokslo ir studijų institucijoje, išskyrus užsienio aukštųjų mokyklų filialus Lietuvoje, pagal</w:t>
                      </w:r>
                      <w:r>
                        <w:rPr>
                          <w:color w:val="000000"/>
                        </w:rPr>
                        <w:t xml:space="preserve"> Europos Sąjungos programas ir (ar) pagal tarptautines ir tarpžinybines sutartis ir susitarimus;</w:t>
                      </w:r>
                    </w:p>
                  </w:sdtContent>
                </w:sdt>
                <w:sdt>
                  <w:sdtPr>
                    <w:alias w:val="3.4 pp."/>
                    <w:tag w:val="part_45e6761a0e674f848d1721e9813959af"/>
                    <w:lock w:val="sdtLocked"/>
                    <w:richText/>
                  </w:sdtPr>
                  <w:sdtContent>
                    <w:p>
                      <w:pPr>
                        <w:tabs>
                          <w:tab w:val="left" w:pos="993"/>
                        </w:tabs>
                        <w:ind w:firstLine="709"/>
                        <w:jc w:val="both"/>
                        <w:rPr>
                          <w:color w:val="000000"/>
                          <w:szCs w:val="24"/>
                        </w:rPr>
                      </w:pPr>
                      <w:sdt>
                        <w:sdtPr>
                          <w:alias w:val="Numeris"/>
                          <w:tag w:val="nr_45e6761a0e674f848d1721e9813959af"/>
                          <w:lock w:val="sdtLocked"/>
                          <w:richText/>
                        </w:sdtPr>
                        <w:sdtContent>
                          <w:r>
                            <w:rPr>
                              <w:color w:val="000000"/>
                              <w:szCs w:val="24"/>
                            </w:rPr>
                            <w:t>3.4</w:t>
                          </w:r>
                        </w:sdtContent>
                      </w:sdt>
                      <w:r>
                        <w:rPr>
                          <w:color w:val="000000"/>
                          <w:szCs w:val="24"/>
                        </w:rPr>
                        <w:t xml:space="preserve">. </w:t>
                      </w:r>
                      <w:r>
                        <w:rPr>
                          <w:color w:val="000000"/>
                          <w:szCs w:val="24"/>
                          <w:lang w:eastAsia="lt-LT"/>
                        </w:rPr>
                        <w:t xml:space="preserve">praktika – praktika, numatyta studijų programoje, vykdoma užsienyje pagal </w:t>
                      </w:r>
                      <w:r>
                        <w:rPr>
                          <w:color w:val="000000"/>
                          <w:szCs w:val="24"/>
                        </w:rPr>
                        <w:t>Europos Sąjungos programas ir (ar) pagal tarptautines ir tarpžinybines sutartis ar susitarimus;</w:t>
                      </w:r>
                    </w:p>
                  </w:sdtContent>
                </w:sdt>
                <w:sdt>
                  <w:sdtPr>
                    <w:alias w:val="3.5 pp."/>
                    <w:tag w:val="part_38ffb28e35764b869f579f82f1e0f9c6"/>
                    <w:lock w:val="sdtLocked"/>
                    <w:richText/>
                  </w:sdtPr>
                  <w:sdtContent>
                    <w:p>
                      <w:pPr>
                        <w:tabs>
                          <w:tab w:val="left" w:pos="993"/>
                        </w:tabs>
                        <w:ind w:firstLine="709"/>
                        <w:jc w:val="both"/>
                        <w:rPr>
                          <w:color w:val="000000"/>
                          <w:szCs w:val="24"/>
                        </w:rPr>
                      </w:pPr>
                      <w:sdt>
                        <w:sdtPr>
                          <w:alias w:val="Numeris"/>
                          <w:tag w:val="nr_38ffb28e35764b869f579f82f1e0f9c6"/>
                          <w:lock w:val="sdtLocked"/>
                          <w:richText/>
                        </w:sdtPr>
                        <w:sdtContent>
                          <w:r>
                            <w:rPr>
                              <w:color w:val="000000"/>
                              <w:szCs w:val="24"/>
                            </w:rPr>
                            <w:t>3.5</w:t>
                          </w:r>
                        </w:sdtContent>
                      </w:sdt>
                      <w:r>
                        <w:rPr>
                          <w:color w:val="000000"/>
                          <w:szCs w:val="24"/>
                        </w:rPr>
                        <w:t>. stažuotė – stažuotė, vykdoma užsienyje pagal tarptautines ir tarpžinybines sutartis, skirta plėsti studijuojamos mokslo (meno) srities žinias, dalyvauti moksliniuose tyrimuose, rinkti medžiagą disertacijai ar meno projektui;</w:t>
                      </w:r>
                    </w:p>
                  </w:sdtContent>
                </w:sdt>
                <w:sdt>
                  <w:sdtPr>
                    <w:alias w:val="3.6 pp."/>
                    <w:tag w:val="part_e57c419b572b423ea3c6bf3aecc82c9a"/>
                    <w:lock w:val="sdtLocked"/>
                    <w:richText/>
                  </w:sdtPr>
                  <w:sdtContent>
                    <w:p>
                      <w:pPr>
                        <w:tabs>
                          <w:tab w:val="left" w:pos="993"/>
                        </w:tabs>
                        <w:ind w:firstLine="709"/>
                        <w:jc w:val="both"/>
                        <w:rPr>
                          <w:color w:val="000000"/>
                          <w:szCs w:val="24"/>
                          <w:lang w:eastAsia="lt-LT"/>
                        </w:rPr>
                      </w:pPr>
                      <w:sdt>
                        <w:sdtPr>
                          <w:alias w:val="Numeris"/>
                          <w:tag w:val="nr_e57c419b572b423ea3c6bf3aecc82c9a"/>
                          <w:lock w:val="sdtLocked"/>
                          <w:richText/>
                        </w:sdtPr>
                        <w:sdtContent>
                          <w:r>
                            <w:rPr>
                              <w:color w:val="000000"/>
                              <w:szCs w:val="24"/>
                            </w:rPr>
                            <w:t>3.6</w:t>
                          </w:r>
                        </w:sdtContent>
                      </w:sdt>
                      <w:r>
                        <w:rPr>
                          <w:color w:val="000000"/>
                          <w:szCs w:val="24"/>
                        </w:rPr>
                        <w:t>. studijų grupė – tai viena iš šių keturių grupių: 1) trumposios pakopos, pirmosios pakopos ir vientisosios studijos (toliau – I grupė); 2) antrosios pakopos studijos (toliau – II grupė); 3) trečiosios pakopos studijos (toliau – III grupė); 4) profesinės studijos (toliau – P grupė).</w:t>
                      </w:r>
                      <w:r>
                        <w:rPr>
                          <w:color w:val="000000"/>
                        </w:rPr>
                        <w:t xml:space="preserve"> </w:t>
                      </w:r>
                    </w:p>
                  </w:sdtContent>
                </w:sdt>
              </w:sdtContent>
            </w:sdt>
            <w:sdt>
              <w:sdtPr>
                <w:alias w:val="4 p."/>
                <w:tag w:val="part_3fd7347f511c4a079df2b270fcd7ae31"/>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3fd7347f511c4a079df2b270fcd7ae31"/>
                      <w:lock w:val="sdtLocked"/>
                      <w:richText/>
                    </w:sdtPr>
                    <w:sdtContent>
                      <w:r>
                        <w:rPr>
                          <w:color w:val="000000"/>
                          <w:szCs w:val="24"/>
                          <w:lang w:eastAsia="lt-LT"/>
                        </w:rPr>
                        <w:t>4</w:t>
                      </w:r>
                    </w:sdtContent>
                  </w:sdt>
                  <w:r>
                    <w:rPr>
                      <w:color w:val="000000"/>
                      <w:szCs w:val="24"/>
                      <w:lang w:eastAsia="lt-LT"/>
                    </w:rPr>
                    <w:t>. Tvarkos apraše vartojamos sąvokos atitinka Lietuvos Respublikos mokslo ir studijų įstatyme ir jį įgyvendinančiuose teisės aktuose vartojamas sąvokas.</w:t>
                  </w:r>
                </w:p>
                <w:p>
                  <w:pPr>
                    <w:jc w:val="center"/>
                    <w:rPr>
                      <w:b/>
                      <w:color w:val="000000"/>
                      <w:szCs w:val="24"/>
                      <w:lang w:eastAsia="lt-LT"/>
                    </w:rPr>
                  </w:pPr>
                </w:p>
              </w:sdtContent>
            </w:sdt>
          </w:sdtContent>
        </w:sdt>
        <w:sdt>
          <w:sdtPr>
            <w:alias w:val="skyrius"/>
            <w:tag w:val="part_2c3d0b5c66e440c1bb0e9c8414968377"/>
            <w:lock w:val="sdtLocked"/>
            <w:richText/>
          </w:sdtPr>
          <w:sdtContent>
            <w:p>
              <w:pPr>
                <w:jc w:val="center"/>
                <w:rPr>
                  <w:b/>
                  <w:color w:val="000000"/>
                  <w:szCs w:val="24"/>
                  <w:lang w:eastAsia="lt-LT"/>
                </w:rPr>
              </w:pPr>
              <w:sdt>
                <w:sdtPr>
                  <w:alias w:val="Numeris"/>
                  <w:tag w:val="nr_2c3d0b5c66e440c1bb0e9c8414968377"/>
                  <w:lock w:val="sdtLocked"/>
                  <w:richText/>
                </w:sdtPr>
                <w:sdtContent>
                  <w:r>
                    <w:rPr>
                      <w:b/>
                      <w:color w:val="000000"/>
                      <w:szCs w:val="24"/>
                      <w:lang w:eastAsia="lt-LT"/>
                    </w:rPr>
                    <w:t>II</w:t>
                  </w:r>
                </w:sdtContent>
              </w:sdt>
              <w:r>
                <w:rPr>
                  <w:b/>
                  <w:color w:val="000000"/>
                  <w:szCs w:val="24"/>
                  <w:lang w:eastAsia="lt-LT"/>
                </w:rPr>
                <w:t xml:space="preserve"> SKYRIUS</w:t>
              </w:r>
            </w:p>
            <w:p>
              <w:pPr>
                <w:jc w:val="center"/>
                <w:rPr>
                  <w:b/>
                  <w:color w:val="000000"/>
                  <w:szCs w:val="24"/>
                  <w:lang w:eastAsia="lt-LT"/>
                </w:rPr>
              </w:pPr>
              <w:sdt>
                <w:sdtPr>
                  <w:alias w:val="Pavadinimas"/>
                  <w:tag w:val="title_2c3d0b5c66e440c1bb0e9c8414968377"/>
                  <w:lock w:val="sdtLocked"/>
                  <w:richText/>
                </w:sdtPr>
                <w:sdtContent>
                  <w:r>
                    <w:rPr>
                      <w:b/>
                      <w:color w:val="000000"/>
                      <w:szCs w:val="24"/>
                      <w:lang w:eastAsia="lt-LT"/>
                    </w:rPr>
                    <w:t>STUDIJŲ PASIEKIMŲ VERTINIMO KRITERIJAI IR JŲ SVORIO KOEFICIENTAI</w:t>
                  </w:r>
                </w:sdtContent>
              </w:sdt>
            </w:p>
            <w:p>
              <w:pPr>
                <w:jc w:val="center"/>
                <w:rPr>
                  <w:b/>
                  <w:color w:val="000000"/>
                  <w:szCs w:val="24"/>
                  <w:lang w:eastAsia="lt-LT"/>
                </w:rPr>
              </w:pPr>
            </w:p>
            <w:sdt>
              <w:sdtPr>
                <w:alias w:val="5 p."/>
                <w:tag w:val="part_23669d23fde446c2995a246772b974d4"/>
                <w:lock w:val="sdtLocked"/>
                <w:richText/>
              </w:sdtPr>
              <w:sdtContent>
                <w:p>
                  <w:pPr>
                    <w:ind w:firstLine="720"/>
                    <w:jc w:val="both"/>
                    <w:rPr>
                      <w:color w:val="000000"/>
                      <w:lang w:eastAsia="lt-LT"/>
                    </w:rPr>
                  </w:pPr>
                  <w:sdt>
                    <w:sdtPr>
                      <w:alias w:val="Numeris"/>
                      <w:tag w:val="nr_23669d23fde446c2995a246772b974d4"/>
                      <w:lock w:val="sdtLocked"/>
                      <w:richText/>
                    </w:sdtPr>
                    <w:sdtContent>
                      <w:r>
                        <w:rPr>
                          <w:color w:val="000000"/>
                          <w:lang w:eastAsia="lt-LT"/>
                        </w:rPr>
                        <w:t>5</w:t>
                      </w:r>
                    </w:sdtContent>
                  </w:sdt>
                  <w:r>
                    <w:rPr>
                      <w:color w:val="000000"/>
                      <w:lang w:eastAsia="lt-LT"/>
                    </w:rPr>
                    <w:t>. Studijų pasiekimų vertinimo kriterijai matuojami naudojant šiuos duomenis (detalūs jų aprašai pateikiami Tvarkos aprašo 2 priede (nuo 2027 m. spalio 26 dienos – 4 priede)):</w:t>
                  </w:r>
                </w:p>
                <w:sdt>
                  <w:sdtPr>
                    <w:alias w:val="5.1 pp."/>
                    <w:tag w:val="part_42403791725b4586b542b8d525e8d609"/>
                    <w:lock w:val="sdtLocked"/>
                    <w:richText/>
                  </w:sdtPr>
                  <w:sdtContent>
                    <w:p>
                      <w:pPr>
                        <w:ind w:firstLine="720"/>
                        <w:jc w:val="both"/>
                        <w:rPr>
                          <w:color w:val="000000"/>
                          <w:szCs w:val="24"/>
                          <w:lang w:eastAsia="lt-LT"/>
                        </w:rPr>
                      </w:pPr>
                      <w:sdt>
                        <w:sdtPr>
                          <w:alias w:val="Numeris"/>
                          <w:tag w:val="nr_42403791725b4586b542b8d525e8d609"/>
                          <w:lock w:val="sdtLocked"/>
                          <w:richText/>
                        </w:sdtPr>
                        <w:sdtContent>
                          <w:r>
                            <w:rPr>
                              <w:color w:val="000000"/>
                              <w:szCs w:val="24"/>
                              <w:lang w:eastAsia="lt-LT"/>
                            </w:rPr>
                            <w:t>5.1</w:t>
                          </w:r>
                        </w:sdtContent>
                      </w:sdt>
                      <w:r>
                        <w:rPr>
                          <w:color w:val="000000"/>
                          <w:szCs w:val="24"/>
                          <w:lang w:eastAsia="lt-LT"/>
                        </w:rPr>
                        <w:t xml:space="preserve">. studijų rezultatyvumas – trumposios, pirmosios, antrosios, trečiosios pakopų, vientisųjų, profesinių studijų absolventų skaičius. Naudojami Švietimo valdymo informacinės sistemos (toliau – ŠVIS) duomenys; </w:t>
                      </w:r>
                    </w:p>
                  </w:sdtContent>
                </w:sdt>
                <w:sdt>
                  <w:sdtPr>
                    <w:alias w:val="5.2 pp."/>
                    <w:tag w:val="part_2784451824164710ad265924c5c6c0c2"/>
                    <w:lock w:val="sdtLocked"/>
                    <w:richText/>
                  </w:sdtPr>
                  <w:sdtContent>
                    <w:p>
                      <w:pPr>
                        <w:tabs>
                          <w:tab w:val="left" w:pos="993"/>
                        </w:tabs>
                        <w:ind w:firstLine="709"/>
                        <w:jc w:val="both"/>
                        <w:rPr>
                          <w:color w:val="000000"/>
                          <w:szCs w:val="24"/>
                          <w:lang w:eastAsia="lt-LT"/>
                        </w:rPr>
                      </w:pPr>
                      <w:sdt>
                        <w:sdtPr>
                          <w:alias w:val="Numeris"/>
                          <w:tag w:val="nr_2784451824164710ad265924c5c6c0c2"/>
                          <w:lock w:val="sdtLocked"/>
                          <w:richText/>
                        </w:sdtPr>
                        <w:sdtContent>
                          <w:r>
                            <w:rPr>
                              <w:color w:val="000000"/>
                              <w:szCs w:val="24"/>
                              <w:lang w:eastAsia="lt-LT"/>
                            </w:rPr>
                            <w:t>5.2</w:t>
                          </w:r>
                        </w:sdtContent>
                      </w:sdt>
                      <w:r>
                        <w:rPr>
                          <w:color w:val="000000"/>
                          <w:szCs w:val="24"/>
                          <w:lang w:eastAsia="lt-LT"/>
                        </w:rPr>
                        <w:t>. studijų tarptautiškumas – atitinkamai trumposios pakopos, pirmosios pakopos koleginių studijų atveju: absolventų, per studijų laikotarpį išvykusių dalinėms studijoms ar praktikai (abiem atvejais ne mažesnės kaip 15 studijų kreditų apimties, gali būti sumuojamas kelių išvykų laikotarpis atskirai dalinėms studijoms ar praktikai), skaičiaus ir absolventų užsieniečių skaičiaus suma; universitetinių pirmosios, antrosios pakopų, vientisųjų studijų atveju: absolventų užsieniečių skaičius; trečiosios pakopos studijų atveju: doktorantų, apgynusių disertaciją ar meno projektą, per doktorantūros laikotarpį išvykusių stažuotei (stažuotėms)</w:t>
                      </w:r>
                      <w:r>
                        <w:rPr>
                          <w:b/>
                          <w:bCs/>
                          <w:color w:val="000000"/>
                          <w:szCs w:val="24"/>
                          <w:lang w:eastAsia="lt-LT"/>
                        </w:rPr>
                        <w:t xml:space="preserve"> </w:t>
                      </w:r>
                      <w:r>
                        <w:rPr>
                          <w:color w:val="000000"/>
                          <w:szCs w:val="24"/>
                          <w:lang w:eastAsia="lt-LT"/>
                        </w:rPr>
                        <w:t>ne trumpesniam nei 90 kalendorinių dienų laikotarpiui (gali būti sumuojamas kelių stažuočių laikotarpis), skaičius. Naudojami ŠVIS duomenys;</w:t>
                      </w:r>
                      <w:r>
                        <w:rPr>
                          <w:color w:val="000000"/>
                        </w:rPr>
                        <w:t xml:space="preserve"> </w:t>
                      </w:r>
                    </w:p>
                  </w:sdtContent>
                </w:sdt>
                <w:sdt>
                  <w:sdtPr>
                    <w:alias w:val="5.3 pp."/>
                    <w:tag w:val="part_6798111f15454889befa2c0d84cd5360"/>
                    <w:lock w:val="sdtLocked"/>
                    <w:richText/>
                  </w:sdtPr>
                  <w:sdtContent>
                    <w:p>
                      <w:pPr>
                        <w:ind w:firstLine="720"/>
                        <w:jc w:val="both"/>
                        <w:rPr>
                          <w:color w:val="000000"/>
                          <w:lang w:eastAsia="lt-LT"/>
                        </w:rPr>
                      </w:pPr>
                      <w:sdt>
                        <w:sdtPr>
                          <w:alias w:val="Numeris"/>
                          <w:tag w:val="nr_6798111f15454889befa2c0d84cd5360"/>
                          <w:lock w:val="sdtLocked"/>
                          <w:richText/>
                        </w:sdtPr>
                        <w:sdtContent>
                          <w:r>
                            <w:rPr>
                              <w:color w:val="000000"/>
                              <w:lang w:eastAsia="lt-LT"/>
                            </w:rPr>
                            <w:t>5.3</w:t>
                          </w:r>
                        </w:sdtContent>
                      </w:sdt>
                      <w:r>
                        <w:rPr>
                          <w:color w:val="000000"/>
                          <w:lang w:eastAsia="lt-LT"/>
                        </w:rPr>
                        <w:t>. studentų įdarbinimas į mokslo, meno ir studijų veiklas – trumposios, pirmosios, antrosios pakopų, vientisųjų, profesinių studijų studentų, per studijų metus įdarbintų pagal Lietuvos mokslo tarybos (toliau – LMT) studentų moksliniams tyrimams ir eksperimentinei plėtrai (toliau – MTEP) finansuoti skirtus projektus, skaičiaus bei studentų, kuriuos aukštoji mokykla įdarbino</w:t>
                      </w:r>
                      <w:r>
                        <w:rPr>
                          <w:b/>
                          <w:bCs/>
                          <w:color w:val="000000"/>
                          <w:lang w:eastAsia="lt-LT"/>
                        </w:rPr>
                        <w:t xml:space="preserve"> </w:t>
                      </w:r>
                      <w:r>
                        <w:rPr>
                          <w:color w:val="000000"/>
                          <w:lang w:eastAsia="lt-LT"/>
                        </w:rPr>
                        <w:t>ne trumpesniam nei 120 kalendorinių dienų laikotarpiui studijų veiklose pagal Ekonominės veiklos rūšių klasifikatoriaus sekcijas P (švietimas) ir M (profesinė, mokslinė ir techninė veikla) (neįskaičius tų studentų, kurie jau įskaičiuoti kaip įdarbinti už lėšas, gautas iš LMT už studentų MTEP projektus), skaičiaus suma. Trečiosios studijų pakopos atveju: doktorantų, įdarbintų dėstytojų, mokslo darbuotojų ar kitų tyrėjų pareigoms ne trumpesniam nei 120 kalendorinių dienų laikotarpiui, skaičius. Naudojami LMT ir ŠVIS duomenys;</w:t>
                      </w:r>
                    </w:p>
                  </w:sdtContent>
                </w:sdt>
                <w:sdt>
                  <w:sdtPr>
                    <w:alias w:val="5.4 pp."/>
                    <w:tag w:val="part_e828980e17944197a6fe2ddb56142655"/>
                    <w:lock w:val="sdtLocked"/>
                    <w:richText/>
                  </w:sdtPr>
                  <w:sdtContent>
                    <w:p>
                      <w:pPr>
                        <w:ind w:firstLine="720"/>
                        <w:jc w:val="both"/>
                        <w:rPr>
                          <w:color w:val="000000"/>
                          <w:lang w:eastAsia="lt-LT"/>
                        </w:rPr>
                      </w:pPr>
                      <w:sdt>
                        <w:sdtPr>
                          <w:alias w:val="Numeris"/>
                          <w:tag w:val="nr_e828980e17944197a6fe2ddb56142655"/>
                          <w:lock w:val="sdtLocked"/>
                          <w:richText/>
                        </w:sdtPr>
                        <w:sdtContent>
                          <w:r>
                            <w:rPr>
                              <w:color w:val="000000"/>
                              <w:lang w:eastAsia="lt-LT"/>
                            </w:rPr>
                            <w:t>5.4</w:t>
                          </w:r>
                        </w:sdtContent>
                      </w:sdt>
                      <w:r>
                        <w:rPr>
                          <w:color w:val="000000"/>
                          <w:lang w:eastAsia="lt-LT"/>
                        </w:rPr>
                        <w:t xml:space="preserve">. absolventų karjeros sėkmingumas – absolventų, 12 mėnesių po studijų baigimo tęsusių studijas aukštesnėje pakopoje arba (ir) dirbusių darbą, kuriam reikalinga aukštojo mokslo kvalifikacija, skaičius. Asmuo laikomas dirbančiu darbą, kuriam reikia aukštojo mokslo kvalifikacijos, jei trumposios, koleginių studijų pirmosios pakopos studijų baigimo atveju jis dirba Lietuvos profesijų klasifikatoriaus (toliau – LPK) 0–3 profesijų grupėse arba dirba savarankiškai; pirmosios pakopos universitetinių, antrosios, trečiosios pakopų, vientisųjų ar profesinių studijų atveju – dirba LPK 0–2 profesijų grupėse, arba teisės studijų krypčių grupės absolventas, dirbantis LPK 3411 profesijų pogrupyje, ir visuomenės saugumo studijų krypčių grupės absolventas, dirbantis LPK 0310 profesijų pogrupyje, arba dirba savarankiškai. Naudojami ŠVIS duomenys; </w:t>
                      </w:r>
                    </w:p>
                  </w:sdtContent>
                </w:sdt>
                <w:sdt>
                  <w:sdtPr>
                    <w:alias w:val="5.5 pp."/>
                    <w:tag w:val="part_6a112c99fde04b57b9e79fcf5bcb073d"/>
                    <w:lock w:val="sdtLocked"/>
                    <w:richText/>
                  </w:sdtPr>
                  <w:sdtContent>
                    <w:p>
                      <w:pPr>
                        <w:tabs>
                          <w:tab w:val="left" w:pos="993"/>
                        </w:tabs>
                        <w:ind w:firstLine="709"/>
                        <w:jc w:val="both"/>
                        <w:rPr>
                          <w:color w:val="000000"/>
                          <w:lang w:eastAsia="lt-LT"/>
                        </w:rPr>
                      </w:pPr>
                      <w:sdt>
                        <w:sdtPr>
                          <w:alias w:val="Numeris"/>
                          <w:tag w:val="nr_6a112c99fde04b57b9e79fcf5bcb073d"/>
                          <w:lock w:val="sdtLocked"/>
                          <w:richText/>
                        </w:sdtPr>
                        <w:sdtContent>
                          <w:r>
                            <w:rPr>
                              <w:color w:val="000000"/>
                            </w:rPr>
                            <w:t>5</w:t>
                          </w:r>
                          <w:r>
                            <w:rPr>
                              <w:color w:val="000000"/>
                              <w:lang w:eastAsia="lt-LT"/>
                            </w:rPr>
                            <w:t>.5</w:t>
                          </w:r>
                        </w:sdtContent>
                      </w:sdt>
                      <w:r>
                        <w:rPr>
                          <w:color w:val="000000"/>
                          <w:lang w:eastAsia="lt-LT"/>
                        </w:rPr>
                        <w:t>. studijų prieinamumas – absolventų, bent vieną kartą per studijų laikotarpį gavusių socialines stipendijas ir (arba) išmoką asmeniui su negalia, skaičius. Naudojami ŠVIS ir Valstybinio studijų fondo (toliau – VSF) duomenys;</w:t>
                      </w:r>
                      <w:r>
                        <w:rPr>
                          <w:color w:val="000000"/>
                        </w:rPr>
                        <w:t xml:space="preserve"> </w:t>
                      </w:r>
                    </w:p>
                  </w:sdtContent>
                </w:sdt>
                <w:sdt>
                  <w:sdtPr>
                    <w:alias w:val="5.6 pp."/>
                    <w:tag w:val="part_b16b4a4f0bfc48c3b91254ca56d121b5"/>
                    <w:lock w:val="sdtLocked"/>
                    <w:richText/>
                  </w:sdtPr>
                  <w:sdtContent>
                    <w:p>
                      <w:pPr>
                        <w:ind w:firstLine="709"/>
                        <w:jc w:val="both"/>
                        <w:rPr>
                          <w:color w:val="000000"/>
                        </w:rPr>
                      </w:pPr>
                      <w:sdt>
                        <w:sdtPr>
                          <w:alias w:val="Numeris"/>
                          <w:tag w:val="nr_b16b4a4f0bfc48c3b91254ca56d121b5"/>
                          <w:lock w:val="sdtLocked"/>
                          <w:richText/>
                        </w:sdtPr>
                        <w:sdtContent>
                          <w:r>
                            <w:rPr>
                              <w:color w:val="000000"/>
                              <w:lang w:eastAsia="lt-LT"/>
                            </w:rPr>
                            <w:t>5.6</w:t>
                          </w:r>
                        </w:sdtContent>
                      </w:sdt>
                      <w:r>
                        <w:rPr>
                          <w:color w:val="000000"/>
                          <w:lang w:eastAsia="lt-LT"/>
                        </w:rPr>
                        <w:t xml:space="preserve">. mokslo ir studijų institucijos lėšos, gautos iš ūkio subjektų, nevyriausybinių organizacijų ir fizinių asmenų už užsakymus studijoms </w:t>
                      </w:r>
                      <w:r>
                        <w:rPr>
                          <w:color w:val="000000"/>
                          <w:szCs w:val="24"/>
                        </w:rPr>
                        <w:t xml:space="preserve">tam tikroje studijų programoje, studijų kryptyje, studijų krypčių grupėje arba jų junginiuose ir (ar) doktorantūroje </w:t>
                      </w:r>
                      <w:r>
                        <w:rPr>
                          <w:color w:val="000000"/>
                          <w:lang w:eastAsia="lt-LT"/>
                        </w:rPr>
                        <w:t xml:space="preserve">ir pagal paramos sutartis studijų veiklai </w:t>
                      </w:r>
                      <w:r>
                        <w:rPr>
                          <w:color w:val="000000"/>
                          <w:szCs w:val="24"/>
                        </w:rPr>
                        <w:t>tam tikroje studijų programoje</w:t>
                      </w:r>
                      <w:r>
                        <w:rPr>
                          <w:color w:val="000000"/>
                          <w:lang w:eastAsia="lt-LT"/>
                        </w:rPr>
                        <w:t xml:space="preserve">, studijų kryptyje, studijų krypčių grupėje arba jų junginiuose </w:t>
                      </w:r>
                      <w:r>
                        <w:rPr>
                          <w:color w:val="000000"/>
                          <w:szCs w:val="24"/>
                        </w:rPr>
                        <w:t xml:space="preserve">ir (ar) doktorantūroje </w:t>
                      </w:r>
                      <w:r>
                        <w:rPr>
                          <w:color w:val="000000"/>
                          <w:lang w:eastAsia="lt-LT"/>
                        </w:rPr>
                        <w:t>vykdyti – institucijos per studijų metus gautų lėšų už ūkio subjektų, nevyriausybinių organizacijų ir fizinių asmenų užsakymus studijoms</w:t>
                      </w:r>
                      <w:r>
                        <w:rPr>
                          <w:color w:val="000000"/>
                          <w:szCs w:val="24"/>
                        </w:rPr>
                        <w:t xml:space="preserve"> tam tikroje studijų programoje</w:t>
                      </w:r>
                      <w:r>
                        <w:rPr>
                          <w:color w:val="000000"/>
                          <w:lang w:eastAsia="lt-LT"/>
                        </w:rPr>
                        <w:t xml:space="preserve">, studijų kryptyje, studijų krypčių grupėje arba jų junginiuose </w:t>
                      </w:r>
                      <w:r>
                        <w:rPr>
                          <w:color w:val="000000"/>
                          <w:szCs w:val="24"/>
                        </w:rPr>
                        <w:t xml:space="preserve">ir (ar) doktorantūroje </w:t>
                      </w:r>
                      <w:r>
                        <w:rPr>
                          <w:color w:val="000000"/>
                          <w:lang w:eastAsia="lt-LT"/>
                        </w:rPr>
                        <w:t xml:space="preserve">ir iš ūkio subjektų, nevyriausybinių organizacijų ir fizinių asmenų, gautų lėšų (turto) (skaičiuojama likutinė vertė) pagal Lietuvos Respublikos labdaros ir paramos įstatymą studijų veiklai </w:t>
                      </w:r>
                      <w:r>
                        <w:rPr>
                          <w:color w:val="000000"/>
                          <w:szCs w:val="24"/>
                        </w:rPr>
                        <w:t>tam tikroje studijų programoje</w:t>
                      </w:r>
                      <w:r>
                        <w:rPr>
                          <w:color w:val="000000"/>
                          <w:lang w:eastAsia="lt-LT"/>
                        </w:rPr>
                        <w:t xml:space="preserve">, studijų kryptyje, studijų krypčių grupėje arba jų junginiuose </w:t>
                      </w:r>
                      <w:r>
                        <w:rPr>
                          <w:color w:val="000000"/>
                          <w:szCs w:val="24"/>
                        </w:rPr>
                        <w:t>ir (ar) doktorantūroje</w:t>
                      </w:r>
                      <w:r>
                        <w:rPr>
                          <w:color w:val="000000"/>
                          <w:lang w:eastAsia="lt-LT"/>
                        </w:rPr>
                        <w:t xml:space="preserve"> paremti, jei parama nėra anonimiška, suma. Lėšos apskaičiuojamos pagal mokslo ir studijų institucijos pateiktą informaciją apie sutartis ir lėšų pervedimą (turto perdavimą) (jo likutinę vertę) patvirtinančius finansinius dokumentus:</w:t>
                      </w:r>
                      <w:r>
                        <w:rPr>
                          <w:color w:val="000000"/>
                        </w:rPr>
                        <w:t xml:space="preserve"> </w:t>
                      </w:r>
                    </w:p>
                    <w:sdt>
                      <w:sdtPr>
                        <w:alias w:val="5.6.1 pp."/>
                        <w:tag w:val="part_7bb99f66fa4b45ce9d7b2260a82a4710"/>
                        <w:lock w:val="sdtLocked"/>
                        <w:richText/>
                      </w:sdtPr>
                      <w:sdtContent>
                        <w:p>
                          <w:pPr>
                            <w:ind w:firstLine="709"/>
                            <w:jc w:val="both"/>
                            <w:rPr>
                              <w:color w:val="000000"/>
                              <w:lang w:eastAsia="lt-LT"/>
                            </w:rPr>
                          </w:pPr>
                          <w:sdt>
                            <w:sdtPr>
                              <w:alias w:val="Numeris"/>
                              <w:tag w:val="nr_7bb99f66fa4b45ce9d7b2260a82a4710"/>
                              <w:lock w:val="sdtLocked"/>
                              <w:richText/>
                            </w:sdtPr>
                            <w:sdtContent>
                              <w:r>
                                <w:rPr>
                                  <w:color w:val="000000"/>
                                  <w:lang w:eastAsia="lt-LT"/>
                                </w:rPr>
                                <w:t>5.6.1</w:t>
                              </w:r>
                            </w:sdtContent>
                          </w:sdt>
                          <w:r>
                            <w:rPr>
                              <w:color w:val="000000"/>
                              <w:lang w:eastAsia="lt-LT"/>
                            </w:rPr>
                            <w:t xml:space="preserve">. mokslo ir studijų institucijos lėšoms, gautoms iš ūkio subjektų, nevyriausybinių organizacijų ir fizinių asmenų, už užsakymus studijoms </w:t>
                          </w:r>
                          <w:r>
                            <w:rPr>
                              <w:color w:val="000000"/>
                              <w:szCs w:val="24"/>
                            </w:rPr>
                            <w:t>tam tikroje studijų programoje</w:t>
                          </w:r>
                          <w:r>
                            <w:rPr>
                              <w:color w:val="000000"/>
                              <w:lang w:eastAsia="lt-LT"/>
                            </w:rPr>
                            <w:t xml:space="preserve">, studijų kryptyje, studijų krypčių grupėje arba jų junginiuose </w:t>
                          </w:r>
                          <w:r>
                            <w:rPr>
                              <w:color w:val="000000"/>
                              <w:szCs w:val="24"/>
                            </w:rPr>
                            <w:t xml:space="preserve">ir (ar) doktorantūroje </w:t>
                          </w:r>
                          <w:r>
                            <w:rPr>
                              <w:color w:val="000000"/>
                              <w:lang w:eastAsia="lt-LT"/>
                            </w:rPr>
                            <w:t>teikiama informacija:</w:t>
                          </w:r>
                        </w:p>
                        <w:sdt>
                          <w:sdtPr>
                            <w:alias w:val="5.6.1.1 pp."/>
                            <w:tag w:val="part_1ff4a037bc784908815fb673add52aec"/>
                            <w:lock w:val="sdtLocked"/>
                            <w:richText/>
                          </w:sdtPr>
                          <w:sdtContent>
                            <w:p>
                              <w:pPr>
                                <w:tabs>
                                  <w:tab w:val="left" w:pos="993"/>
                                </w:tabs>
                                <w:ind w:firstLine="709"/>
                                <w:jc w:val="both"/>
                                <w:rPr>
                                  <w:color w:val="000000"/>
                                  <w:szCs w:val="24"/>
                                  <w:lang w:eastAsia="lt-LT"/>
                                </w:rPr>
                              </w:pPr>
                              <w:sdt>
                                <w:sdtPr>
                                  <w:alias w:val="Numeris"/>
                                  <w:tag w:val="nr_1ff4a037bc784908815fb673add52aec"/>
                                  <w:lock w:val="sdtLocked"/>
                                  <w:richText/>
                                </w:sdtPr>
                                <w:sdtContent>
                                  <w:r>
                                    <w:rPr>
                                      <w:color w:val="000000"/>
                                      <w:szCs w:val="24"/>
                                      <w:lang w:eastAsia="lt-LT"/>
                                    </w:rPr>
                                    <w:t>5.6.1.1</w:t>
                                  </w:r>
                                </w:sdtContent>
                              </w:sdt>
                              <w:r>
                                <w:rPr>
                                  <w:color w:val="000000"/>
                                  <w:szCs w:val="24"/>
                                  <w:lang w:eastAsia="lt-LT"/>
                                </w:rPr>
                                <w:t>. užsakovas (juridinis / fizinis asmuo, kodas (jei suteiktas) / gimimo data, pavadinimas / vardas pavardė);</w:t>
                              </w:r>
                            </w:p>
                          </w:sdtContent>
                        </w:sdt>
                        <w:sdt>
                          <w:sdtPr>
                            <w:alias w:val="5.6.1.2 pp."/>
                            <w:tag w:val="part_f6173cfa36894c3795bb1fcc3b2f9bb1"/>
                            <w:lock w:val="sdtLocked"/>
                            <w:richText/>
                          </w:sdtPr>
                          <w:sdtContent>
                            <w:p>
                              <w:pPr>
                                <w:ind w:firstLine="709"/>
                                <w:jc w:val="both"/>
                                <w:rPr>
                                  <w:color w:val="000000"/>
                                  <w:lang w:eastAsia="lt-LT"/>
                                </w:rPr>
                              </w:pPr>
                              <w:sdt>
                                <w:sdtPr>
                                  <w:alias w:val="Numeris"/>
                                  <w:tag w:val="nr_f6173cfa36894c3795bb1fcc3b2f9bb1"/>
                                  <w:lock w:val="sdtLocked"/>
                                  <w:richText/>
                                </w:sdtPr>
                                <w:sdtContent>
                                  <w:r>
                                    <w:rPr>
                                      <w:color w:val="000000"/>
                                      <w:lang w:eastAsia="lt-LT"/>
                                    </w:rPr>
                                    <w:t>5.6.1.2</w:t>
                                  </w:r>
                                </w:sdtContent>
                              </w:sdt>
                              <w:r>
                                <w:rPr>
                                  <w:color w:val="000000"/>
                                  <w:lang w:eastAsia="lt-LT"/>
                                </w:rPr>
                                <w:t xml:space="preserve">. dokumentas, įrodantis užsakymą studijoms </w:t>
                              </w:r>
                              <w:r>
                                <w:rPr>
                                  <w:color w:val="000000"/>
                                  <w:szCs w:val="24"/>
                                </w:rPr>
                                <w:t>tam tikroje studijų programoje</w:t>
                              </w:r>
                              <w:r>
                                <w:rPr>
                                  <w:color w:val="000000"/>
                                  <w:lang w:eastAsia="lt-LT"/>
                                </w:rPr>
                                <w:t xml:space="preserve">, studijų kryptyje, studijų krypčių grupėje arba jų junginiuose </w:t>
                              </w:r>
                              <w:r>
                                <w:rPr>
                                  <w:color w:val="000000"/>
                                  <w:szCs w:val="24"/>
                                </w:rPr>
                                <w:t>ir (ar) doktorantūroje</w:t>
                              </w:r>
                              <w:r>
                                <w:rPr>
                                  <w:color w:val="000000"/>
                                  <w:lang w:eastAsia="lt-LT"/>
                                </w:rPr>
                                <w:t xml:space="preserve"> (sutartis, garantinis raštas, kiti dokumentai);</w:t>
                              </w:r>
                            </w:p>
                          </w:sdtContent>
                        </w:sdt>
                        <w:sdt>
                          <w:sdtPr>
                            <w:alias w:val="5.6.1.3 pp."/>
                            <w:tag w:val="part_c555ab31d78f4f23862adf71a8928e44"/>
                            <w:lock w:val="sdtLocked"/>
                            <w:richText/>
                          </w:sdtPr>
                          <w:sdtContent>
                            <w:p>
                              <w:pPr>
                                <w:tabs>
                                  <w:tab w:val="left" w:pos="993"/>
                                </w:tabs>
                                <w:ind w:firstLine="709"/>
                                <w:jc w:val="both"/>
                                <w:rPr>
                                  <w:color w:val="000000"/>
                                  <w:szCs w:val="24"/>
                                  <w:lang w:eastAsia="lt-LT"/>
                                </w:rPr>
                              </w:pPr>
                              <w:sdt>
                                <w:sdtPr>
                                  <w:alias w:val="Numeris"/>
                                  <w:tag w:val="nr_c555ab31d78f4f23862adf71a8928e44"/>
                                  <w:lock w:val="sdtLocked"/>
                                  <w:richText/>
                                </w:sdtPr>
                                <w:sdtContent>
                                  <w:r>
                                    <w:rPr>
                                      <w:color w:val="000000"/>
                                      <w:szCs w:val="24"/>
                                      <w:lang w:eastAsia="lt-LT"/>
                                    </w:rPr>
                                    <w:t>5.6.1.3</w:t>
                                  </w:r>
                                </w:sdtContent>
                              </w:sdt>
                              <w:r>
                                <w:rPr>
                                  <w:color w:val="000000"/>
                                  <w:szCs w:val="24"/>
                                  <w:lang w:eastAsia="lt-LT"/>
                                </w:rPr>
                                <w:t>. dokumento, įrodančio užsakymą studijoms, data ir numeris;</w:t>
                              </w:r>
                            </w:p>
                          </w:sdtContent>
                        </w:sdt>
                        <w:sdt>
                          <w:sdtPr>
                            <w:alias w:val="5.6.1.4 pp."/>
                            <w:tag w:val="part_02a18367ed994fbb9350226556f05315"/>
                            <w:lock w:val="sdtLocked"/>
                            <w:richText/>
                          </w:sdtPr>
                          <w:sdtContent>
                            <w:p>
                              <w:pPr>
                                <w:ind w:firstLine="709"/>
                                <w:jc w:val="both"/>
                                <w:rPr>
                                  <w:color w:val="000000"/>
                                  <w:lang w:eastAsia="lt-LT"/>
                                </w:rPr>
                              </w:pPr>
                              <w:sdt>
                                <w:sdtPr>
                                  <w:alias w:val="Numeris"/>
                                  <w:tag w:val="nr_02a18367ed994fbb9350226556f05315"/>
                                  <w:lock w:val="sdtLocked"/>
                                  <w:richText/>
                                </w:sdtPr>
                                <w:sdtContent>
                                  <w:r>
                                    <w:rPr>
                                      <w:color w:val="000000"/>
                                      <w:lang w:eastAsia="lt-LT"/>
                                    </w:rPr>
                                    <w:t>5.6.1.4</w:t>
                                  </w:r>
                                </w:sdtContent>
                              </w:sdt>
                              <w:r>
                                <w:rPr>
                                  <w:color w:val="000000"/>
                                  <w:lang w:eastAsia="lt-LT"/>
                                </w:rPr>
                                <w:t>. gauta lėšų suma, skirta užsakymui studijoms</w:t>
                              </w:r>
                              <w:r>
                                <w:rPr>
                                  <w:color w:val="000000"/>
                                  <w:szCs w:val="24"/>
                                </w:rPr>
                                <w:t xml:space="preserve"> tam tikroje studijų programoje</w:t>
                              </w:r>
                              <w:r>
                                <w:rPr>
                                  <w:color w:val="000000"/>
                                  <w:lang w:eastAsia="lt-LT"/>
                                </w:rPr>
                                <w:t xml:space="preserve">, studijų kryptyje, studijų krypčių grupėje arba jų junginiuose </w:t>
                              </w:r>
                              <w:r>
                                <w:rPr>
                                  <w:color w:val="000000"/>
                                  <w:szCs w:val="24"/>
                                </w:rPr>
                                <w:t>ir (ar) doktorantūroje</w:t>
                              </w:r>
                              <w:r>
                                <w:rPr>
                                  <w:color w:val="000000"/>
                                  <w:lang w:eastAsia="lt-LT"/>
                                </w:rPr>
                                <w:t>;</w:t>
                              </w:r>
                            </w:p>
                          </w:sdtContent>
                        </w:sdt>
                        <w:sdt>
                          <w:sdtPr>
                            <w:alias w:val="5.6.1.5 pp."/>
                            <w:tag w:val="part_3b5aebf45b864070ba77be00f3838e56"/>
                            <w:lock w:val="sdtLocked"/>
                            <w:richText/>
                          </w:sdtPr>
                          <w:sdtContent>
                            <w:p>
                              <w:pPr>
                                <w:tabs>
                                  <w:tab w:val="left" w:pos="993"/>
                                </w:tabs>
                                <w:ind w:firstLine="709"/>
                                <w:jc w:val="both"/>
                                <w:rPr>
                                  <w:color w:val="000000"/>
                                  <w:lang w:eastAsia="lt-LT"/>
                                </w:rPr>
                              </w:pPr>
                              <w:sdt>
                                <w:sdtPr>
                                  <w:alias w:val="Numeris"/>
                                  <w:tag w:val="nr_3b5aebf45b864070ba77be00f3838e56"/>
                                  <w:lock w:val="sdtLocked"/>
                                  <w:richText/>
                                </w:sdtPr>
                                <w:sdtContent>
                                  <w:r>
                                    <w:rPr>
                                      <w:color w:val="000000"/>
                                      <w:lang w:eastAsia="lt-LT"/>
                                    </w:rPr>
                                    <w:t>5.6.1.5</w:t>
                                  </w:r>
                                </w:sdtContent>
                              </w:sdt>
                              <w:r>
                                <w:rPr>
                                  <w:color w:val="000000"/>
                                  <w:lang w:eastAsia="lt-LT"/>
                                </w:rPr>
                                <w:t xml:space="preserve">. mokėjimo nurodymo paskirtis </w:t>
                              </w:r>
                              <w:r>
                                <w:rPr>
                                  <w:color w:val="000000"/>
                                  <w:szCs w:val="24"/>
                                </w:rPr>
                                <w:t>(nurodomi studento (-ų) duomenys, studijų programa ar kita)</w:t>
                              </w:r>
                              <w:r>
                                <w:rPr>
                                  <w:color w:val="000000"/>
                                  <w:lang w:eastAsia="lt-LT"/>
                                </w:rPr>
                                <w:t>;</w:t>
                              </w:r>
                            </w:p>
                          </w:sdtContent>
                        </w:sdt>
                        <w:sdt>
                          <w:sdtPr>
                            <w:alias w:val="5.6.1.6 pp."/>
                            <w:tag w:val="part_ae415d6788204cd2975998179942b66d"/>
                            <w:lock w:val="sdtLocked"/>
                            <w:richText/>
                          </w:sdtPr>
                          <w:sdtContent>
                            <w:p>
                              <w:pPr>
                                <w:tabs>
                                  <w:tab w:val="left" w:pos="993"/>
                                </w:tabs>
                                <w:ind w:firstLine="709"/>
                                <w:jc w:val="both"/>
                                <w:rPr>
                                  <w:color w:val="000000"/>
                                  <w:szCs w:val="24"/>
                                  <w:lang w:eastAsia="lt-LT"/>
                                </w:rPr>
                              </w:pPr>
                              <w:sdt>
                                <w:sdtPr>
                                  <w:alias w:val="Numeris"/>
                                  <w:tag w:val="nr_ae415d6788204cd2975998179942b66d"/>
                                  <w:lock w:val="sdtLocked"/>
                                  <w:richText/>
                                </w:sdtPr>
                                <w:sdtContent>
                                  <w:r>
                                    <w:rPr>
                                      <w:color w:val="000000"/>
                                      <w:szCs w:val="24"/>
                                      <w:lang w:eastAsia="lt-LT"/>
                                    </w:rPr>
                                    <w:t>5.6.1.6</w:t>
                                  </w:r>
                                </w:sdtContent>
                              </w:sdt>
                              <w:r>
                                <w:rPr>
                                  <w:color w:val="000000"/>
                                  <w:szCs w:val="24"/>
                                  <w:lang w:eastAsia="lt-LT"/>
                                </w:rPr>
                                <w:t>. mokėjimo nurodymo data ir numeris;</w:t>
                              </w:r>
                            </w:p>
                          </w:sdtContent>
                        </w:sdt>
                        <w:sdt>
                          <w:sdtPr>
                            <w:alias w:val="5.6.1.7 pp."/>
                            <w:tag w:val="part_d44c7fec0c9e4eff9d87dbe31b46f96e"/>
                            <w:lock w:val="sdtLocked"/>
                            <w:richText/>
                          </w:sdtPr>
                          <w:sdtContent>
                            <w:p>
                              <w:pPr>
                                <w:tabs>
                                  <w:tab w:val="left" w:pos="993"/>
                                </w:tabs>
                                <w:ind w:firstLine="709"/>
                                <w:jc w:val="both"/>
                                <w:rPr>
                                  <w:color w:val="000000"/>
                                  <w:szCs w:val="24"/>
                                  <w:lang w:eastAsia="lt-LT"/>
                                </w:rPr>
                              </w:pPr>
                              <w:sdt>
                                <w:sdtPr>
                                  <w:alias w:val="Numeris"/>
                                  <w:tag w:val="nr_d44c7fec0c9e4eff9d87dbe31b46f96e"/>
                                  <w:lock w:val="sdtLocked"/>
                                  <w:richText/>
                                </w:sdtPr>
                                <w:sdtContent>
                                  <w:r>
                                    <w:rPr>
                                      <w:color w:val="000000"/>
                                      <w:szCs w:val="24"/>
                                      <w:lang w:eastAsia="lt-LT"/>
                                    </w:rPr>
                                    <w:t>5.6.1.7</w:t>
                                  </w:r>
                                </w:sdtContent>
                              </w:sdt>
                              <w:r>
                                <w:rPr>
                                  <w:color w:val="000000"/>
                                  <w:szCs w:val="24"/>
                                  <w:lang w:eastAsia="lt-LT"/>
                                </w:rPr>
                                <w:t>. užsakymą pagrindžiančių dokumentų skaitmenintos kopijos;</w:t>
                              </w:r>
                            </w:p>
                          </w:sdtContent>
                        </w:sdt>
                      </w:sdtContent>
                    </w:sdt>
                    <w:sdt>
                      <w:sdtPr>
                        <w:alias w:val="5.6.2 pp."/>
                        <w:tag w:val="part_04d43cd4dd114ef5af526afe683e9ea4"/>
                        <w:lock w:val="sdtLocked"/>
                        <w:richText/>
                      </w:sdtPr>
                      <w:sdtContent>
                        <w:p>
                          <w:pPr>
                            <w:tabs>
                              <w:tab w:val="left" w:pos="993"/>
                            </w:tabs>
                            <w:ind w:firstLine="709"/>
                            <w:jc w:val="both"/>
                            <w:rPr>
                              <w:color w:val="000000"/>
                              <w:lang w:eastAsia="lt-LT"/>
                            </w:rPr>
                          </w:pPr>
                          <w:sdt>
                            <w:sdtPr>
                              <w:alias w:val="Numeris"/>
                              <w:tag w:val="nr_04d43cd4dd114ef5af526afe683e9ea4"/>
                              <w:lock w:val="sdtLocked"/>
                              <w:richText/>
                            </w:sdtPr>
                            <w:sdtContent>
                              <w:r>
                                <w:rPr>
                                  <w:color w:val="000000"/>
                                  <w:lang w:eastAsia="lt-LT"/>
                                </w:rPr>
                                <w:t>5.6.2</w:t>
                              </w:r>
                            </w:sdtContent>
                          </w:sdt>
                          <w:r>
                            <w:rPr>
                              <w:color w:val="000000"/>
                              <w:lang w:eastAsia="lt-LT"/>
                            </w:rPr>
                            <w:t xml:space="preserve">. mokslo ir studijų institucijos lėšoms, gautoms iš ūkio subjektų, nevyriausybinių organizacijų ir fizinių asmenų, pagal Labdaros ir paramos įstatymą studijų veiklai </w:t>
                          </w:r>
                          <w:r>
                            <w:rPr>
                              <w:color w:val="000000"/>
                              <w:szCs w:val="24"/>
                            </w:rPr>
                            <w:t>tam tikroje studijų programoje</w:t>
                          </w:r>
                          <w:r>
                            <w:rPr>
                              <w:color w:val="000000"/>
                              <w:lang w:eastAsia="lt-LT"/>
                            </w:rPr>
                            <w:t xml:space="preserve">, studijų kryptyje, studijų krypčių grupėje arba jų junginiuose </w:t>
                          </w:r>
                          <w:r>
                            <w:rPr>
                              <w:color w:val="000000"/>
                              <w:szCs w:val="24"/>
                            </w:rPr>
                            <w:t xml:space="preserve">ir (ar) doktorantūroje </w:t>
                          </w:r>
                          <w:r>
                            <w:rPr>
                              <w:color w:val="000000"/>
                              <w:lang w:eastAsia="lt-LT"/>
                            </w:rPr>
                            <w:t>paremti teikiama informacija:</w:t>
                          </w:r>
                        </w:p>
                        <w:sdt>
                          <w:sdtPr>
                            <w:alias w:val="5.6.2.1 pp."/>
                            <w:tag w:val="part_0332ea5611794e1daca261156b0e75a3"/>
                            <w:lock w:val="sdtLocked"/>
                            <w:richText/>
                          </w:sdtPr>
                          <w:sdtContent>
                            <w:p>
                              <w:pPr>
                                <w:tabs>
                                  <w:tab w:val="left" w:pos="993"/>
                                </w:tabs>
                                <w:ind w:firstLine="709"/>
                                <w:jc w:val="both"/>
                                <w:rPr>
                                  <w:color w:val="000000"/>
                                  <w:szCs w:val="24"/>
                                  <w:lang w:eastAsia="lt-LT"/>
                                </w:rPr>
                              </w:pPr>
                              <w:sdt>
                                <w:sdtPr>
                                  <w:alias w:val="Numeris"/>
                                  <w:tag w:val="nr_0332ea5611794e1daca261156b0e75a3"/>
                                  <w:lock w:val="sdtLocked"/>
                                  <w:richText/>
                                </w:sdtPr>
                                <w:sdtContent>
                                  <w:r>
                                    <w:rPr>
                                      <w:color w:val="000000"/>
                                      <w:szCs w:val="24"/>
                                      <w:lang w:eastAsia="lt-LT"/>
                                    </w:rPr>
                                    <w:t>5.6.2.1</w:t>
                                  </w:r>
                                </w:sdtContent>
                              </w:sdt>
                              <w:r>
                                <w:rPr>
                                  <w:color w:val="000000"/>
                                  <w:szCs w:val="24"/>
                                  <w:lang w:eastAsia="lt-LT"/>
                                </w:rPr>
                                <w:t>. paramos teikėjas (juridinis / fizinis asmuo, kodas (jei suteiktas) / gimimo data, pavadinimas / vardas, pavardė);</w:t>
                              </w:r>
                            </w:p>
                          </w:sdtContent>
                        </w:sdt>
                        <w:sdt>
                          <w:sdtPr>
                            <w:alias w:val="5.6.2.2 pp."/>
                            <w:tag w:val="part_3795e8ba3d3e4fe7a974ee0cde7ee14b"/>
                            <w:lock w:val="sdtLocked"/>
                            <w:richText/>
                          </w:sdtPr>
                          <w:sdtContent>
                            <w:p>
                              <w:pPr>
                                <w:tabs>
                                  <w:tab w:val="left" w:pos="993"/>
                                </w:tabs>
                                <w:ind w:firstLine="709"/>
                                <w:jc w:val="both"/>
                                <w:rPr>
                                  <w:color w:val="000000"/>
                                  <w:szCs w:val="24"/>
                                  <w:lang w:eastAsia="lt-LT"/>
                                </w:rPr>
                              </w:pPr>
                              <w:sdt>
                                <w:sdtPr>
                                  <w:alias w:val="Numeris"/>
                                  <w:tag w:val="nr_3795e8ba3d3e4fe7a974ee0cde7ee14b"/>
                                  <w:lock w:val="sdtLocked"/>
                                  <w:richText/>
                                </w:sdtPr>
                                <w:sdtContent>
                                  <w:r>
                                    <w:rPr>
                                      <w:color w:val="000000"/>
                                      <w:szCs w:val="24"/>
                                      <w:lang w:eastAsia="lt-LT"/>
                                    </w:rPr>
                                    <w:t>5.6.2.2</w:t>
                                  </w:r>
                                </w:sdtContent>
                              </w:sdt>
                              <w:r>
                                <w:rPr>
                                  <w:color w:val="000000"/>
                                  <w:szCs w:val="24"/>
                                  <w:lang w:eastAsia="lt-LT"/>
                                </w:rPr>
                                <w:t>. paramos teikimo sutarties data ir numeris;</w:t>
                              </w:r>
                            </w:p>
                          </w:sdtContent>
                        </w:sdt>
                        <w:sdt>
                          <w:sdtPr>
                            <w:alias w:val="5.6.2.3 pp."/>
                            <w:tag w:val="part_40077fe671834299bc28c0d24fdfda04"/>
                            <w:lock w:val="sdtLocked"/>
                            <w:richText/>
                          </w:sdtPr>
                          <w:sdtContent>
                            <w:p>
                              <w:pPr>
                                <w:tabs>
                                  <w:tab w:val="left" w:pos="993"/>
                                </w:tabs>
                                <w:ind w:firstLine="709"/>
                                <w:jc w:val="both"/>
                                <w:rPr>
                                  <w:color w:val="000000"/>
                                  <w:szCs w:val="24"/>
                                  <w:lang w:eastAsia="lt-LT"/>
                                </w:rPr>
                              </w:pPr>
                              <w:sdt>
                                <w:sdtPr>
                                  <w:alias w:val="Numeris"/>
                                  <w:tag w:val="nr_40077fe671834299bc28c0d24fdfda04"/>
                                  <w:lock w:val="sdtLocked"/>
                                  <w:richText/>
                                </w:sdtPr>
                                <w:sdtContent>
                                  <w:r>
                                    <w:rPr>
                                      <w:color w:val="000000"/>
                                      <w:szCs w:val="24"/>
                                      <w:lang w:eastAsia="lt-LT"/>
                                    </w:rPr>
                                    <w:t>5.6.2.3</w:t>
                                  </w:r>
                                </w:sdtContent>
                              </w:sdt>
                              <w:r>
                                <w:rPr>
                                  <w:color w:val="000000"/>
                                  <w:szCs w:val="24"/>
                                  <w:lang w:eastAsia="lt-LT"/>
                                </w:rPr>
                                <w:t>. gautos paramos suma;</w:t>
                              </w:r>
                            </w:p>
                          </w:sdtContent>
                        </w:sdt>
                        <w:sdt>
                          <w:sdtPr>
                            <w:alias w:val="5.6.2.4 pp."/>
                            <w:tag w:val="part_e8e7b23e45b448c7b3cbb5685999b38a"/>
                            <w:lock w:val="sdtLocked"/>
                            <w:richText/>
                          </w:sdtPr>
                          <w:sdtContent>
                            <w:p>
                              <w:pPr>
                                <w:tabs>
                                  <w:tab w:val="left" w:pos="993"/>
                                </w:tabs>
                                <w:ind w:firstLine="709"/>
                                <w:jc w:val="both"/>
                                <w:rPr>
                                  <w:color w:val="000000"/>
                                  <w:lang w:eastAsia="lt-LT"/>
                                </w:rPr>
                              </w:pPr>
                              <w:sdt>
                                <w:sdtPr>
                                  <w:alias w:val="Numeris"/>
                                  <w:tag w:val="nr_e8e7b23e45b448c7b3cbb5685999b38a"/>
                                  <w:lock w:val="sdtLocked"/>
                                  <w:richText/>
                                </w:sdtPr>
                                <w:sdtContent>
                                  <w:r>
                                    <w:rPr>
                                      <w:color w:val="000000"/>
                                      <w:lang w:eastAsia="lt-LT"/>
                                    </w:rPr>
                                    <w:t>5.6.2.4</w:t>
                                  </w:r>
                                </w:sdtContent>
                              </w:sdt>
                              <w:r>
                                <w:rPr>
                                  <w:color w:val="000000"/>
                                  <w:lang w:eastAsia="lt-LT"/>
                                </w:rPr>
                                <w:t>. mokėjimo nurodymo paskirtis</w:t>
                              </w:r>
                              <w:r>
                                <w:rPr>
                                  <w:color w:val="000000"/>
                                  <w:szCs w:val="24"/>
                                </w:rPr>
                                <w:t xml:space="preserve"> (nurodoma parama tam tikros studijų programos</w:t>
                              </w:r>
                              <w:r>
                                <w:rPr>
                                  <w:color w:val="000000"/>
                                  <w:lang w:eastAsia="lt-LT"/>
                                </w:rPr>
                                <w:t xml:space="preserve">, studijų krypties, studijų krypčių grupės arba jų junginio </w:t>
                              </w:r>
                              <w:r>
                                <w:rPr>
                                  <w:color w:val="000000"/>
                                  <w:szCs w:val="24"/>
                                </w:rPr>
                                <w:t>ir (ar) doktorantūros veiklai paremti ar kita)</w:t>
                              </w:r>
                              <w:r>
                                <w:rPr>
                                  <w:color w:val="000000"/>
                                  <w:lang w:eastAsia="lt-LT"/>
                                </w:rPr>
                                <w:t>;</w:t>
                              </w:r>
                            </w:p>
                          </w:sdtContent>
                        </w:sdt>
                        <w:sdt>
                          <w:sdtPr>
                            <w:alias w:val="5.6.2.5 pp."/>
                            <w:tag w:val="part_486027e00d7a42ca8e79b8564684f40a"/>
                            <w:lock w:val="sdtLocked"/>
                            <w:richText/>
                          </w:sdtPr>
                          <w:sdtContent>
                            <w:p>
                              <w:pPr>
                                <w:tabs>
                                  <w:tab w:val="left" w:pos="993"/>
                                </w:tabs>
                                <w:ind w:firstLine="709"/>
                                <w:jc w:val="both"/>
                                <w:rPr>
                                  <w:color w:val="000000"/>
                                  <w:szCs w:val="24"/>
                                  <w:lang w:eastAsia="lt-LT"/>
                                </w:rPr>
                              </w:pPr>
                              <w:sdt>
                                <w:sdtPr>
                                  <w:alias w:val="Numeris"/>
                                  <w:tag w:val="nr_486027e00d7a42ca8e79b8564684f40a"/>
                                  <w:lock w:val="sdtLocked"/>
                                  <w:richText/>
                                </w:sdtPr>
                                <w:sdtContent>
                                  <w:r>
                                    <w:rPr>
                                      <w:color w:val="000000"/>
                                      <w:szCs w:val="24"/>
                                      <w:lang w:eastAsia="lt-LT"/>
                                    </w:rPr>
                                    <w:t>5.6.2.5</w:t>
                                  </w:r>
                                </w:sdtContent>
                              </w:sdt>
                              <w:r>
                                <w:rPr>
                                  <w:color w:val="000000"/>
                                  <w:szCs w:val="24"/>
                                  <w:lang w:eastAsia="lt-LT"/>
                                </w:rPr>
                                <w:t>. mokėjimo nurodymo (perdavimo priėmimo akto (turto perdavimo atveju)) data ir numeris;</w:t>
                              </w:r>
                            </w:p>
                          </w:sdtContent>
                        </w:sdt>
                        <w:sdt>
                          <w:sdtPr>
                            <w:alias w:val="5.6.2.6 pp."/>
                            <w:tag w:val="part_e53d34dbf1e749eaa8e2528b352e577b"/>
                            <w:lock w:val="sdtLocked"/>
                            <w:richText/>
                          </w:sdtPr>
                          <w:sdtContent>
                            <w:p>
                              <w:pPr>
                                <w:tabs>
                                  <w:tab w:val="left" w:pos="993"/>
                                </w:tabs>
                                <w:ind w:firstLine="709"/>
                                <w:jc w:val="both"/>
                                <w:rPr>
                                  <w:color w:val="000000"/>
                                </w:rPr>
                              </w:pPr>
                              <w:sdt>
                                <w:sdtPr>
                                  <w:alias w:val="Numeris"/>
                                  <w:tag w:val="nr_e53d34dbf1e749eaa8e2528b352e577b"/>
                                  <w:lock w:val="sdtLocked"/>
                                  <w:richText/>
                                </w:sdtPr>
                                <w:sdtContent>
                                  <w:r>
                                    <w:rPr>
                                      <w:color w:val="000000"/>
                                      <w:szCs w:val="24"/>
                                      <w:lang w:eastAsia="lt-LT"/>
                                    </w:rPr>
                                    <w:t>5.6.2.6</w:t>
                                  </w:r>
                                </w:sdtContent>
                              </w:sdt>
                              <w:r>
                                <w:rPr>
                                  <w:color w:val="000000"/>
                                  <w:szCs w:val="24"/>
                                  <w:lang w:eastAsia="lt-LT"/>
                                </w:rPr>
                                <w:t>. paramą pagrindžiančių dokumentų skaitmenintos kopijos.</w:t>
                              </w:r>
                              <w:r>
                                <w:rPr>
                                  <w:color w:val="000000"/>
                                </w:rPr>
                                <w:t xml:space="preserve"> </w:t>
                              </w:r>
                            </w:p>
                          </w:sdtContent>
                        </w:sdt>
                      </w:sdtContent>
                    </w:sdt>
                  </w:sdtContent>
                </w:sdt>
              </w:sdtContent>
            </w:sdt>
            <w:sdt>
              <w:sdtPr>
                <w:alias w:val="6 p."/>
                <w:tag w:val="part_7848505bbd9f4188be818741da98d78a"/>
                <w:lock w:val="sdtLocked"/>
                <w:richText/>
              </w:sdtPr>
              <w:sdtContent>
                <w:p>
                  <w:pPr>
                    <w:tabs>
                      <w:tab w:val="left" w:pos="993"/>
                    </w:tabs>
                    <w:ind w:firstLine="709"/>
                    <w:jc w:val="both"/>
                    <w:rPr>
                      <w:color w:val="000000"/>
                      <w:szCs w:val="24"/>
                      <w:lang w:eastAsia="lt-LT"/>
                    </w:rPr>
                  </w:pPr>
                  <w:sdt>
                    <w:sdtPr>
                      <w:alias w:val="Numeris"/>
                      <w:tag w:val="nr_7848505bbd9f4188be818741da98d78a"/>
                      <w:lock w:val="sdtLocked"/>
                      <w:richText/>
                    </w:sdtPr>
                    <w:sdtContent>
                      <w:r>
                        <w:rPr>
                          <w:color w:val="000000"/>
                        </w:rPr>
                        <w:t>6</w:t>
                      </w:r>
                    </w:sdtContent>
                  </w:sdt>
                  <w:r>
                    <w:rPr>
                      <w:color w:val="000000"/>
                    </w:rPr>
                    <w:t>. Duomenų, kurių reikia siekiant atlikti studijų pasiekimų vertinimus, nurodytus Tvarkos aprašo 5.1–5.6 papunkčiuose, teikimo ir skelbimo terminai, būdai:</w:t>
                  </w:r>
                </w:p>
                <w:sdt>
                  <w:sdtPr>
                    <w:alias w:val="6.1 pp."/>
                    <w:tag w:val="part_ea339555a158411bae6cfe672b484449"/>
                    <w:lock w:val="sdtLocked"/>
                    <w:richText/>
                  </w:sdtPr>
                  <w:sdtContent>
                    <w:p>
                      <w:pPr>
                        <w:tabs>
                          <w:tab w:val="left" w:pos="993"/>
                        </w:tabs>
                        <w:ind w:firstLine="709"/>
                        <w:jc w:val="both"/>
                        <w:rPr>
                          <w:color w:val="000000"/>
                          <w:lang w:eastAsia="lt-LT"/>
                        </w:rPr>
                      </w:pPr>
                      <w:sdt>
                        <w:sdtPr>
                          <w:alias w:val="Numeris"/>
                          <w:tag w:val="nr_ea339555a158411bae6cfe672b484449"/>
                          <w:lock w:val="sdtLocked"/>
                          <w:richText/>
                        </w:sdtPr>
                        <w:sdtContent>
                          <w:r>
                            <w:rPr>
                              <w:color w:val="000000"/>
                            </w:rPr>
                            <w:t>6.1</w:t>
                          </w:r>
                        </w:sdtContent>
                      </w:sdt>
                      <w:r>
                        <w:rPr>
                          <w:color w:val="000000"/>
                        </w:rPr>
                        <w:t>. duomenis, nurodytus Tvarkos aprašo 5.3 papunktyje, LMT pateikia Nacionalinei švietimo agentūrai (toliau – NŠA) iki einamųjų metų rugsėjo 7 dienos</w:t>
                      </w:r>
                      <w:r>
                        <w:rPr>
                          <w:color w:val="000000"/>
                          <w:lang w:eastAsia="lt-LT"/>
                        </w:rPr>
                        <w:t>;</w:t>
                      </w:r>
                    </w:p>
                  </w:sdtContent>
                </w:sdt>
                <w:sdt>
                  <w:sdtPr>
                    <w:alias w:val="6.2 pp."/>
                    <w:tag w:val="part_c34d5ca4fb1e4222b595b6afcb4269a1"/>
                    <w:lock w:val="sdtLocked"/>
                    <w:richText/>
                  </w:sdtPr>
                  <w:sdtContent>
                    <w:p>
                      <w:pPr>
                        <w:tabs>
                          <w:tab w:val="left" w:pos="993"/>
                        </w:tabs>
                        <w:ind w:firstLine="709"/>
                        <w:jc w:val="both"/>
                        <w:rPr>
                          <w:color w:val="000000"/>
                        </w:rPr>
                      </w:pPr>
                      <w:sdt>
                        <w:sdtPr>
                          <w:alias w:val="Numeris"/>
                          <w:tag w:val="nr_c34d5ca4fb1e4222b595b6afcb4269a1"/>
                          <w:lock w:val="sdtLocked"/>
                          <w:richText/>
                        </w:sdtPr>
                        <w:sdtContent>
                          <w:r>
                            <w:rPr>
                              <w:color w:val="000000"/>
                            </w:rPr>
                            <w:t>6.2</w:t>
                          </w:r>
                        </w:sdtContent>
                      </w:sdt>
                      <w:r>
                        <w:rPr>
                          <w:color w:val="000000"/>
                        </w:rPr>
                        <w:t>. duomenis, nurodytus Tvarkos aprašo 5.5 papunktyje, VSF pateikia NŠA iki einamųjų metų rugsėjo 7 dienos;</w:t>
                      </w:r>
                    </w:p>
                  </w:sdtContent>
                </w:sdt>
                <w:sdt>
                  <w:sdtPr>
                    <w:alias w:val="6.3 pp."/>
                    <w:tag w:val="part_0e9ea98633294db99352fc35d2c10e93"/>
                    <w:lock w:val="sdtLocked"/>
                    <w:richText/>
                  </w:sdtPr>
                  <w:sdtContent>
                    <w:p>
                      <w:pPr>
                        <w:tabs>
                          <w:tab w:val="left" w:pos="993"/>
                        </w:tabs>
                        <w:ind w:firstLine="709"/>
                        <w:jc w:val="both"/>
                        <w:rPr>
                          <w:color w:val="000000"/>
                        </w:rPr>
                      </w:pPr>
                      <w:sdt>
                        <w:sdtPr>
                          <w:alias w:val="Numeris"/>
                          <w:tag w:val="nr_0e9ea98633294db99352fc35d2c10e93"/>
                          <w:lock w:val="sdtLocked"/>
                          <w:richText/>
                        </w:sdtPr>
                        <w:sdtContent>
                          <w:r>
                            <w:rPr>
                              <w:color w:val="000000"/>
                            </w:rPr>
                            <w:t>6.3</w:t>
                          </w:r>
                        </w:sdtContent>
                      </w:sdt>
                      <w:r>
                        <w:rPr>
                          <w:color w:val="000000"/>
                        </w:rPr>
                        <w:t>. mokslo ir studijų institucijos įgalioja asmenį (asmenis), atsakingą (atsakingus) už duomenų ŠVIS teikimą. Mokslo ir studijų institucijos atsako už ŠVIS pateiktų duomenų teisingumą;</w:t>
                      </w:r>
                    </w:p>
                  </w:sdtContent>
                </w:sdt>
                <w:sdt>
                  <w:sdtPr>
                    <w:alias w:val="6.4 pp."/>
                    <w:tag w:val="part_9499a97f896249bcb9b32908aa8ee874"/>
                    <w:lock w:val="sdtLocked"/>
                    <w:richText/>
                  </w:sdtPr>
                  <w:sdtContent>
                    <w:p>
                      <w:pPr>
                        <w:tabs>
                          <w:tab w:val="left" w:pos="993"/>
                        </w:tabs>
                        <w:ind w:firstLine="709"/>
                        <w:jc w:val="both"/>
                        <w:rPr>
                          <w:color w:val="000000"/>
                        </w:rPr>
                      </w:pPr>
                      <w:sdt>
                        <w:sdtPr>
                          <w:alias w:val="Numeris"/>
                          <w:tag w:val="nr_9499a97f896249bcb9b32908aa8ee874"/>
                          <w:lock w:val="sdtLocked"/>
                          <w:richText/>
                        </w:sdtPr>
                        <w:sdtContent>
                          <w:r>
                            <w:rPr>
                              <w:color w:val="000000"/>
                            </w:rPr>
                            <w:t>6.4</w:t>
                          </w:r>
                        </w:sdtContent>
                      </w:sdt>
                      <w:r>
                        <w:rPr>
                          <w:color w:val="000000"/>
                        </w:rPr>
                        <w:t>. mokslo ir studijų institucijoms rekomenduojama nuo einamųjų metų rugsėjo 10 dienos iki einamųjų metų spalio 1 d. peržiūrėti duomenis, skirtus studijų pasiekimų kriterijų įverčiams skaičiuoti, nurodytus Tvarkos aprašo 5.1–5.5 papunkčiuose, kurie skelbiami ŠVIS, ir, nustačius netikslumų, kreiptis į NŠA;</w:t>
                      </w:r>
                    </w:p>
                  </w:sdtContent>
                </w:sdt>
                <w:sdt>
                  <w:sdtPr>
                    <w:alias w:val="6.5 pp."/>
                    <w:tag w:val="part_f5037a7d7c0841d7bbd1ce441e0f57e5"/>
                    <w:lock w:val="sdtLocked"/>
                    <w:richText/>
                  </w:sdtPr>
                  <w:sdtContent>
                    <w:p>
                      <w:pPr>
                        <w:tabs>
                          <w:tab w:val="left" w:pos="993"/>
                        </w:tabs>
                        <w:ind w:firstLine="709"/>
                        <w:jc w:val="both"/>
                        <w:rPr>
                          <w:color w:val="000000"/>
                        </w:rPr>
                      </w:pPr>
                      <w:sdt>
                        <w:sdtPr>
                          <w:alias w:val="Numeris"/>
                          <w:tag w:val="nr_f5037a7d7c0841d7bbd1ce441e0f57e5"/>
                          <w:lock w:val="sdtLocked"/>
                          <w:richText/>
                        </w:sdtPr>
                        <w:sdtContent>
                          <w:r>
                            <w:rPr>
                              <w:color w:val="000000"/>
                            </w:rPr>
                            <w:t>6.5</w:t>
                          </w:r>
                        </w:sdtContent>
                      </w:sdt>
                      <w:r>
                        <w:rPr>
                          <w:color w:val="000000"/>
                        </w:rPr>
                        <w:t>. duomenis, nurodytus Tvarkos aprašo 5.1–5.5 papunkčiuose, NŠA skelbia ŠVIS einamųjų metų spalio 5 d. galutinę duomenų būklę, susiformavusią pasibaigus Tvarkos aprašo 6.4 papunktyje nurodytam duomenų peržiūros laikotarpiui;</w:t>
                      </w:r>
                    </w:p>
                  </w:sdtContent>
                </w:sdt>
                <w:sdt>
                  <w:sdtPr>
                    <w:alias w:val="6.6 pp."/>
                    <w:tag w:val="part_73d5e667b44b433c8b2f64b2cda66cf7"/>
                    <w:lock w:val="sdtLocked"/>
                    <w:richText/>
                  </w:sdtPr>
                  <w:sdtContent>
                    <w:p>
                      <w:pPr>
                        <w:tabs>
                          <w:tab w:val="left" w:pos="993"/>
                        </w:tabs>
                        <w:ind w:firstLine="709"/>
                        <w:jc w:val="both"/>
                        <w:rPr>
                          <w:color w:val="000000"/>
                        </w:rPr>
                      </w:pPr>
                      <w:sdt>
                        <w:sdtPr>
                          <w:alias w:val="Numeris"/>
                          <w:tag w:val="nr_73d5e667b44b433c8b2f64b2cda66cf7"/>
                          <w:lock w:val="sdtLocked"/>
                          <w:richText/>
                        </w:sdtPr>
                        <w:sdtContent>
                          <w:r>
                            <w:rPr>
                              <w:color w:val="000000"/>
                            </w:rPr>
                            <w:t>6.6</w:t>
                          </w:r>
                        </w:sdtContent>
                      </w:sdt>
                      <w:r>
                        <w:rPr>
                          <w:color w:val="000000"/>
                        </w:rPr>
                        <w:t xml:space="preserve">. informaciją, reikalingą įvertinti atitiktį Tvarkos aprašo 5.6 papunktyje nurodytam kriterijui dėl lėšų pagal Tvarkos aprašo 5.6.1 ir 5.6.2 papunkčius, mokslo ir studijų institucijos ŠVIS pateikia nuo einamųjų metų kovo 1 dienos iki einamųjų metų rugsėjo 20 dienos; </w:t>
                      </w:r>
                    </w:p>
                  </w:sdtContent>
                </w:sdt>
                <w:sdt>
                  <w:sdtPr>
                    <w:alias w:val="6.7 pp."/>
                    <w:tag w:val="part_0eb0d9f7297740e0a5a4e1cb881b8a06"/>
                    <w:lock w:val="sdtLocked"/>
                    <w:richText/>
                  </w:sdtPr>
                  <w:sdtContent>
                    <w:p>
                      <w:pPr>
                        <w:tabs>
                          <w:tab w:val="left" w:pos="993"/>
                        </w:tabs>
                        <w:ind w:firstLine="709"/>
                        <w:jc w:val="both"/>
                        <w:rPr>
                          <w:color w:val="000000"/>
                        </w:rPr>
                      </w:pPr>
                      <w:sdt>
                        <w:sdtPr>
                          <w:alias w:val="Numeris"/>
                          <w:tag w:val="nr_0eb0d9f7297740e0a5a4e1cb881b8a06"/>
                          <w:lock w:val="sdtLocked"/>
                          <w:richText/>
                        </w:sdtPr>
                        <w:sdtContent>
                          <w:r>
                            <w:rPr>
                              <w:color w:val="000000"/>
                            </w:rPr>
                            <w:t>6.7</w:t>
                          </w:r>
                        </w:sdtContent>
                      </w:sdt>
                      <w:r>
                        <w:rPr>
                          <w:color w:val="000000"/>
                        </w:rPr>
                        <w:t>. Studijų kokybės vertinimo centras (toliau – SKVC) patikrina dalį (ne mažiau kaip 30 procentų) kiekvienos mokslo ir studijų institucijos pateiktos informacijos (užsakymų studijoms ir (ar) paramos sutarčių), nurodytos Tvarkos aprašo 5.6 papunktyje. Nustatęs konkrečios mokslo ir studijų institucijos pateiktos informacijos neatitiktį Tvarkos aprašo 5.6 papunktyje nurodytam kriterijui ir (ar) kitų trūkumų (ta pati informacija pateikta keletą kartų, nenurodyta užsakymų studijoms ar paramos dokumentuose studijų programa ir kita), SKVC turi teisę patikrinti konkrečios mokslo ir studijų institucijos pateiktą informaciją visa apimtimi;</w:t>
                      </w:r>
                    </w:p>
                  </w:sdtContent>
                </w:sdt>
                <w:sdt>
                  <w:sdtPr>
                    <w:alias w:val="6.8 pp."/>
                    <w:tag w:val="part_c83b1566e27c4ed7a62d20a53124ed13"/>
                    <w:lock w:val="sdtLocked"/>
                    <w:richText/>
                  </w:sdtPr>
                  <w:sdtContent>
                    <w:p>
                      <w:pPr>
                        <w:ind w:firstLine="709"/>
                        <w:jc w:val="both"/>
                        <w:rPr>
                          <w:color w:val="000000"/>
                        </w:rPr>
                      </w:pPr>
                      <w:sdt>
                        <w:sdtPr>
                          <w:alias w:val="Numeris"/>
                          <w:tag w:val="nr_c83b1566e27c4ed7a62d20a53124ed13"/>
                          <w:lock w:val="sdtLocked"/>
                          <w:richText/>
                        </w:sdtPr>
                        <w:sdtContent>
                          <w:r>
                            <w:rPr>
                              <w:color w:val="000000"/>
                            </w:rPr>
                            <w:t>6.8</w:t>
                          </w:r>
                        </w:sdtContent>
                      </w:sdt>
                      <w:r>
                        <w:rPr>
                          <w:color w:val="000000"/>
                        </w:rPr>
                        <w:t>. SKVC iki einamųjų metų spalio 10 dienos (įskaitytinai) skelbia ŠVIS informaciją apie patikrinimo rezultatus;</w:t>
                      </w:r>
                    </w:p>
                  </w:sdtContent>
                </w:sdt>
                <w:sdt>
                  <w:sdtPr>
                    <w:alias w:val="6.9 pp."/>
                    <w:tag w:val="part_0709f8091d444af2b1a942103e7d02cf"/>
                    <w:lock w:val="sdtLocked"/>
                    <w:richText/>
                  </w:sdtPr>
                  <w:sdtContent>
                    <w:p>
                      <w:pPr>
                        <w:ind w:firstLine="709"/>
                        <w:jc w:val="both"/>
                        <w:rPr>
                          <w:color w:val="000000"/>
                        </w:rPr>
                      </w:pPr>
                      <w:sdt>
                        <w:sdtPr>
                          <w:alias w:val="Numeris"/>
                          <w:tag w:val="nr_0709f8091d444af2b1a942103e7d02cf"/>
                          <w:lock w:val="sdtLocked"/>
                          <w:richText/>
                        </w:sdtPr>
                        <w:sdtContent>
                          <w:r>
                            <w:rPr>
                              <w:color w:val="000000"/>
                            </w:rPr>
                            <w:t>6.9</w:t>
                          </w:r>
                        </w:sdtContent>
                      </w:sdt>
                      <w:r>
                        <w:rPr>
                          <w:color w:val="000000"/>
                        </w:rPr>
                        <w:t>. mokslo ir studijų institucijos per 5 darbo dienas nuo SKVC patikrinimo rezultatų paskelbimo pateikia patikslintą informaciją ir (ar) paaiškinimus</w:t>
                      </w:r>
                      <w:r>
                        <w:rPr>
                          <w:i/>
                          <w:iCs/>
                          <w:color w:val="000000"/>
                        </w:rPr>
                        <w:t xml:space="preserve"> </w:t>
                      </w:r>
                      <w:r>
                        <w:rPr>
                          <w:color w:val="000000"/>
                        </w:rPr>
                        <w:t>ŠVIS;</w:t>
                      </w:r>
                    </w:p>
                  </w:sdtContent>
                </w:sdt>
                <w:sdt>
                  <w:sdtPr>
                    <w:alias w:val="6.10 pp."/>
                    <w:tag w:val="part_31a53bde399c4e04bcfedfd1da3588c3"/>
                    <w:lock w:val="sdtLocked"/>
                    <w:richText/>
                  </w:sdtPr>
                  <w:sdtContent>
                    <w:p>
                      <w:pPr>
                        <w:tabs>
                          <w:tab w:val="left" w:pos="993"/>
                        </w:tabs>
                        <w:ind w:firstLine="709"/>
                        <w:jc w:val="both"/>
                        <w:rPr>
                          <w:color w:val="000000"/>
                        </w:rPr>
                      </w:pPr>
                      <w:sdt>
                        <w:sdtPr>
                          <w:alias w:val="Numeris"/>
                          <w:tag w:val="nr_31a53bde399c4e04bcfedfd1da3588c3"/>
                          <w:lock w:val="sdtLocked"/>
                          <w:richText/>
                        </w:sdtPr>
                        <w:sdtContent>
                          <w:r>
                            <w:rPr>
                              <w:color w:val="000000"/>
                            </w:rPr>
                            <w:t>6.10</w:t>
                          </w:r>
                        </w:sdtContent>
                      </w:sdt>
                      <w:r>
                        <w:rPr>
                          <w:color w:val="000000"/>
                        </w:rPr>
                        <w:t>. SKVC įvertina gautą mokslo ir studijų institucijų patikslintą informaciją ir (ar) pateiktus paaiškinimus ir iki spalio 24 d. galutinę informaciją skelbia ŠVIS;</w:t>
                      </w:r>
                    </w:p>
                  </w:sdtContent>
                </w:sdt>
                <w:sdt>
                  <w:sdtPr>
                    <w:alias w:val="6.11 pp."/>
                    <w:tag w:val="part_e1ef3117b6e040f4b79bdfc7345df9cc"/>
                    <w:lock w:val="sdtLocked"/>
                    <w:richText/>
                  </w:sdtPr>
                  <w:sdtContent>
                    <w:p>
                      <w:pPr>
                        <w:ind w:firstLine="709"/>
                        <w:jc w:val="both"/>
                        <w:rPr>
                          <w:color w:val="000000"/>
                        </w:rPr>
                      </w:pPr>
                      <w:sdt>
                        <w:sdtPr>
                          <w:alias w:val="Numeris"/>
                          <w:tag w:val="nr_e1ef3117b6e040f4b79bdfc7345df9cc"/>
                          <w:lock w:val="sdtLocked"/>
                          <w:richText/>
                        </w:sdtPr>
                        <w:sdtContent>
                          <w:r>
                            <w:rPr>
                              <w:color w:val="000000"/>
                            </w:rPr>
                            <w:t>6.11</w:t>
                          </w:r>
                        </w:sdtContent>
                      </w:sdt>
                      <w:r>
                        <w:rPr>
                          <w:color w:val="000000"/>
                        </w:rPr>
                        <w:t>. Tvarkos aprašo 5.1–5.6 papunkčiuose nurodytų studijų pasiekimų kriterijų įverčiai ir Tvarkos aprašo 10 punkte nurodyto įverčio reikšmės pagal mokslo ir studijų institucijas (grupuojant pagal jų grupes ir tipus) ir studijų grupes skelbiami ŠVIS iki einamųjų metų spalio 25 dienos;</w:t>
                      </w:r>
                    </w:p>
                  </w:sdtContent>
                </w:sdt>
                <w:sdt>
                  <w:sdtPr>
                    <w:alias w:val="6.12 pp."/>
                    <w:tag w:val="part_090e9af5ae5543379a9e869161f928e4"/>
                    <w:lock w:val="sdtLocked"/>
                    <w:richText/>
                  </w:sdtPr>
                  <w:sdtContent>
                    <w:p>
                      <w:pPr>
                        <w:ind w:firstLine="709"/>
                        <w:jc w:val="both"/>
                        <w:rPr>
                          <w:color w:val="000000"/>
                        </w:rPr>
                      </w:pPr>
                      <w:sdt>
                        <w:sdtPr>
                          <w:alias w:val="Numeris"/>
                          <w:tag w:val="nr_090e9af5ae5543379a9e869161f928e4"/>
                          <w:lock w:val="sdtLocked"/>
                          <w:richText/>
                        </w:sdtPr>
                        <w:sdtContent>
                          <w:r>
                            <w:rPr>
                              <w:color w:val="000000"/>
                            </w:rPr>
                            <w:t>6.12</w:t>
                          </w:r>
                        </w:sdtContent>
                      </w:sdt>
                      <w:r>
                        <w:rPr>
                          <w:color w:val="000000"/>
                        </w:rPr>
                        <w:t>. iki einamųjų metų spalio 25 dienos NŠA Lietuvos Respublikos švietimo, mokslo ir sporto ministerijai ŠVIS ataskaitose pateikia Tvarkos aprašo 5.1–5.5 papunkčiuose nurodytų studijų pasiekimų kriterijų įverčius bei Tvarkos aprašo 10 punkte nurodyto įverčio reikšmes pagal mokslo ir studijų institucijas (grupuojant pagal jų grupes ir tipus) ir studijų grupes. SKVC ŠVIS ataskaitose pateikia Tvarkos aprašo 5.6 papunktyje nurodyto studijų pasiekimų kriterijaus įverčio ir Tvarkos aprašo 10 punkte nurodyto įverčio reikšmes pagal mokslo ir studijų institucijas (grupuojant pagal jų grupes ir tipus) ir studijų grupes;</w:t>
                      </w:r>
                    </w:p>
                  </w:sdtContent>
                </w:sdt>
                <w:sdt>
                  <w:sdtPr>
                    <w:alias w:val="6.13 pp."/>
                    <w:tag w:val="part_2ace7eb75c4a405a9e57bcf43466b83e"/>
                    <w:lock w:val="sdtLocked"/>
                    <w:richText/>
                  </w:sdtPr>
                  <w:sdtContent>
                    <w:p>
                      <w:pPr>
                        <w:ind w:firstLine="709"/>
                        <w:jc w:val="both"/>
                        <w:rPr>
                          <w:color w:val="000000"/>
                        </w:rPr>
                      </w:pPr>
                      <w:sdt>
                        <w:sdtPr>
                          <w:alias w:val="Numeris"/>
                          <w:tag w:val="nr_2ace7eb75c4a405a9e57bcf43466b83e"/>
                          <w:lock w:val="sdtLocked"/>
                          <w:richText/>
                        </w:sdtPr>
                        <w:sdtContent>
                          <w:r>
                            <w:rPr>
                              <w:color w:val="000000"/>
                            </w:rPr>
                            <w:t>6.13</w:t>
                          </w:r>
                        </w:sdtContent>
                      </w:sdt>
                      <w:r>
                        <w:rPr>
                          <w:color w:val="000000"/>
                        </w:rPr>
                        <w:t>. Švietimo, mokslo ir sporto ministerija lėšų paskirstymą už studijų pasiekimus pagal mokslo ir studijų institucijas (grupuojant pagal jų grupes ir tipus) ir studijų grupes skelbia ŠVIS iki einamųjų metų gruodžio 15 dienos.</w:t>
                      </w:r>
                    </w:p>
                  </w:sdtContent>
                </w:sdt>
              </w:sdtContent>
            </w:sdt>
            <w:sdt>
              <w:sdtPr>
                <w:alias w:val="7 p."/>
                <w:tag w:val="part_c27ed8128afc476692588b94ab794bff"/>
                <w:lock w:val="sdtLocked"/>
                <w:richText/>
              </w:sdtPr>
              <w:sdtContent>
                <w:p>
                  <w:pPr>
                    <w:tabs>
                      <w:tab w:val="left" w:pos="993"/>
                    </w:tabs>
                    <w:ind w:firstLine="709"/>
                    <w:jc w:val="both"/>
                    <w:rPr>
                      <w:color w:val="000000"/>
                    </w:rPr>
                  </w:pPr>
                  <w:sdt>
                    <w:sdtPr>
                      <w:alias w:val="Numeris"/>
                      <w:tag w:val="nr_c27ed8128afc476692588b94ab794bff"/>
                      <w:lock w:val="sdtLocked"/>
                      <w:richText/>
                    </w:sdtPr>
                    <w:sdtContent>
                      <w:r>
                        <w:rPr>
                          <w:color w:val="000000"/>
                        </w:rPr>
                        <w:t>7</w:t>
                      </w:r>
                    </w:sdtContent>
                  </w:sdt>
                  <w:r>
                    <w:rPr>
                      <w:color w:val="000000"/>
                    </w:rPr>
                    <w:t>. Tvarkos aprašo 3 priede nustatomi studijų pasiekimams vertinti reikalingų duomenų teikimo ir skelbimo terminai bei atsakingos institucijos.</w:t>
                  </w:r>
                </w:p>
              </w:sdtContent>
            </w:sdt>
            <w:sdt>
              <w:sdtPr>
                <w:alias w:val="8 p."/>
                <w:tag w:val="part_fd4fc1b0aeda4f288b4970ccf6ab24bc"/>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fd4fc1b0aeda4f288b4970ccf6ab24bc"/>
                      <w:lock w:val="sdtLocked"/>
                      <w:richText/>
                    </w:sdtPr>
                    <w:sdtContent>
                      <w:r>
                        <w:rPr>
                          <w:color w:val="000000"/>
                          <w:szCs w:val="24"/>
                          <w:lang w:eastAsia="lt-LT"/>
                        </w:rPr>
                        <w:t>8</w:t>
                      </w:r>
                    </w:sdtContent>
                  </w:sdt>
                  <w:r>
                    <w:rPr>
                      <w:color w:val="000000"/>
                      <w:szCs w:val="24"/>
                      <w:lang w:eastAsia="lt-LT"/>
                    </w:rPr>
                    <w:t xml:space="preserve">. Studijų pasiekimų vertinimo kriterijams nustatomi Tvarkos aprašo 1 priede nurodyti svorio koeficientai procentais pagal atskiras studijų grupes. </w:t>
                  </w:r>
                </w:p>
                <w:p>
                  <w:pPr>
                    <w:tabs>
                      <w:tab w:val="center" w:pos="4153"/>
                      <w:tab w:val="left" w:pos="6237"/>
                      <w:tab w:val="right" w:pos="8306"/>
                    </w:tabs>
                    <w:jc w:val="center"/>
                    <w:rPr>
                      <w:color w:val="000000"/>
                      <w:szCs w:val="24"/>
                      <w:lang w:eastAsia="lt-LT"/>
                    </w:rPr>
                  </w:pPr>
                </w:p>
              </w:sdtContent>
            </w:sdt>
          </w:sdtContent>
        </w:sdt>
        <w:sdt>
          <w:sdtPr>
            <w:alias w:val="skyrius"/>
            <w:tag w:val="part_c635484b374542cd9837100c76e9e1d0"/>
            <w:lock w:val="sdtLocked"/>
            <w:richText/>
          </w:sdtPr>
          <w:sdtContent>
            <w:p>
              <w:pPr>
                <w:jc w:val="center"/>
                <w:rPr>
                  <w:b/>
                  <w:color w:val="000000"/>
                  <w:szCs w:val="24"/>
                  <w:lang w:eastAsia="lt-LT"/>
                </w:rPr>
              </w:pPr>
              <w:sdt>
                <w:sdtPr>
                  <w:alias w:val="Numeris"/>
                  <w:tag w:val="nr_c635484b374542cd9837100c76e9e1d0"/>
                  <w:lock w:val="sdtLocked"/>
                  <w:richText/>
                </w:sdtPr>
                <w:sdtContent>
                  <w:r>
                    <w:rPr>
                      <w:b/>
                      <w:color w:val="000000"/>
                      <w:szCs w:val="24"/>
                      <w:lang w:eastAsia="lt-LT"/>
                    </w:rPr>
                    <w:t>III</w:t>
                  </w:r>
                </w:sdtContent>
              </w:sdt>
              <w:r>
                <w:rPr>
                  <w:b/>
                  <w:color w:val="000000"/>
                  <w:szCs w:val="24"/>
                  <w:lang w:eastAsia="lt-LT"/>
                </w:rPr>
                <w:t xml:space="preserve"> SKYRIUS</w:t>
              </w:r>
            </w:p>
            <w:p>
              <w:pPr>
                <w:tabs>
                  <w:tab w:val="center" w:pos="4153"/>
                  <w:tab w:val="left" w:pos="6237"/>
                  <w:tab w:val="right" w:pos="8306"/>
                </w:tabs>
                <w:ind w:firstLine="720"/>
                <w:jc w:val="center"/>
                <w:rPr>
                  <w:b/>
                  <w:color w:val="000000"/>
                  <w:szCs w:val="24"/>
                  <w:lang w:eastAsia="lt-LT"/>
                </w:rPr>
              </w:pPr>
              <w:sdt>
                <w:sdtPr>
                  <w:alias w:val="Pavadinimas"/>
                  <w:tag w:val="title_c635484b374542cd9837100c76e9e1d0"/>
                  <w:lock w:val="sdtLocked"/>
                  <w:richText/>
                </w:sdtPr>
                <w:sdtContent>
                  <w:r>
                    <w:rPr>
                      <w:b/>
                      <w:color w:val="000000"/>
                      <w:szCs w:val="24"/>
                      <w:lang w:eastAsia="lt-LT"/>
                    </w:rPr>
                    <w:t>VALSTYBĖS BIUDŽETO SKATINAMOJO FINANSAVIMO UŽ STUDIJŲ PASIEKIMUS LĖŠŲ SKIRSTYMO MOKSLO IR STUDIJŲ INSTITUCIJOMS PRINCIPAI</w:t>
                  </w:r>
                </w:sdtContent>
              </w:sdt>
            </w:p>
            <w:p>
              <w:pPr>
                <w:tabs>
                  <w:tab w:val="center" w:pos="4153"/>
                  <w:tab w:val="left" w:pos="6237"/>
                  <w:tab w:val="right" w:pos="8306"/>
                </w:tabs>
                <w:jc w:val="center"/>
                <w:rPr>
                  <w:color w:val="000000"/>
                  <w:szCs w:val="24"/>
                  <w:lang w:eastAsia="lt-LT"/>
                </w:rPr>
              </w:pPr>
            </w:p>
            <w:sdt>
              <w:sdtPr>
                <w:alias w:val="9 p."/>
                <w:tag w:val="part_22b766fb860144d781b4d0e70c6a820e"/>
                <w:lock w:val="sdtLocked"/>
                <w:richText/>
              </w:sdtPr>
              <w:sdtContent>
                <w:p>
                  <w:pPr>
                    <w:ind w:firstLine="720"/>
                    <w:jc w:val="both"/>
                    <w:rPr>
                      <w:color w:val="000000"/>
                      <w:szCs w:val="24"/>
                      <w:lang w:eastAsia="lt-LT"/>
                    </w:rPr>
                  </w:pPr>
                  <w:sdt>
                    <w:sdtPr>
                      <w:alias w:val="Numeris"/>
                      <w:tag w:val="nr_22b766fb860144d781b4d0e70c6a820e"/>
                      <w:lock w:val="sdtLocked"/>
                      <w:richText/>
                    </w:sdtPr>
                    <w:sdtContent>
                      <w:r>
                        <w:rPr>
                          <w:color w:val="000000"/>
                        </w:rPr>
                        <w:t>9</w:t>
                      </w:r>
                    </w:sdtContent>
                  </w:sdt>
                  <w:r>
                    <w:rPr>
                      <w:color w:val="000000"/>
                    </w:rPr>
                    <w:t>. Valstybės biudžeto skatinamojo finansavimo už studijų pasiekimus lėšos skiriamos mokslo ir studijų institucijoms pagal kiekvienais metais atliekamo mokslo ir studijų institucijų studijų pasiekimų vertinimo rezultatus pagal Mokslo ir studijų įstatymo 76</w:t>
                  </w:r>
                  <w:r>
                    <w:rPr>
                      <w:color w:val="000000"/>
                      <w:vertAlign w:val="superscript"/>
                    </w:rPr>
                    <w:t>1 </w:t>
                  </w:r>
                  <w:r>
                    <w:rPr>
                      <w:color w:val="000000"/>
                    </w:rPr>
                    <w:t xml:space="preserve">straipsnio 1 dalyje nurodytus kriterijus, remiantis Tvarkos aprašo 5 punkte aprašytais duomenimis. Jeigu Tvarkos aprašo 6 punkte nurodytais terminais mokslo ir studijų institucijos duomens reikšmė nėra pateikta, tai atitinkamame įvertyje institucijos duomens reikšmė yra laikoma nuline. </w:t>
                  </w:r>
                </w:p>
              </w:sdtContent>
            </w:sdt>
            <w:sdt>
              <w:sdtPr>
                <w:alias w:val="10 p."/>
                <w:tag w:val="part_f1502d4b77524f8cb911110cae891ffb"/>
                <w:lock w:val="sdtLocked"/>
                <w:richText/>
              </w:sdtPr>
              <w:sdtContent>
                <w:p>
                  <w:pPr>
                    <w:tabs>
                      <w:tab w:val="left" w:pos="5103"/>
                    </w:tabs>
                    <w:ind w:firstLine="720"/>
                    <w:jc w:val="both"/>
                    <w:rPr>
                      <w:color w:val="000000"/>
                      <w:lang w:eastAsia="lt-LT"/>
                    </w:rPr>
                  </w:pPr>
                  <w:sdt>
                    <w:sdtPr>
                      <w:alias w:val="Numeris"/>
                      <w:tag w:val="nr_f1502d4b77524f8cb911110cae891ffb"/>
                      <w:lock w:val="sdtLocked"/>
                      <w:richText/>
                    </w:sdtPr>
                    <w:sdtContent>
                      <w:r>
                        <w:rPr>
                          <w:color w:val="000000"/>
                        </w:rPr>
                        <w:t>10</w:t>
                      </w:r>
                    </w:sdtContent>
                  </w:sdt>
                  <w:r>
                    <w:rPr>
                      <w:color w:val="000000"/>
                    </w:rPr>
                    <w:t xml:space="preserve">. Pagal studijų rezultatyvumo kriterijų skatinamos tik tos mokslo ir studijų institucijos, kurios pagal ŠVIS duomenis atitinka Tvarkos aprašo 2 priede (nuo 2027 metų spalio 26 dienos – 4 priede) studijų rezultatyvumo kriterijaus įverčio apraše nustatytus reikalavimus. </w:t>
                  </w:r>
                </w:p>
              </w:sdtContent>
            </w:sdt>
            <w:sdt>
              <w:sdtPr>
                <w:alias w:val="11 p."/>
                <w:tag w:val="part_b83f3487a7e34eaeaa110ea0631134ba"/>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b83f3487a7e34eaeaa110ea0631134ba"/>
                      <w:lock w:val="sdtLocked"/>
                      <w:richText/>
                    </w:sdtPr>
                    <w:sdtContent>
                      <w:r>
                        <w:rPr>
                          <w:color w:val="000000"/>
                          <w:szCs w:val="24"/>
                          <w:lang w:eastAsia="lt-LT"/>
                        </w:rPr>
                        <w:t>11</w:t>
                      </w:r>
                    </w:sdtContent>
                  </w:sdt>
                  <w:r>
                    <w:rPr>
                      <w:color w:val="000000"/>
                      <w:szCs w:val="24"/>
                      <w:lang w:eastAsia="lt-LT"/>
                    </w:rPr>
                    <w:t>. Dalis valstybės biudžeto lėšų, planuojamų skirti skatinti už studijų pasiekimus (toliau – lėšos už studijų pasiekimus), skirstoma mokslo ir studijų institucijoms proporcingai Tvarkos aprašo 5.6 papunktyje nurodyto kriterijaus įverčiams. Jei mokslo ir studijų institucijų Tvarkos aprašo 5.6 papunktyje nurodyto kriterijaus įverčių suma neviršija 3 procentų lėšų už studijų pasiekimus, tai kiekvienai institucijai skiriama šio kriterijaus įverčiui lygi lėšų suma. Jei minėta suma viršija 3 procentus planuojamų skirstyti už studijų pasiekimus lėšų, tai institucijoms paskirstomi 3 procentai šių lėšų. Likusios lėšos už studijų pasiekimus paskirstomos proporcingai valstybės finansuojamų ir studijų stipendijas gaunančių studentų skaičiams pagal mokslo ir studijų institucijų grupes (aukštosios mokyklos ir mokslinių tyrimų institutai), aukštųjų mokyklų tipus (kolegijos ir universitetai) bei keturias studijų grupes – skaičiuojami N-1 / N studijų metų (N – einamieji metai) spalio 1 d. fiksuoti studentų skaičiai (trečiosios studijų pakopos atveju – N-1 metų gruodžio 31 d. fiksuoti doktorantų skaičiai).</w:t>
                  </w:r>
                </w:p>
              </w:sdtContent>
            </w:sdt>
            <w:sdt>
              <w:sdtPr>
                <w:alias w:val="12 p."/>
                <w:tag w:val="part_9f9578ab0c48444bbc98a6b80629bcac"/>
                <w:lock w:val="sdtLocked"/>
                <w:richText/>
              </w:sdtPr>
              <w:sdtContent>
                <w:p>
                  <w:pPr>
                    <w:tabs>
                      <w:tab w:val="left" w:pos="993"/>
                    </w:tabs>
                    <w:ind w:firstLine="709"/>
                    <w:jc w:val="both"/>
                    <w:rPr>
                      <w:color w:val="000000"/>
                      <w:szCs w:val="24"/>
                      <w:lang w:eastAsia="lt-LT"/>
                    </w:rPr>
                  </w:pPr>
                  <w:sdt>
                    <w:sdtPr>
                      <w:alias w:val="Numeris"/>
                      <w:tag w:val="nr_9f9578ab0c48444bbc98a6b80629bcac"/>
                      <w:lock w:val="sdtLocked"/>
                      <w:richText/>
                    </w:sdtPr>
                    <w:sdtContent>
                      <w:r>
                        <w:rPr>
                          <w:color w:val="000000"/>
                          <w:szCs w:val="24"/>
                          <w:lang w:eastAsia="lt-LT"/>
                        </w:rPr>
                        <w:t>12</w:t>
                      </w:r>
                    </w:sdtContent>
                  </w:sdt>
                  <w:r>
                    <w:rPr>
                      <w:color w:val="000000"/>
                      <w:szCs w:val="24"/>
                      <w:lang w:eastAsia="lt-LT"/>
                    </w:rPr>
                    <w:t>. Kiekvienai studijų grupei pagal mokslo ir studijų institucijos grupę ir tipą tenkančios lėšos už studijų pasiekimus paskirstomos mokslo ir studijų institucijoms proporcingai jų studijų pasiekimų kriterijų įverčiams ir atsižvelgiant į atitinkamiems kriterijams nustatytus procentinius svorius, nurodytus Tvarkos aprašo 1 priede, bei tai, ar mokslo ir studijų institucijos atitinka Tvarkos aprašo 10 punkte nurodytą reikalavimą.</w:t>
                  </w:r>
                  <w:r>
                    <w:rPr>
                      <w:color w:val="000000"/>
                    </w:rPr>
                    <w:t xml:space="preserve"> </w:t>
                  </w:r>
                </w:p>
              </w:sdtContent>
            </w:sdt>
            <w:sdt>
              <w:sdtPr>
                <w:alias w:val="13 p."/>
                <w:tag w:val="part_b547dc8849404bd2a9b9d4d2506e41f4"/>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b547dc8849404bd2a9b9d4d2506e41f4"/>
                      <w:lock w:val="sdtLocked"/>
                      <w:richText/>
                    </w:sdtPr>
                    <w:sdtContent>
                      <w:r>
                        <w:rPr>
                          <w:color w:val="000000"/>
                          <w:szCs w:val="24"/>
                          <w:lang w:eastAsia="lt-LT"/>
                        </w:rPr>
                        <w:t>13</w:t>
                      </w:r>
                    </w:sdtContent>
                  </w:sdt>
                  <w:r>
                    <w:rPr>
                      <w:color w:val="000000"/>
                      <w:szCs w:val="24"/>
                      <w:lang w:eastAsia="lt-LT"/>
                    </w:rPr>
                    <w:t>. Bendra kiekvienai mokslo ir studijų institucijai už studijų pasiekimus tenkanti lėšų suma gaunama sudėjus visas tai mokslo ir studijų institucijai apskaičiuotas lėšas pagal jos vykdomas studijų grupes.</w:t>
                  </w:r>
                </w:p>
              </w:sdtContent>
            </w:sdt>
            <w:sdt>
              <w:sdtPr>
                <w:alias w:val="14 p."/>
                <w:tag w:val="part_c43df66088bd4380ad785b2f87f78224"/>
                <w:lock w:val="sdtLocked"/>
                <w:richText/>
              </w:sdtPr>
              <w:sdtContent>
                <w:p>
                  <w:pPr>
                    <w:tabs>
                      <w:tab w:val="center" w:pos="4153"/>
                      <w:tab w:val="left" w:pos="6237"/>
                      <w:tab w:val="right" w:pos="8306"/>
                    </w:tabs>
                    <w:ind w:firstLine="720"/>
                    <w:rPr>
                      <w:color w:val="000000"/>
                      <w:szCs w:val="24"/>
                      <w:lang w:eastAsia="lt-LT"/>
                    </w:rPr>
                  </w:pPr>
                  <w:sdt>
                    <w:sdtPr>
                      <w:alias w:val="Numeris"/>
                      <w:tag w:val="nr_c43df66088bd4380ad785b2f87f78224"/>
                      <w:lock w:val="sdtLocked"/>
                      <w:richText/>
                    </w:sdtPr>
                    <w:sdtContent>
                      <w:r>
                        <w:rPr>
                          <w:color w:val="000000"/>
                          <w:szCs w:val="24"/>
                          <w:lang w:eastAsia="lt-LT"/>
                        </w:rPr>
                        <w:t>14</w:t>
                      </w:r>
                    </w:sdtContent>
                  </w:sdt>
                  <w:r>
                    <w:rPr>
                      <w:color w:val="000000"/>
                      <w:szCs w:val="24"/>
                      <w:lang w:eastAsia="lt-LT"/>
                    </w:rPr>
                    <w:t>. Valstybės biudžeto skatinimo už studijų pasiekimus lėšos mokslo ir studijų institucijoms skiriamos Mokslo ir studijų įstatymo 76</w:t>
                  </w:r>
                  <w:r>
                    <w:rPr>
                      <w:color w:val="000000"/>
                      <w:szCs w:val="24"/>
                      <w:vertAlign w:val="superscript"/>
                      <w:lang w:eastAsia="lt-LT"/>
                    </w:rPr>
                    <w:t>2</w:t>
                  </w:r>
                  <w:r>
                    <w:rPr>
                      <w:color w:val="000000"/>
                      <w:szCs w:val="24"/>
                      <w:lang w:eastAsia="lt-LT"/>
                    </w:rPr>
                    <w:t xml:space="preserve"> straipsnio 3 dalyje nustatyta tvarka.</w:t>
                  </w:r>
                </w:p>
                <w:p>
                  <w:pPr>
                    <w:tabs>
                      <w:tab w:val="center" w:pos="4153"/>
                      <w:tab w:val="left" w:pos="6237"/>
                      <w:tab w:val="right" w:pos="8306"/>
                    </w:tabs>
                    <w:jc w:val="center"/>
                    <w:rPr>
                      <w:color w:val="000000"/>
                      <w:szCs w:val="24"/>
                      <w:lang w:eastAsia="lt-LT"/>
                    </w:rPr>
                  </w:pPr>
                </w:p>
              </w:sdtContent>
            </w:sdt>
          </w:sdtContent>
        </w:sdt>
        <w:sdt>
          <w:sdtPr>
            <w:alias w:val="skyrius"/>
            <w:tag w:val="part_b9c32f3f08f14f9faa4319bb44186a34"/>
            <w:lock w:val="sdtLocked"/>
            <w:richText/>
          </w:sdtPr>
          <w:sdtContent>
            <w:p>
              <w:pPr>
                <w:tabs>
                  <w:tab w:val="center" w:pos="4153"/>
                  <w:tab w:val="left" w:pos="6237"/>
                  <w:tab w:val="right" w:pos="8306"/>
                </w:tabs>
                <w:jc w:val="center"/>
                <w:rPr>
                  <w:b/>
                  <w:color w:val="000000"/>
                  <w:szCs w:val="24"/>
                  <w:lang w:eastAsia="lt-LT"/>
                </w:rPr>
              </w:pPr>
              <w:sdt>
                <w:sdtPr>
                  <w:alias w:val="Numeris"/>
                  <w:tag w:val="nr_b9c32f3f08f14f9faa4319bb44186a34"/>
                  <w:lock w:val="sdtLocked"/>
                  <w:richText/>
                </w:sdtPr>
                <w:sdtContent>
                  <w:r>
                    <w:rPr>
                      <w:b/>
                      <w:color w:val="000000"/>
                      <w:szCs w:val="24"/>
                      <w:lang w:eastAsia="lt-LT"/>
                    </w:rPr>
                    <w:t>IV</w:t>
                  </w:r>
                </w:sdtContent>
              </w:sdt>
              <w:r>
                <w:rPr>
                  <w:b/>
                  <w:color w:val="000000"/>
                  <w:szCs w:val="24"/>
                  <w:lang w:eastAsia="lt-LT"/>
                </w:rPr>
                <w:t xml:space="preserve"> SKYRIUS</w:t>
              </w:r>
            </w:p>
            <w:p>
              <w:pPr>
                <w:tabs>
                  <w:tab w:val="center" w:pos="4153"/>
                  <w:tab w:val="left" w:pos="6237"/>
                  <w:tab w:val="right" w:pos="8306"/>
                </w:tabs>
                <w:jc w:val="center"/>
                <w:rPr>
                  <w:b/>
                  <w:color w:val="000000"/>
                  <w:szCs w:val="24"/>
                  <w:lang w:eastAsia="lt-LT"/>
                </w:rPr>
              </w:pPr>
              <w:sdt>
                <w:sdtPr>
                  <w:alias w:val="Pavadinimas"/>
                  <w:tag w:val="title_b9c32f3f08f14f9faa4319bb44186a34"/>
                  <w:lock w:val="sdtLocked"/>
                  <w:richText/>
                </w:sdtPr>
                <w:sdtContent>
                  <w:r>
                    <w:rPr>
                      <w:b/>
                      <w:color w:val="000000"/>
                      <w:szCs w:val="24"/>
                      <w:lang w:eastAsia="lt-LT"/>
                    </w:rPr>
                    <w:t>BAIGIAMOSIOS NUOSTATOS</w:t>
                  </w:r>
                </w:sdtContent>
              </w:sdt>
            </w:p>
            <w:p>
              <w:pPr>
                <w:tabs>
                  <w:tab w:val="center" w:pos="4153"/>
                  <w:tab w:val="left" w:pos="6237"/>
                  <w:tab w:val="right" w:pos="8306"/>
                </w:tabs>
                <w:jc w:val="center"/>
                <w:rPr>
                  <w:color w:val="000000"/>
                  <w:szCs w:val="24"/>
                  <w:lang w:eastAsia="lt-LT"/>
                </w:rPr>
              </w:pPr>
            </w:p>
            <w:sdt>
              <w:sdtPr>
                <w:alias w:val="15 p."/>
                <w:tag w:val="part_335de8bf31484263bc534a271d2551a3"/>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335de8bf31484263bc534a271d2551a3"/>
                      <w:lock w:val="sdtLocked"/>
                      <w:richText/>
                    </w:sdtPr>
                    <w:sdtContent>
                      <w:r>
                        <w:rPr>
                          <w:color w:val="000000"/>
                          <w:szCs w:val="24"/>
                          <w:lang w:eastAsia="lt-LT"/>
                        </w:rPr>
                        <w:t>15</w:t>
                      </w:r>
                    </w:sdtContent>
                  </w:sdt>
                  <w:r>
                    <w:rPr>
                      <w:color w:val="000000"/>
                      <w:szCs w:val="24"/>
                      <w:lang w:eastAsia="lt-LT"/>
                    </w:rPr>
                    <w:t xml:space="preserve">. Jei nėra nė vienos mokslo ir studijų institucijos, pasiekusios teigiamą Tvarkos aprašo 5.6 papunktyje nurodyto kriterijaus įvertį, tam kriterijui numatytos lėšos paskirstomos proporcingai studijų grupėms pagal kitus kriterijus. Jei kurioje nors studijų grupėje nėra nė vienos mokslo ir studijų institucijos, pasiekusios teigiamą kurio nors kriterijaus, išskyrus studijų rezultatyvumo kriterijų, įvertį, tam kriterijui numatytos lėšos paskirstomos proporcingai pagal kitus tos studijų grupės kriterijus. Jeigu nė viena mokslo ir studijų institucija nepasiekia teigiamo studijų rezultatyvumo kriterijaus įverčio, tai šiam kriterijui numatytos lėšos nėra skiriamos mokslo ir studijų institucijoms. Jeigu kurioje nors studijų grupėje nėra nė vienos mokslo ir studijų institucijos, pasiekusios teigiamą bent vieno studijų grupei priskirto teigiamo procentinio svorio kriterijaus įvertį, tai studijų grupei numatytos lėšos, išskyrus lėšas, numatytas studijų rezultatyvumo kriterijui, paskirstomos proporcingai kitoms studijų grupėms. </w:t>
                  </w:r>
                </w:p>
              </w:sdtContent>
            </w:sdt>
            <w:sdt>
              <w:sdtPr>
                <w:alias w:val="16 p."/>
                <w:tag w:val="part_5dc5b908781f474bb10c89fc533561a0"/>
                <w:lock w:val="sdtLocked"/>
                <w:richText/>
              </w:sdtPr>
              <w:sdtContent>
                <w:p>
                  <w:pPr>
                    <w:tabs>
                      <w:tab w:val="left" w:pos="993"/>
                    </w:tabs>
                    <w:ind w:firstLine="709"/>
                    <w:jc w:val="both"/>
                    <w:rPr>
                      <w:color w:val="000000"/>
                      <w:szCs w:val="24"/>
                      <w:lang w:eastAsia="lt-LT"/>
                    </w:rPr>
                  </w:pPr>
                  <w:sdt>
                    <w:sdtPr>
                      <w:alias w:val="Numeris"/>
                      <w:tag w:val="nr_5dc5b908781f474bb10c89fc533561a0"/>
                      <w:lock w:val="sdtLocked"/>
                      <w:richText/>
                    </w:sdtPr>
                    <w:sdtContent>
                      <w:r>
                        <w:rPr>
                          <w:color w:val="000000"/>
                          <w:szCs w:val="24"/>
                          <w:lang w:eastAsia="lt-LT"/>
                        </w:rPr>
                        <w:t>16</w:t>
                      </w:r>
                    </w:sdtContent>
                  </w:sdt>
                  <w:r>
                    <w:rPr>
                      <w:color w:val="000000"/>
                      <w:szCs w:val="24"/>
                      <w:lang w:eastAsia="lt-LT"/>
                    </w:rPr>
                    <w:t xml:space="preserve">. Jeigu mokslo ir studijų institucija reorganizuota, prijungiant ją prie kitos institucijos: </w:t>
                  </w:r>
                </w:p>
                <w:sdt>
                  <w:sdtPr>
                    <w:alias w:val="16.1 pp."/>
                    <w:tag w:val="part_033f700d6bbc477490f222ffa25e95d7"/>
                    <w:lock w:val="sdtLocked"/>
                    <w:richText/>
                  </w:sdtPr>
                  <w:sdtContent>
                    <w:p>
                      <w:pPr>
                        <w:tabs>
                          <w:tab w:val="left" w:pos="993"/>
                        </w:tabs>
                        <w:ind w:firstLine="709"/>
                        <w:jc w:val="both"/>
                        <w:rPr>
                          <w:color w:val="000000"/>
                          <w:szCs w:val="24"/>
                          <w:lang w:eastAsia="lt-LT"/>
                        </w:rPr>
                      </w:pPr>
                      <w:sdt>
                        <w:sdtPr>
                          <w:alias w:val="Numeris"/>
                          <w:tag w:val="nr_033f700d6bbc477490f222ffa25e95d7"/>
                          <w:lock w:val="sdtLocked"/>
                          <w:richText/>
                        </w:sdtPr>
                        <w:sdtContent>
                          <w:r>
                            <w:rPr>
                              <w:color w:val="000000"/>
                              <w:szCs w:val="24"/>
                              <w:lang w:eastAsia="lt-LT"/>
                            </w:rPr>
                            <w:t>16.1</w:t>
                          </w:r>
                        </w:sdtContent>
                      </w:sdt>
                      <w:r>
                        <w:rPr>
                          <w:color w:val="000000"/>
                          <w:szCs w:val="24"/>
                          <w:lang w:eastAsia="lt-LT"/>
                        </w:rPr>
                        <w:t>. nuo N-1 metų gruodžio 31 d. iki N metų rugpjūčio 31 d., tai jos kriterijų atitinkamų laikotarpių duomenys pridedami prie po reorganizacijos tęsiančios veiklą mokslo ir studijų institucijos studijų pasiekimų kriterijų duomenų, paskaičiuojant lėšas N+1 metams;</w:t>
                      </w:r>
                    </w:p>
                  </w:sdtContent>
                </w:sdt>
                <w:sdt>
                  <w:sdtPr>
                    <w:alias w:val="16.2 pp."/>
                    <w:tag w:val="part_39e70f11d2ef45ceb88fc4b5464d5e68"/>
                    <w:lock w:val="sdtLocked"/>
                    <w:richText/>
                  </w:sdtPr>
                  <w:sdtContent>
                    <w:p>
                      <w:pPr>
                        <w:tabs>
                          <w:tab w:val="left" w:pos="993"/>
                        </w:tabs>
                        <w:ind w:firstLine="709"/>
                        <w:jc w:val="both"/>
                        <w:rPr>
                          <w:color w:val="000000"/>
                          <w:szCs w:val="24"/>
                          <w:lang w:eastAsia="lt-LT"/>
                        </w:rPr>
                      </w:pPr>
                      <w:sdt>
                        <w:sdtPr>
                          <w:alias w:val="Numeris"/>
                          <w:tag w:val="nr_39e70f11d2ef45ceb88fc4b5464d5e68"/>
                          <w:lock w:val="sdtLocked"/>
                          <w:richText/>
                        </w:sdtPr>
                        <w:sdtContent>
                          <w:r>
                            <w:rPr>
                              <w:color w:val="000000"/>
                              <w:szCs w:val="24"/>
                              <w:lang w:eastAsia="lt-LT"/>
                            </w:rPr>
                            <w:t>16.2</w:t>
                          </w:r>
                        </w:sdtContent>
                      </w:sdt>
                      <w:r>
                        <w:rPr>
                          <w:color w:val="000000"/>
                          <w:szCs w:val="24"/>
                          <w:lang w:eastAsia="lt-LT"/>
                        </w:rPr>
                        <w:t>. nuo N metų rugsėjo 1 d. iki gruodžio 30 d., tai:</w:t>
                      </w:r>
                    </w:p>
                    <w:sdt>
                      <w:sdtPr>
                        <w:alias w:val="16.2.1 pp."/>
                        <w:tag w:val="part_658bec9b788347f482b3e650969f4ab1"/>
                        <w:lock w:val="sdtLocked"/>
                        <w:richText/>
                      </w:sdtPr>
                      <w:sdtContent>
                        <w:p>
                          <w:pPr>
                            <w:tabs>
                              <w:tab w:val="left" w:pos="993"/>
                            </w:tabs>
                            <w:ind w:firstLine="709"/>
                            <w:jc w:val="both"/>
                            <w:rPr>
                              <w:color w:val="000000"/>
                              <w:szCs w:val="24"/>
                              <w:lang w:eastAsia="lt-LT"/>
                            </w:rPr>
                          </w:pPr>
                          <w:sdt>
                            <w:sdtPr>
                              <w:alias w:val="Numeris"/>
                              <w:tag w:val="nr_658bec9b788347f482b3e650969f4ab1"/>
                              <w:lock w:val="sdtLocked"/>
                              <w:richText/>
                            </w:sdtPr>
                            <w:sdtContent>
                              <w:r>
                                <w:rPr>
                                  <w:color w:val="000000"/>
                                  <w:szCs w:val="24"/>
                                  <w:lang w:eastAsia="lt-LT"/>
                                </w:rPr>
                                <w:t>16.2.1</w:t>
                              </w:r>
                            </w:sdtContent>
                          </w:sdt>
                          <w:r>
                            <w:rPr>
                              <w:color w:val="000000"/>
                              <w:szCs w:val="24"/>
                              <w:lang w:eastAsia="lt-LT"/>
                            </w:rPr>
                            <w:t>. reorganizuotos mokslo ir studijų institucijos studijų skatinimo lėšos N+1 metams pridedamos prie po reorganizacijos tęsiančios veiklą mokslo ir studijų institucijos studijų veiklai skatinti skiriamų lėšų;</w:t>
                          </w:r>
                        </w:p>
                      </w:sdtContent>
                    </w:sdt>
                    <w:sdt>
                      <w:sdtPr>
                        <w:alias w:val="16.2.2 pp."/>
                        <w:tag w:val="part_c7d5c2fcc77c44a1b6f536047dc6727c"/>
                        <w:lock w:val="sdtLocked"/>
                        <w:richText/>
                      </w:sdtPr>
                      <w:sdtContent>
                        <w:p>
                          <w:pPr>
                            <w:tabs>
                              <w:tab w:val="left" w:pos="993"/>
                            </w:tabs>
                            <w:ind w:firstLine="709"/>
                            <w:jc w:val="both"/>
                            <w:rPr>
                              <w:color w:val="000000"/>
                              <w:szCs w:val="24"/>
                              <w:lang w:eastAsia="lt-LT"/>
                            </w:rPr>
                          </w:pPr>
                          <w:sdt>
                            <w:sdtPr>
                              <w:alias w:val="Numeris"/>
                              <w:tag w:val="nr_c7d5c2fcc77c44a1b6f536047dc6727c"/>
                              <w:lock w:val="sdtLocked"/>
                              <w:richText/>
                            </w:sdtPr>
                            <w:sdtContent>
                              <w:r>
                                <w:rPr>
                                  <w:color w:val="000000"/>
                                  <w:szCs w:val="24"/>
                                  <w:lang w:eastAsia="lt-LT"/>
                                </w:rPr>
                                <w:t>16.2.2</w:t>
                              </w:r>
                            </w:sdtContent>
                          </w:sdt>
                          <w:r>
                            <w:rPr>
                              <w:color w:val="000000"/>
                              <w:szCs w:val="24"/>
                              <w:lang w:eastAsia="lt-LT"/>
                            </w:rPr>
                            <w:t>. po reorganizacijos tęsiančios veiklą mokslo ir studijų institucijos skatinimo lėšos N+2 metams skaičiuojamos prie jos kriterijų duomenų pridedant prijungtos mokslo ir studijų institucijos atitinkamų laikotarpių kriterijų duomenis.</w:t>
                          </w:r>
                          <w:r>
                            <w:rPr>
                              <w:color w:val="000000"/>
                            </w:rPr>
                            <w:t xml:space="preserve"> </w:t>
                          </w:r>
                        </w:p>
                      </w:sdtContent>
                    </w:sdt>
                  </w:sdtContent>
                </w:sdt>
              </w:sdtContent>
            </w:sdt>
          </w:sdtContent>
        </w:sdt>
        <w:sdt>
          <w:sdtPr>
            <w:alias w:val="pabaiga"/>
            <w:tag w:val="part_2ab52ab38c7747cd8e89cd524f092bb3"/>
            <w:lock w:val="sdtLocked"/>
            <w:richText/>
          </w:sdtPr>
          <w:sdtContent>
            <w:p>
              <w:pPr>
                <w:jc w:val="center"/>
                <w:rPr>
                  <w:szCs w:val="24"/>
                  <w:lang w:eastAsia="lt-LT"/>
                </w:rPr>
              </w:pPr>
              <w:r>
                <w:rPr>
                  <w:color w:val="000000"/>
                  <w:szCs w:val="24"/>
                  <w:lang w:eastAsia="lt-LT"/>
                </w:rPr>
                <w:t>______________________________</w:t>
              </w:r>
            </w:p>
          </w:sdtContent>
        </w:sdt>
      </w:sdtContent>
    </w:sdt>
    <w:sdt>
      <w:sdtPr>
        <w:alias w:val="1 pr."/>
        <w:tag w:val="part_a1c0df39a11947bdb8d906aba47c46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2025-09-01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78acf178de11f0a8bbd1e98310677d">
            <w:r w:rsidRPr="00532B9F">
              <w:rPr>
                <w:rFonts w:ascii="Times New Roman" w:eastAsia="MS Mincho" w:hAnsi="Times New Roman"/>
                <w:sz w:val="20"/>
                <w:i/>
                <w:iCs/>
                <w:color w:val="0000FF" w:themeColor="hyperlink"/>
                <w:u w:val="single"/>
              </w:rPr>
              <w:t>V-820</w:t>
            </w:r>
          </w:fldSimple>
          <w:r>
            <w:rPr>
              <w:rFonts w:ascii="Times New Roman" w:eastAsia="MS Mincho" w:hAnsi="Times New Roman"/>
              <w:sz w:val="20"/>
              <w:i/>
              <w:iCs/>
            </w:rPr>
            <w:t>,
2025-08-14,
paskelbta TAR 2025-08-14, i. k. 2025-14038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
      <w:sdtPr>
        <w:alias w:val="1 pr."/>
        <w:tag w:val="part_5bc2afc06f46437aba53522607578aa9"/>
        <w:lock w:val="sdtLocked"/>
        <w:richText/>
      </w:sdtPr>
      <w:sdtContent>
        <w:p>
          <w:pPr>
            <w:jc w:val="center"/>
            <w:rPr>
              <w:color w:val="000000"/>
              <w:szCs w:val="24"/>
              <w:lang w:eastAsia="lt-LT"/>
            </w:rPr>
          </w:pPr>
        </w:p>
        <w:p>
          <w:pPr>
            <w:jc w:val="center"/>
            <w:rPr>
              <w:rFonts w:eastAsia="Calibri"/>
              <w:color w:val="000000"/>
              <w:szCs w:val="24"/>
              <w:lang w:eastAsia="lt-LT"/>
            </w:rPr>
            <w:sectPr>
              <w:pgSz w:w="11906" w:h="16838"/>
              <w:pgMar w:top="1134" w:right="567" w:bottom="1134" w:left="1701" w:header="567" w:footer="567" w:gutter="0"/>
              <w:pgNumType w:start="1"/>
              <w:cols w:space="1296"/>
              <w:titlePg/>
              <w:docGrid w:linePitch="326"/>
            </w:sectPr>
          </w:pPr>
        </w:p>
        <w:p>
          <w:pPr>
            <w:ind w:left="9214"/>
            <w:rPr>
              <w:color w:val="000000"/>
              <w:szCs w:val="24"/>
              <w:lang w:eastAsia="lt-LT"/>
            </w:rPr>
          </w:pPr>
          <w:r>
            <w:rPr>
              <w:bCs/>
              <w:color w:val="000000"/>
              <w:szCs w:val="24"/>
              <w:lang w:eastAsia="lt-LT"/>
            </w:rPr>
            <w:t>Studijų v</w:t>
          </w:r>
          <w:r>
            <w:rPr>
              <w:color w:val="000000"/>
              <w:szCs w:val="24"/>
              <w:lang w:eastAsia="lt-LT"/>
            </w:rPr>
            <w:t xml:space="preserve">eiklos pasiekimų vertinimo, valstybės </w:t>
          </w:r>
        </w:p>
        <w:p>
          <w:pPr>
            <w:ind w:left="9214"/>
            <w:rPr>
              <w:color w:val="000000"/>
              <w:szCs w:val="24"/>
              <w:lang w:eastAsia="lt-LT"/>
            </w:rPr>
          </w:pPr>
          <w:r>
            <w:rPr>
              <w:color w:val="000000"/>
              <w:szCs w:val="24"/>
              <w:lang w:eastAsia="lt-LT"/>
            </w:rPr>
            <w:t xml:space="preserve">biudžeto skatinamojo finansavimo už studijų </w:t>
          </w:r>
        </w:p>
        <w:p>
          <w:pPr>
            <w:ind w:left="9214"/>
            <w:rPr>
              <w:color w:val="000000"/>
              <w:szCs w:val="24"/>
              <w:lang w:eastAsia="lt-LT"/>
            </w:rPr>
          </w:pPr>
          <w:r>
            <w:rPr>
              <w:color w:val="000000"/>
              <w:szCs w:val="24"/>
              <w:lang w:eastAsia="lt-LT"/>
            </w:rPr>
            <w:t xml:space="preserve">veiklos pasiekimus lėšų </w:t>
          </w:r>
          <w:r>
            <w:rPr>
              <w:bCs/>
              <w:color w:val="000000"/>
              <w:szCs w:val="24"/>
              <w:lang w:eastAsia="lt-LT"/>
            </w:rPr>
            <w:t xml:space="preserve">skirstymo </w:t>
          </w:r>
          <w:r>
            <w:rPr>
              <w:color w:val="000000"/>
              <w:szCs w:val="24"/>
              <w:lang w:eastAsia="lt-LT"/>
            </w:rPr>
            <w:t xml:space="preserve">mokslo ir </w:t>
          </w:r>
        </w:p>
        <w:p>
          <w:pPr>
            <w:ind w:left="9214"/>
            <w:rPr>
              <w:color w:val="000000"/>
              <w:szCs w:val="24"/>
              <w:lang w:eastAsia="lt-LT"/>
            </w:rPr>
          </w:pPr>
          <w:r>
            <w:rPr>
              <w:color w:val="000000"/>
              <w:szCs w:val="24"/>
              <w:lang w:eastAsia="lt-LT"/>
            </w:rPr>
            <w:t xml:space="preserve">studijų institucijoms, duomenų, kurių reikia siekiant </w:t>
          </w:r>
        </w:p>
        <w:p>
          <w:pPr>
            <w:ind w:left="9214"/>
            <w:rPr>
              <w:color w:val="000000"/>
              <w:szCs w:val="24"/>
              <w:lang w:eastAsia="lt-LT"/>
            </w:rPr>
          </w:pPr>
          <w:r>
            <w:rPr>
              <w:color w:val="000000"/>
              <w:szCs w:val="24"/>
              <w:lang w:eastAsia="lt-LT"/>
            </w:rPr>
            <w:t xml:space="preserve">atlikti studijų veiklos pasiekimų vertinimus, teikimo </w:t>
          </w:r>
        </w:p>
        <w:p>
          <w:pPr>
            <w:ind w:left="9214"/>
            <w:rPr>
              <w:color w:val="000000"/>
              <w:szCs w:val="24"/>
              <w:lang w:eastAsia="lt-LT"/>
            </w:rPr>
          </w:pPr>
          <w:r>
            <w:rPr>
              <w:color w:val="000000"/>
              <w:szCs w:val="24"/>
              <w:lang w:eastAsia="lt-LT"/>
            </w:rPr>
            <w:t xml:space="preserve">ir mokslo ir studijų institucijų studijų veiklos </w:t>
          </w:r>
        </w:p>
        <w:p>
          <w:pPr>
            <w:ind w:left="9214"/>
            <w:rPr>
              <w:color w:val="000000"/>
              <w:szCs w:val="24"/>
              <w:lang w:eastAsia="lt-LT"/>
            </w:rPr>
          </w:pPr>
          <w:r>
            <w:rPr>
              <w:color w:val="000000"/>
              <w:szCs w:val="24"/>
              <w:lang w:eastAsia="lt-LT"/>
            </w:rPr>
            <w:t xml:space="preserve">pasiekimų vertinimo kriterijų svorio </w:t>
          </w:r>
        </w:p>
        <w:p>
          <w:pPr>
            <w:ind w:left="9214"/>
            <w:rPr>
              <w:color w:val="000000"/>
              <w:szCs w:val="24"/>
              <w:lang w:eastAsia="lt-LT"/>
            </w:rPr>
          </w:pPr>
          <w:r>
            <w:rPr>
              <w:color w:val="000000"/>
              <w:szCs w:val="24"/>
              <w:lang w:eastAsia="lt-LT"/>
            </w:rPr>
            <w:t xml:space="preserve">koeficientų nustatymo tvarkos aprašo </w:t>
          </w:r>
        </w:p>
        <w:p>
          <w:pPr>
            <w:tabs>
              <w:tab w:val="center" w:pos="4153"/>
              <w:tab w:val="left" w:pos="6237"/>
              <w:tab w:val="right" w:pos="8306"/>
            </w:tabs>
            <w:ind w:firstLine="9214"/>
            <w:rPr>
              <w:color w:val="000000"/>
              <w:szCs w:val="24"/>
              <w:lang w:eastAsia="lt-LT"/>
            </w:rPr>
          </w:pPr>
          <w:sdt>
            <w:sdtPr>
              <w:alias w:val="Numeris"/>
              <w:tag w:val="nr_5bc2afc06f46437aba53522607578aa9"/>
              <w:lock w:val="sdtLocked"/>
              <w:richText/>
            </w:sdtPr>
            <w:sdtContent>
              <w:r>
                <w:rPr>
                  <w:color w:val="000000"/>
                  <w:szCs w:val="24"/>
                  <w:lang w:eastAsia="lt-LT"/>
                </w:rPr>
                <w:t>1</w:t>
              </w:r>
            </w:sdtContent>
          </w:sdt>
          <w:r>
            <w:rPr>
              <w:b/>
              <w:bCs/>
              <w:color w:val="000000"/>
              <w:szCs w:val="24"/>
              <w:lang w:eastAsia="lt-LT"/>
            </w:rPr>
            <w:t xml:space="preserve"> </w:t>
          </w:r>
          <w:r>
            <w:rPr>
              <w:color w:val="000000"/>
              <w:szCs w:val="24"/>
              <w:lang w:eastAsia="lt-LT"/>
            </w:rPr>
            <w:t>priedas</w:t>
          </w:r>
        </w:p>
        <w:p>
          <w:pPr>
            <w:tabs>
              <w:tab w:val="center" w:pos="4153"/>
              <w:tab w:val="left" w:pos="6237"/>
              <w:tab w:val="right" w:pos="8306"/>
            </w:tabs>
            <w:ind w:firstLine="9214"/>
            <w:rPr>
              <w:b/>
              <w:color w:val="000000"/>
              <w:szCs w:val="24"/>
              <w:lang w:eastAsia="lt-LT"/>
            </w:rPr>
          </w:pPr>
        </w:p>
        <w:p>
          <w:pPr>
            <w:tabs>
              <w:tab w:val="center" w:pos="4153"/>
              <w:tab w:val="left" w:pos="6237"/>
              <w:tab w:val="right" w:pos="8306"/>
            </w:tabs>
            <w:ind w:firstLine="720"/>
            <w:jc w:val="center"/>
            <w:rPr>
              <w:b/>
              <w:color w:val="000000"/>
              <w:szCs w:val="24"/>
              <w:lang w:eastAsia="lt-LT"/>
            </w:rPr>
          </w:pPr>
          <w:r>
            <w:rPr>
              <w:b/>
              <w:bCs/>
              <w:color w:val="000000"/>
              <w:szCs w:val="24"/>
              <w:lang w:eastAsia="lt-LT"/>
            </w:rPr>
            <w:t>MOKSLO IR STUDIJŲ INSTITUCIJŲ STUDIJŲ VEIKLOS PASIEKIMŲ</w:t>
          </w:r>
          <w:r>
            <w:rPr>
              <w:color w:val="000000"/>
              <w:szCs w:val="24"/>
              <w:lang w:eastAsia="lt-LT"/>
            </w:rPr>
            <w:t xml:space="preserve"> </w:t>
          </w:r>
          <w:r>
            <w:rPr>
              <w:b/>
              <w:color w:val="000000"/>
              <w:szCs w:val="24"/>
              <w:lang w:eastAsia="lt-LT"/>
            </w:rPr>
            <w:t>KRITERIJŲ PROCENTINIAI SVORIO KOEFICIENTAI</w:t>
          </w:r>
        </w:p>
        <w:p>
          <w:pPr>
            <w:tabs>
              <w:tab w:val="center" w:pos="4153"/>
              <w:tab w:val="left" w:pos="6237"/>
              <w:tab w:val="right" w:pos="8306"/>
            </w:tabs>
            <w:jc w:val="center"/>
            <w:rPr>
              <w:color w:val="000000"/>
              <w:szCs w:val="24"/>
              <w:lang w:eastAsia="lt-LT"/>
            </w:rPr>
          </w:pPr>
        </w:p>
        <w:p>
          <w:pPr>
            <w:tabs>
              <w:tab w:val="center" w:pos="4153"/>
              <w:tab w:val="left" w:pos="6237"/>
              <w:tab w:val="right" w:pos="8306"/>
            </w:tabs>
            <w:jc w:val="center"/>
            <w:rPr>
              <w:color w:val="00000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2851"/>
            <w:gridCol w:w="1216"/>
            <w:gridCol w:w="1685"/>
            <w:gridCol w:w="1824"/>
            <w:gridCol w:w="2107"/>
            <w:gridCol w:w="2817"/>
            <w:gridCol w:w="1504"/>
          </w:tblGrid>
          <w:tr>
            <w:tc>
              <w:tcPr>
                <w:tcW w:w="145" w:type="pct"/>
                <w:vMerge w:val="restart"/>
                <w:vAlign w:val="center"/>
              </w:tcPr>
              <w:p>
                <w:pPr>
                  <w:tabs>
                    <w:tab w:val="center" w:pos="4153"/>
                    <w:tab w:val="left" w:pos="6237"/>
                    <w:tab w:val="right" w:pos="8306"/>
                  </w:tabs>
                  <w:jc w:val="center"/>
                  <w:rPr>
                    <w:color w:val="000000"/>
                    <w:szCs w:val="24"/>
                    <w:lang w:eastAsia="lt-LT"/>
                  </w:rPr>
                </w:pPr>
                <w:r>
                  <w:rPr>
                    <w:color w:val="000000"/>
                    <w:szCs w:val="24"/>
                    <w:lang w:eastAsia="lt-LT"/>
                  </w:rPr>
                  <w:t>Eil. Nr.</w:t>
                </w:r>
              </w:p>
            </w:tc>
            <w:tc>
              <w:tcPr>
                <w:tcW w:w="986" w:type="pct"/>
                <w:vMerge w:val="restart"/>
                <w:vAlign w:val="center"/>
              </w:tcPr>
              <w:p>
                <w:pPr>
                  <w:tabs>
                    <w:tab w:val="center" w:pos="4153"/>
                    <w:tab w:val="left" w:pos="6237"/>
                    <w:tab w:val="right" w:pos="8306"/>
                  </w:tabs>
                  <w:rPr>
                    <w:color w:val="000000"/>
                    <w:szCs w:val="24"/>
                    <w:lang w:eastAsia="lt-LT"/>
                  </w:rPr>
                </w:pPr>
                <w:r>
                  <w:rPr>
                    <w:color w:val="000000"/>
                    <w:szCs w:val="24"/>
                    <w:lang w:eastAsia="lt-LT"/>
                  </w:rPr>
                  <w:t>Mokslo ir studijų institucijų studijų veiklos pasiekimų kriterijus</w:t>
                </w:r>
              </w:p>
            </w:tc>
            <w:tc>
              <w:tcPr>
                <w:tcW w:w="3869" w:type="pct"/>
                <w:gridSpan w:val="6"/>
              </w:tcPr>
              <w:p>
                <w:pPr>
                  <w:tabs>
                    <w:tab w:val="center" w:pos="4153"/>
                    <w:tab w:val="left" w:pos="6237"/>
                    <w:tab w:val="right" w:pos="8306"/>
                  </w:tabs>
                  <w:jc w:val="center"/>
                  <w:rPr>
                    <w:color w:val="000000"/>
                    <w:szCs w:val="24"/>
                    <w:lang w:eastAsia="lt-LT"/>
                  </w:rPr>
                </w:pPr>
                <w:r>
                  <w:rPr>
                    <w:color w:val="000000"/>
                    <w:szCs w:val="24"/>
                    <w:lang w:eastAsia="lt-LT"/>
                  </w:rPr>
                  <w:t>Studijų grupė ir institucijų tipas ar grupė</w:t>
                </w:r>
              </w:p>
            </w:tc>
          </w:tr>
          <w:tr>
            <w:tc>
              <w:tcPr>
                <w:tcW w:w="145" w:type="pct"/>
                <w:vMerge/>
                <w:vAlign w:val="center"/>
              </w:tcPr>
              <w:p>
                <w:pPr>
                  <w:tabs>
                    <w:tab w:val="center" w:pos="4153"/>
                    <w:tab w:val="left" w:pos="6237"/>
                    <w:tab w:val="right" w:pos="8306"/>
                  </w:tabs>
                  <w:jc w:val="center"/>
                  <w:rPr>
                    <w:color w:val="000000"/>
                    <w:szCs w:val="24"/>
                    <w:lang w:eastAsia="lt-LT"/>
                  </w:rPr>
                </w:pPr>
              </w:p>
            </w:tc>
            <w:tc>
              <w:tcPr>
                <w:tcW w:w="986" w:type="pct"/>
                <w:vMerge/>
                <w:vAlign w:val="center"/>
              </w:tcPr>
              <w:p>
                <w:pPr>
                  <w:tabs>
                    <w:tab w:val="center" w:pos="4153"/>
                    <w:tab w:val="left" w:pos="6237"/>
                    <w:tab w:val="right" w:pos="8306"/>
                  </w:tabs>
                  <w:jc w:val="both"/>
                  <w:rPr>
                    <w:color w:val="000000"/>
                    <w:szCs w:val="24"/>
                    <w:lang w:eastAsia="lt-LT"/>
                  </w:rPr>
                </w:pPr>
              </w:p>
            </w:tc>
            <w:tc>
              <w:tcPr>
                <w:tcW w:w="1009" w:type="pct"/>
                <w:gridSpan w:val="2"/>
              </w:tcPr>
              <w:p>
                <w:pPr>
                  <w:tabs>
                    <w:tab w:val="center" w:pos="4153"/>
                    <w:tab w:val="left" w:pos="6237"/>
                    <w:tab w:val="right" w:pos="8306"/>
                  </w:tabs>
                  <w:jc w:val="center"/>
                  <w:rPr>
                    <w:color w:val="000000"/>
                    <w:szCs w:val="24"/>
                    <w:lang w:eastAsia="lt-LT"/>
                  </w:rPr>
                </w:pPr>
                <w:r>
                  <w:rPr>
                    <w:color w:val="000000"/>
                    <w:szCs w:val="24"/>
                    <w:lang w:eastAsia="lt-LT"/>
                  </w:rPr>
                  <w:t>I GRUPĖ</w:t>
                </w:r>
              </w:p>
            </w:tc>
            <w:tc>
              <w:tcPr>
                <w:tcW w:w="633" w:type="pct"/>
                <w:vAlign w:val="center"/>
              </w:tcPr>
              <w:p>
                <w:pPr>
                  <w:tabs>
                    <w:tab w:val="center" w:pos="4153"/>
                    <w:tab w:val="left" w:pos="6237"/>
                    <w:tab w:val="right" w:pos="8306"/>
                  </w:tabs>
                  <w:jc w:val="center"/>
                  <w:rPr>
                    <w:color w:val="000000"/>
                    <w:szCs w:val="24"/>
                    <w:lang w:eastAsia="lt-LT"/>
                  </w:rPr>
                </w:pPr>
                <w:r>
                  <w:rPr>
                    <w:color w:val="000000"/>
                    <w:szCs w:val="24"/>
                    <w:lang w:eastAsia="lt-LT"/>
                  </w:rPr>
                  <w:t>II GRUPĖ</w:t>
                </w:r>
              </w:p>
            </w:tc>
            <w:tc>
              <w:tcPr>
                <w:tcW w:w="1704" w:type="pct"/>
                <w:gridSpan w:val="2"/>
              </w:tcPr>
              <w:p>
                <w:pPr>
                  <w:tabs>
                    <w:tab w:val="center" w:pos="4153"/>
                    <w:tab w:val="left" w:pos="6237"/>
                    <w:tab w:val="right" w:pos="8306"/>
                  </w:tabs>
                  <w:jc w:val="center"/>
                  <w:rPr>
                    <w:color w:val="000000"/>
                    <w:szCs w:val="24"/>
                    <w:lang w:eastAsia="lt-LT"/>
                  </w:rPr>
                </w:pPr>
                <w:r>
                  <w:rPr>
                    <w:color w:val="000000"/>
                    <w:szCs w:val="24"/>
                    <w:lang w:eastAsia="lt-LT"/>
                  </w:rPr>
                  <w:t>III GRUPĖ</w:t>
                </w:r>
              </w:p>
            </w:tc>
            <w:tc>
              <w:tcPr>
                <w:tcW w:w="523" w:type="pct"/>
              </w:tcPr>
              <w:p>
                <w:pPr>
                  <w:tabs>
                    <w:tab w:val="center" w:pos="4153"/>
                    <w:tab w:val="left" w:pos="6237"/>
                    <w:tab w:val="right" w:pos="8306"/>
                  </w:tabs>
                  <w:jc w:val="center"/>
                  <w:rPr>
                    <w:color w:val="000000"/>
                    <w:szCs w:val="24"/>
                    <w:lang w:eastAsia="lt-LT"/>
                  </w:rPr>
                </w:pPr>
                <w:r>
                  <w:rPr>
                    <w:color w:val="000000"/>
                    <w:szCs w:val="24"/>
                    <w:lang w:eastAsia="lt-LT"/>
                  </w:rPr>
                  <w:t>P GRUPĖ</w:t>
                </w:r>
              </w:p>
            </w:tc>
          </w:tr>
          <w:tr>
            <w:tc>
              <w:tcPr>
                <w:tcW w:w="145" w:type="pct"/>
                <w:vMerge/>
              </w:tcPr>
              <w:p>
                <w:pPr>
                  <w:tabs>
                    <w:tab w:val="center" w:pos="4153"/>
                    <w:tab w:val="left" w:pos="6237"/>
                    <w:tab w:val="right" w:pos="8306"/>
                  </w:tabs>
                  <w:jc w:val="center"/>
                  <w:rPr>
                    <w:color w:val="000000"/>
                    <w:szCs w:val="24"/>
                    <w:lang w:eastAsia="lt-LT"/>
                  </w:rPr>
                </w:pPr>
              </w:p>
            </w:tc>
            <w:tc>
              <w:tcPr>
                <w:tcW w:w="986" w:type="pct"/>
                <w:vMerge/>
              </w:tcPr>
              <w:p>
                <w:pPr>
                  <w:tabs>
                    <w:tab w:val="center" w:pos="4153"/>
                    <w:tab w:val="left" w:pos="6237"/>
                    <w:tab w:val="right" w:pos="8306"/>
                  </w:tabs>
                  <w:jc w:val="both"/>
                  <w:rPr>
                    <w:color w:val="000000"/>
                    <w:szCs w:val="24"/>
                    <w:lang w:eastAsia="lt-LT"/>
                  </w:rPr>
                </w:pPr>
              </w:p>
            </w:tc>
            <w:tc>
              <w:tcPr>
                <w:tcW w:w="424" w:type="pct"/>
              </w:tcPr>
              <w:p>
                <w:pPr>
                  <w:tabs>
                    <w:tab w:val="center" w:pos="4153"/>
                    <w:tab w:val="left" w:pos="6237"/>
                    <w:tab w:val="right" w:pos="8306"/>
                  </w:tabs>
                  <w:jc w:val="center"/>
                  <w:rPr>
                    <w:color w:val="000000"/>
                    <w:szCs w:val="24"/>
                    <w:lang w:eastAsia="lt-LT"/>
                  </w:rPr>
                </w:pPr>
                <w:r>
                  <w:rPr>
                    <w:color w:val="000000"/>
                    <w:szCs w:val="24"/>
                    <w:lang w:eastAsia="lt-LT"/>
                  </w:rPr>
                  <w:t>Kolegijos</w:t>
                </w:r>
              </w:p>
            </w:tc>
            <w:tc>
              <w:tcPr>
                <w:tcW w:w="585" w:type="pct"/>
              </w:tcPr>
              <w:p>
                <w:pPr>
                  <w:tabs>
                    <w:tab w:val="center" w:pos="4153"/>
                    <w:tab w:val="left" w:pos="6237"/>
                    <w:tab w:val="right" w:pos="8306"/>
                  </w:tabs>
                  <w:jc w:val="center"/>
                  <w:rPr>
                    <w:color w:val="000000"/>
                    <w:szCs w:val="24"/>
                    <w:lang w:eastAsia="lt-LT"/>
                  </w:rPr>
                </w:pPr>
                <w:r>
                  <w:rPr>
                    <w:color w:val="000000"/>
                    <w:szCs w:val="24"/>
                    <w:lang w:eastAsia="lt-LT"/>
                  </w:rPr>
                  <w:t>Universitetai</w:t>
                </w:r>
              </w:p>
            </w:tc>
            <w:tc>
              <w:tcPr>
                <w:tcW w:w="633" w:type="pct"/>
              </w:tcPr>
              <w:p>
                <w:pPr>
                  <w:tabs>
                    <w:tab w:val="center" w:pos="4153"/>
                    <w:tab w:val="left" w:pos="6237"/>
                    <w:tab w:val="right" w:pos="8306"/>
                  </w:tabs>
                  <w:jc w:val="center"/>
                  <w:rPr>
                    <w:color w:val="000000"/>
                    <w:szCs w:val="24"/>
                    <w:lang w:eastAsia="lt-LT"/>
                  </w:rPr>
                </w:pPr>
                <w:r>
                  <w:rPr>
                    <w:color w:val="000000"/>
                    <w:szCs w:val="24"/>
                    <w:lang w:eastAsia="lt-LT"/>
                  </w:rPr>
                  <w:t>Universitetai</w:t>
                </w:r>
              </w:p>
            </w:tc>
            <w:tc>
              <w:tcPr>
                <w:tcW w:w="730" w:type="pct"/>
              </w:tcPr>
              <w:p>
                <w:pPr>
                  <w:tabs>
                    <w:tab w:val="center" w:pos="4153"/>
                    <w:tab w:val="left" w:pos="6237"/>
                    <w:tab w:val="right" w:pos="8306"/>
                  </w:tabs>
                  <w:jc w:val="center"/>
                  <w:rPr>
                    <w:color w:val="000000"/>
                    <w:szCs w:val="24"/>
                    <w:lang w:eastAsia="lt-LT"/>
                  </w:rPr>
                </w:pPr>
                <w:r>
                  <w:rPr>
                    <w:color w:val="000000"/>
                    <w:szCs w:val="24"/>
                    <w:lang w:eastAsia="lt-LT"/>
                  </w:rPr>
                  <w:t>Universitetai</w:t>
                </w:r>
              </w:p>
            </w:tc>
            <w:tc>
              <w:tcPr>
                <w:tcW w:w="974" w:type="pct"/>
              </w:tcPr>
              <w:p>
                <w:pPr>
                  <w:tabs>
                    <w:tab w:val="center" w:pos="4153"/>
                    <w:tab w:val="left" w:pos="6237"/>
                    <w:tab w:val="right" w:pos="8306"/>
                  </w:tabs>
                  <w:jc w:val="center"/>
                  <w:rPr>
                    <w:color w:val="000000"/>
                    <w:szCs w:val="24"/>
                    <w:lang w:eastAsia="lt-LT"/>
                  </w:rPr>
                </w:pPr>
                <w:r>
                  <w:rPr>
                    <w:color w:val="000000"/>
                    <w:szCs w:val="24"/>
                    <w:lang w:eastAsia="lt-LT"/>
                  </w:rPr>
                  <w:t>Mokslinių tyrimų institutai</w:t>
                </w:r>
              </w:p>
            </w:tc>
            <w:tc>
              <w:tcPr>
                <w:tcW w:w="523" w:type="pct"/>
              </w:tcPr>
              <w:p>
                <w:pPr>
                  <w:tabs>
                    <w:tab w:val="center" w:pos="4153"/>
                    <w:tab w:val="left" w:pos="6237"/>
                    <w:tab w:val="right" w:pos="8306"/>
                  </w:tabs>
                  <w:jc w:val="center"/>
                  <w:rPr>
                    <w:color w:val="000000"/>
                    <w:szCs w:val="24"/>
                    <w:lang w:eastAsia="lt-LT"/>
                  </w:rPr>
                </w:pPr>
                <w:r>
                  <w:rPr>
                    <w:color w:val="000000"/>
                    <w:szCs w:val="24"/>
                    <w:lang w:eastAsia="lt-LT"/>
                  </w:rPr>
                  <w:t>Universitetai</w:t>
                </w:r>
              </w:p>
            </w:tc>
          </w:tr>
          <w:tr>
            <w:tc>
              <w:tcPr>
                <w:tcW w:w="145" w:type="pct"/>
              </w:tcPr>
              <w:p>
                <w:pPr>
                  <w:tabs>
                    <w:tab w:val="center" w:pos="4153"/>
                    <w:tab w:val="left" w:pos="6237"/>
                    <w:tab w:val="right" w:pos="8306"/>
                  </w:tabs>
                  <w:jc w:val="center"/>
                  <w:rPr>
                    <w:color w:val="000000"/>
                    <w:szCs w:val="24"/>
                    <w:lang w:eastAsia="lt-LT"/>
                  </w:rPr>
                </w:pPr>
                <w:r>
                  <w:rPr>
                    <w:color w:val="000000"/>
                    <w:szCs w:val="24"/>
                    <w:lang w:eastAsia="lt-LT"/>
                  </w:rPr>
                  <w:t>1.</w:t>
                </w:r>
              </w:p>
            </w:tc>
            <w:tc>
              <w:tcPr>
                <w:tcW w:w="986" w:type="pct"/>
              </w:tcPr>
              <w:p>
                <w:pPr>
                  <w:tabs>
                    <w:tab w:val="center" w:pos="4153"/>
                    <w:tab w:val="left" w:pos="6237"/>
                    <w:tab w:val="right" w:pos="8306"/>
                  </w:tabs>
                  <w:rPr>
                    <w:color w:val="000000"/>
                    <w:szCs w:val="24"/>
                    <w:lang w:eastAsia="lt-LT"/>
                  </w:rPr>
                </w:pPr>
                <w:r>
                  <w:rPr>
                    <w:color w:val="000000"/>
                    <w:szCs w:val="24"/>
                    <w:lang w:eastAsia="lt-LT"/>
                  </w:rPr>
                  <w:t>Studijų rezultatyvumas</w:t>
                </w:r>
              </w:p>
            </w:tc>
            <w:tc>
              <w:tcPr>
                <w:tcW w:w="424" w:type="pct"/>
                <w:vAlign w:val="center"/>
              </w:tcPr>
              <w:p>
                <w:pPr>
                  <w:tabs>
                    <w:tab w:val="center" w:pos="4153"/>
                    <w:tab w:val="left" w:pos="6237"/>
                    <w:tab w:val="right" w:pos="8306"/>
                  </w:tabs>
                  <w:jc w:val="center"/>
                  <w:rPr>
                    <w:color w:val="000000"/>
                    <w:szCs w:val="24"/>
                    <w:lang w:eastAsia="lt-LT"/>
                  </w:rPr>
                </w:pPr>
                <w:r>
                  <w:rPr>
                    <w:color w:val="000000"/>
                    <w:szCs w:val="24"/>
                    <w:lang w:eastAsia="lt-LT"/>
                  </w:rPr>
                  <w:t>10</w:t>
                </w:r>
              </w:p>
            </w:tc>
            <w:tc>
              <w:tcPr>
                <w:tcW w:w="585" w:type="pct"/>
                <w:vAlign w:val="center"/>
              </w:tcPr>
              <w:p>
                <w:pPr>
                  <w:tabs>
                    <w:tab w:val="center" w:pos="4153"/>
                    <w:tab w:val="left" w:pos="6237"/>
                    <w:tab w:val="right" w:pos="8306"/>
                  </w:tabs>
                  <w:jc w:val="center"/>
                  <w:rPr>
                    <w:color w:val="000000"/>
                    <w:szCs w:val="24"/>
                    <w:lang w:eastAsia="lt-LT"/>
                  </w:rPr>
                </w:pPr>
                <w:r>
                  <w:rPr>
                    <w:color w:val="000000"/>
                    <w:szCs w:val="24"/>
                    <w:lang w:eastAsia="lt-LT"/>
                  </w:rPr>
                  <w:t>10</w:t>
                </w:r>
              </w:p>
            </w:tc>
            <w:tc>
              <w:tcPr>
                <w:tcW w:w="633" w:type="pct"/>
                <w:vAlign w:val="center"/>
              </w:tcPr>
              <w:p>
                <w:pPr>
                  <w:tabs>
                    <w:tab w:val="center" w:pos="4153"/>
                    <w:tab w:val="left" w:pos="6237"/>
                    <w:tab w:val="right" w:pos="8306"/>
                  </w:tabs>
                  <w:jc w:val="center"/>
                  <w:rPr>
                    <w:color w:val="000000"/>
                    <w:szCs w:val="24"/>
                    <w:lang w:eastAsia="lt-LT"/>
                  </w:rPr>
                </w:pPr>
                <w:r>
                  <w:rPr>
                    <w:color w:val="000000"/>
                    <w:szCs w:val="24"/>
                    <w:lang w:eastAsia="lt-LT"/>
                  </w:rPr>
                  <w:t>10</w:t>
                </w:r>
              </w:p>
            </w:tc>
            <w:tc>
              <w:tcPr>
                <w:tcW w:w="730" w:type="pct"/>
                <w:vAlign w:val="center"/>
              </w:tcPr>
              <w:p>
                <w:pPr>
                  <w:tabs>
                    <w:tab w:val="center" w:pos="4153"/>
                    <w:tab w:val="left" w:pos="6237"/>
                    <w:tab w:val="right" w:pos="8306"/>
                  </w:tabs>
                  <w:jc w:val="center"/>
                  <w:rPr>
                    <w:color w:val="000000"/>
                    <w:szCs w:val="24"/>
                    <w:lang w:eastAsia="lt-LT"/>
                  </w:rPr>
                </w:pPr>
                <w:r>
                  <w:rPr>
                    <w:color w:val="000000"/>
                    <w:szCs w:val="24"/>
                    <w:lang w:eastAsia="lt-LT"/>
                  </w:rPr>
                  <w:t>25</w:t>
                </w:r>
              </w:p>
            </w:tc>
            <w:tc>
              <w:tcPr>
                <w:tcW w:w="974" w:type="pct"/>
                <w:vAlign w:val="center"/>
              </w:tcPr>
              <w:p>
                <w:pPr>
                  <w:tabs>
                    <w:tab w:val="center" w:pos="4153"/>
                    <w:tab w:val="left" w:pos="6237"/>
                    <w:tab w:val="right" w:pos="8306"/>
                  </w:tabs>
                  <w:jc w:val="center"/>
                  <w:rPr>
                    <w:color w:val="000000"/>
                    <w:szCs w:val="24"/>
                    <w:lang w:eastAsia="lt-LT"/>
                  </w:rPr>
                </w:pPr>
                <w:r>
                  <w:rPr>
                    <w:color w:val="000000"/>
                    <w:szCs w:val="24"/>
                    <w:lang w:eastAsia="lt-LT"/>
                  </w:rPr>
                  <w:t>25</w:t>
                </w:r>
              </w:p>
            </w:tc>
            <w:tc>
              <w:tcPr>
                <w:tcW w:w="523" w:type="pct"/>
                <w:vAlign w:val="center"/>
              </w:tcPr>
              <w:p>
                <w:pPr>
                  <w:tabs>
                    <w:tab w:val="center" w:pos="4153"/>
                    <w:tab w:val="left" w:pos="6237"/>
                    <w:tab w:val="right" w:pos="8306"/>
                  </w:tabs>
                  <w:jc w:val="center"/>
                  <w:rPr>
                    <w:color w:val="000000"/>
                    <w:szCs w:val="24"/>
                    <w:lang w:eastAsia="lt-LT"/>
                  </w:rPr>
                </w:pPr>
                <w:r>
                  <w:rPr>
                    <w:color w:val="000000"/>
                    <w:szCs w:val="24"/>
                    <w:lang w:eastAsia="lt-LT"/>
                  </w:rPr>
                  <w:t>10</w:t>
                </w:r>
              </w:p>
            </w:tc>
          </w:tr>
          <w:tr>
            <w:tc>
              <w:tcPr>
                <w:tcW w:w="145" w:type="pct"/>
              </w:tcPr>
              <w:p>
                <w:pPr>
                  <w:tabs>
                    <w:tab w:val="center" w:pos="4153"/>
                    <w:tab w:val="left" w:pos="6237"/>
                    <w:tab w:val="right" w:pos="8306"/>
                  </w:tabs>
                  <w:jc w:val="center"/>
                  <w:rPr>
                    <w:color w:val="000000"/>
                    <w:szCs w:val="24"/>
                    <w:lang w:eastAsia="lt-LT"/>
                  </w:rPr>
                </w:pPr>
                <w:r>
                  <w:rPr>
                    <w:color w:val="000000"/>
                    <w:szCs w:val="24"/>
                    <w:lang w:eastAsia="lt-LT"/>
                  </w:rPr>
                  <w:t>2.</w:t>
                </w:r>
              </w:p>
            </w:tc>
            <w:tc>
              <w:tcPr>
                <w:tcW w:w="986" w:type="pct"/>
              </w:tcPr>
              <w:p>
                <w:pPr>
                  <w:tabs>
                    <w:tab w:val="center" w:pos="4153"/>
                    <w:tab w:val="left" w:pos="6237"/>
                    <w:tab w:val="right" w:pos="8306"/>
                  </w:tabs>
                  <w:rPr>
                    <w:color w:val="000000"/>
                    <w:szCs w:val="24"/>
                    <w:lang w:eastAsia="lt-LT"/>
                  </w:rPr>
                </w:pPr>
                <w:r>
                  <w:rPr>
                    <w:color w:val="000000"/>
                    <w:szCs w:val="24"/>
                    <w:lang w:eastAsia="lt-LT"/>
                  </w:rPr>
                  <w:t>Studijų tarptautiškumas</w:t>
                </w:r>
              </w:p>
            </w:tc>
            <w:tc>
              <w:tcPr>
                <w:tcW w:w="424" w:type="pct"/>
                <w:vAlign w:val="center"/>
              </w:tcPr>
              <w:p>
                <w:pPr>
                  <w:tabs>
                    <w:tab w:val="center" w:pos="4153"/>
                    <w:tab w:val="left" w:pos="6237"/>
                    <w:tab w:val="right" w:pos="8306"/>
                  </w:tabs>
                  <w:jc w:val="center"/>
                  <w:rPr>
                    <w:color w:val="000000"/>
                    <w:szCs w:val="24"/>
                    <w:lang w:eastAsia="lt-LT"/>
                  </w:rPr>
                </w:pPr>
                <w:r>
                  <w:rPr>
                    <w:color w:val="000000"/>
                    <w:szCs w:val="24"/>
                    <w:lang w:eastAsia="lt-LT"/>
                  </w:rPr>
                  <w:t>10</w:t>
                </w:r>
              </w:p>
            </w:tc>
            <w:tc>
              <w:tcPr>
                <w:tcW w:w="585" w:type="pct"/>
                <w:vAlign w:val="center"/>
              </w:tcPr>
              <w:p>
                <w:pPr>
                  <w:tabs>
                    <w:tab w:val="center" w:pos="4153"/>
                    <w:tab w:val="left" w:pos="6237"/>
                    <w:tab w:val="right" w:pos="8306"/>
                  </w:tabs>
                  <w:jc w:val="center"/>
                  <w:rPr>
                    <w:color w:val="000000"/>
                    <w:szCs w:val="24"/>
                    <w:lang w:eastAsia="lt-LT"/>
                  </w:rPr>
                </w:pPr>
                <w:r>
                  <w:rPr>
                    <w:color w:val="000000"/>
                    <w:szCs w:val="24"/>
                    <w:lang w:eastAsia="lt-LT"/>
                  </w:rPr>
                  <w:t>20</w:t>
                </w:r>
              </w:p>
            </w:tc>
            <w:tc>
              <w:tcPr>
                <w:tcW w:w="633" w:type="pct"/>
                <w:vAlign w:val="center"/>
              </w:tcPr>
              <w:p>
                <w:pPr>
                  <w:tabs>
                    <w:tab w:val="center" w:pos="4153"/>
                    <w:tab w:val="left" w:pos="6237"/>
                    <w:tab w:val="right" w:pos="8306"/>
                  </w:tabs>
                  <w:jc w:val="center"/>
                  <w:rPr>
                    <w:color w:val="000000"/>
                    <w:szCs w:val="24"/>
                    <w:lang w:eastAsia="lt-LT"/>
                  </w:rPr>
                </w:pPr>
                <w:r>
                  <w:rPr>
                    <w:color w:val="000000"/>
                    <w:szCs w:val="24"/>
                    <w:lang w:eastAsia="lt-LT"/>
                  </w:rPr>
                  <w:t>30</w:t>
                </w:r>
              </w:p>
            </w:tc>
            <w:tc>
              <w:tcPr>
                <w:tcW w:w="730" w:type="pct"/>
                <w:vAlign w:val="center"/>
              </w:tcPr>
              <w:p>
                <w:pPr>
                  <w:tabs>
                    <w:tab w:val="center" w:pos="4153"/>
                    <w:tab w:val="left" w:pos="6237"/>
                    <w:tab w:val="right" w:pos="8306"/>
                  </w:tabs>
                  <w:jc w:val="center"/>
                  <w:rPr>
                    <w:color w:val="000000"/>
                    <w:szCs w:val="24"/>
                    <w:lang w:eastAsia="lt-LT"/>
                  </w:rPr>
                </w:pPr>
                <w:r>
                  <w:rPr>
                    <w:color w:val="000000"/>
                    <w:szCs w:val="24"/>
                    <w:lang w:eastAsia="lt-LT"/>
                  </w:rPr>
                  <w:t>30</w:t>
                </w:r>
              </w:p>
            </w:tc>
            <w:tc>
              <w:tcPr>
                <w:tcW w:w="974" w:type="pct"/>
                <w:vAlign w:val="center"/>
              </w:tcPr>
              <w:p>
                <w:pPr>
                  <w:tabs>
                    <w:tab w:val="center" w:pos="4153"/>
                    <w:tab w:val="left" w:pos="6237"/>
                    <w:tab w:val="right" w:pos="8306"/>
                  </w:tabs>
                  <w:jc w:val="center"/>
                  <w:rPr>
                    <w:color w:val="000000"/>
                    <w:szCs w:val="24"/>
                    <w:lang w:eastAsia="lt-LT"/>
                  </w:rPr>
                </w:pPr>
                <w:r>
                  <w:rPr>
                    <w:color w:val="000000"/>
                    <w:szCs w:val="24"/>
                    <w:lang w:eastAsia="lt-LT"/>
                  </w:rPr>
                  <w:t>30</w:t>
                </w:r>
              </w:p>
            </w:tc>
            <w:tc>
              <w:tcPr>
                <w:tcW w:w="523" w:type="pct"/>
                <w:vAlign w:val="center"/>
              </w:tcPr>
              <w:p>
                <w:pPr>
                  <w:tabs>
                    <w:tab w:val="center" w:pos="4153"/>
                    <w:tab w:val="left" w:pos="6237"/>
                    <w:tab w:val="right" w:pos="8306"/>
                  </w:tabs>
                  <w:jc w:val="center"/>
                  <w:rPr>
                    <w:color w:val="000000"/>
                    <w:szCs w:val="24"/>
                    <w:lang w:eastAsia="lt-LT"/>
                  </w:rPr>
                </w:pPr>
                <w:r>
                  <w:rPr>
                    <w:color w:val="000000"/>
                    <w:szCs w:val="24"/>
                    <w:lang w:eastAsia="lt-LT"/>
                  </w:rPr>
                  <w:t>0</w:t>
                </w:r>
              </w:p>
            </w:tc>
          </w:tr>
          <w:tr>
            <w:tc>
              <w:tcPr>
                <w:tcW w:w="145" w:type="pct"/>
              </w:tcPr>
              <w:p>
                <w:pPr>
                  <w:tabs>
                    <w:tab w:val="center" w:pos="4153"/>
                    <w:tab w:val="left" w:pos="6237"/>
                    <w:tab w:val="right" w:pos="8306"/>
                  </w:tabs>
                  <w:jc w:val="center"/>
                  <w:rPr>
                    <w:color w:val="000000"/>
                    <w:szCs w:val="24"/>
                    <w:lang w:eastAsia="lt-LT"/>
                  </w:rPr>
                </w:pPr>
                <w:r>
                  <w:rPr>
                    <w:color w:val="000000"/>
                    <w:szCs w:val="24"/>
                    <w:lang w:eastAsia="lt-LT"/>
                  </w:rPr>
                  <w:t>3.</w:t>
                </w:r>
              </w:p>
            </w:tc>
            <w:tc>
              <w:tcPr>
                <w:tcW w:w="986" w:type="pct"/>
              </w:tcPr>
              <w:p>
                <w:pPr>
                  <w:tabs>
                    <w:tab w:val="center" w:pos="4153"/>
                    <w:tab w:val="left" w:pos="6237"/>
                    <w:tab w:val="right" w:pos="8306"/>
                  </w:tabs>
                  <w:rPr>
                    <w:color w:val="000000"/>
                    <w:szCs w:val="24"/>
                    <w:lang w:eastAsia="lt-LT"/>
                  </w:rPr>
                </w:pPr>
                <w:r>
                  <w:rPr>
                    <w:color w:val="000000"/>
                    <w:szCs w:val="24"/>
                    <w:lang w:eastAsia="lt-LT"/>
                  </w:rPr>
                  <w:t>Studentų įdarbinimas į mokslo, meno ir studijų veiklas</w:t>
                </w:r>
              </w:p>
            </w:tc>
            <w:tc>
              <w:tcPr>
                <w:tcW w:w="424" w:type="pct"/>
                <w:vAlign w:val="center"/>
              </w:tcPr>
              <w:p>
                <w:pPr>
                  <w:tabs>
                    <w:tab w:val="center" w:pos="4153"/>
                    <w:tab w:val="left" w:pos="6237"/>
                    <w:tab w:val="right" w:pos="8306"/>
                  </w:tabs>
                  <w:jc w:val="center"/>
                  <w:rPr>
                    <w:color w:val="000000"/>
                    <w:szCs w:val="24"/>
                    <w:lang w:eastAsia="lt-LT"/>
                  </w:rPr>
                </w:pPr>
                <w:r>
                  <w:rPr>
                    <w:color w:val="000000"/>
                    <w:szCs w:val="24"/>
                    <w:lang w:eastAsia="lt-LT"/>
                  </w:rPr>
                  <w:t>10</w:t>
                </w:r>
              </w:p>
            </w:tc>
            <w:tc>
              <w:tcPr>
                <w:tcW w:w="585" w:type="pct"/>
                <w:vAlign w:val="center"/>
              </w:tcPr>
              <w:p>
                <w:pPr>
                  <w:tabs>
                    <w:tab w:val="center" w:pos="4153"/>
                    <w:tab w:val="left" w:pos="6237"/>
                    <w:tab w:val="right" w:pos="8306"/>
                  </w:tabs>
                  <w:jc w:val="center"/>
                  <w:rPr>
                    <w:color w:val="000000"/>
                    <w:szCs w:val="24"/>
                    <w:lang w:eastAsia="lt-LT"/>
                  </w:rPr>
                </w:pPr>
                <w:r>
                  <w:rPr>
                    <w:color w:val="000000"/>
                    <w:szCs w:val="24"/>
                    <w:lang w:eastAsia="lt-LT"/>
                  </w:rPr>
                  <w:t>20</w:t>
                </w:r>
              </w:p>
            </w:tc>
            <w:tc>
              <w:tcPr>
                <w:tcW w:w="633" w:type="pct"/>
                <w:vAlign w:val="center"/>
              </w:tcPr>
              <w:p>
                <w:pPr>
                  <w:tabs>
                    <w:tab w:val="center" w:pos="4153"/>
                    <w:tab w:val="left" w:pos="6237"/>
                    <w:tab w:val="right" w:pos="8306"/>
                  </w:tabs>
                  <w:jc w:val="center"/>
                  <w:rPr>
                    <w:color w:val="000000"/>
                    <w:szCs w:val="24"/>
                    <w:lang w:eastAsia="lt-LT"/>
                  </w:rPr>
                </w:pPr>
                <w:r>
                  <w:rPr>
                    <w:color w:val="000000"/>
                    <w:szCs w:val="24"/>
                    <w:lang w:eastAsia="lt-LT"/>
                  </w:rPr>
                  <w:t>50</w:t>
                </w:r>
              </w:p>
            </w:tc>
            <w:tc>
              <w:tcPr>
                <w:tcW w:w="730" w:type="pct"/>
                <w:vAlign w:val="center"/>
              </w:tcPr>
              <w:p>
                <w:pPr>
                  <w:tabs>
                    <w:tab w:val="center" w:pos="4153"/>
                    <w:tab w:val="left" w:pos="6237"/>
                    <w:tab w:val="right" w:pos="8306"/>
                  </w:tabs>
                  <w:jc w:val="center"/>
                  <w:rPr>
                    <w:color w:val="000000"/>
                    <w:szCs w:val="24"/>
                    <w:lang w:eastAsia="lt-LT"/>
                  </w:rPr>
                </w:pPr>
                <w:r>
                  <w:rPr>
                    <w:color w:val="000000"/>
                    <w:szCs w:val="24"/>
                    <w:lang w:eastAsia="lt-LT"/>
                  </w:rPr>
                  <w:t>25</w:t>
                </w:r>
              </w:p>
            </w:tc>
            <w:tc>
              <w:tcPr>
                <w:tcW w:w="974" w:type="pct"/>
                <w:vAlign w:val="center"/>
              </w:tcPr>
              <w:p>
                <w:pPr>
                  <w:tabs>
                    <w:tab w:val="center" w:pos="4153"/>
                    <w:tab w:val="left" w:pos="6237"/>
                    <w:tab w:val="right" w:pos="8306"/>
                  </w:tabs>
                  <w:jc w:val="center"/>
                  <w:rPr>
                    <w:color w:val="000000"/>
                    <w:szCs w:val="24"/>
                    <w:lang w:eastAsia="lt-LT"/>
                  </w:rPr>
                </w:pPr>
                <w:r>
                  <w:rPr>
                    <w:color w:val="000000"/>
                    <w:szCs w:val="24"/>
                    <w:lang w:eastAsia="lt-LT"/>
                  </w:rPr>
                  <w:t>25</w:t>
                </w:r>
              </w:p>
            </w:tc>
            <w:tc>
              <w:tcPr>
                <w:tcW w:w="523" w:type="pct"/>
                <w:vAlign w:val="center"/>
              </w:tcPr>
              <w:p>
                <w:pPr>
                  <w:tabs>
                    <w:tab w:val="center" w:pos="4153"/>
                    <w:tab w:val="left" w:pos="6237"/>
                    <w:tab w:val="right" w:pos="8306"/>
                  </w:tabs>
                  <w:jc w:val="center"/>
                  <w:rPr>
                    <w:color w:val="000000"/>
                    <w:szCs w:val="24"/>
                    <w:lang w:eastAsia="lt-LT"/>
                  </w:rPr>
                </w:pPr>
                <w:r>
                  <w:rPr>
                    <w:color w:val="000000"/>
                    <w:szCs w:val="24"/>
                    <w:lang w:eastAsia="lt-LT"/>
                  </w:rPr>
                  <w:t>0</w:t>
                </w:r>
              </w:p>
            </w:tc>
          </w:tr>
          <w:tr>
            <w:tc>
              <w:tcPr>
                <w:tcW w:w="145" w:type="pct"/>
              </w:tcPr>
              <w:p>
                <w:pPr>
                  <w:tabs>
                    <w:tab w:val="center" w:pos="4153"/>
                    <w:tab w:val="left" w:pos="6237"/>
                    <w:tab w:val="right" w:pos="8306"/>
                  </w:tabs>
                  <w:jc w:val="center"/>
                  <w:rPr>
                    <w:color w:val="000000"/>
                    <w:szCs w:val="24"/>
                    <w:lang w:eastAsia="lt-LT"/>
                  </w:rPr>
                </w:pPr>
                <w:r>
                  <w:rPr>
                    <w:color w:val="000000"/>
                    <w:szCs w:val="24"/>
                    <w:lang w:eastAsia="lt-LT"/>
                  </w:rPr>
                  <w:t>4.</w:t>
                </w:r>
              </w:p>
            </w:tc>
            <w:tc>
              <w:tcPr>
                <w:tcW w:w="986" w:type="pct"/>
              </w:tcPr>
              <w:p>
                <w:pPr>
                  <w:tabs>
                    <w:tab w:val="center" w:pos="4153"/>
                    <w:tab w:val="left" w:pos="6237"/>
                    <w:tab w:val="right" w:pos="8306"/>
                  </w:tabs>
                  <w:rPr>
                    <w:color w:val="000000"/>
                    <w:szCs w:val="24"/>
                    <w:lang w:eastAsia="lt-LT"/>
                  </w:rPr>
                </w:pPr>
                <w:r>
                  <w:rPr>
                    <w:color w:val="000000"/>
                    <w:szCs w:val="24"/>
                    <w:lang w:eastAsia="lt-LT"/>
                  </w:rPr>
                  <w:t>Absolventų karjeros sėkmingumas</w:t>
                </w:r>
              </w:p>
            </w:tc>
            <w:tc>
              <w:tcPr>
                <w:tcW w:w="424" w:type="pct"/>
                <w:vAlign w:val="center"/>
              </w:tcPr>
              <w:p>
                <w:pPr>
                  <w:tabs>
                    <w:tab w:val="center" w:pos="4153"/>
                    <w:tab w:val="left" w:pos="6237"/>
                    <w:tab w:val="right" w:pos="8306"/>
                  </w:tabs>
                  <w:jc w:val="center"/>
                  <w:rPr>
                    <w:color w:val="000000"/>
                    <w:szCs w:val="24"/>
                    <w:lang w:eastAsia="lt-LT"/>
                  </w:rPr>
                </w:pPr>
                <w:r>
                  <w:rPr>
                    <w:color w:val="000000"/>
                    <w:szCs w:val="24"/>
                    <w:lang w:eastAsia="lt-LT"/>
                  </w:rPr>
                  <w:t>50</w:t>
                </w:r>
              </w:p>
            </w:tc>
            <w:tc>
              <w:tcPr>
                <w:tcW w:w="585" w:type="pct"/>
                <w:vAlign w:val="center"/>
              </w:tcPr>
              <w:p>
                <w:pPr>
                  <w:tabs>
                    <w:tab w:val="center" w:pos="4153"/>
                    <w:tab w:val="left" w:pos="6237"/>
                    <w:tab w:val="right" w:pos="8306"/>
                  </w:tabs>
                  <w:jc w:val="center"/>
                  <w:rPr>
                    <w:color w:val="000000"/>
                    <w:szCs w:val="24"/>
                    <w:lang w:eastAsia="lt-LT"/>
                  </w:rPr>
                </w:pPr>
                <w:r>
                  <w:rPr>
                    <w:color w:val="000000"/>
                    <w:szCs w:val="24"/>
                    <w:lang w:eastAsia="lt-LT"/>
                  </w:rPr>
                  <w:t>30</w:t>
                </w:r>
              </w:p>
            </w:tc>
            <w:tc>
              <w:tcPr>
                <w:tcW w:w="633" w:type="pct"/>
                <w:vAlign w:val="center"/>
              </w:tcPr>
              <w:p>
                <w:pPr>
                  <w:tabs>
                    <w:tab w:val="center" w:pos="4153"/>
                    <w:tab w:val="left" w:pos="6237"/>
                    <w:tab w:val="right" w:pos="8306"/>
                  </w:tabs>
                  <w:jc w:val="center"/>
                  <w:rPr>
                    <w:color w:val="000000"/>
                    <w:szCs w:val="24"/>
                    <w:lang w:eastAsia="lt-LT"/>
                  </w:rPr>
                </w:pPr>
                <w:r>
                  <w:rPr>
                    <w:color w:val="000000"/>
                    <w:szCs w:val="24"/>
                    <w:lang w:eastAsia="lt-LT"/>
                  </w:rPr>
                  <w:t>0</w:t>
                </w:r>
              </w:p>
            </w:tc>
            <w:tc>
              <w:tcPr>
                <w:tcW w:w="730" w:type="pct"/>
                <w:vAlign w:val="center"/>
              </w:tcPr>
              <w:p>
                <w:pPr>
                  <w:tabs>
                    <w:tab w:val="center" w:pos="4153"/>
                    <w:tab w:val="left" w:pos="6237"/>
                    <w:tab w:val="right" w:pos="8306"/>
                  </w:tabs>
                  <w:jc w:val="center"/>
                  <w:rPr>
                    <w:color w:val="000000"/>
                    <w:szCs w:val="24"/>
                    <w:lang w:eastAsia="lt-LT"/>
                  </w:rPr>
                </w:pPr>
                <w:r>
                  <w:rPr>
                    <w:color w:val="000000"/>
                    <w:szCs w:val="24"/>
                    <w:lang w:eastAsia="lt-LT"/>
                  </w:rPr>
                  <w:t>10</w:t>
                </w:r>
              </w:p>
            </w:tc>
            <w:tc>
              <w:tcPr>
                <w:tcW w:w="974" w:type="pct"/>
                <w:vAlign w:val="center"/>
              </w:tcPr>
              <w:p>
                <w:pPr>
                  <w:tabs>
                    <w:tab w:val="center" w:pos="4153"/>
                    <w:tab w:val="left" w:pos="6237"/>
                    <w:tab w:val="right" w:pos="8306"/>
                  </w:tabs>
                  <w:jc w:val="center"/>
                  <w:rPr>
                    <w:color w:val="000000"/>
                    <w:szCs w:val="24"/>
                    <w:lang w:eastAsia="lt-LT"/>
                  </w:rPr>
                </w:pPr>
                <w:r>
                  <w:rPr>
                    <w:color w:val="000000"/>
                    <w:szCs w:val="24"/>
                    <w:lang w:eastAsia="lt-LT"/>
                  </w:rPr>
                  <w:t>10</w:t>
                </w:r>
              </w:p>
            </w:tc>
            <w:tc>
              <w:tcPr>
                <w:tcW w:w="523" w:type="pct"/>
                <w:vAlign w:val="center"/>
              </w:tcPr>
              <w:p>
                <w:pPr>
                  <w:tabs>
                    <w:tab w:val="center" w:pos="4153"/>
                    <w:tab w:val="left" w:pos="6237"/>
                    <w:tab w:val="right" w:pos="8306"/>
                  </w:tabs>
                  <w:jc w:val="center"/>
                  <w:rPr>
                    <w:color w:val="000000"/>
                    <w:szCs w:val="24"/>
                    <w:lang w:eastAsia="lt-LT"/>
                  </w:rPr>
                </w:pPr>
                <w:r>
                  <w:rPr>
                    <w:color w:val="000000"/>
                    <w:szCs w:val="24"/>
                    <w:lang w:eastAsia="lt-LT"/>
                  </w:rPr>
                  <w:t>70</w:t>
                </w:r>
              </w:p>
            </w:tc>
          </w:tr>
          <w:tr>
            <w:tc>
              <w:tcPr>
                <w:tcW w:w="145" w:type="pct"/>
              </w:tcPr>
              <w:p>
                <w:pPr>
                  <w:tabs>
                    <w:tab w:val="center" w:pos="4153"/>
                    <w:tab w:val="left" w:pos="6237"/>
                    <w:tab w:val="right" w:pos="8306"/>
                  </w:tabs>
                  <w:jc w:val="center"/>
                  <w:rPr>
                    <w:color w:val="000000"/>
                    <w:szCs w:val="24"/>
                    <w:lang w:eastAsia="lt-LT"/>
                  </w:rPr>
                </w:pPr>
                <w:r>
                  <w:rPr>
                    <w:color w:val="000000"/>
                    <w:szCs w:val="24"/>
                    <w:lang w:eastAsia="lt-LT"/>
                  </w:rPr>
                  <w:t>5.</w:t>
                </w:r>
              </w:p>
            </w:tc>
            <w:tc>
              <w:tcPr>
                <w:tcW w:w="986" w:type="pct"/>
              </w:tcPr>
              <w:p>
                <w:pPr>
                  <w:tabs>
                    <w:tab w:val="center" w:pos="4153"/>
                    <w:tab w:val="left" w:pos="6237"/>
                    <w:tab w:val="right" w:pos="8306"/>
                  </w:tabs>
                  <w:rPr>
                    <w:color w:val="000000"/>
                    <w:szCs w:val="24"/>
                    <w:lang w:eastAsia="lt-LT"/>
                  </w:rPr>
                </w:pPr>
                <w:r>
                  <w:rPr>
                    <w:color w:val="000000"/>
                    <w:szCs w:val="24"/>
                    <w:lang w:eastAsia="lt-LT"/>
                  </w:rPr>
                  <w:t>Studijų prieinamumas</w:t>
                </w:r>
              </w:p>
            </w:tc>
            <w:tc>
              <w:tcPr>
                <w:tcW w:w="424" w:type="pct"/>
                <w:vAlign w:val="center"/>
              </w:tcPr>
              <w:p>
                <w:pPr>
                  <w:tabs>
                    <w:tab w:val="center" w:pos="4153"/>
                    <w:tab w:val="left" w:pos="6237"/>
                    <w:tab w:val="right" w:pos="8306"/>
                  </w:tabs>
                  <w:jc w:val="center"/>
                  <w:rPr>
                    <w:color w:val="000000"/>
                    <w:szCs w:val="24"/>
                    <w:lang w:eastAsia="lt-LT"/>
                  </w:rPr>
                </w:pPr>
                <w:r>
                  <w:rPr>
                    <w:color w:val="000000"/>
                    <w:szCs w:val="24"/>
                    <w:lang w:eastAsia="lt-LT"/>
                  </w:rPr>
                  <w:t>20</w:t>
                </w:r>
              </w:p>
            </w:tc>
            <w:tc>
              <w:tcPr>
                <w:tcW w:w="585" w:type="pct"/>
                <w:vAlign w:val="center"/>
              </w:tcPr>
              <w:p>
                <w:pPr>
                  <w:tabs>
                    <w:tab w:val="center" w:pos="4153"/>
                    <w:tab w:val="left" w:pos="6237"/>
                    <w:tab w:val="right" w:pos="8306"/>
                  </w:tabs>
                  <w:jc w:val="center"/>
                  <w:rPr>
                    <w:color w:val="000000"/>
                    <w:szCs w:val="24"/>
                    <w:lang w:eastAsia="lt-LT"/>
                  </w:rPr>
                </w:pPr>
                <w:r>
                  <w:rPr>
                    <w:color w:val="000000"/>
                    <w:szCs w:val="24"/>
                    <w:lang w:eastAsia="lt-LT"/>
                  </w:rPr>
                  <w:t>20</w:t>
                </w:r>
              </w:p>
            </w:tc>
            <w:tc>
              <w:tcPr>
                <w:tcW w:w="633" w:type="pct"/>
                <w:vAlign w:val="center"/>
              </w:tcPr>
              <w:p>
                <w:pPr>
                  <w:tabs>
                    <w:tab w:val="center" w:pos="4153"/>
                    <w:tab w:val="left" w:pos="6237"/>
                    <w:tab w:val="right" w:pos="8306"/>
                  </w:tabs>
                  <w:jc w:val="center"/>
                  <w:rPr>
                    <w:color w:val="000000"/>
                    <w:szCs w:val="24"/>
                    <w:lang w:eastAsia="lt-LT"/>
                  </w:rPr>
                </w:pPr>
                <w:r>
                  <w:rPr>
                    <w:color w:val="000000"/>
                    <w:szCs w:val="24"/>
                    <w:lang w:eastAsia="lt-LT"/>
                  </w:rPr>
                  <w:t>10</w:t>
                </w:r>
              </w:p>
            </w:tc>
            <w:tc>
              <w:tcPr>
                <w:tcW w:w="730" w:type="pct"/>
                <w:vAlign w:val="center"/>
              </w:tcPr>
              <w:p>
                <w:pPr>
                  <w:tabs>
                    <w:tab w:val="center" w:pos="4153"/>
                    <w:tab w:val="left" w:pos="6237"/>
                    <w:tab w:val="right" w:pos="8306"/>
                  </w:tabs>
                  <w:jc w:val="center"/>
                  <w:rPr>
                    <w:color w:val="000000"/>
                    <w:szCs w:val="24"/>
                    <w:lang w:eastAsia="lt-LT"/>
                  </w:rPr>
                </w:pPr>
                <w:r>
                  <w:rPr>
                    <w:color w:val="000000"/>
                    <w:szCs w:val="24"/>
                    <w:lang w:eastAsia="lt-LT"/>
                  </w:rPr>
                  <w:t>10</w:t>
                </w:r>
              </w:p>
            </w:tc>
            <w:tc>
              <w:tcPr>
                <w:tcW w:w="974" w:type="pct"/>
                <w:vAlign w:val="center"/>
              </w:tcPr>
              <w:p>
                <w:pPr>
                  <w:tabs>
                    <w:tab w:val="center" w:pos="4153"/>
                    <w:tab w:val="left" w:pos="6237"/>
                    <w:tab w:val="right" w:pos="8306"/>
                  </w:tabs>
                  <w:jc w:val="center"/>
                  <w:rPr>
                    <w:color w:val="000000"/>
                    <w:szCs w:val="24"/>
                    <w:lang w:eastAsia="lt-LT"/>
                  </w:rPr>
                </w:pPr>
                <w:r>
                  <w:rPr>
                    <w:color w:val="000000"/>
                    <w:szCs w:val="24"/>
                    <w:lang w:eastAsia="lt-LT"/>
                  </w:rPr>
                  <w:t>10</w:t>
                </w:r>
              </w:p>
            </w:tc>
            <w:tc>
              <w:tcPr>
                <w:tcW w:w="523" w:type="pct"/>
                <w:vAlign w:val="center"/>
              </w:tcPr>
              <w:p>
                <w:pPr>
                  <w:tabs>
                    <w:tab w:val="center" w:pos="4153"/>
                    <w:tab w:val="left" w:pos="6237"/>
                    <w:tab w:val="right" w:pos="8306"/>
                  </w:tabs>
                  <w:jc w:val="center"/>
                  <w:rPr>
                    <w:color w:val="000000"/>
                    <w:szCs w:val="24"/>
                    <w:lang w:eastAsia="lt-LT"/>
                  </w:rPr>
                </w:pPr>
                <w:r>
                  <w:rPr>
                    <w:color w:val="000000"/>
                    <w:szCs w:val="24"/>
                    <w:lang w:eastAsia="lt-LT"/>
                  </w:rPr>
                  <w:t>20</w:t>
                </w:r>
              </w:p>
            </w:tc>
          </w:tr>
        </w:tbl>
        <w:sdt>
          <w:sdtPr>
            <w:alias w:val="pabaiga"/>
            <w:tag w:val="part_e11990cdb2434c94b74f567553e396fd"/>
            <w:lock w:val="sdtLocked"/>
            <w:richText/>
          </w:sdtPr>
          <w:sdtContent>
            <w:p>
              <w:pPr>
                <w:jc w:val="center"/>
                <w:rPr>
                  <w:color w:val="000000"/>
                  <w:szCs w:val="24"/>
                  <w:lang w:eastAsia="lt-LT"/>
                </w:rPr>
              </w:pPr>
              <w:r>
                <w:rPr>
                  <w:color w:val="000000"/>
                  <w:szCs w:val="24"/>
                  <w:lang w:eastAsia="lt-LT"/>
                </w:rPr>
                <w:t>______________</w:t>
              </w:r>
            </w:p>
          </w:sdtContent>
        </w:sdt>
      </w:sdtContent>
    </w:sdt>
    <w:sdt>
      <w:sdtPr>
        <w:alias w:val="2 pr."/>
        <w:tag w:val="part_de2e179ea6144a1ca90b69a2284b7b49"/>
        <w:lock w:val="sdtLocked"/>
        <w:richText/>
      </w:sdtPr>
      <w:sdtContent>
        <w:p>
          <w:pPr>
            <w:jc w:val="center"/>
            <w:rPr>
              <w:color w:val="000000"/>
              <w:szCs w:val="24"/>
              <w:lang w:eastAsia="lt-LT"/>
            </w:rPr>
          </w:pPr>
        </w:p>
        <w:p>
          <w:pPr>
            <w:ind w:firstLine="3969"/>
            <w:rPr>
              <w:color w:val="000000"/>
            </w:rPr>
            <w:sectPr>
              <w:headerReference w:type="even" r:id="rId30"/>
              <w:headerReference w:type="default" r:id="rId31"/>
              <w:footerReference w:type="even" r:id="rId32"/>
              <w:footerReference w:type="default" r:id="rId33"/>
              <w:headerReference w:type="first" r:id="rId34"/>
              <w:footerReference w:type="first" r:id="rId35"/>
              <w:pgSz w:w="16838" w:h="11906" w:orient="landscape"/>
              <w:pgMar w:top="1134" w:right="1134" w:bottom="567" w:left="1134" w:header="567" w:footer="567" w:gutter="0"/>
              <w:pgNumType w:start="1"/>
              <w:cols w:space="1296"/>
              <w:titlePg/>
              <w:docGrid w:linePitch="326"/>
            </w:sectPr>
          </w:pPr>
        </w:p>
        <w:p>
          <w:pPr>
            <w:ind w:firstLine="4678"/>
            <w:rPr>
              <w:color w:val="000000"/>
              <w:szCs w:val="24"/>
              <w:lang w:eastAsia="lt-LT"/>
            </w:rPr>
          </w:pPr>
          <w:r>
            <w:rPr>
              <w:color w:val="000000"/>
              <w:szCs w:val="24"/>
              <w:lang w:eastAsia="lt-LT"/>
            </w:rPr>
            <w:t xml:space="preserve">Studijų veiklos pasiekimų vertinimo, valstybės </w:t>
          </w:r>
        </w:p>
        <w:p>
          <w:pPr>
            <w:ind w:firstLine="4678"/>
            <w:rPr>
              <w:color w:val="000000"/>
              <w:szCs w:val="24"/>
              <w:lang w:eastAsia="lt-LT"/>
            </w:rPr>
          </w:pPr>
          <w:r>
            <w:rPr>
              <w:color w:val="000000"/>
              <w:szCs w:val="24"/>
              <w:lang w:eastAsia="lt-LT"/>
            </w:rPr>
            <w:t xml:space="preserve">biudžeto skatinamojo finansavimo už studijų </w:t>
          </w:r>
        </w:p>
        <w:p>
          <w:pPr>
            <w:ind w:firstLine="4678"/>
            <w:rPr>
              <w:color w:val="000000"/>
              <w:szCs w:val="24"/>
              <w:lang w:eastAsia="lt-LT"/>
            </w:rPr>
          </w:pPr>
          <w:r>
            <w:rPr>
              <w:color w:val="000000"/>
              <w:szCs w:val="24"/>
              <w:lang w:eastAsia="lt-LT"/>
            </w:rPr>
            <w:t xml:space="preserve">veiklos pasiekimus lėšų </w:t>
          </w:r>
          <w:r>
            <w:rPr>
              <w:bCs/>
              <w:color w:val="000000"/>
              <w:szCs w:val="24"/>
              <w:lang w:eastAsia="lt-LT"/>
            </w:rPr>
            <w:t>skirstymo</w:t>
          </w:r>
          <w:r>
            <w:rPr>
              <w:color w:val="000000"/>
              <w:szCs w:val="24"/>
              <w:lang w:eastAsia="lt-LT"/>
            </w:rPr>
            <w:t xml:space="preserve"> mokslo ir </w:t>
          </w:r>
        </w:p>
        <w:p>
          <w:pPr>
            <w:ind w:firstLine="4678"/>
            <w:rPr>
              <w:color w:val="000000"/>
              <w:szCs w:val="24"/>
              <w:lang w:eastAsia="lt-LT"/>
            </w:rPr>
          </w:pPr>
          <w:r>
            <w:rPr>
              <w:color w:val="000000"/>
              <w:szCs w:val="24"/>
              <w:lang w:eastAsia="lt-LT"/>
            </w:rPr>
            <w:t xml:space="preserve">studijų institucijoms, duomenų, kurių reikia </w:t>
          </w:r>
        </w:p>
        <w:p>
          <w:pPr>
            <w:ind w:firstLine="4678"/>
            <w:rPr>
              <w:color w:val="000000"/>
              <w:szCs w:val="24"/>
              <w:lang w:eastAsia="lt-LT"/>
            </w:rPr>
          </w:pPr>
          <w:r>
            <w:rPr>
              <w:color w:val="000000"/>
              <w:szCs w:val="24"/>
              <w:lang w:eastAsia="lt-LT"/>
            </w:rPr>
            <w:t xml:space="preserve">siekiant atlikti studijų veiklos pasiekimų </w:t>
          </w:r>
        </w:p>
        <w:p>
          <w:pPr>
            <w:ind w:firstLine="4678"/>
            <w:rPr>
              <w:color w:val="000000"/>
              <w:szCs w:val="24"/>
              <w:lang w:eastAsia="lt-LT"/>
            </w:rPr>
          </w:pPr>
          <w:r>
            <w:rPr>
              <w:color w:val="000000"/>
              <w:szCs w:val="24"/>
              <w:lang w:eastAsia="lt-LT"/>
            </w:rPr>
            <w:t xml:space="preserve">vertinimus, teikimo ir mokslo ir studijų </w:t>
          </w:r>
        </w:p>
        <w:p>
          <w:pPr>
            <w:ind w:firstLine="4678"/>
            <w:rPr>
              <w:color w:val="000000"/>
              <w:szCs w:val="24"/>
              <w:lang w:eastAsia="lt-LT"/>
            </w:rPr>
          </w:pPr>
          <w:r>
            <w:rPr>
              <w:color w:val="000000"/>
              <w:szCs w:val="24"/>
              <w:lang w:eastAsia="lt-LT"/>
            </w:rPr>
            <w:t xml:space="preserve">institucijų studijų veiklos pasiekimų vertinimo </w:t>
          </w:r>
        </w:p>
        <w:p>
          <w:pPr>
            <w:ind w:firstLine="4678"/>
            <w:rPr>
              <w:color w:val="000000"/>
              <w:szCs w:val="24"/>
              <w:lang w:eastAsia="lt-LT"/>
            </w:rPr>
          </w:pPr>
          <w:r>
            <w:rPr>
              <w:color w:val="000000"/>
              <w:szCs w:val="24"/>
              <w:lang w:eastAsia="lt-LT"/>
            </w:rPr>
            <w:t xml:space="preserve">kriterijų svorio koeficientų nustatymo tvarkos </w:t>
          </w:r>
        </w:p>
        <w:p>
          <w:pPr>
            <w:ind w:firstLine="4678"/>
            <w:rPr>
              <w:color w:val="000000"/>
              <w:szCs w:val="24"/>
              <w:lang w:eastAsia="lt-LT"/>
            </w:rPr>
          </w:pPr>
          <w:r>
            <w:rPr>
              <w:color w:val="000000"/>
              <w:szCs w:val="24"/>
              <w:lang w:eastAsia="lt-LT"/>
            </w:rPr>
            <w:t xml:space="preserve">aprašo </w:t>
          </w:r>
        </w:p>
        <w:p>
          <w:pPr>
            <w:tabs>
              <w:tab w:val="center" w:pos="4153"/>
              <w:tab w:val="left" w:pos="6237"/>
              <w:tab w:val="right" w:pos="8306"/>
            </w:tabs>
            <w:ind w:firstLine="4678"/>
            <w:rPr>
              <w:color w:val="000000"/>
              <w:szCs w:val="24"/>
              <w:lang w:eastAsia="lt-LT"/>
            </w:rPr>
          </w:pPr>
          <w:sdt>
            <w:sdtPr>
              <w:alias w:val="Numeris"/>
              <w:tag w:val="nr_de2e179ea6144a1ca90b69a2284b7b49"/>
              <w:lock w:val="sdtLocked"/>
              <w:richText/>
            </w:sdtPr>
            <w:sdtContent>
              <w:r>
                <w:rPr>
                  <w:color w:val="000000"/>
                  <w:szCs w:val="24"/>
                  <w:lang w:eastAsia="lt-LT"/>
                </w:rPr>
                <w:t>2</w:t>
              </w:r>
            </w:sdtContent>
          </w:sdt>
          <w:r>
            <w:rPr>
              <w:b/>
              <w:bCs/>
              <w:color w:val="000000"/>
              <w:szCs w:val="24"/>
              <w:lang w:eastAsia="lt-LT"/>
            </w:rPr>
            <w:t xml:space="preserve"> </w:t>
          </w:r>
          <w:r>
            <w:rPr>
              <w:color w:val="000000"/>
              <w:szCs w:val="24"/>
              <w:lang w:eastAsia="lt-LT"/>
            </w:rPr>
            <w:t xml:space="preserve">priedas </w:t>
          </w:r>
        </w:p>
        <w:p>
          <w:pPr>
            <w:jc w:val="center"/>
            <w:rPr>
              <w:color w:val="000000"/>
              <w:szCs w:val="24"/>
              <w:lang w:eastAsia="lt-LT"/>
            </w:rPr>
          </w:pPr>
        </w:p>
        <w:p>
          <w:pPr>
            <w:jc w:val="center"/>
            <w:rPr>
              <w:b/>
              <w:color w:val="000000"/>
              <w:szCs w:val="24"/>
              <w:lang w:eastAsia="lt-LT"/>
            </w:rPr>
          </w:pPr>
          <w:r>
            <w:rPr>
              <w:b/>
              <w:bCs/>
              <w:color w:val="000000"/>
              <w:szCs w:val="24"/>
              <w:lang w:eastAsia="lt-LT"/>
            </w:rPr>
            <w:t>MOKSLO IR STUDIJŲ INSTITUCIJŲ STUDIJŲ VEIKLOS PASIEKIMŲ</w:t>
          </w:r>
          <w:r>
            <w:rPr>
              <w:color w:val="000000"/>
              <w:szCs w:val="24"/>
              <w:lang w:eastAsia="lt-LT"/>
            </w:rPr>
            <w:t xml:space="preserve"> </w:t>
          </w:r>
          <w:r>
            <w:rPr>
              <w:b/>
              <w:color w:val="000000"/>
              <w:szCs w:val="24"/>
              <w:lang w:eastAsia="lt-LT"/>
            </w:rPr>
            <w:t>KRITERIJŲ ĮVERČIŲ APRAŠAI</w:t>
          </w:r>
        </w:p>
        <w:p>
          <w:pPr>
            <w:widowControl w:val="0"/>
            <w:jc w:val="center"/>
            <w:rPr>
              <w:color w:val="000000"/>
              <w:szCs w:val="24"/>
              <w:lang w:eastAsia="lt-LT"/>
            </w:rPr>
          </w:pPr>
        </w:p>
        <w:tbl>
          <w:tblPr>
            <w:tblW w:w="9540" w:type="dxa"/>
            <w:tblInd w:w="93" w:type="dxa"/>
            <w:tblLayout w:type="fixed"/>
            <w:tblLook w:val="0400" w:firstRow="0" w:lastRow="0" w:firstColumn="0" w:lastColumn="0" w:noHBand="0" w:noVBand="1"/>
          </w:tblPr>
          <w:tblGrid>
            <w:gridCol w:w="1770"/>
            <w:gridCol w:w="7770"/>
          </w:tblGrid>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Studijų rezultatyvumas.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 xml:space="preserve">Trumposios, pirmosios, antrosios, trečiosios pakopų, vientisųjų, profesinių studijų absolventų skaičius. </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 xml:space="preserve">Skaičiavimo metodas </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pPr>
                  <w:tabs>
                    <w:tab w:val="right" w:pos="9808"/>
                  </w:tabs>
                  <w:jc w:val="both"/>
                  <w:rPr>
                    <w:color w:val="000000"/>
                    <w:szCs w:val="24"/>
                    <w:lang w:eastAsia="lt-LT"/>
                  </w:rPr>
                </w:pPr>
                <w:r>
                  <w:rPr>
                    <w:color w:val="000000"/>
                    <w:lang w:eastAsia="lt-LT"/>
                  </w:rPr>
                  <w:t xml:space="preserve">Skaičiuojant studijas baigusių absolventų skaičių </w:t>
                </w:r>
                <w:r>
                  <w:rPr>
                    <w:color w:val="000000"/>
                    <w:szCs w:val="24"/>
                    <w:lang w:eastAsia="lt-LT"/>
                  </w:rPr>
                  <w:t xml:space="preserve">susumuojami visi einamaisiais metais studijas </w:t>
                </w:r>
                <w:r>
                  <w:rPr>
                    <w:color w:val="000000"/>
                    <w:lang w:eastAsia="lt-LT"/>
                  </w:rPr>
                  <w:t xml:space="preserve">mokslo ir studijų institucijoje </w:t>
                </w:r>
                <w:r>
                  <w:rPr>
                    <w:color w:val="000000"/>
                    <w:szCs w:val="24"/>
                    <w:lang w:eastAsia="lt-LT"/>
                  </w:rPr>
                  <w:t>pabaigę trumposios, pirmosios, antrosios, trečiosios pakopų, vientisųjų ir profesinių (pedagoginių ir rezidentūros) studijų absolventai (trečiosios studijų pakopos atveju – visi, einamaisiais metais apgynę disertaciją arba meno projektą). Ištęstinių ir nuolatinių studijų studentai skaičiuojami bendrai. Studentai, nutraukę studijas, neįskaičiuojami.</w:t>
                </w:r>
              </w:p>
              <w:p>
                <w:pPr>
                  <w:tabs>
                    <w:tab w:val="right" w:pos="9808"/>
                  </w:tabs>
                  <w:jc w:val="both"/>
                  <w:rPr>
                    <w:color w:val="000000"/>
                    <w:lang w:eastAsia="lt-LT"/>
                  </w:rPr>
                </w:pPr>
                <w:r>
                  <w:rPr>
                    <w:color w:val="000000"/>
                    <w:lang w:eastAsia="lt-LT"/>
                  </w:rPr>
                  <w:t>Apskaičiuojant studentų, nutraukusių studijas, dalį studijų grupėje, imami visi prieš Y+Z (Y – studijų programos / mokslo krypties trukmė metais; Z – Studentų registre nurodytas studijų pertraukimo laikotarpis) metų studijas pradėję ir iki ataskaitinio laikotarpio pabaigos turėję jas pabaigti trumposios, pirmosios, antrosios pakopų, vientisųjų ir profesinių (pedagoginių ir rezidentūros) studijų studentai (studijų pradžios metai nustatomi iš einamųjų metų atėmus Y+Z) bei doktorantai, studijas pradėję prieš Y+Z+1 ir turėję apginti disertaciją arba meno projektą iki ataskaitinio laikotarpio pabaigos. Iš jų išskiriami studentai, kurie nutraukė studijas jų nebaigę per Y+Z metų, o trečiosios studijų pakopos atveju – doktorantai, nutraukę doktorantūrą arba neapgynę disertacijos arba meno projekto per Y+Z+1 metus. Į nutraukusiųjų studijas neskaičiuojami studentai, jeigu studijos mokslo ir studijų institucijoje nutrauktos mirties atveju, nutraukus studijas dėl studijų programos keitimo, pratęsiant studijas toje pačioje ar</w:t>
                </w:r>
                <w:r>
                  <w:rPr>
                    <w:color w:val="000000"/>
                  </w:rPr>
                  <w:t xml:space="preserve"> </w:t>
                </w:r>
                <w:r>
                  <w:rPr>
                    <w:color w:val="000000"/>
                    <w:lang w:eastAsia="lt-LT"/>
                  </w:rPr>
                  <w:t xml:space="preserve">kitoje aukštojoje mokykloje, nutraukus </w:t>
                </w:r>
                <w:r>
                  <w:rPr>
                    <w:color w:val="000000"/>
                  </w:rPr>
                  <w:t>studijas dėl finansavimo šaltinio keitimo, pratęsiant studijas toje pačioje ar kitoje mokslo ir studijų institucijoje,</w:t>
                </w:r>
                <w:r>
                  <w:rPr>
                    <w:color w:val="000000"/>
                    <w:lang w:eastAsia="lt-LT"/>
                  </w:rPr>
                  <w:t xml:space="preserve"> taip pat </w:t>
                </w:r>
                <w:r>
                  <w:rPr>
                    <w:color w:val="000000"/>
                  </w:rPr>
                  <w:t xml:space="preserve">studentai užsieniečiai, nutraukę studijas per pirmą semestrą. </w:t>
                </w:r>
                <w:r>
                  <w:rPr>
                    <w:color w:val="000000"/>
                    <w:lang w:eastAsia="lt-LT"/>
                  </w:rPr>
                  <w:t xml:space="preserve">Nustatoma, kokią dalį (procentais) nutraukę studijas studentai sudaro nuo visų prieš Y+Z metų studijas pradėjusių ir iki ataskaitinio laikotarpio pabaigos turėjusių jas pabaigti trumposios, pirmosios, antrosios pakopų, vientisųjų ir profesinių (pedagoginių ir rezidentūros) studijų studentų bei prieš Y+Z+1 metų studijas pradėjusių ir iki ataskaitinio laikotarpio pabaigos turėjusių apginti disertaciją ar meno projektą doktorantų. </w:t>
                </w:r>
              </w:p>
              <w:p>
                <w:pPr>
                  <w:tabs>
                    <w:tab w:val="right" w:pos="9808"/>
                  </w:tabs>
                  <w:jc w:val="both"/>
                  <w:rPr>
                    <w:color w:val="000000"/>
                    <w:lang w:eastAsia="lt-LT"/>
                  </w:rPr>
                </w:pPr>
                <w:r>
                  <w:rPr>
                    <w:color w:val="000000"/>
                    <w:shd w:val="clear" w:color="auto" w:fill="FFFFFF"/>
                  </w:rPr>
                  <w:t>Skatinimo lėšos skiriamos, jei nutraukusiųjų studijas dalis studijų grupėje ne didesnė nei 25 procentai.</w:t>
                </w:r>
              </w:p>
            </w:tc>
          </w:tr>
          <w:tr>
            <w:trPr>
              <w:trHeight w:val="553"/>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pPr>
                  <w:tabs>
                    <w:tab w:val="right" w:pos="9808"/>
                  </w:tabs>
                  <w:jc w:val="both"/>
                  <w:rPr>
                    <w:color w:val="000000"/>
                    <w:lang w:eastAsia="lt-LT"/>
                  </w:rPr>
                </w:pPr>
                <w:r>
                  <w:rPr>
                    <w:color w:val="000000"/>
                    <w:lang w:eastAsia="lt-LT"/>
                  </w:rPr>
                  <w:t>Švietimo valdymo informacinė sistema (toliau – 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pPr>
                  <w:tabs>
                    <w:tab w:val="right" w:pos="9808"/>
                  </w:tabs>
                  <w:jc w:val="both"/>
                  <w:rPr>
                    <w:color w:val="000000"/>
                    <w:lang w:eastAsia="lt-LT"/>
                  </w:rPr>
                </w:pPr>
                <w:r>
                  <w:rPr>
                    <w:color w:val="000000"/>
                    <w:lang w:eastAsia="lt-LT"/>
                  </w:rPr>
                  <w:t xml:space="preserve">Nuo N-1 (N – einamieji metai) metų spalio 1 dienos iki N metų rugsėjo 30 dienos (trečiosios studijų pakopos atveju – nuo N-2 metų gruodžio 31 dienos iki N-1 metų gruodžio 30 dienos). </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Studijų tarptautiškumas.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Koleginių studijų atveju – trumposios pakopos, pirmosios pakopos absolventų, per studijų laikotarpį išvykusių į užsienio mokslo ir studijų institucijas dalinėms studijoms ar praktikai skaičiaus ir absolventų užsieniečių skaičiaus suma; universitetinių studijų atveju – pirmosios, antrosios pakopų, vientisųjų studijų absolventų užsieniečių skaičius; trečiosios pakopos – doktorantų, apgynusių disertaciją ar meno projektą ir per doktorantūros laikotarpį išvykusių stažuotei (stažuotėms),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Koleginių studijų atveju – susumuojami visi trumposios pakopos, pirmosios pakopos absolventai, per studijų laikotarpį išvykę į užsienio mokslo ir studijų institucijas dalinėms studijoms ar praktikai (abiem atvejais ne mažesnės kaip 15 studijų kreditų apimties, gali būti sumuojamas kelių išvykų laikotarpis atskirai dalinėms studijoms ar praktikai), ir absolventai užsieniečiai.</w:t>
                </w:r>
              </w:p>
              <w:p>
                <w:pPr>
                  <w:tabs>
                    <w:tab w:val="right" w:pos="9808"/>
                  </w:tabs>
                  <w:jc w:val="both"/>
                  <w:rPr>
                    <w:color w:val="000000"/>
                    <w:szCs w:val="24"/>
                    <w:lang w:eastAsia="lt-LT"/>
                  </w:rPr>
                </w:pPr>
                <w:r>
                  <w:rPr>
                    <w:color w:val="000000"/>
                    <w:szCs w:val="24"/>
                    <w:lang w:eastAsia="lt-LT"/>
                  </w:rPr>
                  <w:t xml:space="preserve">Universitetinių studijų atveju – susumuojami visi pirmosios, antrosios pakopų, vientisųjų studijų absolventai užsieniečiai; trečiosios pakopos – susumuojami visi doktorantai, apgynę disertaciją ar meno projektą ir per doktorantūros laikotarpį išvykę stažuotei (stažuotėms) ne trumpesniam nei 90 kalendorinių dienų laikotarpiui, skaičiuojant bendrą stažuotės (stažuočių) trukmę. </w:t>
                </w:r>
              </w:p>
              <w:p>
                <w:pPr>
                  <w:tabs>
                    <w:tab w:val="right" w:pos="9808"/>
                  </w:tabs>
                  <w:jc w:val="both"/>
                  <w:rPr>
                    <w:color w:val="000000"/>
                  </w:rPr>
                </w:pPr>
                <w:r>
                  <w:rPr>
                    <w:color w:val="000000"/>
                    <w:szCs w:val="24"/>
                    <w:lang w:eastAsia="lt-LT"/>
                  </w:rPr>
                  <w:t>Apskaičiuojant duomens reikšmę, trumposios pakopos, pirmosios pakopos koleginių studijų atveju ir universitetinių pirmosios, antrosios pakopų, vientisųjų studijų atveju skaičiuojamas</w:t>
                </w:r>
                <w:r>
                  <w:rPr>
                    <w:color w:val="000000"/>
                  </w:rPr>
                  <w:t xml:space="preserve"> absolventų užsieniečių skaičius studijų grupėje pagal institucijos tipą ar grupę įskaitomas ne didesnis nei 30 proc. nuo atitinkamos mokslo ir studijų institucijos bendro absolventų skaičiaus (Lietuvos Respublikos piliečiai ir užsieniečiai) studijų grupėje pagal institucijos tipą ar grupę.</w:t>
                </w:r>
              </w:p>
              <w:p>
                <w:pPr>
                  <w:tabs>
                    <w:tab w:val="right" w:pos="9808"/>
                  </w:tabs>
                  <w:jc w:val="both"/>
                  <w:rPr>
                    <w:color w:val="000000"/>
                    <w:szCs w:val="24"/>
                    <w:lang w:eastAsia="lt-LT"/>
                  </w:rPr>
                </w:pPr>
                <w:r>
                  <w:rPr>
                    <w:color w:val="000000"/>
                    <w:lang w:eastAsia="lt-LT"/>
                  </w:rPr>
                  <w:t>Egzilyje veikiančios aukštosios mokyklos atveju šios aukštosios mokyklos kilmės šalies piliečiai bei Lietuvos Respublikos piliečiai neskaičiuojami kaip absolventai užsieniečiai.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left" w:pos="304"/>
                    <w:tab w:val="left" w:pos="1134"/>
                    <w:tab w:val="left" w:pos="1985"/>
                  </w:tabs>
                  <w:ind w:left="21" w:hanging="21"/>
                  <w:jc w:val="both"/>
                  <w:rPr>
                    <w:color w:val="000000"/>
                    <w:szCs w:val="24"/>
                    <w:lang w:eastAsia="lt-LT"/>
                  </w:rPr>
                </w:pPr>
                <w:r>
                  <w:rPr>
                    <w:color w:val="000000"/>
                    <w:szCs w:val="24"/>
                    <w:lang w:eastAsia="lt-LT"/>
                  </w:rPr>
                  <w:t>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Skaičiuojama studijų metams nuo N-1 (N – einamieji metai) metų spalio 1 dienos iki N metų rugsėjo 30 dienos (trečiosios studijų pakopos atveju – nuo N-2 metų gruodžio 31 dienos iki N-1 metų gruodžio 30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Studentų įdarbinimas į mokslo, meno ir studijų veiklas.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 xml:space="preserve">Trumposios, pirmosios, antrosios pakopų, vientisųjų, profesinių studijų studentų, per studijų metus  įdarbintų pagal Lietuvos mokslo tarybos (toliau – LMT) studentų moksliniams tyrimams ir eksperimentinei plėtrai (toliau – MTEP) finansuoti skirtus projektus, skaičiaus ir studentų, kuriuos aukštoji mokykla įdarbino ne trumpesniam nei 120 kalendorinių dienų laikotarpiui, skaičiaus suma. Trečiosios pakopos – doktorantų, įdarbintų dėstytojų, mokslo darbuotojų ar kitų tyrėjų pareigoms ne trumpesniam nei 120 kalendorinių dienų laikotarpiui,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Susumuojami visi trumposios, pirmosios, antrosios pakopų, vientisųjų profesinių studijų studentai, per studijų metus įdarbinti pagal LMT studentų MTEP finansuoti skirtus projektus, ir studentų, kuriuos aukštoji mokykla įdarbino ne trumpesniam nei 120 kalendorinių dienų laikotarpiui veiklose pagal Ekonominės veiklos rūšių klasifikatoriaus sekcijas P (švietimas) ir M (profesinė, mokslinė ir techninė veikla) (neįskaičius tų studentų, kurie jau įskaičiuoti kaip įdarbinti už lėšas, gautas iš LMT už studentų MTEP projektus), skaičiaus suma. Trečiosios pakopos studijų atveju – suskaičiuojami visi doktorantai, įdarbinti dėstytojų, mokslo darbuotojų ar kitų tyrėjų pareigoms ne trumpesniam nei 120 kalendorinių dienų laikotarpiui.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 w:val="26"/>
                    <w:szCs w:val="26"/>
                    <w:lang w:eastAsia="lt-LT"/>
                  </w:rPr>
                </w:pPr>
                <w:r>
                  <w:rPr>
                    <w:color w:val="000000"/>
                    <w:lang w:eastAsia="lt-LT"/>
                  </w:rPr>
                  <w:t>LMT ir 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Nuo N-1 (N – einamieji metai) metų rugsėjo 1 dienos iki N metų rugpjūčio 31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Absolventų karjeros sėkmingumas.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 xml:space="preserve">Absolventų, 12 mėnesių po studijų baigimo tęsusių studijas aukštesnėje pakopoje ir (arba) dirbusių darbą, kuriam reikalinga aukštojo mokslo kvalifikacija, skaičius. </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lang w:eastAsia="lt-LT"/>
                  </w:rPr>
                </w:pPr>
                <w:r>
                  <w:rPr>
                    <w:color w:val="000000"/>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 xml:space="preserve">Susumuojami visi absolventai, 12 mėnesių po studijų baigimo tęsę studijas aukštesnėje studijų pakopoje ir (arba) dirbę darbą, kuriam reikalinga aukštojo mokslo kvalifikacija. </w:t>
                </w:r>
              </w:p>
              <w:p>
                <w:pPr>
                  <w:jc w:val="both"/>
                  <w:rPr>
                    <w:color w:val="000000"/>
                    <w:lang w:eastAsia="lt-LT"/>
                  </w:rPr>
                </w:pPr>
                <w:r>
                  <w:rPr>
                    <w:color w:val="000000"/>
                    <w:lang w:eastAsia="lt-LT"/>
                  </w:rPr>
                  <w:t>Apskaičiuojant absolventų, dirbusių darbą, kuriam reikalinga aukštojo mokslo kvalifikacija, skaičių, imami tie absolventai, kurie turi darbo sutartis su Lietuvos Respublikoje registruotais draudėjais ir gauna darbo užmokestį</w:t>
                </w:r>
                <w:r>
                  <w:rPr>
                    <w:color w:val="000000"/>
                  </w:rPr>
                  <w:t xml:space="preserve"> </w:t>
                </w:r>
                <w:r>
                  <w:rPr>
                    <w:color w:val="000000"/>
                    <w:lang w:eastAsia="lt-LT"/>
                  </w:rPr>
                  <w:t xml:space="preserve">arba dirba savarankiškai. Savarankiškai dirbančiaisiais asmenimis laikomi: individualios įmonės savininkas, mažosios bendrijos narys, tikrosios ūkinės bendrijos ir komanditinės ūkinės bendrijos tikrasis narys, asmuo, kuris verčiasi individualia veikla, kaip ji apibrėžta Lietuvos Respublikos gyventojų pajamų mokesčio įstatyme, ūkininkas ir jo partneris, šeimynos dalyvis, asmuo, gaunantis pajamas pagal autorines sutartis arba pajamas iš sporto ar atlikėjo veiklos. </w:t>
                </w:r>
              </w:p>
              <w:p>
                <w:pPr>
                  <w:jc w:val="both"/>
                  <w:rPr>
                    <w:color w:val="000000"/>
                  </w:rPr>
                </w:pPr>
                <w:r>
                  <w:rPr>
                    <w:color w:val="000000"/>
                  </w:rPr>
                  <w:t xml:space="preserve">Apskaičiuojant absolventų, dirbusių darbą, kuriam reikalinga aukštojo mokslo kvalifikacija, skaičių, neįskaičiuojami absolventai, kurie turi teisę neįsidarbinti, tai: valstybės tarnautojų, specialiųjų atašė, žvalgybos pareigūnų ir profesinės karo tarnybos karių bei deleguotų asmenų sutuoktiniai arba partneriai (kai partnerystė įregistruota įstatymų nustatyta tvarka) – tuo laikotarpiu, kai jie gyvena užsienyje kartu su valstybės tarnautoju, specialiuoju atašė ar deleguotu asmeniu; vienas iš tėvų (įtėvių) arba asmuo, nustatyta tvarka paskirtas vaiko globėju, auginantis vaiką iki 3 metų; asmuo, paskirtas asmens su negalia, kuriam nustatytas specialusis nuolatinės slaugos poreikis ar specialusis nuolatinės priežiūros (pagalbos) poreikis, globėju, slaugantis ar nuolat prižiūrintis namuose šį neįgalųjį; privalomosios pradinės karo tarnybos kariai ir asmenys, atliekantys alternatyviąją krašto apsaugos tarnybą; valstybės pripažintų religinių bendruomenių ir bendrijų dvasininkai; asmenys, esantys socialinės ir psichologinės reabilitacijos įstaigose; sportininkai, kuriems Lietuvos Respublikos sporto įstatymo nustatyta tvarka mokama valstybės stipendija; asmenys, atliekantys savanorišką praktiką Lietuvos Respublikos užimtumo įstatymo nustatyta tvarka; užsieniečiai, kurie baigė studijas Lietuvos Respublikoje ir apie kurių įsidarbinimą Lietuvos Respublikoje nėra duomenų. </w:t>
                </w:r>
              </w:p>
              <w:p>
                <w:pPr>
                  <w:jc w:val="both"/>
                  <w:rPr>
                    <w:color w:val="000000"/>
                    <w:lang w:eastAsia="lt-LT"/>
                  </w:rPr>
                </w:pPr>
                <w:r>
                  <w:rPr>
                    <w:color w:val="000000"/>
                    <w:lang w:eastAsia="lt-LT"/>
                  </w:rPr>
                  <w:t xml:space="preserve">Universitetinių studijų teisės studijų krypčių grupės absolventai, dirbantys Lietuvos profesijų klasifikatoriaus (toliau – LPK) 3411 profesijų pogrupyje, ir universitetinių studijų pirmosios pakopos visuomenės saugumo studijų krypčių grupės absolventai, dirbantys LPK 0310 profesijų pogrupyje, priskiriami absolventams, dirbantiems LPK 0–2 profesijų grupėse. Universitetinių studijų pirmosios pakopos visuomenės saugumo studijų krypčių grupės absolventų dalis studijų grupėje pagal institucijos tipą laikoma sudarančia  ne mažiau 80 procentų atitinkamos mokslo ir studijų institucijos visuomenės saugumo studijų krypčių grupės absolventų skaičiaus ir priskiriama absolventams, dirbantiems LPK 0–2 profesijų grupėse.</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ŠVIS.</w:t>
                </w:r>
              </w:p>
            </w:tc>
          </w:tr>
          <w:tr>
            <w:trPr>
              <w:trHeight w:val="84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Nuo N-2 metų spalio 1 dienos iki N-1 metų rugsėjo 30 dienos (N – einamieji metai), doktorantūros atveju – nuo N-3 metų gruodžio 31 dienos iki N-2 metų gruodžio 30 dienos.</w:t>
                </w:r>
              </w:p>
            </w:tc>
          </w:tr>
          <w:tr>
            <w:trPr>
              <w:trHeight w:val="27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Studijų prieinamumas.</w:t>
                </w:r>
              </w:p>
            </w:tc>
          </w:tr>
          <w:tr>
            <w:trPr>
              <w:trHeight w:val="545"/>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lang w:eastAsia="lt-LT"/>
                  </w:rPr>
                </w:pPr>
                <w:r>
                  <w:rPr>
                    <w:color w:val="000000"/>
                    <w:lang w:eastAsia="lt-LT"/>
                  </w:rPr>
                  <w:t>Asmenų, ataskaitiniu laikotarpiu tapusių</w:t>
                </w:r>
                <w:r>
                  <w:rPr>
                    <w:b/>
                    <w:bCs/>
                    <w:color w:val="000000"/>
                    <w:lang w:eastAsia="lt-LT"/>
                  </w:rPr>
                  <w:t xml:space="preserve"> </w:t>
                </w:r>
                <w:r>
                  <w:rPr>
                    <w:color w:val="000000"/>
                    <w:lang w:eastAsia="lt-LT"/>
                  </w:rPr>
                  <w:t>absolventais, bent vieną kartą per studijų laikotarpį gavusių socialinę stipendiją ir (arba) išmoką asmeniui su negalia,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Susumuojami visi absolventai, bent vieną kartą per studijų laikotarpį gavę socialinę stipendiją ir (arba) išmoką asmeniui su negalia.</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Valstybinis studijų fondas ir 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Nuo N-1 (N – einamieji metai) metų spalio 1 dienos iki N metų rugsėjo 30 dienos (trečiosios studijų pakopos atveju – nuo N-2 metų gruodžio 31 dienos iki N-1 metų gruodžio 30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Mokslo ir studijų institucijos lėšos, gautos iš ūkio subjektų, nevyriausybinių organizacijų ir fizinių asmenų už užsakymus studijoms ir pagal paramos sutartis mokslo ir studijų institucijų studijų veiklai vykdyti.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Institucijos per studijų metus gautų lėšų už ūkio subjektų, nevyriausybinių organizacijų ir fizinių asmenų užsakymus studijoms bei lėšų ir (ar) turto (skaičiuojama likutinė vertė), gautų pagal Lietuvos Respublikos labdaros ir paramos įstatymą mokslo ir studijų institucijų studijų veiklai paremti, jeigu parama nėra anonimiška, suma.</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Susumuojamos visos institucijos per studijų metus gautos lėšos už ūkio subjektų, nevyriausybinių organizacijų ir fizinių asmenų užsakymus studijoms</w:t>
                </w:r>
                <w:r>
                  <w:rPr>
                    <w:color w:val="000000"/>
                  </w:rPr>
                  <w:t xml:space="preserve"> tam tikroje studijų programoje</w:t>
                </w:r>
                <w:r>
                  <w:rPr>
                    <w:color w:val="000000"/>
                    <w:lang w:eastAsia="lt-LT"/>
                  </w:rPr>
                  <w:t>, studijų kryptyje, studijų krypčių grupėje arba jų junginiuose ir (ar) doktorantūroje bei lėšos ir (ar) turtas (skaičiuojama likutinė vertė), gauti pagal Labdaros ir paramos įstatymą mokslo ir studijų institucijų studijų veiklai</w:t>
                </w:r>
                <w:r>
                  <w:rPr>
                    <w:color w:val="000000"/>
                  </w:rPr>
                  <w:t xml:space="preserve"> tam tikroje studijų programoje</w:t>
                </w:r>
                <w:r>
                  <w:rPr>
                    <w:color w:val="000000"/>
                    <w:lang w:eastAsia="lt-LT"/>
                  </w:rPr>
                  <w:t>, studijų kryptyje, studijų krypčių grupėje arba jų junginiuose ir (ar) doktorantūroje paremti, jei parama nėra anonimiška, išskyrus steigėjų, savininko (juridinio asmens dalyvių susirinkimo) skiriamas lėšas mokyklos veiklos išlaidoms padengti.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Mokslo ir studijų institucijų pateikta informacija apie sutartis ir lėšų pervedimą, turto perdavimą, jo likutinę vertę patvirtinantys finansiniai dokumentai.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Skaičiuojama studijų metams nuo N-1 metų (N – einamieji metai) rugsėjo 1 dienos iki N metų rugpjūčio 31 dienos.</w:t>
                </w:r>
              </w:p>
            </w:tc>
          </w:tr>
        </w:tbl>
        <w:sdt>
          <w:sdtPr>
            <w:alias w:val="pabaiga"/>
            <w:tag w:val="part_e75fe0e42f494b19ae1ebc8eb1ba82e2"/>
            <w:lock w:val="sdtLocked"/>
            <w:richText/>
          </w:sdtPr>
          <w:sdtContent>
            <w:p>
              <w:pPr>
                <w:jc w:val="center"/>
              </w:pPr>
              <w:r>
                <w:rPr>
                  <w:color w:val="000000"/>
                  <w:szCs w:val="24"/>
                  <w:lang w:eastAsia="lt-LT"/>
                </w:rPr>
                <w:t>_______________________________________</w:t>
              </w:r>
            </w:p>
          </w:sdtContent>
        </w:sdt>
      </w:sdtContent>
    </w:sdt>
    <w:sdt>
      <w:sdtPr>
        <w:alias w:val="3 pr."/>
        <w:tag w:val="part_2d20fdd4d7a54687aab1742b1414762e"/>
        <w:lock w:val="sdtLocked"/>
        <w:richText/>
      </w:sdtPr>
      <w:sdtContent>
        <w:p>
          <w:pPr>
            <w:rPr>
              <w:color w:val="000000"/>
              <w:szCs w:val="24"/>
              <w:lang w:eastAsia="lt-LT"/>
            </w:rPr>
          </w:pPr>
        </w:p>
        <w:p>
          <w:pPr>
            <w:rPr>
              <w:color w:val="000000"/>
              <w:szCs w:val="24"/>
              <w:lang w:eastAsia="lt-LT"/>
            </w:rPr>
            <w:sectPr>
              <w:pgSz w:w="11906" w:h="16838"/>
              <w:pgMar w:top="1134" w:right="567" w:bottom="1134" w:left="1701" w:header="567" w:footer="567" w:gutter="0"/>
              <w:pgNumType w:start="1"/>
              <w:cols w:space="1296"/>
              <w:titlePg/>
              <w:docGrid w:linePitch="326"/>
            </w:sectPr>
          </w:pPr>
        </w:p>
        <w:p>
          <w:pPr>
            <w:ind w:left="10065"/>
            <w:rPr>
              <w:color w:val="000000"/>
              <w:lang w:eastAsia="lt-LT"/>
            </w:rPr>
          </w:pPr>
          <w:r>
            <w:rPr>
              <w:color w:val="000000"/>
              <w:lang w:eastAsia="lt-LT"/>
            </w:rPr>
            <w:t xml:space="preserve">Studijų veiklos pasiekimų vertinimo, valstybės </w:t>
          </w:r>
        </w:p>
        <w:p>
          <w:pPr>
            <w:ind w:left="10065"/>
            <w:rPr>
              <w:color w:val="000000"/>
              <w:szCs w:val="24"/>
              <w:lang w:eastAsia="lt-LT"/>
            </w:rPr>
          </w:pPr>
          <w:r>
            <w:rPr>
              <w:color w:val="000000"/>
              <w:szCs w:val="24"/>
              <w:lang w:eastAsia="lt-LT"/>
            </w:rPr>
            <w:t xml:space="preserve">biudžeto skatinamojo finansavimo už studijų </w:t>
          </w:r>
        </w:p>
        <w:p>
          <w:pPr>
            <w:ind w:left="10065"/>
            <w:rPr>
              <w:color w:val="000000"/>
              <w:szCs w:val="24"/>
              <w:lang w:eastAsia="lt-LT"/>
            </w:rPr>
          </w:pPr>
          <w:r>
            <w:rPr>
              <w:color w:val="000000"/>
              <w:szCs w:val="24"/>
              <w:lang w:eastAsia="lt-LT"/>
            </w:rPr>
            <w:t xml:space="preserve">veiklos pasiekimus lėšų </w:t>
          </w:r>
          <w:r>
            <w:rPr>
              <w:bCs/>
              <w:color w:val="000000"/>
              <w:szCs w:val="24"/>
              <w:lang w:eastAsia="lt-LT"/>
            </w:rPr>
            <w:t>skirstymo</w:t>
          </w:r>
          <w:r>
            <w:rPr>
              <w:color w:val="000000"/>
              <w:szCs w:val="24"/>
              <w:lang w:eastAsia="lt-LT"/>
            </w:rPr>
            <w:t xml:space="preserve"> mokslo ir </w:t>
          </w:r>
        </w:p>
        <w:p>
          <w:pPr>
            <w:ind w:left="10065"/>
            <w:rPr>
              <w:color w:val="000000"/>
              <w:szCs w:val="24"/>
              <w:lang w:eastAsia="lt-LT"/>
            </w:rPr>
          </w:pPr>
          <w:r>
            <w:rPr>
              <w:color w:val="000000"/>
              <w:szCs w:val="24"/>
              <w:lang w:eastAsia="lt-LT"/>
            </w:rPr>
            <w:t xml:space="preserve">studijų institucijoms, duomenų, kurių reikia </w:t>
          </w:r>
        </w:p>
        <w:p>
          <w:pPr>
            <w:ind w:left="10065"/>
            <w:rPr>
              <w:color w:val="000000"/>
              <w:szCs w:val="24"/>
              <w:lang w:eastAsia="lt-LT"/>
            </w:rPr>
          </w:pPr>
          <w:r>
            <w:rPr>
              <w:color w:val="000000"/>
              <w:szCs w:val="24"/>
              <w:lang w:eastAsia="lt-LT"/>
            </w:rPr>
            <w:t xml:space="preserve">siekiant atlikti studijų veiklos pasiekimų </w:t>
          </w:r>
        </w:p>
        <w:p>
          <w:pPr>
            <w:ind w:left="10065"/>
            <w:rPr>
              <w:color w:val="000000"/>
              <w:szCs w:val="24"/>
              <w:lang w:eastAsia="lt-LT"/>
            </w:rPr>
          </w:pPr>
          <w:r>
            <w:rPr>
              <w:color w:val="000000"/>
              <w:szCs w:val="24"/>
              <w:lang w:eastAsia="lt-LT"/>
            </w:rPr>
            <w:t xml:space="preserve">vertinimus, teikimo ir mokslo ir studijų </w:t>
          </w:r>
        </w:p>
        <w:p>
          <w:pPr>
            <w:ind w:left="10065"/>
            <w:rPr>
              <w:color w:val="000000"/>
              <w:szCs w:val="24"/>
              <w:lang w:eastAsia="lt-LT"/>
            </w:rPr>
          </w:pPr>
          <w:r>
            <w:rPr>
              <w:color w:val="000000"/>
              <w:szCs w:val="24"/>
              <w:lang w:eastAsia="lt-LT"/>
            </w:rPr>
            <w:t xml:space="preserve">institucijų studijų veiklos pasiekimų vertinimo </w:t>
          </w:r>
        </w:p>
        <w:p>
          <w:pPr>
            <w:ind w:left="10065"/>
            <w:rPr>
              <w:color w:val="000000"/>
              <w:szCs w:val="24"/>
              <w:lang w:eastAsia="lt-LT"/>
            </w:rPr>
          </w:pPr>
          <w:r>
            <w:rPr>
              <w:color w:val="000000"/>
              <w:szCs w:val="24"/>
              <w:lang w:eastAsia="lt-LT"/>
            </w:rPr>
            <w:t xml:space="preserve">kriterijų svorio koeficientų nustatymo tvarkos </w:t>
          </w:r>
        </w:p>
        <w:p>
          <w:pPr>
            <w:ind w:left="10065"/>
            <w:rPr>
              <w:color w:val="000000"/>
              <w:szCs w:val="24"/>
              <w:lang w:eastAsia="lt-LT"/>
            </w:rPr>
          </w:pPr>
          <w:r>
            <w:rPr>
              <w:color w:val="000000"/>
              <w:szCs w:val="24"/>
              <w:lang w:eastAsia="lt-LT"/>
            </w:rPr>
            <w:t xml:space="preserve">aprašo </w:t>
          </w:r>
        </w:p>
        <w:p>
          <w:pPr>
            <w:tabs>
              <w:tab w:val="center" w:pos="4153"/>
              <w:tab w:val="left" w:pos="6237"/>
              <w:tab w:val="right" w:pos="8306"/>
            </w:tabs>
            <w:ind w:firstLine="10065"/>
            <w:rPr>
              <w:color w:val="000000"/>
              <w:szCs w:val="24"/>
              <w:lang w:eastAsia="lt-LT"/>
            </w:rPr>
          </w:pPr>
          <w:sdt>
            <w:sdtPr>
              <w:alias w:val="Numeris"/>
              <w:tag w:val="nr_2d20fdd4d7a54687aab1742b1414762e"/>
              <w:lock w:val="sdtLocked"/>
              <w:richText/>
            </w:sdtPr>
            <w:sdtContent>
              <w:r>
                <w:rPr>
                  <w:color w:val="000000"/>
                  <w:szCs w:val="24"/>
                  <w:lang w:eastAsia="lt-LT"/>
                </w:rPr>
                <w:t>3</w:t>
              </w:r>
            </w:sdtContent>
          </w:sdt>
          <w:r>
            <w:rPr>
              <w:b/>
              <w:bCs/>
              <w:color w:val="000000"/>
              <w:szCs w:val="24"/>
              <w:lang w:eastAsia="lt-LT"/>
            </w:rPr>
            <w:t xml:space="preserve"> </w:t>
          </w:r>
          <w:r>
            <w:rPr>
              <w:color w:val="000000"/>
              <w:szCs w:val="24"/>
              <w:lang w:eastAsia="lt-LT"/>
            </w:rPr>
            <w:t xml:space="preserve">priedas </w:t>
          </w:r>
        </w:p>
        <w:p>
          <w:pPr>
            <w:tabs>
              <w:tab w:val="center" w:pos="4153"/>
              <w:tab w:val="left" w:pos="6237"/>
              <w:tab w:val="right" w:pos="8306"/>
            </w:tabs>
            <w:ind w:firstLine="10065"/>
            <w:rPr>
              <w:color w:val="000000"/>
              <w:szCs w:val="24"/>
              <w:lang w:eastAsia="lt-LT"/>
            </w:rPr>
          </w:pPr>
        </w:p>
        <w:p>
          <w:pPr>
            <w:tabs>
              <w:tab w:val="center" w:pos="4153"/>
              <w:tab w:val="left" w:pos="6237"/>
              <w:tab w:val="right" w:pos="8306"/>
            </w:tabs>
            <w:ind w:firstLine="10065"/>
            <w:rPr>
              <w:color w:val="000000"/>
              <w:szCs w:val="24"/>
              <w:lang w:eastAsia="lt-LT"/>
            </w:rPr>
          </w:pPr>
        </w:p>
        <w:p>
          <w:pPr>
            <w:jc w:val="center"/>
            <w:rPr>
              <w:b/>
              <w:bCs/>
              <w:color w:val="000000"/>
            </w:rPr>
          </w:pPr>
          <w:r>
            <w:rPr>
              <w:b/>
              <w:bCs/>
              <w:color w:val="000000"/>
            </w:rPr>
            <w:t>MOKSLO IR STUDIJŲ INSTITUCIJŲ STUDIJŲ VEIKLOS PASIEKIMAMS VERTINTI REIKALINGŲ DUOMENŲ TEIKIMO IR SKELBIMO TERMINAI BEI ATSAKINGOS INSTITUCIJOS</w:t>
          </w:r>
        </w:p>
        <w:p>
          <w:pPr>
            <w:jc w:val="center"/>
            <w:rPr>
              <w:b/>
              <w:bCs/>
              <w:color w:val="000000"/>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3104"/>
            <w:gridCol w:w="2678"/>
            <w:gridCol w:w="3660"/>
            <w:gridCol w:w="2196"/>
            <w:gridCol w:w="2537"/>
          </w:tblGrid>
          <w:tr>
            <w:trPr>
              <w:trHeight w:val="380"/>
            </w:trPr>
            <w:tc>
              <w:tcPr>
                <w:tcW w:w="562" w:type="dxa"/>
                <w:vAlign w:val="center"/>
              </w:tcPr>
              <w:p>
                <w:pPr>
                  <w:spacing w:line="276" w:lineRule="auto"/>
                  <w:jc w:val="center"/>
                  <w:rPr>
                    <w:rFonts w:eastAsia="MS Mincho"/>
                    <w:color w:val="000000"/>
                    <w:szCs w:val="24"/>
                  </w:rPr>
                </w:pPr>
                <w:r>
                  <w:rPr>
                    <w:rFonts w:eastAsia="MS Mincho"/>
                    <w:color w:val="000000"/>
                    <w:szCs w:val="24"/>
                  </w:rPr>
                  <w:t>Eil.</w:t>
                </w:r>
              </w:p>
              <w:p>
                <w:pPr>
                  <w:spacing w:line="276" w:lineRule="auto"/>
                  <w:jc w:val="center"/>
                  <w:rPr>
                    <w:rFonts w:eastAsia="MS Mincho"/>
                    <w:color w:val="000000"/>
                    <w:szCs w:val="24"/>
                  </w:rPr>
                </w:pPr>
                <w:r>
                  <w:rPr>
                    <w:rFonts w:eastAsia="MS Mincho"/>
                    <w:color w:val="000000"/>
                    <w:szCs w:val="24"/>
                  </w:rPr>
                  <w:t>Nr.</w:t>
                </w:r>
              </w:p>
            </w:tc>
            <w:tc>
              <w:tcPr>
                <w:tcW w:w="3119" w:type="dxa"/>
                <w:vAlign w:val="center"/>
              </w:tcPr>
              <w:p>
                <w:pPr>
                  <w:spacing w:line="276" w:lineRule="auto"/>
                  <w:jc w:val="center"/>
                  <w:rPr>
                    <w:rFonts w:eastAsia="MS Mincho"/>
                    <w:color w:val="000000"/>
                    <w:szCs w:val="24"/>
                  </w:rPr>
                </w:pPr>
                <w:r>
                  <w:rPr>
                    <w:rFonts w:eastAsia="MS Mincho"/>
                    <w:color w:val="000000"/>
                    <w:szCs w:val="24"/>
                  </w:rPr>
                  <w:t>Veiksmas</w:t>
                </w:r>
              </w:p>
            </w:tc>
            <w:tc>
              <w:tcPr>
                <w:tcW w:w="2693" w:type="dxa"/>
                <w:vAlign w:val="center"/>
              </w:tcPr>
              <w:p>
                <w:pPr>
                  <w:spacing w:line="276" w:lineRule="auto"/>
                  <w:jc w:val="center"/>
                  <w:rPr>
                    <w:rFonts w:eastAsia="MS Mincho"/>
                    <w:color w:val="000000"/>
                    <w:szCs w:val="24"/>
                  </w:rPr>
                </w:pPr>
                <w:r>
                  <w:rPr>
                    <w:rFonts w:eastAsia="MS Mincho"/>
                    <w:color w:val="000000"/>
                    <w:szCs w:val="24"/>
                  </w:rPr>
                  <w:t>Atsakingas subjektas</w:t>
                </w:r>
              </w:p>
            </w:tc>
            <w:tc>
              <w:tcPr>
                <w:tcW w:w="3686" w:type="dxa"/>
                <w:vAlign w:val="center"/>
              </w:tcPr>
              <w:p>
                <w:pPr>
                  <w:spacing w:line="276" w:lineRule="auto"/>
                  <w:jc w:val="center"/>
                  <w:rPr>
                    <w:rFonts w:eastAsia="MS Mincho"/>
                    <w:color w:val="000000"/>
                    <w:szCs w:val="24"/>
                  </w:rPr>
                </w:pPr>
                <w:r>
                  <w:rPr>
                    <w:rFonts w:eastAsia="MS Mincho"/>
                    <w:color w:val="000000"/>
                    <w:szCs w:val="24"/>
                  </w:rPr>
                  <w:t>Informacinė sistema</w:t>
                </w:r>
              </w:p>
            </w:tc>
            <w:tc>
              <w:tcPr>
                <w:tcW w:w="2126" w:type="dxa"/>
                <w:vAlign w:val="center"/>
              </w:tcPr>
              <w:p>
                <w:pPr>
                  <w:spacing w:line="276" w:lineRule="auto"/>
                  <w:jc w:val="center"/>
                  <w:rPr>
                    <w:rFonts w:eastAsia="MS Mincho"/>
                    <w:color w:val="000000"/>
                    <w:szCs w:val="24"/>
                  </w:rPr>
                </w:pPr>
                <w:r>
                  <w:rPr>
                    <w:rFonts w:eastAsia="MS Mincho"/>
                    <w:color w:val="000000"/>
                    <w:szCs w:val="24"/>
                  </w:rPr>
                  <w:t>Informacijos pateikimo vieta</w:t>
                </w:r>
                <w:r>
                  <w:rPr>
                    <w:color w:val="000000"/>
                  </w:rPr>
                  <w:t xml:space="preserve"> </w:t>
                </w:r>
                <w:r>
                  <w:rPr>
                    <w:rFonts w:eastAsia="MS Mincho"/>
                    <w:color w:val="000000"/>
                    <w:szCs w:val="24"/>
                  </w:rPr>
                  <w:t xml:space="preserve">Švietimo valdymo informacinėje sistemoje </w:t>
                </w:r>
              </w:p>
            </w:tc>
            <w:tc>
              <w:tcPr>
                <w:tcW w:w="2551" w:type="dxa"/>
                <w:vAlign w:val="center"/>
              </w:tcPr>
              <w:p>
                <w:pPr>
                  <w:spacing w:line="276" w:lineRule="auto"/>
                  <w:jc w:val="center"/>
                  <w:rPr>
                    <w:rFonts w:eastAsia="MS Mincho"/>
                    <w:color w:val="000000"/>
                    <w:szCs w:val="24"/>
                  </w:rPr>
                </w:pPr>
                <w:r>
                  <w:rPr>
                    <w:rFonts w:eastAsia="MS Mincho"/>
                    <w:color w:val="000000"/>
                    <w:szCs w:val="24"/>
                  </w:rPr>
                  <w:t>Terminas</w:t>
                </w:r>
              </w:p>
            </w:tc>
          </w:tr>
          <w:tr>
            <w:trPr>
              <w:trHeight w:val="1242"/>
            </w:trPr>
            <w:tc>
              <w:tcPr>
                <w:tcW w:w="562" w:type="dxa"/>
                <w:vAlign w:val="center"/>
              </w:tcPr>
              <w:p>
                <w:pPr>
                  <w:spacing w:line="276" w:lineRule="auto"/>
                  <w:jc w:val="center"/>
                  <w:rPr>
                    <w:rFonts w:eastAsia="MS Mincho"/>
                    <w:color w:val="000000"/>
                    <w:szCs w:val="24"/>
                  </w:rPr>
                </w:pPr>
                <w:r>
                  <w:rPr>
                    <w:rFonts w:eastAsia="MS Mincho"/>
                    <w:color w:val="000000"/>
                    <w:szCs w:val="24"/>
                  </w:rPr>
                  <w:t>1.</w:t>
                </w:r>
              </w:p>
            </w:tc>
            <w:tc>
              <w:tcPr>
                <w:tcW w:w="3119" w:type="dxa"/>
                <w:vAlign w:val="center"/>
              </w:tcPr>
              <w:p>
                <w:pPr>
                  <w:spacing w:line="276" w:lineRule="auto"/>
                  <w:jc w:val="both"/>
                  <w:rPr>
                    <w:rFonts w:eastAsia="MS Mincho"/>
                    <w:color w:val="000000"/>
                    <w:szCs w:val="24"/>
                  </w:rPr>
                </w:pPr>
                <w:r>
                  <w:rPr>
                    <w:color w:val="000000"/>
                  </w:rPr>
                  <w:t xml:space="preserve">Duomenų, </w:t>
                </w:r>
                <w:r>
                  <w:rPr>
                    <w:rFonts w:eastAsia="MS Mincho"/>
                    <w:color w:val="000000"/>
                    <w:szCs w:val="24"/>
                  </w:rPr>
                  <w:t>skirtų mokslo ir studijų institucijų studijų veiklos pasiekimų (toliau – studijų pasiekimai) kriterijų įverčiams skaičiuoti,</w:t>
                </w:r>
                <w:r>
                  <w:rPr>
                    <w:color w:val="000000"/>
                  </w:rPr>
                  <w:t xml:space="preserve"> nurodytų 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tvarkos aprašo (toliau – Tvarkos aprašas) 5.3 papunktyje (studentų, per studijų metus įdarbintų pagal Lietuvos mokslo tarybos (toliau – LMT) studentų moksliniams tyrimams ir eksperimentinei plėtrai finansuoti skirtus projektus, skaičius), pateikimas Nacionalinei švietimo agentūrai (toliau – NŠA)</w:t>
                </w:r>
              </w:p>
            </w:tc>
            <w:tc>
              <w:tcPr>
                <w:tcW w:w="2693" w:type="dxa"/>
                <w:vAlign w:val="center"/>
              </w:tcPr>
              <w:p>
                <w:pPr>
                  <w:spacing w:line="276" w:lineRule="auto"/>
                  <w:rPr>
                    <w:rFonts w:eastAsia="MS Mincho"/>
                    <w:color w:val="000000"/>
                    <w:szCs w:val="24"/>
                  </w:rPr>
                </w:pPr>
                <w:r>
                  <w:rPr>
                    <w:rFonts w:eastAsia="MS Mincho"/>
                    <w:color w:val="000000"/>
                    <w:szCs w:val="24"/>
                  </w:rPr>
                  <w:t>LMT</w:t>
                </w:r>
              </w:p>
            </w:tc>
            <w:tc>
              <w:tcPr>
                <w:tcW w:w="3686" w:type="dxa"/>
                <w:vAlign w:val="center"/>
              </w:tcPr>
              <w:p>
                <w:pPr>
                  <w:spacing w:line="276" w:lineRule="auto"/>
                  <w:rPr>
                    <w:rFonts w:eastAsia="MS Mincho"/>
                    <w:color w:val="000000"/>
                    <w:szCs w:val="24"/>
                  </w:rPr>
                </w:pPr>
                <w:r>
                  <w:rPr>
                    <w:rFonts w:eastAsia="MS Mincho"/>
                    <w:color w:val="000000"/>
                    <w:szCs w:val="24"/>
                  </w:rPr>
                  <w:t>Švietimo valdymo informacinė sistema (toliau – ŠVIS)</w:t>
                </w:r>
              </w:p>
            </w:tc>
            <w:tc>
              <w:tcPr>
                <w:tcW w:w="2126" w:type="dxa"/>
                <w:vAlign w:val="center"/>
              </w:tcPr>
              <w:p>
                <w:pPr>
                  <w:spacing w:line="276" w:lineRule="auto"/>
                  <w:jc w:val="center"/>
                  <w:rPr>
                    <w:rFonts w:eastAsia="MS Mincho"/>
                    <w:color w:val="000000"/>
                    <w:szCs w:val="24"/>
                  </w:rPr>
                </w:pPr>
                <w:r>
                  <w:rPr>
                    <w:rFonts w:eastAsia="MS Mincho"/>
                    <w:color w:val="000000"/>
                    <w:szCs w:val="24"/>
                  </w:rPr>
                  <w:t>–</w:t>
                </w:r>
              </w:p>
            </w:tc>
            <w:tc>
              <w:tcPr>
                <w:tcW w:w="2551" w:type="dxa"/>
                <w:vAlign w:val="center"/>
              </w:tcPr>
              <w:p>
                <w:pPr>
                  <w:spacing w:line="276" w:lineRule="auto"/>
                  <w:rPr>
                    <w:rFonts w:eastAsia="MS Mincho"/>
                    <w:color w:val="000000"/>
                    <w:szCs w:val="24"/>
                  </w:rPr>
                </w:pPr>
                <w:r>
                  <w:rPr>
                    <w:rFonts w:eastAsia="MS Mincho"/>
                    <w:color w:val="000000"/>
                    <w:szCs w:val="24"/>
                  </w:rPr>
                  <w:t>Iki einamųjų metų rugsėjo 7 d.</w:t>
                </w:r>
              </w:p>
            </w:tc>
          </w:tr>
          <w:tr>
            <w:tc>
              <w:tcPr>
                <w:tcW w:w="562" w:type="dxa"/>
                <w:vAlign w:val="center"/>
              </w:tcPr>
              <w:p>
                <w:pPr>
                  <w:spacing w:line="276" w:lineRule="auto"/>
                  <w:jc w:val="center"/>
                  <w:rPr>
                    <w:rFonts w:eastAsia="MS Mincho"/>
                    <w:color w:val="000000"/>
                    <w:szCs w:val="24"/>
                  </w:rPr>
                </w:pPr>
                <w:r>
                  <w:rPr>
                    <w:rFonts w:eastAsia="MS Mincho"/>
                    <w:color w:val="000000"/>
                    <w:szCs w:val="24"/>
                  </w:rPr>
                  <w:t>2.</w:t>
                </w:r>
              </w:p>
            </w:tc>
            <w:tc>
              <w:tcPr>
                <w:tcW w:w="3119" w:type="dxa"/>
                <w:vAlign w:val="center"/>
              </w:tcPr>
              <w:p>
                <w:pPr>
                  <w:spacing w:line="276" w:lineRule="auto"/>
                  <w:jc w:val="both"/>
                  <w:rPr>
                    <w:rFonts w:eastAsia="MS Mincho"/>
                    <w:color w:val="000000"/>
                    <w:szCs w:val="24"/>
                  </w:rPr>
                </w:pPr>
                <w:r>
                  <w:rPr>
                    <w:rFonts w:eastAsia="MS Mincho"/>
                    <w:color w:val="000000"/>
                    <w:szCs w:val="24"/>
                  </w:rPr>
                  <w:t>Duomenų, skirtų studijų pasiekimų kriterijų įverčiams skaičiuoti, nurodytų Tvarkos aprašo 5.5 papunktyje (</w:t>
                </w:r>
                <w:r>
                  <w:rPr>
                    <w:color w:val="000000"/>
                    <w:lang w:eastAsia="lt-LT"/>
                  </w:rPr>
                  <w:t>asmenų, nuo N-1 (N – einamieji metai) metų rugsėjo 1 dienos iki N metų rugpjūčio 31 dienos gavusių socialinę stipendiją ir (arba) išmoką asmeniui su negalia, skaičius</w:t>
                </w:r>
                <w:r>
                  <w:rPr>
                    <w:rFonts w:eastAsia="MS Mincho"/>
                    <w:color w:val="000000"/>
                    <w:szCs w:val="24"/>
                  </w:rPr>
                  <w:t xml:space="preserve">), pateikimas NŠA </w:t>
                </w:r>
              </w:p>
            </w:tc>
            <w:tc>
              <w:tcPr>
                <w:tcW w:w="2693" w:type="dxa"/>
                <w:vAlign w:val="center"/>
              </w:tcPr>
              <w:p>
                <w:pPr>
                  <w:spacing w:line="276" w:lineRule="auto"/>
                  <w:rPr>
                    <w:rFonts w:eastAsia="MS Mincho"/>
                    <w:color w:val="000000"/>
                    <w:szCs w:val="24"/>
                  </w:rPr>
                </w:pPr>
                <w:r>
                  <w:rPr>
                    <w:rFonts w:eastAsia="MS Mincho"/>
                    <w:color w:val="000000"/>
                    <w:szCs w:val="24"/>
                  </w:rPr>
                  <w:t>Valstybinis studijų fondas</w:t>
                </w:r>
              </w:p>
            </w:tc>
            <w:tc>
              <w:tcPr>
                <w:tcW w:w="3686" w:type="dxa"/>
                <w:vAlign w:val="center"/>
              </w:tcPr>
              <w:p>
                <w:pPr>
                  <w:spacing w:line="276" w:lineRule="auto"/>
                  <w:ind w:right="-103"/>
                  <w:rPr>
                    <w:rFonts w:eastAsia="MS Mincho"/>
                    <w:color w:val="000000"/>
                    <w:szCs w:val="24"/>
                  </w:rPr>
                </w:pPr>
                <w:r>
                  <w:rPr>
                    <w:rFonts w:eastAsia="MS Mincho"/>
                    <w:color w:val="000000"/>
                    <w:szCs w:val="24"/>
                  </w:rPr>
                  <w:t>ŠVIS</w:t>
                </w:r>
              </w:p>
            </w:tc>
            <w:tc>
              <w:tcPr>
                <w:tcW w:w="2126" w:type="dxa"/>
                <w:vAlign w:val="center"/>
              </w:tcPr>
              <w:p>
                <w:pPr>
                  <w:spacing w:line="276" w:lineRule="auto"/>
                  <w:jc w:val="center"/>
                  <w:rPr>
                    <w:rFonts w:eastAsia="MS Mincho"/>
                    <w:color w:val="000000"/>
                    <w:szCs w:val="24"/>
                  </w:rPr>
                </w:pPr>
                <w:r>
                  <w:rPr>
                    <w:rFonts w:eastAsia="MS Mincho"/>
                    <w:color w:val="000000"/>
                    <w:szCs w:val="24"/>
                  </w:rPr>
                  <w:t>–</w:t>
                </w:r>
              </w:p>
            </w:tc>
            <w:tc>
              <w:tcPr>
                <w:tcW w:w="2551" w:type="dxa"/>
                <w:vAlign w:val="center"/>
              </w:tcPr>
              <w:p>
                <w:pPr>
                  <w:spacing w:line="276" w:lineRule="auto"/>
                  <w:rPr>
                    <w:rFonts w:eastAsia="MS Mincho"/>
                    <w:color w:val="000000"/>
                    <w:szCs w:val="24"/>
                  </w:rPr>
                </w:pPr>
                <w:r>
                  <w:rPr>
                    <w:rFonts w:eastAsia="MS Mincho"/>
                    <w:color w:val="000000"/>
                    <w:szCs w:val="24"/>
                  </w:rPr>
                  <w:t>Iki einamųjų metų rugsėjo 7 d.</w:t>
                </w:r>
              </w:p>
            </w:tc>
          </w:tr>
          <w:tr>
            <w:tc>
              <w:tcPr>
                <w:tcW w:w="562" w:type="dxa"/>
                <w:vAlign w:val="center"/>
              </w:tcPr>
              <w:p>
                <w:pPr>
                  <w:spacing w:line="276" w:lineRule="auto"/>
                  <w:jc w:val="center"/>
                  <w:rPr>
                    <w:rFonts w:eastAsia="MS Mincho"/>
                    <w:color w:val="000000"/>
                    <w:szCs w:val="24"/>
                  </w:rPr>
                </w:pPr>
                <w:r>
                  <w:rPr>
                    <w:rFonts w:eastAsia="MS Mincho"/>
                    <w:color w:val="000000"/>
                    <w:szCs w:val="24"/>
                  </w:rPr>
                  <w:t>3.</w:t>
                </w:r>
              </w:p>
            </w:tc>
            <w:tc>
              <w:tcPr>
                <w:tcW w:w="3119" w:type="dxa"/>
                <w:vAlign w:val="center"/>
              </w:tcPr>
              <w:p>
                <w:pPr>
                  <w:spacing w:line="276" w:lineRule="auto"/>
                  <w:jc w:val="both"/>
                  <w:rPr>
                    <w:rFonts w:eastAsia="MS Mincho"/>
                    <w:color w:val="000000"/>
                    <w:szCs w:val="24"/>
                  </w:rPr>
                </w:pPr>
                <w:r>
                  <w:rPr>
                    <w:rFonts w:eastAsia="MS Mincho"/>
                    <w:color w:val="000000"/>
                    <w:szCs w:val="24"/>
                  </w:rPr>
                  <w:t>Duomenų, skirtų studijų pasiekimų kriterijų įverčiams skaičiuoti, nurodytų Tvarkos aprašo 5.1–5.5 papunkčiuose, peržiūra ir, nustačius netikslumų, kreipimasis į NŠA</w:t>
                </w:r>
              </w:p>
            </w:tc>
            <w:tc>
              <w:tcPr>
                <w:tcW w:w="2693" w:type="dxa"/>
                <w:vAlign w:val="center"/>
              </w:tcPr>
              <w:p>
                <w:pPr>
                  <w:spacing w:line="276" w:lineRule="auto"/>
                  <w:rPr>
                    <w:rFonts w:eastAsia="MS Mincho"/>
                    <w:color w:val="000000"/>
                    <w:szCs w:val="24"/>
                  </w:rPr>
                </w:pPr>
                <w:r>
                  <w:rPr>
                    <w:rFonts w:eastAsia="MS Mincho"/>
                    <w:color w:val="000000"/>
                    <w:szCs w:val="24"/>
                  </w:rPr>
                  <w:t>Mokslo ir studijų institucijos (toliau – MSI)</w:t>
                </w:r>
              </w:p>
            </w:tc>
            <w:tc>
              <w:tcPr>
                <w:tcW w:w="3686" w:type="dxa"/>
                <w:vAlign w:val="center"/>
              </w:tcPr>
              <w:p>
                <w:pPr>
                  <w:spacing w:line="276" w:lineRule="auto"/>
                  <w:ind w:right="-103"/>
                  <w:rPr>
                    <w:rFonts w:eastAsia="MS Mincho"/>
                    <w:color w:val="000000"/>
                    <w:szCs w:val="24"/>
                  </w:rPr>
                </w:pPr>
                <w:r>
                  <w:rPr>
                    <w:rFonts w:eastAsia="MS Mincho"/>
                    <w:color w:val="000000"/>
                    <w:szCs w:val="24"/>
                  </w:rPr>
                  <w:t>ŠVIS</w:t>
                </w:r>
              </w:p>
            </w:tc>
            <w:tc>
              <w:tcPr>
                <w:tcW w:w="2126" w:type="dxa"/>
                <w:vAlign w:val="center"/>
              </w:tcPr>
              <w:p>
                <w:pPr>
                  <w:spacing w:line="276" w:lineRule="auto"/>
                  <w:rPr>
                    <w:rFonts w:eastAsia="MS Mincho"/>
                    <w:color w:val="000000"/>
                    <w:szCs w:val="24"/>
                  </w:rPr>
                </w:pPr>
                <w:r>
                  <w:rPr>
                    <w:rFonts w:eastAsia="MS Mincho"/>
                    <w:color w:val="000000"/>
                    <w:szCs w:val="24"/>
                  </w:rPr>
                  <w:t>Skiltyje „ŠVIS turinys“ pasirinkus aplanką „Bendroji informacija“, „SKVC“ ir paspaudus nuorodą „MSI studijų veiklos pasiekimų rodiklių ataskaita (aktualiais, nuolat atnaujinamais duomenimis)“</w:t>
                </w:r>
              </w:p>
            </w:tc>
            <w:tc>
              <w:tcPr>
                <w:tcW w:w="2551" w:type="dxa"/>
                <w:vAlign w:val="center"/>
              </w:tcPr>
              <w:p>
                <w:pPr>
                  <w:spacing w:line="276" w:lineRule="auto"/>
                  <w:rPr>
                    <w:rFonts w:eastAsia="MS Mincho"/>
                    <w:color w:val="000000"/>
                    <w:szCs w:val="24"/>
                  </w:rPr>
                </w:pPr>
                <w:r>
                  <w:rPr>
                    <w:color w:val="000000"/>
                  </w:rPr>
                  <w:t>Nuo einamųjų metų rugsėjo 10 d. iki einamųjų metų spalio 1 d.</w:t>
                </w:r>
              </w:p>
            </w:tc>
          </w:tr>
          <w:tr>
            <w:tc>
              <w:tcPr>
                <w:tcW w:w="562" w:type="dxa"/>
                <w:vAlign w:val="center"/>
              </w:tcPr>
              <w:p>
                <w:pPr>
                  <w:spacing w:line="276" w:lineRule="auto"/>
                  <w:jc w:val="center"/>
                  <w:rPr>
                    <w:rFonts w:eastAsia="MS Mincho"/>
                    <w:color w:val="000000"/>
                    <w:szCs w:val="24"/>
                  </w:rPr>
                </w:pPr>
                <w:r>
                  <w:rPr>
                    <w:rFonts w:eastAsia="MS Mincho"/>
                    <w:color w:val="000000"/>
                    <w:szCs w:val="24"/>
                  </w:rPr>
                  <w:t>4.</w:t>
                </w:r>
              </w:p>
            </w:tc>
            <w:tc>
              <w:tcPr>
                <w:tcW w:w="3119" w:type="dxa"/>
                <w:vAlign w:val="center"/>
              </w:tcPr>
              <w:p>
                <w:pPr>
                  <w:spacing w:line="276" w:lineRule="auto"/>
                  <w:jc w:val="both"/>
                  <w:rPr>
                    <w:rFonts w:eastAsia="MS Mincho"/>
                    <w:color w:val="000000"/>
                    <w:szCs w:val="24"/>
                  </w:rPr>
                </w:pPr>
                <w:r>
                  <w:rPr>
                    <w:rFonts w:eastAsia="MS Mincho"/>
                    <w:color w:val="000000"/>
                    <w:szCs w:val="24"/>
                  </w:rPr>
                  <w:t xml:space="preserve">Galutinių duomenų studijų pasiekimų kriterijų įverčiams skaičiuoti, </w:t>
                </w:r>
                <w:r>
                  <w:rPr>
                    <w:color w:val="000000"/>
                  </w:rPr>
                  <w:t xml:space="preserve">nurodytų Tvarkos aprašo 5.1–5.5 papunkčiuose, </w:t>
                </w:r>
                <w:r>
                  <w:rPr>
                    <w:rFonts w:eastAsia="MS Mincho"/>
                    <w:color w:val="000000"/>
                    <w:szCs w:val="24"/>
                  </w:rPr>
                  <w:t>paskelbimas</w:t>
                </w:r>
              </w:p>
            </w:tc>
            <w:tc>
              <w:tcPr>
                <w:tcW w:w="2693" w:type="dxa"/>
                <w:vAlign w:val="center"/>
              </w:tcPr>
              <w:p>
                <w:pPr>
                  <w:spacing w:line="276" w:lineRule="auto"/>
                  <w:rPr>
                    <w:rFonts w:eastAsia="MS Mincho"/>
                    <w:color w:val="000000"/>
                    <w:szCs w:val="24"/>
                  </w:rPr>
                </w:pPr>
                <w:r>
                  <w:rPr>
                    <w:rFonts w:eastAsia="MS Mincho"/>
                    <w:color w:val="000000"/>
                    <w:szCs w:val="24"/>
                  </w:rPr>
                  <w:t>NŠA</w:t>
                </w:r>
              </w:p>
            </w:tc>
            <w:tc>
              <w:tcPr>
                <w:tcW w:w="3686" w:type="dxa"/>
                <w:vAlign w:val="center"/>
              </w:tcPr>
              <w:p>
                <w:pPr>
                  <w:spacing w:line="276" w:lineRule="auto"/>
                  <w:ind w:right="-103"/>
                  <w:rPr>
                    <w:rFonts w:eastAsia="MS Mincho"/>
                    <w:color w:val="000000"/>
                    <w:szCs w:val="24"/>
                  </w:rPr>
                </w:pPr>
                <w:r>
                  <w:rPr>
                    <w:rFonts w:eastAsia="MS Mincho"/>
                    <w:color w:val="000000"/>
                    <w:szCs w:val="24"/>
                  </w:rPr>
                  <w:t>ŠVIS</w:t>
                </w:r>
              </w:p>
            </w:tc>
            <w:tc>
              <w:tcPr>
                <w:tcW w:w="2126" w:type="dxa"/>
                <w:vAlign w:val="center"/>
              </w:tcPr>
              <w:p>
                <w:pPr>
                  <w:spacing w:line="276" w:lineRule="auto"/>
                  <w:rPr>
                    <w:rFonts w:eastAsia="MS Mincho"/>
                    <w:color w:val="000000"/>
                    <w:szCs w:val="24"/>
                  </w:rPr>
                </w:pPr>
                <w:r>
                  <w:rPr>
                    <w:rFonts w:eastAsia="MS Mincho"/>
                    <w:color w:val="000000"/>
                    <w:szCs w:val="24"/>
                  </w:rPr>
                  <w:t>Skiltyje „ŠVIS turinys“ pasirenkamas aplankas „Bendroji informacija“, „SKVC“ ir spaudžiama nuoroda „MSI studijų veiklos pasiekimų rodiklių ataskaita (pagal spalio 5 d. fiksuotus duomenis)“</w:t>
                </w:r>
              </w:p>
            </w:tc>
            <w:tc>
              <w:tcPr>
                <w:tcW w:w="2551" w:type="dxa"/>
                <w:vAlign w:val="center"/>
              </w:tcPr>
              <w:p>
                <w:pPr>
                  <w:spacing w:line="276" w:lineRule="auto"/>
                  <w:rPr>
                    <w:color w:val="000000"/>
                  </w:rPr>
                </w:pPr>
                <w:r>
                  <w:rPr>
                    <w:rFonts w:eastAsia="MS Mincho"/>
                    <w:color w:val="000000"/>
                    <w:szCs w:val="24"/>
                  </w:rPr>
                  <w:t>Einamųjų metų spalio 5 d. duomenų būklės (pagal tą dieną esančius duomenis)</w:t>
                </w:r>
              </w:p>
            </w:tc>
          </w:tr>
          <w:tr>
            <w:tc>
              <w:tcPr>
                <w:tcW w:w="562" w:type="dxa"/>
                <w:vAlign w:val="center"/>
              </w:tcPr>
              <w:p>
                <w:pPr>
                  <w:spacing w:line="276" w:lineRule="auto"/>
                  <w:jc w:val="center"/>
                  <w:rPr>
                    <w:rFonts w:eastAsia="MS Mincho"/>
                    <w:color w:val="000000"/>
                    <w:szCs w:val="24"/>
                  </w:rPr>
                </w:pPr>
                <w:r>
                  <w:rPr>
                    <w:rFonts w:eastAsia="MS Mincho"/>
                    <w:color w:val="000000"/>
                    <w:szCs w:val="24"/>
                  </w:rPr>
                  <w:t>5.</w:t>
                </w:r>
              </w:p>
            </w:tc>
            <w:tc>
              <w:tcPr>
                <w:tcW w:w="3119" w:type="dxa"/>
                <w:vAlign w:val="center"/>
              </w:tcPr>
              <w:p>
                <w:pPr>
                  <w:spacing w:line="276" w:lineRule="auto"/>
                  <w:jc w:val="both"/>
                  <w:rPr>
                    <w:rFonts w:eastAsia="MS Mincho"/>
                    <w:color w:val="000000"/>
                    <w:szCs w:val="24"/>
                  </w:rPr>
                </w:pPr>
                <w:r>
                  <w:rPr>
                    <w:color w:val="000000"/>
                  </w:rPr>
                  <w:t>Informacijos, reikalingos įvertinti atitiktį Tvarkos aprašo 5.6 papunktyje nurodytam kriterijui (mokslo ir studijų institucijų lėšos, gautos iš ūkio subjektų, nevyriausybinių organizacijų ir fizinių asmenų už užsakymus studijoms ir pagal paramos sutartis studijų veiklai vykdyti), pateikimas</w:t>
                </w:r>
              </w:p>
            </w:tc>
            <w:tc>
              <w:tcPr>
                <w:tcW w:w="2693" w:type="dxa"/>
                <w:vAlign w:val="center"/>
              </w:tcPr>
              <w:p>
                <w:pPr>
                  <w:spacing w:line="276" w:lineRule="auto"/>
                  <w:rPr>
                    <w:rFonts w:eastAsia="MS Mincho"/>
                    <w:color w:val="000000"/>
                    <w:szCs w:val="24"/>
                  </w:rPr>
                </w:pPr>
                <w:r>
                  <w:rPr>
                    <w:rFonts w:eastAsia="MS Mincho"/>
                    <w:color w:val="000000"/>
                    <w:szCs w:val="24"/>
                  </w:rPr>
                  <w:t>MSI</w:t>
                </w:r>
              </w:p>
            </w:tc>
            <w:tc>
              <w:tcPr>
                <w:tcW w:w="3686" w:type="dxa"/>
                <w:vAlign w:val="center"/>
              </w:tcPr>
              <w:p>
                <w:pPr>
                  <w:spacing w:line="276" w:lineRule="auto"/>
                  <w:rPr>
                    <w:rFonts w:eastAsia="MS Mincho"/>
                    <w:color w:val="000000"/>
                    <w:szCs w:val="24"/>
                  </w:rPr>
                </w:pPr>
                <w:r>
                  <w:rPr>
                    <w:rFonts w:eastAsia="MS Mincho"/>
                    <w:color w:val="000000"/>
                    <w:szCs w:val="24"/>
                  </w:rPr>
                  <w:t>ŠVIS</w:t>
                </w:r>
              </w:p>
            </w:tc>
            <w:tc>
              <w:tcPr>
                <w:tcW w:w="2126" w:type="dxa"/>
                <w:vAlign w:val="center"/>
              </w:tcPr>
              <w:p>
                <w:pPr>
                  <w:spacing w:line="276" w:lineRule="auto"/>
                  <w:rPr>
                    <w:rFonts w:eastAsia="MS Mincho"/>
                    <w:color w:val="000000"/>
                    <w:szCs w:val="24"/>
                  </w:rPr>
                </w:pPr>
                <w:r>
                  <w:rPr>
                    <w:rFonts w:eastAsia="MS Mincho"/>
                    <w:color w:val="000000"/>
                    <w:szCs w:val="24"/>
                  </w:rPr>
                  <w:t>Skiltyje „Duomenų teikimas“ „Jūs turite užpildyti šias formas“ spaudžiama nuoroda „Užsakymai studijoms“, „Gauta parama pagal LPĮ“</w:t>
                </w:r>
              </w:p>
            </w:tc>
            <w:tc>
              <w:tcPr>
                <w:tcW w:w="2551" w:type="dxa"/>
                <w:vAlign w:val="center"/>
              </w:tcPr>
              <w:p>
                <w:pPr>
                  <w:spacing w:line="276" w:lineRule="auto"/>
                  <w:rPr>
                    <w:rFonts w:eastAsia="MS Mincho"/>
                    <w:color w:val="000000"/>
                    <w:szCs w:val="24"/>
                  </w:rPr>
                </w:pPr>
                <w:r>
                  <w:rPr>
                    <w:rFonts w:eastAsia="MS Mincho"/>
                    <w:color w:val="000000"/>
                    <w:szCs w:val="24"/>
                  </w:rPr>
                  <w:t>Nuo einamųjų metų kovo 1 d. iki einamųjų metų rugsėjo 20 d.</w:t>
                </w:r>
              </w:p>
            </w:tc>
          </w:tr>
          <w:tr>
            <w:tc>
              <w:tcPr>
                <w:tcW w:w="562" w:type="dxa"/>
                <w:vAlign w:val="center"/>
              </w:tcPr>
              <w:p>
                <w:pPr>
                  <w:spacing w:line="276" w:lineRule="auto"/>
                  <w:rPr>
                    <w:rFonts w:eastAsia="MS Mincho"/>
                    <w:color w:val="000000"/>
                    <w:szCs w:val="24"/>
                  </w:rPr>
                </w:pPr>
                <w:r>
                  <w:rPr>
                    <w:rFonts w:eastAsia="MS Mincho"/>
                    <w:color w:val="000000"/>
                    <w:szCs w:val="24"/>
                  </w:rPr>
                  <w:t>6.</w:t>
                </w:r>
              </w:p>
            </w:tc>
            <w:tc>
              <w:tcPr>
                <w:tcW w:w="3119" w:type="dxa"/>
                <w:vAlign w:val="center"/>
              </w:tcPr>
              <w:p>
                <w:pPr>
                  <w:spacing w:line="276" w:lineRule="auto"/>
                  <w:jc w:val="both"/>
                  <w:rPr>
                    <w:rFonts w:eastAsia="MS Mincho"/>
                    <w:color w:val="000000"/>
                    <w:szCs w:val="24"/>
                  </w:rPr>
                </w:pPr>
                <w:r>
                  <w:rPr>
                    <w:rFonts w:eastAsia="MS Mincho"/>
                    <w:color w:val="000000"/>
                    <w:szCs w:val="24"/>
                  </w:rPr>
                  <w:t xml:space="preserve">MSI pateiktos informacijos, reikalingos įvertinti atitiktį Tvarkos aprašo 5.6 papunktyje nurodytam kriterijui, patikrinimo rezultatų paskelbimas </w:t>
                </w:r>
              </w:p>
            </w:tc>
            <w:tc>
              <w:tcPr>
                <w:tcW w:w="2693" w:type="dxa"/>
                <w:vAlign w:val="center"/>
              </w:tcPr>
              <w:p>
                <w:pPr>
                  <w:spacing w:line="276" w:lineRule="auto"/>
                  <w:rPr>
                    <w:rFonts w:eastAsia="MS Mincho"/>
                    <w:color w:val="000000"/>
                    <w:szCs w:val="24"/>
                  </w:rPr>
                </w:pPr>
                <w:r>
                  <w:rPr>
                    <w:rFonts w:eastAsia="MS Mincho"/>
                    <w:color w:val="000000"/>
                    <w:szCs w:val="24"/>
                  </w:rPr>
                  <w:t>Studijų kokybės vertinimo centras (toliau – SKVC)</w:t>
                </w:r>
              </w:p>
            </w:tc>
            <w:tc>
              <w:tcPr>
                <w:tcW w:w="3686" w:type="dxa"/>
                <w:vAlign w:val="center"/>
              </w:tcPr>
              <w:p>
                <w:pPr>
                  <w:spacing w:line="276" w:lineRule="auto"/>
                  <w:rPr>
                    <w:rFonts w:eastAsia="MS Mincho"/>
                    <w:color w:val="000000"/>
                    <w:szCs w:val="24"/>
                  </w:rPr>
                </w:pPr>
                <w:r>
                  <w:rPr>
                    <w:rFonts w:eastAsia="MS Mincho"/>
                    <w:color w:val="000000"/>
                    <w:szCs w:val="24"/>
                  </w:rPr>
                  <w:t>ŠVIS</w:t>
                </w:r>
              </w:p>
            </w:tc>
            <w:tc>
              <w:tcPr>
                <w:tcW w:w="2126" w:type="dxa"/>
                <w:vAlign w:val="center"/>
              </w:tcPr>
              <w:p>
                <w:pPr>
                  <w:spacing w:line="276" w:lineRule="auto"/>
                  <w:rPr>
                    <w:rFonts w:eastAsia="MS Mincho"/>
                    <w:color w:val="000000"/>
                    <w:szCs w:val="24"/>
                  </w:rPr>
                </w:pPr>
                <w:r>
                  <w:rPr>
                    <w:rFonts w:eastAsia="MS Mincho"/>
                    <w:color w:val="000000"/>
                    <w:szCs w:val="24"/>
                  </w:rPr>
                  <w:t>Skiltyje „Duomenų teikimas“ „Jūs turite užpildyti šias formas“ spaudžiama nuoroda „Užsakymai studijoms“, „Gauta parama pagal LPĮ“</w:t>
                </w:r>
              </w:p>
            </w:tc>
            <w:tc>
              <w:tcPr>
                <w:tcW w:w="2551" w:type="dxa"/>
                <w:vAlign w:val="center"/>
              </w:tcPr>
              <w:p>
                <w:pPr>
                  <w:spacing w:line="276" w:lineRule="auto"/>
                  <w:rPr>
                    <w:rFonts w:eastAsia="MS Mincho"/>
                    <w:color w:val="000000"/>
                    <w:szCs w:val="24"/>
                  </w:rPr>
                </w:pPr>
                <w:r>
                  <w:rPr>
                    <w:rFonts w:eastAsia="MS Mincho"/>
                    <w:color w:val="000000"/>
                    <w:szCs w:val="24"/>
                  </w:rPr>
                  <w:t>Iki einamųjų metų spalio 10 d.</w:t>
                </w:r>
              </w:p>
            </w:tc>
          </w:tr>
          <w:tr>
            <w:tc>
              <w:tcPr>
                <w:tcW w:w="562" w:type="dxa"/>
                <w:vAlign w:val="center"/>
              </w:tcPr>
              <w:p>
                <w:pPr>
                  <w:spacing w:line="276" w:lineRule="auto"/>
                  <w:rPr>
                    <w:rFonts w:eastAsia="MS Mincho"/>
                    <w:color w:val="000000"/>
                    <w:szCs w:val="24"/>
                  </w:rPr>
                </w:pPr>
                <w:r>
                  <w:rPr>
                    <w:rFonts w:eastAsia="MS Mincho"/>
                    <w:color w:val="000000"/>
                    <w:szCs w:val="24"/>
                  </w:rPr>
                  <w:t>7.</w:t>
                </w:r>
              </w:p>
            </w:tc>
            <w:tc>
              <w:tcPr>
                <w:tcW w:w="3119" w:type="dxa"/>
                <w:vAlign w:val="center"/>
              </w:tcPr>
              <w:p>
                <w:pPr>
                  <w:spacing w:line="276" w:lineRule="auto"/>
                  <w:jc w:val="both"/>
                  <w:rPr>
                    <w:rFonts w:eastAsia="MS Mincho"/>
                    <w:color w:val="000000"/>
                    <w:szCs w:val="24"/>
                  </w:rPr>
                </w:pPr>
                <w:r>
                  <w:rPr>
                    <w:color w:val="000000"/>
                  </w:rPr>
                  <w:t>Tvarkos aprašo 5.6 papunktyje nurodytam kriterijui įvertinti pateiktos informacijos patikslinimas ir (ar) paaiškinimų pateikimas</w:t>
                </w:r>
              </w:p>
            </w:tc>
            <w:tc>
              <w:tcPr>
                <w:tcW w:w="2693" w:type="dxa"/>
                <w:vAlign w:val="center"/>
              </w:tcPr>
              <w:p>
                <w:pPr>
                  <w:spacing w:line="276" w:lineRule="auto"/>
                  <w:rPr>
                    <w:rFonts w:eastAsia="MS Mincho"/>
                    <w:color w:val="000000"/>
                    <w:szCs w:val="24"/>
                  </w:rPr>
                </w:pPr>
                <w:r>
                  <w:rPr>
                    <w:rFonts w:eastAsia="MS Mincho"/>
                    <w:color w:val="000000"/>
                    <w:szCs w:val="24"/>
                  </w:rPr>
                  <w:t>MSI</w:t>
                </w:r>
              </w:p>
            </w:tc>
            <w:tc>
              <w:tcPr>
                <w:tcW w:w="3686" w:type="dxa"/>
                <w:vAlign w:val="center"/>
              </w:tcPr>
              <w:p>
                <w:pPr>
                  <w:spacing w:line="276" w:lineRule="auto"/>
                  <w:rPr>
                    <w:rFonts w:eastAsia="MS Mincho"/>
                    <w:color w:val="000000"/>
                    <w:szCs w:val="24"/>
                  </w:rPr>
                </w:pPr>
                <w:r>
                  <w:rPr>
                    <w:rFonts w:eastAsia="MS Mincho"/>
                    <w:color w:val="000000"/>
                    <w:szCs w:val="24"/>
                  </w:rPr>
                  <w:t>ŠVIS</w:t>
                </w:r>
              </w:p>
            </w:tc>
            <w:tc>
              <w:tcPr>
                <w:tcW w:w="2126" w:type="dxa"/>
                <w:vAlign w:val="center"/>
              </w:tcPr>
              <w:p>
                <w:pPr>
                  <w:spacing w:line="276" w:lineRule="auto"/>
                  <w:rPr>
                    <w:rFonts w:eastAsia="MS Mincho"/>
                    <w:color w:val="000000"/>
                    <w:szCs w:val="24"/>
                  </w:rPr>
                </w:pPr>
                <w:r>
                  <w:rPr>
                    <w:rFonts w:eastAsia="MS Mincho"/>
                    <w:color w:val="000000"/>
                    <w:szCs w:val="24"/>
                  </w:rPr>
                  <w:t>Skiltyje „Duomenų teikimas“ „Jūs turite užpildyti šias formas“ spaudžiama nuoroda „Užsakymai studijoms“, „Gauta parama pagal LPĮ“</w:t>
                </w:r>
              </w:p>
            </w:tc>
            <w:tc>
              <w:tcPr>
                <w:tcW w:w="2551" w:type="dxa"/>
                <w:vAlign w:val="center"/>
              </w:tcPr>
              <w:p>
                <w:pPr>
                  <w:spacing w:line="276" w:lineRule="auto"/>
                  <w:rPr>
                    <w:rFonts w:eastAsia="MS Mincho"/>
                    <w:color w:val="000000"/>
                    <w:szCs w:val="24"/>
                  </w:rPr>
                </w:pPr>
                <w:r>
                  <w:rPr>
                    <w:rFonts w:eastAsia="MS Mincho"/>
                    <w:color w:val="000000"/>
                    <w:szCs w:val="24"/>
                  </w:rPr>
                  <w:t>Per 5 darbo dienas nuo SKVC patikrinimo rezultatų paskelbimo</w:t>
                </w:r>
              </w:p>
            </w:tc>
          </w:tr>
          <w:tr>
            <w:tc>
              <w:tcPr>
                <w:tcW w:w="562" w:type="dxa"/>
                <w:vAlign w:val="center"/>
              </w:tcPr>
              <w:p>
                <w:pPr>
                  <w:spacing w:line="276" w:lineRule="auto"/>
                  <w:rPr>
                    <w:rFonts w:eastAsia="MS Mincho"/>
                    <w:color w:val="000000"/>
                    <w:szCs w:val="24"/>
                  </w:rPr>
                </w:pPr>
                <w:r>
                  <w:rPr>
                    <w:rFonts w:eastAsia="MS Mincho"/>
                    <w:color w:val="000000"/>
                    <w:szCs w:val="24"/>
                  </w:rPr>
                  <w:t>8.</w:t>
                </w:r>
              </w:p>
            </w:tc>
            <w:tc>
              <w:tcPr>
                <w:tcW w:w="3119" w:type="dxa"/>
                <w:vAlign w:val="center"/>
              </w:tcPr>
              <w:p>
                <w:pPr>
                  <w:spacing w:line="276" w:lineRule="auto"/>
                  <w:jc w:val="both"/>
                  <w:rPr>
                    <w:rFonts w:eastAsia="MS Mincho"/>
                    <w:color w:val="000000"/>
                    <w:szCs w:val="24"/>
                  </w:rPr>
                </w:pPr>
                <w:r>
                  <w:rPr>
                    <w:rFonts w:eastAsia="MS Mincho"/>
                    <w:color w:val="000000"/>
                    <w:szCs w:val="24"/>
                  </w:rPr>
                  <w:t xml:space="preserve">Galutinės informacijos, pateiktos Tvarkos aprašo 5.6 papunktyje nurodytam kriterijui įvertinti, paskelbimas </w:t>
                </w:r>
              </w:p>
            </w:tc>
            <w:tc>
              <w:tcPr>
                <w:tcW w:w="2693" w:type="dxa"/>
                <w:vAlign w:val="center"/>
              </w:tcPr>
              <w:p>
                <w:pPr>
                  <w:spacing w:line="276" w:lineRule="auto"/>
                  <w:rPr>
                    <w:rFonts w:eastAsia="MS Mincho"/>
                    <w:color w:val="000000"/>
                    <w:szCs w:val="24"/>
                  </w:rPr>
                </w:pPr>
                <w:r>
                  <w:rPr>
                    <w:rFonts w:eastAsia="MS Mincho"/>
                    <w:color w:val="000000"/>
                    <w:szCs w:val="24"/>
                  </w:rPr>
                  <w:t>SKVC</w:t>
                </w:r>
              </w:p>
            </w:tc>
            <w:tc>
              <w:tcPr>
                <w:tcW w:w="3686" w:type="dxa"/>
                <w:vAlign w:val="center"/>
              </w:tcPr>
              <w:p>
                <w:pPr>
                  <w:spacing w:line="276" w:lineRule="auto"/>
                  <w:rPr>
                    <w:rFonts w:eastAsia="MS Mincho"/>
                    <w:color w:val="000000"/>
                    <w:szCs w:val="24"/>
                  </w:rPr>
                </w:pPr>
                <w:r>
                  <w:rPr>
                    <w:rFonts w:eastAsia="MS Mincho"/>
                    <w:color w:val="000000"/>
                    <w:szCs w:val="24"/>
                  </w:rPr>
                  <w:t>ŠVIS</w:t>
                </w:r>
              </w:p>
            </w:tc>
            <w:tc>
              <w:tcPr>
                <w:tcW w:w="2126" w:type="dxa"/>
                <w:vAlign w:val="center"/>
              </w:tcPr>
              <w:p>
                <w:pPr>
                  <w:spacing w:line="276" w:lineRule="auto"/>
                  <w:rPr>
                    <w:rFonts w:eastAsia="MS Mincho"/>
                    <w:color w:val="000000"/>
                    <w:szCs w:val="24"/>
                  </w:rPr>
                </w:pPr>
                <w:r>
                  <w:rPr>
                    <w:color w:val="000000"/>
                  </w:rPr>
                  <w:t>Skiltyje „Duomenų teikimas“ „Duomenų administravimo formos“ spaudžiama nuoroda „SKVC patvirtintų MSI gautų lėšų ataskaita“</w:t>
                </w:r>
              </w:p>
            </w:tc>
            <w:tc>
              <w:tcPr>
                <w:tcW w:w="2551" w:type="dxa"/>
                <w:vAlign w:val="center"/>
              </w:tcPr>
              <w:p>
                <w:pPr>
                  <w:spacing w:line="276" w:lineRule="auto"/>
                  <w:rPr>
                    <w:rFonts w:eastAsia="MS Mincho"/>
                    <w:color w:val="000000"/>
                    <w:szCs w:val="24"/>
                  </w:rPr>
                </w:pPr>
                <w:r>
                  <w:rPr>
                    <w:rFonts w:eastAsia="MS Mincho"/>
                    <w:color w:val="000000"/>
                    <w:szCs w:val="24"/>
                  </w:rPr>
                  <w:t>Iki einamųjų metų spalio 24 d.</w:t>
                </w:r>
              </w:p>
            </w:tc>
          </w:tr>
          <w:tr>
            <w:tc>
              <w:tcPr>
                <w:tcW w:w="562" w:type="dxa"/>
                <w:vAlign w:val="center"/>
              </w:tcPr>
              <w:p>
                <w:pPr>
                  <w:spacing w:line="276" w:lineRule="auto"/>
                  <w:rPr>
                    <w:rFonts w:eastAsia="MS Mincho"/>
                    <w:color w:val="000000"/>
                    <w:szCs w:val="24"/>
                  </w:rPr>
                </w:pPr>
                <w:r>
                  <w:rPr>
                    <w:rFonts w:eastAsia="MS Mincho"/>
                    <w:color w:val="000000"/>
                    <w:szCs w:val="24"/>
                  </w:rPr>
                  <w:t>9.</w:t>
                </w:r>
              </w:p>
            </w:tc>
            <w:tc>
              <w:tcPr>
                <w:tcW w:w="3119" w:type="dxa"/>
                <w:vAlign w:val="center"/>
              </w:tcPr>
              <w:p>
                <w:pPr>
                  <w:spacing w:line="276" w:lineRule="auto"/>
                  <w:jc w:val="both"/>
                  <w:rPr>
                    <w:rFonts w:eastAsia="MS Mincho"/>
                    <w:color w:val="000000"/>
                    <w:szCs w:val="24"/>
                  </w:rPr>
                </w:pPr>
                <w:r>
                  <w:rPr>
                    <w:rFonts w:eastAsia="MS Mincho"/>
                    <w:color w:val="000000"/>
                    <w:szCs w:val="24"/>
                  </w:rPr>
                  <w:t>Studijų pasiekimų kriterijų įverčių, nurodytų Tvarkos aprašo 5.1–5.6 papunkčiuose, paskelbimas</w:t>
                </w:r>
              </w:p>
            </w:tc>
            <w:tc>
              <w:tcPr>
                <w:tcW w:w="2693" w:type="dxa"/>
                <w:vAlign w:val="center"/>
              </w:tcPr>
              <w:p>
                <w:pPr>
                  <w:spacing w:line="276" w:lineRule="auto"/>
                  <w:rPr>
                    <w:rFonts w:eastAsia="MS Mincho"/>
                    <w:color w:val="000000"/>
                    <w:szCs w:val="24"/>
                  </w:rPr>
                </w:pPr>
                <w:r>
                  <w:rPr>
                    <w:rFonts w:eastAsia="MS Mincho"/>
                    <w:color w:val="000000"/>
                    <w:szCs w:val="24"/>
                  </w:rPr>
                  <w:t>NŠA</w:t>
                </w:r>
              </w:p>
            </w:tc>
            <w:tc>
              <w:tcPr>
                <w:tcW w:w="3686" w:type="dxa"/>
                <w:vAlign w:val="center"/>
              </w:tcPr>
              <w:p>
                <w:pPr>
                  <w:spacing w:line="276" w:lineRule="auto"/>
                  <w:rPr>
                    <w:rFonts w:eastAsia="MS Mincho"/>
                    <w:color w:val="000000"/>
                    <w:szCs w:val="24"/>
                  </w:rPr>
                </w:pPr>
                <w:r>
                  <w:rPr>
                    <w:rFonts w:eastAsia="MS Mincho"/>
                    <w:color w:val="000000"/>
                    <w:szCs w:val="24"/>
                  </w:rPr>
                  <w:t>ŠVIS</w:t>
                </w:r>
              </w:p>
            </w:tc>
            <w:tc>
              <w:tcPr>
                <w:tcW w:w="2126" w:type="dxa"/>
                <w:vAlign w:val="center"/>
              </w:tcPr>
              <w:p>
                <w:pPr>
                  <w:spacing w:line="276" w:lineRule="auto"/>
                  <w:rPr>
                    <w:rFonts w:eastAsia="MS Mincho"/>
                    <w:color w:val="000000"/>
                    <w:szCs w:val="24"/>
                  </w:rPr>
                </w:pPr>
                <w:r>
                  <w:rPr>
                    <w:rFonts w:eastAsia="MS Mincho"/>
                    <w:color w:val="000000"/>
                    <w:szCs w:val="24"/>
                  </w:rPr>
                  <w:t>Skiltyje „ŠVIS turinys“ pasirinkus aplanką „Bendroji informacija“, „SKVC“ ir paspaudus nuorodą „MSI studijų veiklos pasiekimų rodiklių ataskaita (pagal spalio 5 d. fiksuotus duomenis)“</w:t>
                </w:r>
              </w:p>
            </w:tc>
            <w:tc>
              <w:tcPr>
                <w:tcW w:w="2551" w:type="dxa"/>
                <w:vAlign w:val="center"/>
              </w:tcPr>
              <w:p>
                <w:pPr>
                  <w:spacing w:line="276" w:lineRule="auto"/>
                  <w:rPr>
                    <w:rFonts w:eastAsia="MS Mincho"/>
                    <w:color w:val="000000"/>
                    <w:szCs w:val="24"/>
                  </w:rPr>
                </w:pPr>
                <w:r>
                  <w:rPr>
                    <w:rFonts w:eastAsia="MS Mincho"/>
                    <w:color w:val="000000"/>
                    <w:szCs w:val="24"/>
                  </w:rPr>
                  <w:t>Iki einamųjų metų spalio 25 d.</w:t>
                </w:r>
              </w:p>
            </w:tc>
          </w:tr>
          <w:tr>
            <w:trPr>
              <w:trHeight w:val="2317"/>
            </w:trPr>
            <w:tc>
              <w:tcPr>
                <w:tcW w:w="562" w:type="dxa"/>
                <w:vAlign w:val="center"/>
              </w:tcPr>
              <w:p>
                <w:pPr>
                  <w:spacing w:line="276" w:lineRule="auto"/>
                  <w:rPr>
                    <w:rFonts w:eastAsia="MS Mincho"/>
                    <w:color w:val="000000"/>
                    <w:szCs w:val="24"/>
                  </w:rPr>
                </w:pPr>
                <w:r>
                  <w:rPr>
                    <w:rFonts w:eastAsia="MS Mincho"/>
                    <w:color w:val="000000"/>
                    <w:szCs w:val="24"/>
                  </w:rPr>
                  <w:t>10.</w:t>
                </w:r>
              </w:p>
            </w:tc>
            <w:tc>
              <w:tcPr>
                <w:tcW w:w="3119" w:type="dxa"/>
                <w:vAlign w:val="center"/>
              </w:tcPr>
              <w:p>
                <w:pPr>
                  <w:spacing w:line="276" w:lineRule="auto"/>
                  <w:jc w:val="both"/>
                  <w:rPr>
                    <w:rFonts w:eastAsia="MS Mincho"/>
                    <w:color w:val="000000"/>
                    <w:szCs w:val="24"/>
                  </w:rPr>
                </w:pPr>
                <w:r>
                  <w:rPr>
                    <w:rFonts w:eastAsia="MS Mincho"/>
                    <w:color w:val="000000"/>
                    <w:szCs w:val="24"/>
                  </w:rPr>
                  <w:t xml:space="preserve">Studijų pasiekimų kriterijų įverčių, nurodytų Tvarkos aprašo 5.1–5.6 papunkčiuose, pateikimas ŠVIS ataskaitose Lietuvos Respublikos švietimo, mokslo ir sporto ministerijai </w:t>
                </w:r>
              </w:p>
            </w:tc>
            <w:tc>
              <w:tcPr>
                <w:tcW w:w="2693" w:type="dxa"/>
                <w:vAlign w:val="center"/>
              </w:tcPr>
              <w:p>
                <w:pPr>
                  <w:spacing w:line="276" w:lineRule="auto"/>
                  <w:rPr>
                    <w:rFonts w:eastAsia="MS Mincho"/>
                    <w:color w:val="000000"/>
                    <w:szCs w:val="24"/>
                  </w:rPr>
                </w:pPr>
                <w:r>
                  <w:rPr>
                    <w:rFonts w:eastAsia="MS Mincho"/>
                    <w:color w:val="000000"/>
                    <w:szCs w:val="24"/>
                  </w:rPr>
                  <w:t>NŠA, SKVC</w:t>
                </w:r>
              </w:p>
            </w:tc>
            <w:tc>
              <w:tcPr>
                <w:tcW w:w="3686" w:type="dxa"/>
                <w:vAlign w:val="center"/>
              </w:tcPr>
              <w:p>
                <w:pPr>
                  <w:spacing w:line="276" w:lineRule="auto"/>
                  <w:rPr>
                    <w:rFonts w:eastAsia="MS Mincho"/>
                    <w:color w:val="000000"/>
                    <w:szCs w:val="24"/>
                  </w:rPr>
                </w:pPr>
                <w:r>
                  <w:rPr>
                    <w:rFonts w:eastAsia="MS Mincho"/>
                    <w:color w:val="000000"/>
                    <w:szCs w:val="24"/>
                  </w:rPr>
                  <w:t>ŠVIS</w:t>
                </w:r>
              </w:p>
            </w:tc>
            <w:tc>
              <w:tcPr>
                <w:tcW w:w="2126" w:type="dxa"/>
                <w:vAlign w:val="center"/>
              </w:tcPr>
              <w:p>
                <w:pPr>
                  <w:spacing w:line="276" w:lineRule="auto"/>
                  <w:jc w:val="center"/>
                  <w:rPr>
                    <w:rFonts w:eastAsia="MS Mincho"/>
                    <w:color w:val="000000"/>
                    <w:szCs w:val="24"/>
                  </w:rPr>
                </w:pPr>
                <w:r>
                  <w:rPr>
                    <w:rFonts w:eastAsia="MS Mincho"/>
                    <w:color w:val="000000"/>
                    <w:szCs w:val="24"/>
                  </w:rPr>
                  <w:t>–</w:t>
                </w:r>
              </w:p>
            </w:tc>
            <w:tc>
              <w:tcPr>
                <w:tcW w:w="2551" w:type="dxa"/>
                <w:vAlign w:val="center"/>
              </w:tcPr>
              <w:p>
                <w:pPr>
                  <w:spacing w:line="276" w:lineRule="auto"/>
                  <w:rPr>
                    <w:rFonts w:eastAsia="MS Mincho"/>
                    <w:color w:val="000000"/>
                    <w:szCs w:val="24"/>
                  </w:rPr>
                </w:pPr>
                <w:r>
                  <w:rPr>
                    <w:rFonts w:eastAsia="MS Mincho"/>
                    <w:color w:val="000000"/>
                    <w:szCs w:val="24"/>
                  </w:rPr>
                  <w:t>Iki einamųjų metų spalio 25 d.</w:t>
                </w:r>
              </w:p>
            </w:tc>
          </w:tr>
          <w:tr>
            <w:tc>
              <w:tcPr>
                <w:tcW w:w="562" w:type="dxa"/>
                <w:vAlign w:val="center"/>
              </w:tcPr>
              <w:p>
                <w:pPr>
                  <w:spacing w:line="276" w:lineRule="auto"/>
                  <w:rPr>
                    <w:rFonts w:eastAsia="MS Mincho"/>
                    <w:color w:val="000000"/>
                    <w:szCs w:val="24"/>
                  </w:rPr>
                </w:pPr>
                <w:r>
                  <w:rPr>
                    <w:rFonts w:eastAsia="MS Mincho"/>
                    <w:color w:val="000000"/>
                    <w:szCs w:val="24"/>
                  </w:rPr>
                  <w:t>11.</w:t>
                </w:r>
              </w:p>
            </w:tc>
            <w:tc>
              <w:tcPr>
                <w:tcW w:w="3119" w:type="dxa"/>
                <w:vAlign w:val="center"/>
              </w:tcPr>
              <w:p>
                <w:pPr>
                  <w:spacing w:line="276" w:lineRule="auto"/>
                  <w:jc w:val="both"/>
                  <w:rPr>
                    <w:rFonts w:eastAsia="MS Mincho"/>
                    <w:color w:val="000000"/>
                    <w:szCs w:val="24"/>
                  </w:rPr>
                </w:pPr>
                <w:r>
                  <w:rPr>
                    <w:rFonts w:eastAsia="MS Mincho"/>
                    <w:color w:val="000000"/>
                    <w:szCs w:val="24"/>
                  </w:rPr>
                  <w:t>Valstybės biudžeto lėšų, planuojamų skirti MSI skatinti už studijų pasiekimus, paskirstymo paskelbimas</w:t>
                </w:r>
              </w:p>
            </w:tc>
            <w:tc>
              <w:tcPr>
                <w:tcW w:w="2693" w:type="dxa"/>
                <w:vAlign w:val="center"/>
              </w:tcPr>
              <w:p>
                <w:pPr>
                  <w:spacing w:line="276" w:lineRule="auto"/>
                  <w:rPr>
                    <w:rFonts w:eastAsia="MS Mincho"/>
                    <w:color w:val="000000"/>
                    <w:szCs w:val="24"/>
                  </w:rPr>
                </w:pPr>
                <w:r>
                  <w:rPr>
                    <w:rFonts w:eastAsia="MS Mincho"/>
                    <w:color w:val="000000"/>
                    <w:szCs w:val="24"/>
                  </w:rPr>
                  <w:t>Švietimo, mokslo ir sporto ministerija</w:t>
                </w:r>
              </w:p>
            </w:tc>
            <w:tc>
              <w:tcPr>
                <w:tcW w:w="3686" w:type="dxa"/>
                <w:vAlign w:val="center"/>
              </w:tcPr>
              <w:p>
                <w:pPr>
                  <w:spacing w:line="276" w:lineRule="auto"/>
                  <w:rPr>
                    <w:rFonts w:eastAsia="MS Mincho"/>
                    <w:color w:val="000000"/>
                    <w:szCs w:val="24"/>
                  </w:rPr>
                </w:pPr>
                <w:r>
                  <w:rPr>
                    <w:rFonts w:eastAsia="MS Mincho"/>
                    <w:color w:val="000000"/>
                    <w:szCs w:val="24"/>
                  </w:rPr>
                  <w:t>ŠVIS</w:t>
                </w:r>
              </w:p>
            </w:tc>
            <w:tc>
              <w:tcPr>
                <w:tcW w:w="2126" w:type="dxa"/>
                <w:vAlign w:val="center"/>
              </w:tcPr>
              <w:p>
                <w:pPr>
                  <w:spacing w:line="276" w:lineRule="auto"/>
                  <w:rPr>
                    <w:rFonts w:eastAsia="MS Mincho"/>
                    <w:color w:val="000000"/>
                    <w:szCs w:val="24"/>
                  </w:rPr>
                </w:pPr>
                <w:r>
                  <w:rPr>
                    <w:rFonts w:eastAsia="MS Mincho"/>
                    <w:color w:val="000000"/>
                    <w:szCs w:val="24"/>
                  </w:rPr>
                  <w:t>Skiltyje „ŠVIS turinys“ pasirinkus aplanką „Bendroji informacija“, „SKVC“ ir paspaudus nuorodą „MSI studijų veiklos pasiekimų rodiklių ataskaita (pagal spalio 5 d. fiksuotus duomenis)“</w:t>
                </w:r>
              </w:p>
            </w:tc>
            <w:tc>
              <w:tcPr>
                <w:tcW w:w="2551" w:type="dxa"/>
                <w:vAlign w:val="center"/>
              </w:tcPr>
              <w:p>
                <w:pPr>
                  <w:spacing w:line="276" w:lineRule="auto"/>
                  <w:rPr>
                    <w:rFonts w:eastAsia="MS Mincho"/>
                    <w:color w:val="000000"/>
                    <w:szCs w:val="24"/>
                  </w:rPr>
                </w:pPr>
                <w:r>
                  <w:rPr>
                    <w:rFonts w:eastAsia="MS Mincho"/>
                    <w:color w:val="000000"/>
                    <w:szCs w:val="24"/>
                  </w:rPr>
                  <w:t>Iki einamųjų metų gruodžio 15 d.</w:t>
                </w:r>
              </w:p>
            </w:tc>
          </w:tr>
        </w:tbl>
        <w:p>
          <w:pPr>
            <w:jc w:val="center"/>
            <w:rPr>
              <w:color w:val="000000"/>
              <w:szCs w:val="24"/>
              <w:lang w:eastAsia="lt-LT"/>
            </w:rPr>
          </w:pPr>
        </w:p>
        <w:sdt>
          <w:sdtPr>
            <w:alias w:val="pabaiga"/>
            <w:tag w:val="part_488d46bc2a324cdabd809e631a8329f8"/>
            <w:lock w:val="sdtLocked"/>
            <w:richText/>
          </w:sdtPr>
          <w:sdtContent>
            <w:p>
              <w:pPr>
                <w:jc w:val="center"/>
              </w:pPr>
              <w:r>
                <w:rPr>
                  <w:color w:val="000000"/>
                  <w:lang w:eastAsia="lt-LT"/>
                </w:rPr>
                <w:t>______________</w:t>
              </w:r>
            </w:p>
          </w:sdtContent>
        </w:sdt>
      </w:sdtContent>
    </w:sdt>
    <w:sdt>
      <w:sdtPr>
        <w:alias w:val="4 pr."/>
        <w:tag w:val="part_a29ea594fe3544129a2a5372674104fc"/>
        <w:lock w:val="sdtLocked"/>
        <w:richText/>
      </w:sdtPr>
      <w:sdtContent>
        <w:p>
          <w:pPr>
            <w:rPr>
              <w:color w:val="000000"/>
              <w:lang w:eastAsia="lt-LT"/>
            </w:rPr>
            <w:sectPr>
              <w:pgSz w:w="16838" w:h="11906" w:orient="landscape"/>
              <w:pgMar w:top="1134" w:right="1134" w:bottom="567" w:left="1134" w:header="567" w:footer="567" w:gutter="0"/>
              <w:pgNumType w:start="1"/>
              <w:cols w:space="1296"/>
              <w:titlePg/>
              <w:docGrid w:linePitch="326"/>
            </w:sectPr>
          </w:pPr>
        </w:p>
        <w:p>
          <w:pPr>
            <w:ind w:firstLine="5387"/>
            <w:rPr>
              <w:color w:val="000000"/>
              <w:szCs w:val="24"/>
              <w:lang w:eastAsia="lt-LT"/>
            </w:rPr>
          </w:pPr>
          <w:r>
            <w:rPr>
              <w:color w:val="000000"/>
              <w:szCs w:val="24"/>
              <w:lang w:eastAsia="lt-LT"/>
            </w:rPr>
            <w:t xml:space="preserve">Studijų veiklos pasiekimų vertinimo, valstybės </w:t>
          </w:r>
        </w:p>
        <w:p>
          <w:pPr>
            <w:ind w:firstLine="5387"/>
            <w:rPr>
              <w:color w:val="000000"/>
              <w:szCs w:val="24"/>
              <w:lang w:eastAsia="lt-LT"/>
            </w:rPr>
          </w:pPr>
          <w:r>
            <w:rPr>
              <w:color w:val="000000"/>
              <w:szCs w:val="24"/>
              <w:lang w:eastAsia="lt-LT"/>
            </w:rPr>
            <w:t xml:space="preserve">biudžeto skatinamojo finansavimo už studijų </w:t>
          </w:r>
        </w:p>
        <w:p>
          <w:pPr>
            <w:ind w:firstLine="5387"/>
            <w:rPr>
              <w:color w:val="000000"/>
              <w:szCs w:val="24"/>
              <w:lang w:eastAsia="lt-LT"/>
            </w:rPr>
          </w:pPr>
          <w:r>
            <w:rPr>
              <w:color w:val="000000"/>
              <w:szCs w:val="24"/>
              <w:lang w:eastAsia="lt-LT"/>
            </w:rPr>
            <w:t xml:space="preserve">veiklos pasiekimus lėšų </w:t>
          </w:r>
          <w:r>
            <w:rPr>
              <w:bCs/>
              <w:color w:val="000000"/>
              <w:szCs w:val="24"/>
              <w:lang w:eastAsia="lt-LT"/>
            </w:rPr>
            <w:t>skirstymo</w:t>
          </w:r>
          <w:r>
            <w:rPr>
              <w:color w:val="000000"/>
              <w:szCs w:val="24"/>
              <w:lang w:eastAsia="lt-LT"/>
            </w:rPr>
            <w:t xml:space="preserve"> mokslo ir </w:t>
          </w:r>
        </w:p>
        <w:p>
          <w:pPr>
            <w:ind w:firstLine="5387"/>
            <w:rPr>
              <w:color w:val="000000"/>
              <w:szCs w:val="24"/>
              <w:lang w:eastAsia="lt-LT"/>
            </w:rPr>
          </w:pPr>
          <w:r>
            <w:rPr>
              <w:color w:val="000000"/>
              <w:szCs w:val="24"/>
              <w:lang w:eastAsia="lt-LT"/>
            </w:rPr>
            <w:t xml:space="preserve">studijų institucijoms, duomenų, kurių reikia </w:t>
          </w:r>
        </w:p>
        <w:p>
          <w:pPr>
            <w:ind w:firstLine="5387"/>
            <w:rPr>
              <w:color w:val="000000"/>
              <w:szCs w:val="24"/>
              <w:lang w:eastAsia="lt-LT"/>
            </w:rPr>
          </w:pPr>
          <w:r>
            <w:rPr>
              <w:color w:val="000000"/>
              <w:szCs w:val="24"/>
              <w:lang w:eastAsia="lt-LT"/>
            </w:rPr>
            <w:t xml:space="preserve">siekiant atlikti studijų veiklos pasiekimų </w:t>
          </w:r>
        </w:p>
        <w:p>
          <w:pPr>
            <w:ind w:firstLine="5387"/>
            <w:rPr>
              <w:color w:val="000000"/>
              <w:szCs w:val="24"/>
              <w:lang w:eastAsia="lt-LT"/>
            </w:rPr>
          </w:pPr>
          <w:r>
            <w:rPr>
              <w:color w:val="000000"/>
              <w:szCs w:val="24"/>
              <w:lang w:eastAsia="lt-LT"/>
            </w:rPr>
            <w:t xml:space="preserve">vertinimus, teikimo ir mokslo ir studijų </w:t>
          </w:r>
        </w:p>
        <w:p>
          <w:pPr>
            <w:ind w:firstLine="5387"/>
            <w:rPr>
              <w:color w:val="000000"/>
              <w:szCs w:val="24"/>
              <w:lang w:eastAsia="lt-LT"/>
            </w:rPr>
          </w:pPr>
          <w:r>
            <w:rPr>
              <w:color w:val="000000"/>
              <w:szCs w:val="24"/>
              <w:lang w:eastAsia="lt-LT"/>
            </w:rPr>
            <w:t xml:space="preserve">institucijų studijų veiklos pasiekimų vertinimo </w:t>
          </w:r>
        </w:p>
        <w:p>
          <w:pPr>
            <w:ind w:firstLine="5387"/>
            <w:rPr>
              <w:color w:val="000000"/>
              <w:szCs w:val="24"/>
              <w:lang w:eastAsia="lt-LT"/>
            </w:rPr>
          </w:pPr>
          <w:r>
            <w:rPr>
              <w:color w:val="000000"/>
              <w:szCs w:val="24"/>
              <w:lang w:eastAsia="lt-LT"/>
            </w:rPr>
            <w:t xml:space="preserve">kriterijų svorio koeficientų nustatymo tvarkos </w:t>
          </w:r>
        </w:p>
        <w:p>
          <w:pPr>
            <w:ind w:firstLine="5387"/>
            <w:rPr>
              <w:color w:val="000000"/>
              <w:szCs w:val="24"/>
              <w:lang w:eastAsia="lt-LT"/>
            </w:rPr>
          </w:pPr>
          <w:r>
            <w:rPr>
              <w:color w:val="000000"/>
              <w:szCs w:val="24"/>
              <w:lang w:eastAsia="lt-LT"/>
            </w:rPr>
            <w:t xml:space="preserve">aprašo </w:t>
          </w:r>
        </w:p>
        <w:p>
          <w:pPr>
            <w:tabs>
              <w:tab w:val="center" w:pos="4153"/>
              <w:tab w:val="left" w:pos="6237"/>
              <w:tab w:val="right" w:pos="8306"/>
            </w:tabs>
            <w:ind w:firstLine="5387"/>
            <w:rPr>
              <w:color w:val="000000"/>
              <w:szCs w:val="24"/>
              <w:lang w:eastAsia="lt-LT"/>
            </w:rPr>
          </w:pPr>
          <w:sdt>
            <w:sdtPr>
              <w:alias w:val="Numeris"/>
              <w:tag w:val="nr_a29ea594fe3544129a2a5372674104fc"/>
              <w:lock w:val="sdtLocked"/>
              <w:richText/>
            </w:sdtPr>
            <w:sdtContent>
              <w:r>
                <w:rPr>
                  <w:color w:val="000000"/>
                  <w:szCs w:val="24"/>
                  <w:lang w:eastAsia="lt-LT"/>
                </w:rPr>
                <w:t>4</w:t>
              </w:r>
            </w:sdtContent>
          </w:sdt>
          <w:r>
            <w:rPr>
              <w:b/>
              <w:bCs/>
              <w:color w:val="000000"/>
              <w:szCs w:val="24"/>
              <w:lang w:eastAsia="lt-LT"/>
            </w:rPr>
            <w:t xml:space="preserve"> </w:t>
          </w:r>
          <w:r>
            <w:rPr>
              <w:color w:val="000000"/>
              <w:szCs w:val="24"/>
              <w:lang w:eastAsia="lt-LT"/>
            </w:rPr>
            <w:t xml:space="preserve">priedas </w:t>
          </w:r>
        </w:p>
        <w:p>
          <w:pPr>
            <w:jc w:val="center"/>
            <w:rPr>
              <w:color w:val="000000"/>
              <w:szCs w:val="24"/>
              <w:lang w:eastAsia="lt-LT"/>
            </w:rPr>
          </w:pPr>
        </w:p>
        <w:p>
          <w:pPr>
            <w:jc w:val="center"/>
            <w:rPr>
              <w:b/>
              <w:color w:val="000000"/>
              <w:szCs w:val="24"/>
              <w:lang w:eastAsia="lt-LT"/>
            </w:rPr>
          </w:pPr>
          <w:r>
            <w:rPr>
              <w:b/>
              <w:bCs/>
              <w:color w:val="000000"/>
              <w:szCs w:val="24"/>
              <w:lang w:eastAsia="lt-LT"/>
            </w:rPr>
            <w:t>MOKSLO IR STUDIJŲ INSTITUCIJŲ STUDIJŲ VEIKLOS PASIEKIMŲ</w:t>
          </w:r>
          <w:r>
            <w:rPr>
              <w:color w:val="000000"/>
              <w:szCs w:val="24"/>
              <w:lang w:eastAsia="lt-LT"/>
            </w:rPr>
            <w:t xml:space="preserve"> </w:t>
          </w:r>
          <w:r>
            <w:rPr>
              <w:b/>
              <w:color w:val="000000"/>
              <w:szCs w:val="24"/>
              <w:lang w:eastAsia="lt-LT"/>
            </w:rPr>
            <w:t>KRITERIJŲ ĮVERČIŲ APRAŠAI</w:t>
          </w:r>
        </w:p>
        <w:p>
          <w:pPr>
            <w:widowControl w:val="0"/>
            <w:jc w:val="center"/>
            <w:rPr>
              <w:color w:val="000000"/>
              <w:szCs w:val="24"/>
              <w:lang w:eastAsia="lt-LT"/>
            </w:rPr>
          </w:pPr>
        </w:p>
        <w:tbl>
          <w:tblPr>
            <w:tblW w:w="9540" w:type="dxa"/>
            <w:tblInd w:w="93" w:type="dxa"/>
            <w:tblLayout w:type="fixed"/>
            <w:tblLook w:val="0400" w:firstRow="0" w:lastRow="0" w:firstColumn="0" w:lastColumn="0" w:noHBand="0" w:noVBand="1"/>
          </w:tblPr>
          <w:tblGrid>
            <w:gridCol w:w="1770"/>
            <w:gridCol w:w="7770"/>
          </w:tblGrid>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Studijų rezultatyvumas.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 xml:space="preserve">Trumposios, pirmosios, antrosios, trečiosios pakopų, vientisųjų, profesinių studijų absolventų skaičius. </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 xml:space="preserve">Skaičiavimo metodas </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pPr>
                  <w:tabs>
                    <w:tab w:val="right" w:pos="9808"/>
                  </w:tabs>
                  <w:jc w:val="both"/>
                  <w:rPr>
                    <w:color w:val="000000"/>
                    <w:szCs w:val="24"/>
                    <w:lang w:eastAsia="lt-LT"/>
                  </w:rPr>
                </w:pPr>
                <w:r>
                  <w:rPr>
                    <w:color w:val="000000"/>
                    <w:lang w:eastAsia="lt-LT"/>
                  </w:rPr>
                  <w:t xml:space="preserve">Skaičiuojant studijas baigusių absolventų skaičių </w:t>
                </w:r>
                <w:r>
                  <w:rPr>
                    <w:color w:val="000000"/>
                    <w:szCs w:val="24"/>
                    <w:lang w:eastAsia="lt-LT"/>
                  </w:rPr>
                  <w:t xml:space="preserve">susumuojami visi einamaisiais metais studijas </w:t>
                </w:r>
                <w:r>
                  <w:rPr>
                    <w:color w:val="000000"/>
                    <w:lang w:eastAsia="lt-LT"/>
                  </w:rPr>
                  <w:t xml:space="preserve">mokslo ir studijų institucijoje </w:t>
                </w:r>
                <w:r>
                  <w:rPr>
                    <w:color w:val="000000"/>
                    <w:szCs w:val="24"/>
                    <w:lang w:eastAsia="lt-LT"/>
                  </w:rPr>
                  <w:t>pabaigę trumposios, pirmosios, antrosios, trečiosios pakopų, vientisųjų ir profesinių (pedagoginių ir rezidentūros) studijų absolventai (trečiosios studijų pakopos atveju – visi, einamaisiais metais apgynę disertaciją arba meno projektą). Ištęstinių ir nuolatinių studijų studentai skaičiuojami bendrai. Studentai, nutraukę studijas, neįskaičiuojami.</w:t>
                </w:r>
              </w:p>
              <w:p>
                <w:pPr>
                  <w:tabs>
                    <w:tab w:val="right" w:pos="9808"/>
                  </w:tabs>
                  <w:jc w:val="both"/>
                  <w:rPr>
                    <w:color w:val="000000"/>
                    <w:lang w:eastAsia="lt-LT"/>
                  </w:rPr>
                </w:pPr>
                <w:r>
                  <w:rPr>
                    <w:color w:val="000000"/>
                    <w:lang w:eastAsia="lt-LT"/>
                  </w:rPr>
                  <w:t>Apskaičiuojant studentų, nutraukusių studijas, dalį studijų grupėje, imami visi prieš Y+Z (Y – studijų programos / mokslo krypties trukmė metais; Z – Studentų registre nurodytas studijų pertraukimo laikotarpis) metų studijas pradėję ir iki ataskaitinio laikotarpio pabaigos turėję jas pabaigti trumposios, pirmosios, antrosios pakopų, vientisųjų ir profesinių (pedagoginių ir rezidentūros) studijų studentai (studijų pradžios metai nustatomi iš einamųjų metų atėmus Y+Z) bei doktorantai, studijas pradėję prieš Y+Z+1 ir turėję apginti disertaciją arba meno projektą iki ataskaitinio laikotarpio pabaigos. Iš jų išskiriami studentai, kurie nutraukė studijas jų nebaigę per Y+Z metų, o trečiosios studijų pakopos atveju – doktorantai, nutraukę doktorantūrą arba neapgynę disertacijos arba meno projekto per Y+Z+1 metus. Į nutraukusiųjų studijas neskaičiuojami studentai, jeigu studijos mokslo ir studijų institucijoje nutrauktos mirties atveju, nutraukus studijas dėl studijų programos keitimo, pratęsiant studijas toje pačioje ar</w:t>
                </w:r>
                <w:r>
                  <w:rPr>
                    <w:color w:val="000000"/>
                  </w:rPr>
                  <w:t xml:space="preserve"> </w:t>
                </w:r>
                <w:r>
                  <w:rPr>
                    <w:color w:val="000000"/>
                    <w:lang w:eastAsia="lt-LT"/>
                  </w:rPr>
                  <w:t xml:space="preserve">kitoje aukštojoje mokykloje, nutraukus </w:t>
                </w:r>
                <w:r>
                  <w:rPr>
                    <w:color w:val="000000"/>
                  </w:rPr>
                  <w:t>studijas dėl finansavimo šaltinio keitimo, pratęsiant studijas toje pačioje ar kitoje mokslo ir studijų institucijoje,</w:t>
                </w:r>
                <w:r>
                  <w:rPr>
                    <w:color w:val="000000"/>
                    <w:lang w:eastAsia="lt-LT"/>
                  </w:rPr>
                  <w:t xml:space="preserve"> taip pat </w:t>
                </w:r>
                <w:r>
                  <w:rPr>
                    <w:color w:val="000000"/>
                  </w:rPr>
                  <w:t xml:space="preserve">studentai užsieniečiai, nutraukę studijas per pirmą semestrą. </w:t>
                </w:r>
                <w:r>
                  <w:rPr>
                    <w:color w:val="000000"/>
                    <w:lang w:eastAsia="lt-LT"/>
                  </w:rPr>
                  <w:t xml:space="preserve">Nustatoma, kokią dalį (procentais) nutraukę studijas studentai sudaro nuo visų prieš Y+Z metų studijas pradėjusių ir iki ataskaitinio laikotarpio pabaigos turėjusių jas pabaigti trumposios, pirmosios, antrosios pakopų, vientisųjų ir profesinių (pedagoginių ir rezidentūros) studijų studentų bei prieš Y+Z+1 metų studijas pradėjusių ir iki ataskaitinio laikotarpio pabaigos turėjusių apginti disertaciją ar meno projektą doktorantų. </w:t>
                </w:r>
              </w:p>
              <w:p>
                <w:pPr>
                  <w:tabs>
                    <w:tab w:val="center" w:pos="4153"/>
                    <w:tab w:val="left" w:pos="6237"/>
                    <w:tab w:val="right" w:pos="8306"/>
                  </w:tabs>
                  <w:ind w:firstLine="720"/>
                  <w:jc w:val="both"/>
                  <w:rPr>
                    <w:color w:val="000000"/>
                    <w:szCs w:val="24"/>
                    <w:lang w:eastAsia="lt-LT"/>
                  </w:rPr>
                </w:pPr>
                <w:r>
                  <w:rPr>
                    <w:color w:val="000000"/>
                    <w:szCs w:val="24"/>
                    <w:lang w:eastAsia="lt-LT"/>
                  </w:rPr>
                  <w:t>Pagal studijų rezultatyvumo kriterijų atitinkamoje studijų grupėje pagal institucijos tipą ar grupę skatinamos tik tos mokslo ir studijų institucijos, kurios atitinka šį (šiuos) reikalavimą (-us):</w:t>
                </w:r>
              </w:p>
              <w:p>
                <w:pPr>
                  <w:tabs>
                    <w:tab w:val="center" w:pos="4153"/>
                    <w:tab w:val="left" w:pos="6237"/>
                    <w:tab w:val="right" w:pos="8306"/>
                  </w:tabs>
                  <w:ind w:firstLine="720"/>
                  <w:jc w:val="both"/>
                  <w:rPr>
                    <w:color w:val="000000"/>
                    <w:szCs w:val="24"/>
                    <w:lang w:eastAsia="lt-LT"/>
                  </w:rPr>
                </w:pPr>
                <w:r>
                  <w:rPr>
                    <w:color w:val="000000"/>
                    <w:szCs w:val="24"/>
                    <w:lang w:eastAsia="lt-LT"/>
                  </w:rPr>
                  <w:t>1. studentų, nutraukusių studijas, dalis studijų grupėje ne didesnė nei 25 procentai;</w:t>
                </w:r>
              </w:p>
              <w:p>
                <w:pPr>
                  <w:tabs>
                    <w:tab w:val="center" w:pos="4153"/>
                    <w:tab w:val="left" w:pos="6237"/>
                    <w:tab w:val="right" w:pos="8306"/>
                  </w:tabs>
                  <w:ind w:firstLine="720"/>
                  <w:jc w:val="both"/>
                  <w:rPr>
                    <w:color w:val="000000"/>
                    <w:lang w:eastAsia="lt-LT"/>
                  </w:rPr>
                </w:pPr>
                <w:r>
                  <w:rPr>
                    <w:color w:val="000000"/>
                    <w:lang w:eastAsia="lt-LT"/>
                  </w:rPr>
                  <w:t xml:space="preserve">2. trumposios pakopos, pirmosios pakopos ir vientisųjų studijų atveju asmenų (išskyrus užsieniečius, pretenduojančius tik į valstybės nefinansuojamas studijas; asmenis, užsienyje įgijusius kvalifikaciją, suteikiančią teisę į aukštąjį mokslą, pretenduojančius tik į valstybės nefinansuojamas studijas; asmenis, kurie aukštosios mokyklos nustatyta tvarka, nutraukę studijas, jas atnaujina tos pačios aukštosios mokyklos toje pačioje studijų krypčių grupėje ir, įskaičius ankstesnėje studijų programoje įgytus studijų rezultatus, pradėtų studijas antrame ar aukštesniame semestre, pretenduojančius tik į valstybės nefinansuojamas studijas), stojančiųjų į trumposios pakopos, pirmosios pakopos ir vientisąsias studijas, priėmimas, įskaitant buvusių klausytojų įregistravimą į Studentų registrą trumposios pakopos, pirmosios pakopos ir vientisųjų studijų studentais, turi būti vykdomas naudojantis šiai funkcijai atlikti skirta valstybės informacine sistema. </w:t>
                </w:r>
              </w:p>
              <w:p>
                <w:pPr>
                  <w:tabs>
                    <w:tab w:val="center" w:pos="4153"/>
                    <w:tab w:val="left" w:pos="6237"/>
                    <w:tab w:val="right" w:pos="8306"/>
                  </w:tabs>
                  <w:ind w:firstLine="720"/>
                  <w:jc w:val="both"/>
                  <w:rPr>
                    <w:color w:val="000000"/>
                    <w:lang w:eastAsia="lt-LT"/>
                  </w:rPr>
                </w:pPr>
                <w:r>
                  <w:rPr>
                    <w:color w:val="000000"/>
                    <w:lang w:eastAsia="lt-LT"/>
                  </w:rPr>
                  <w:t xml:space="preserve">Skaičiuojant asmenų, priimtų į trumposios pakopos, pirmosios pakopos ir vientisąsias studijas ne per šiai funkcijai atlikti skirtą valstybės informacinę sistemą, skaičių, imami visi asmenys, nuo 2027 m. spalio 26 d. įregistruoti Studentų registre į trumposios pakopos, pirmosios pakopos ir vientisąsias studijas. Iš šio skaičiaus atrenkami asmenys, neturintys požymio „įstojo per LAMA BPO“. Į pastarąją grupę neįtraukiami asmenys, neturintys požymio „įstojo per LAMA BPO“, kurie: yra užsieniečiai, įstoję į valstybės nefinansuojamas studijų vietas; yra asmenys, užsienyje įgiję kvalifikaciją, suteikiančią teisę į aukštąjį mokslą ir įstoję į valstybės nefinansuojamas studijų vietas; yra asmenys, priimti į valstybės nefinansuojamas studijų vietas, kurie aukštosios mokyklos nustatyta tvarka atnaujino studijas tos pačios aukštosios mokyklos toje pačioje studijų krypčių grupėje ir, įskaičius ankstesnėje studijų programoje įgytus studijų rezultatus, pradėjo studijas antrame ar aukštesniame semestre. </w:t>
                </w:r>
              </w:p>
              <w:p>
                <w:pPr>
                  <w:tabs>
                    <w:tab w:val="center" w:pos="4153"/>
                    <w:tab w:val="left" w:pos="6237"/>
                    <w:tab w:val="right" w:pos="8306"/>
                  </w:tabs>
                  <w:ind w:firstLine="720"/>
                  <w:jc w:val="both"/>
                  <w:rPr>
                    <w:color w:val="000000"/>
                    <w:lang w:eastAsia="lt-LT"/>
                  </w:rPr>
                </w:pPr>
                <w:r>
                  <w:rPr>
                    <w:color w:val="000000"/>
                    <w:lang w:eastAsia="lt-LT"/>
                  </w:rPr>
                  <w:t>Nustatomas atitinkamos mokslo ir studijų institucijos asmenų, priimtų į trumposios pakopos, pirmosios pakopos ir vientisąsias studijas ne per šiai funkcijai atlikti skirtą valstybės informacinę sistemą, bendras skaičius. Asmenys, kurių priėmimas į trumposios pakopos, pirmosios pakopos ir vientisąsias studijas ne per šiai funkcijai atlikti skirtą valstybės informacinę sistemą buvo nustatytas atitinkamu ataskaitiniu laikotarpiu, į kitą vertinimo laikotarpį pakartotinai neįtraukiami, išskyrus atvejus, kai tuo vertinimo laikotarpiu jie vėl buvo priimti į šias studijas ne per šiai funkcijai atlikti skirtą valstybės informacinę sistemą.</w:t>
                </w:r>
              </w:p>
              <w:p>
                <w:pPr>
                  <w:tabs>
                    <w:tab w:val="center" w:pos="4153"/>
                    <w:tab w:val="left" w:pos="6237"/>
                    <w:tab w:val="right" w:pos="8306"/>
                  </w:tabs>
                  <w:ind w:firstLine="720"/>
                  <w:jc w:val="both"/>
                  <w:rPr>
                    <w:color w:val="000000"/>
                    <w:lang w:eastAsia="lt-LT"/>
                  </w:rPr>
                </w:pPr>
                <w:r>
                  <w:rPr>
                    <w:color w:val="000000"/>
                    <w:lang w:eastAsia="lt-LT"/>
                  </w:rPr>
                  <w:t>Laikoma, kad antras semestras mokslo ir studijų institucijose prasideda atitinkamų metų vasario 1 dieną.</w:t>
                </w:r>
              </w:p>
            </w:tc>
          </w:tr>
          <w:tr>
            <w:trPr>
              <w:trHeight w:val="553"/>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pPr>
                  <w:tabs>
                    <w:tab w:val="right" w:pos="9808"/>
                  </w:tabs>
                  <w:jc w:val="both"/>
                  <w:rPr>
                    <w:color w:val="000000"/>
                    <w:lang w:eastAsia="lt-LT"/>
                  </w:rPr>
                </w:pPr>
                <w:r>
                  <w:rPr>
                    <w:color w:val="000000"/>
                    <w:lang w:eastAsia="lt-LT"/>
                  </w:rPr>
                  <w:t>Švietimo valdymo informacinė sistema (toliau – 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pPr>
                  <w:tabs>
                    <w:tab w:val="right" w:pos="9808"/>
                  </w:tabs>
                  <w:jc w:val="both"/>
                  <w:rPr>
                    <w:color w:val="000000"/>
                    <w:lang w:eastAsia="lt-LT"/>
                  </w:rPr>
                </w:pPr>
                <w:r>
                  <w:rPr>
                    <w:color w:val="000000"/>
                    <w:lang w:eastAsia="lt-LT"/>
                  </w:rPr>
                  <w:t xml:space="preserve">Nuo N-1 (N – einamieji metai) metų spalio 1 dienos iki N metų rugsėjo 30 dienos (trečiosios studijų pakopos atveju – nuo N-2 metų gruodžio 31 dienos iki N-1 metų gruodžio 30 dienos). </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Studijų tarptautiškumas.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Koleginių studijų atveju – trumposios pakopos, pirmosios pakopos absolventų, per studijų laikotarpį išvykusių į užsienio mokslo ir studijų institucijas dalinėms studijoms ar praktikai skaičiaus ir absolventų užsieniečių skaičiaus suma; universitetinių studijų atveju – pirmosios, antrosios pakopų, vientisųjų studijų absolventų užsieniečių skaičius; trečiosios pakopos – doktorantų, apgynusių disertaciją ar meno projektą ir per doktorantūros laikotarpį išvykusių stažuotei (stažuotėms),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Koleginių studijų atveju – susumuojami visi trumposios pakopos, pirmosios pakopos absolventai, per studijų laikotarpį išvykę į užsienio mokslo ir studijų institucijas dalinėms studijoms ar praktikai (abiem atvejais ne mažesnės kaip 15 studijų kreditų apimties, gali būti sumuojamas kelių išvykų laikotarpis atskirai dalinėms studijoms ar praktikai), ir absolventai užsieniečiai.</w:t>
                </w:r>
              </w:p>
              <w:p>
                <w:pPr>
                  <w:tabs>
                    <w:tab w:val="right" w:pos="9808"/>
                  </w:tabs>
                  <w:jc w:val="both"/>
                  <w:rPr>
                    <w:color w:val="000000"/>
                    <w:szCs w:val="24"/>
                    <w:lang w:eastAsia="lt-LT"/>
                  </w:rPr>
                </w:pPr>
                <w:r>
                  <w:rPr>
                    <w:color w:val="000000"/>
                    <w:szCs w:val="24"/>
                    <w:lang w:eastAsia="lt-LT"/>
                  </w:rPr>
                  <w:t xml:space="preserve">Universitetinių studijų atveju – susumuojami visi pirmosios, antrosios pakopų, vientisųjų studijų absolventai užsieniečiai; trečiosios pakopos – susumuojami visi doktorantai, apgynę disertaciją ar meno projektą ir per doktorantūros laikotarpį išvykę stažuotei (stažuotėms) ne trumpesniam nei 90 kalendorinių dienų laikotarpiui, skaičiuojant bendrą stažuotės (stažuočių) trukmę. </w:t>
                </w:r>
              </w:p>
              <w:p>
                <w:pPr>
                  <w:tabs>
                    <w:tab w:val="right" w:pos="9808"/>
                  </w:tabs>
                  <w:jc w:val="both"/>
                  <w:rPr>
                    <w:color w:val="000000"/>
                  </w:rPr>
                </w:pPr>
                <w:r>
                  <w:rPr>
                    <w:color w:val="000000"/>
                    <w:szCs w:val="24"/>
                    <w:lang w:eastAsia="lt-LT"/>
                  </w:rPr>
                  <w:t>Apskaičiuojant duomens reikšmę, trumposios pakopos, pirmosios pakopos koleginių studijų atveju ir universitetinių pirmosios, antrosios pakopų, vientisųjų studijų atveju skaičiuojamas</w:t>
                </w:r>
                <w:r>
                  <w:rPr>
                    <w:color w:val="000000"/>
                  </w:rPr>
                  <w:t xml:space="preserve"> absolventų užsieniečių skaičius studijų grupėje pagal institucijos tipą ar grupę įskaitomas ne didesnis nei 30 proc. nuo atitinkamos mokslo ir studijų institucijos bendro absolventų skaičiaus (Lietuvos Respublikos piliečiai ir užsieniečiai) studijų grupėje pagal institucijos tipą ar grupę.</w:t>
                </w:r>
              </w:p>
              <w:p>
                <w:pPr>
                  <w:tabs>
                    <w:tab w:val="right" w:pos="9808"/>
                  </w:tabs>
                  <w:jc w:val="both"/>
                  <w:rPr>
                    <w:color w:val="000000"/>
                    <w:szCs w:val="24"/>
                    <w:lang w:eastAsia="lt-LT"/>
                  </w:rPr>
                </w:pPr>
                <w:r>
                  <w:rPr>
                    <w:color w:val="000000"/>
                    <w:lang w:eastAsia="lt-LT"/>
                  </w:rPr>
                  <w:t>Egzilyje veikiančios aukštosios mokyklos atveju šios aukštosios mokyklos kilmės šalies piliečiai bei Lietuvos Respublikos piliečiai neskaičiuojami kaip absolventai užsieniečiai.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left" w:pos="304"/>
                    <w:tab w:val="left" w:pos="1134"/>
                    <w:tab w:val="left" w:pos="1985"/>
                  </w:tabs>
                  <w:ind w:left="21" w:hanging="21"/>
                  <w:jc w:val="both"/>
                  <w:rPr>
                    <w:color w:val="000000"/>
                    <w:szCs w:val="24"/>
                    <w:lang w:eastAsia="lt-LT"/>
                  </w:rPr>
                </w:pPr>
                <w:r>
                  <w:rPr>
                    <w:color w:val="000000"/>
                    <w:szCs w:val="24"/>
                    <w:lang w:eastAsia="lt-LT"/>
                  </w:rPr>
                  <w:t>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Skaičiuojama studijų metams nuo N-1 (N – einamieji metai) metų spalio 1 dienos iki N metų rugsėjo 30 dienos (trečiosios studijų pakopos atveju – nuo N-2 metų gruodžio 31 dienos iki N-1 metų gruodžio 30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Studentų įdarbinimas į mokslo, meno ir studijų veiklas.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 xml:space="preserve">Trumposios, pirmosios, antrosios pakopų, vientisųjų, profesinių studijų studentų, per studijų metus  įdarbintų pagal Lietuvos mokslo tarybos (toliau – LMT) studentų moksliniams tyrimams ir eksperimentinei plėtrai (toliau – MTEP) finansuoti skirtus projektus, skaičiaus ir studentų, kuriuos aukštoji mokykla įdarbino ne trumpesniam nei 120 kalendorinių dienų laikotarpiui, skaičiaus suma. Trečiosios pakopos – doktorantų, įdarbintų dėstytojų, mokslo darbuotojų ar kitų tyrėjų pareigoms ne trumpesniam nei 120 kalendorinių dienų laikotarpiui,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Susumuojami visi trumposios, pirmosios, antrosios pakopų, vientisųjų profesinių studijų studentai, per studijų metus įdarbinti pagal LMT studentų MTEP finansuoti skirtus projektus, ir studentų, kuriuos aukštoji mokykla įdarbino ne trumpesniam nei 120 kalendorinių dienų laikotarpiui veiklose pagal Ekonominės veiklos rūšių klasifikatoriaus sekcijas P (švietimas) ir M (profesinė, mokslinė ir techninė veikla) (neįskaičius tų studentų, kurie jau įskaičiuoti kaip įdarbinti už lėšas, gautas iš LMT už studentų MTEP projektus), skaičiaus suma. Trečiosios pakopos studijų atveju – suskaičiuojami visi doktorantai, įdarbinti dėstytojų, mokslo darbuotojų ar kitų tyrėjų pareigoms ne trumpesniam nei 120 kalendorinių dienų laikotarpiui.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 w:val="26"/>
                    <w:szCs w:val="26"/>
                    <w:lang w:eastAsia="lt-LT"/>
                  </w:rPr>
                </w:pPr>
                <w:r>
                  <w:rPr>
                    <w:color w:val="000000"/>
                    <w:lang w:eastAsia="lt-LT"/>
                  </w:rPr>
                  <w:t>LMT ir 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Nuo N-1 (N – einamieji metai) metų rugsėjo 1 dienos iki N metų rugpjūčio 31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Absolventų karjeros sėkmingumas.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 xml:space="preserve">Absolventų, 12 mėnesių po studijų baigimo tęsusių studijas aukštesnėje pakopoje ir (arba) dirbusių darbą, kuriam reikalinga aukštojo mokslo kvalifikacija, skaičius. </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lang w:eastAsia="lt-LT"/>
                  </w:rPr>
                </w:pPr>
                <w:r>
                  <w:rPr>
                    <w:color w:val="000000"/>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 xml:space="preserve">Susumuojami visi absolventai, 12 mėnesių po studijų baigimo tęsę studijas aukštesnėje studijų pakopoje ir (arba) dirbę darbą, kuriam reikalinga aukštojo mokslo kvalifikacija. </w:t>
                </w:r>
              </w:p>
              <w:p>
                <w:pPr>
                  <w:jc w:val="both"/>
                  <w:rPr>
                    <w:color w:val="000000"/>
                    <w:lang w:eastAsia="lt-LT"/>
                  </w:rPr>
                </w:pPr>
                <w:r>
                  <w:rPr>
                    <w:color w:val="000000"/>
                    <w:lang w:eastAsia="lt-LT"/>
                  </w:rPr>
                  <w:t>Apskaičiuojant absolventų, dirbusių darbą, kuriam reikalinga aukštojo mokslo kvalifikacija, skaičių, imami tie absolventai, kurie turi darbo sutartis su Lietuvos Respublikoje registruotais draudėjais ir gauna darbo užmokestį</w:t>
                </w:r>
                <w:r>
                  <w:rPr>
                    <w:color w:val="000000"/>
                  </w:rPr>
                  <w:t xml:space="preserve"> </w:t>
                </w:r>
                <w:r>
                  <w:rPr>
                    <w:color w:val="000000"/>
                    <w:lang w:eastAsia="lt-LT"/>
                  </w:rPr>
                  <w:t xml:space="preserve">arba dirba savarankiškai. Savarankiškai dirbančiaisiais asmenimis laikomi: individualios įmonės savininkas, mažosios bendrijos narys, tikrosios ūkinės bendrijos ir komanditinės ūkinės bendrijos tikrasis narys, asmuo, kuris verčiasi individualia veikla, kaip ji apibrėžta Lietuvos Respublikos gyventojų pajamų mokesčio įstatyme, ūkininkas ir jo partneris, šeimynos dalyvis, asmuo, gaunantis pajamas pagal autorines sutartis arba pajamas iš sporto ar atlikėjo veiklos. </w:t>
                </w:r>
              </w:p>
              <w:p>
                <w:pPr>
                  <w:jc w:val="both"/>
                  <w:rPr>
                    <w:color w:val="000000"/>
                  </w:rPr>
                </w:pPr>
                <w:r>
                  <w:rPr>
                    <w:color w:val="000000"/>
                  </w:rPr>
                  <w:t xml:space="preserve">Apskaičiuojant absolventų, dirbusių darbą, kuriam reikalinga aukštojo mokslo kvalifikacija, skaičių, neįskaičiuojami absolventai, kurie turi teisę neįsidarbinti, tai: valstybės tarnautojų, specialiųjų atašė, žvalgybos pareigūnų ir profesinės karo tarnybos karių bei deleguotų asmenų sutuoktiniai arba partneriai (kai partnerystė įregistruota įstatymų nustatyta tvarka) – tuo laikotarpiu, kai jie gyvena užsienyje kartu su valstybės tarnautoju, specialiuoju atašė ar deleguotu asmeniu; vienas iš tėvų (įtėvių) arba asmuo, nustatyta tvarka paskirtas vaiko globėju, auginantis vaiką iki 3 metų; asmuo, paskirtas asmens su negalia, kuriam nustatytas specialusis nuolatinės slaugos poreikis ar specialusis nuolatinės priežiūros (pagalbos) poreikis, globėju, slaugantis ar nuolat prižiūrintis namuose šį neįgalųjį; privalomosios pradinės karo tarnybos kariai ir asmenys, atliekantys alternatyviąją krašto apsaugos tarnybą; valstybės pripažintų religinių bendruomenių ir bendrijų dvasininkai; asmenys, esantys socialinės ir psichologinės reabilitacijos įstaigose; sportininkai, kuriems Lietuvos Respublikos sporto įstatymo nustatyta tvarka mokama valstybės stipendija; asmenys, atliekantys savanorišką praktiką Lietuvos Respublikos užimtumo įstatymo nustatyta tvarka; užsieniečiai, kurie baigė studijas Lietuvos Respublikoje ir apie kurių įsidarbinimą Lietuvos Respublikoje nėra duomenų. </w:t>
                </w:r>
              </w:p>
              <w:p>
                <w:pPr>
                  <w:jc w:val="both"/>
                  <w:rPr>
                    <w:color w:val="000000"/>
                    <w:lang w:eastAsia="lt-LT"/>
                  </w:rPr>
                </w:pPr>
                <w:r>
                  <w:rPr>
                    <w:color w:val="000000"/>
                    <w:lang w:eastAsia="lt-LT"/>
                  </w:rPr>
                  <w:t xml:space="preserve">Universitetinių studijų teisės studijų krypčių grupės absolventai, dirbantys Lietuvos profesijų klasifikatoriaus (toliau – LPK) 3411 profesijų pogrupyje, ir universitetinių studijų pirmosios pakopos visuomenės saugumo studijų krypčių grupės absolventai, dirbantys LPK 0310 profesijų pogrupyje, priskiriami absolventams, dirbantiems LPK 0–2 profesijų grupėse. Universitetinių studijų pirmosios pakopos visuomenės saugumo studijų krypčių grupės absolventų dalis studijų grupėje pagal institucijos tipą laikoma sudarančia  ne mažiau 80 procentų atitinkamos mokslo ir studijų institucijos visuomenės saugumo studijų krypčių grupės absolventų skaičiaus ir priskiriama absolventams, dirbantiems LPK 0–2 profesijų grupėse.</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ŠVIS.</w:t>
                </w:r>
              </w:p>
            </w:tc>
          </w:tr>
          <w:tr>
            <w:trPr>
              <w:trHeight w:val="84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Nuo N-2 metų spalio 1 dienos iki N-1 metų rugsėjo 30 dienos (N – einamieji metai), doktorantūros atveju – nuo N-3 metų gruodžio 31 dienos iki N-2 metų gruodžio 30 dienos.</w:t>
                </w:r>
              </w:p>
            </w:tc>
          </w:tr>
          <w:tr>
            <w:trPr>
              <w:trHeight w:val="27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Studijų prieinamumas.</w:t>
                </w:r>
              </w:p>
            </w:tc>
          </w:tr>
          <w:tr>
            <w:trPr>
              <w:trHeight w:val="545"/>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lang w:eastAsia="lt-LT"/>
                  </w:rPr>
                </w:pPr>
                <w:r>
                  <w:rPr>
                    <w:color w:val="000000"/>
                    <w:lang w:eastAsia="lt-LT"/>
                  </w:rPr>
                  <w:t>Asmenų, ataskaitiniu laikotarpiu tapusių</w:t>
                </w:r>
                <w:r>
                  <w:rPr>
                    <w:b/>
                    <w:bCs/>
                    <w:color w:val="000000"/>
                    <w:lang w:eastAsia="lt-LT"/>
                  </w:rPr>
                  <w:t xml:space="preserve"> </w:t>
                </w:r>
                <w:r>
                  <w:rPr>
                    <w:color w:val="000000"/>
                    <w:lang w:eastAsia="lt-LT"/>
                  </w:rPr>
                  <w:t>absolventais, bent vieną kartą per studijų laikotarpį gavusių socialinę stipendiją ir (arba) išmoką asmeniui su negalia,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Susumuojami visi absolventai, bent vieną kartą per studijų laikotarpį gavę socialinę stipendiją ir (arba) išmoką asmeniui su negalia.</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Valstybinis studijų fondas ir 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Nuo N-1 (N – einamieji metai) metų spalio 1 dienos iki N metų rugsėjo 30 dienos (trečiosios studijų pakopos atveju – nuo N-2 metų gruodžio 31 dienos iki N-1 metų gruodžio 30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Mokslo ir studijų institucijos lėšos, gautos iš ūkio subjektų, nevyriausybinių organizacijų ir fizinių asmenų už užsakymus studijoms ir pagal paramos sutartis mokslo ir studijų institucijų studijų veiklai vykdyti.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Institucijos per studijų metus gautų lėšų už ūkio subjektų, nevyriausybinių organizacijų ir fizinių asmenų užsakymus studijoms bei lėšų ir (ar) turto (skaičiuojama likutinė vertė), gautų pagal Lietuvos Respublikos labdaros ir paramos įstatymą mokslo ir studijų institucijų studijų veiklai paremti, jeigu parama nėra anonimiška, suma.</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Susumuojamos visos institucijos per studijų metus gautos lėšos už ūkio subjektų, nevyriausybinių organizacijų ir fizinių asmenų užsakymus studijoms</w:t>
                </w:r>
                <w:r>
                  <w:rPr>
                    <w:color w:val="000000"/>
                  </w:rPr>
                  <w:t xml:space="preserve"> tam tikroje studijų programoje</w:t>
                </w:r>
                <w:r>
                  <w:rPr>
                    <w:color w:val="000000"/>
                    <w:lang w:eastAsia="lt-LT"/>
                  </w:rPr>
                  <w:t>, studijų kryptyje, studijų krypčių grupėje arba jų junginiuose ir (ar) doktorantūroje bei lėšos ir (ar) turtas (skaičiuojama likutinė vertė), gauti pagal Labdaros ir paramos įstatymą mokslo ir studijų institucijų studijų veiklai</w:t>
                </w:r>
                <w:r>
                  <w:rPr>
                    <w:color w:val="000000"/>
                  </w:rPr>
                  <w:t xml:space="preserve"> tam tikroje studijų programoje</w:t>
                </w:r>
                <w:r>
                  <w:rPr>
                    <w:color w:val="000000"/>
                    <w:lang w:eastAsia="lt-LT"/>
                  </w:rPr>
                  <w:t>, studijų kryptyje, studijų krypčių grupėje arba jų junginiuose ir (ar) doktorantūroje paremti, jei parama nėra anonimiška, išskyrus steigėjų, savininko (juridinio asmens dalyvių susirinkimo) skiriamas lėšas mokyklos veiklos išlaidoms padengti.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lang w:eastAsia="lt-LT"/>
                  </w:rPr>
                </w:pPr>
                <w:r>
                  <w:rPr>
                    <w:color w:val="000000"/>
                    <w:lang w:eastAsia="lt-LT"/>
                  </w:rPr>
                  <w:t>Mokslo ir studijų institucijų pateikta informacija apie sutartis ir lėšų pervedimą, turto perdavimą, jo likutinę vertę patvirtinantys finansiniai dokumentai.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color w:val="000000"/>
                    <w:szCs w:val="24"/>
                    <w:lang w:eastAsia="lt-LT"/>
                  </w:rPr>
                </w:pPr>
                <w:r>
                  <w:rPr>
                    <w:color w:val="000000"/>
                    <w:szCs w:val="24"/>
                    <w:lang w:eastAsia="lt-LT"/>
                  </w:rPr>
                  <w:t>Skaičiuojama studijų metams nuo N-1 metų (N – einamieji metai) rugsėjo 1 dienos iki N metų rugpjūčio 31 dienos.</w:t>
                </w:r>
              </w:p>
            </w:tc>
          </w:tr>
        </w:tbl>
        <w:sdt>
          <w:sdtPr>
            <w:alias w:val="pabaiga"/>
            <w:tag w:val="part_2c3c792dc51f48ac99eaf6e36d6bced7"/>
            <w:lock w:val="sdtLocked"/>
            <w:richText/>
          </w:sdtPr>
          <w:sdtContent>
            <w:p>
              <w:pPr>
                <w:jc w:val="center"/>
                <w:rPr>
                  <w:color w:val="000000"/>
                  <w:szCs w:val="24"/>
                  <w:lang w:eastAsia="lt-LT"/>
                </w:rPr>
              </w:pPr>
              <w:r>
                <w:rPr>
                  <w:color w:val="000000"/>
                  <w:szCs w:val="24"/>
                  <w:lang w:eastAsia="lt-LT"/>
                </w:rPr>
                <w:t>_______________________________________</w:t>
              </w:r>
            </w:p>
            <w:p>
              <w:pPr>
                <w:rPr>
                  <w:szCs w:val="24"/>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d403b0417c11ee9de9e7e0fd363afc">
            <w:r w:rsidRPr="00532B9F">
              <w:rPr>
                <w:rFonts w:ascii="Times New Roman" w:eastAsia="MS Mincho" w:hAnsi="Times New Roman"/>
                <w:sz w:val="20"/>
                <w:iCs/>
                <w:color w:val="0000FF" w:themeColor="hyperlink"/>
                <w:u w:val="single"/>
              </w:rPr>
              <w:t>V-1087</w:t>
            </w:r>
          </w:fldSimple>
          <w:r>
            <w:rPr>
              <w:rFonts w:ascii="Times New Roman" w:eastAsia="MS Mincho" w:hAnsi="Times New Roman"/>
              <w:sz w:val="20"/>
              <w:iCs/>
            </w:rPr>
            <w:t>,
2023-08-23,
paskelbta TAR 2023-08-23, i. k. 2023-16507                </w:t>
          </w:r>
        </w:p>
        <w:p>
          <w:pPr>
            <w:jc w:val="both"/>
            <w:rPr>
              <w:rFonts w:ascii="Times New Roman" w:hAnsi="Times New Roman"/>
            </w:rPr>
          </w:pPr>
          <w:r>
            <w:rPr>
              <w:rFonts w:ascii="Times New Roman" w:hAnsi="Times New Roman"/>
              <w:sz w:val="20"/>
            </w:rPr>
            <w:t>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25cab0443411efbdaea558de59136c">
            <w:r w:rsidRPr="00532B9F">
              <w:rPr>
                <w:rFonts w:ascii="Times New Roman" w:eastAsia="MS Mincho" w:hAnsi="Times New Roman"/>
                <w:sz w:val="20"/>
                <w:iCs/>
                <w:color w:val="0000FF" w:themeColor="hyperlink"/>
                <w:u w:val="single"/>
              </w:rPr>
              <w:t>V-777</w:t>
            </w:r>
          </w:fldSimple>
          <w:r>
            <w:rPr>
              <w:rFonts w:ascii="Times New Roman" w:eastAsia="MS Mincho" w:hAnsi="Times New Roman"/>
              <w:sz w:val="20"/>
              <w:iCs/>
            </w:rPr>
            <w:t>,
2024-07-17,
paskelbta TAR 2024-07-17, i. k. 2024-13165                </w:t>
          </w:r>
        </w:p>
        <w:p>
          <w:pPr>
            <w:jc w:val="both"/>
            <w:rPr>
              <w:rFonts w:ascii="Times New Roman" w:hAnsi="Times New Roman"/>
            </w:rPr>
          </w:pPr>
          <w:r>
            <w:rPr>
              <w:rFonts w:ascii="Times New Roman" w:hAnsi="Times New Roman"/>
              <w:sz w:val="20"/>
            </w:rPr>
            <w:t>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dd7b6495d311efa605b9842742bf37">
            <w:r w:rsidRPr="00532B9F">
              <w:rPr>
                <w:rFonts w:ascii="Times New Roman" w:eastAsia="MS Mincho" w:hAnsi="Times New Roman"/>
                <w:sz w:val="20"/>
                <w:iCs/>
                <w:color w:val="0000FF" w:themeColor="hyperlink"/>
                <w:u w:val="single"/>
              </w:rPr>
              <w:t>V-1216</w:t>
            </w:r>
          </w:fldSimple>
          <w:r>
            <w:rPr>
              <w:rFonts w:ascii="Times New Roman" w:eastAsia="MS Mincho" w:hAnsi="Times New Roman"/>
              <w:sz w:val="20"/>
              <w:iCs/>
            </w:rPr>
            <w:t>,
2024-10-29,
paskelbta TAR 2024-10-29, i. k. 2024-18715                </w:t>
          </w:r>
        </w:p>
        <w:p>
          <w:pPr>
            <w:jc w:val="both"/>
            <w:rPr>
              <w:rFonts w:ascii="Times New Roman" w:hAnsi="Times New Roman"/>
            </w:rPr>
          </w:pPr>
          <w:r>
            <w:rPr>
              <w:rFonts w:ascii="Times New Roman" w:hAnsi="Times New Roman"/>
              <w:sz w:val="20"/>
            </w:rPr>
            <w:t>Dėl švietimo, mokslo ir sporto ministro 2024 m. liepos 17 d. įsakymo Nr. V-777 „Dėl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2dba1495d211efa605b9842742bf37">
            <w:r w:rsidRPr="00532B9F">
              <w:rPr>
                <w:rFonts w:ascii="Times New Roman" w:eastAsia="MS Mincho" w:hAnsi="Times New Roman"/>
                <w:sz w:val="20"/>
                <w:iCs/>
                <w:color w:val="0000FF" w:themeColor="hyperlink"/>
                <w:u w:val="single"/>
              </w:rPr>
              <w:t>V-1214</w:t>
            </w:r>
          </w:fldSimple>
          <w:r>
            <w:rPr>
              <w:rFonts w:ascii="Times New Roman" w:eastAsia="MS Mincho" w:hAnsi="Times New Roman"/>
              <w:sz w:val="20"/>
              <w:iCs/>
            </w:rPr>
            <w:t>,
2024-10-29,
paskelbta TAR 2024-10-29, i. k. 2024-18713                </w:t>
          </w:r>
        </w:p>
        <w:p>
          <w:pPr>
            <w:jc w:val="both"/>
            <w:rPr>
              <w:rFonts w:ascii="Times New Roman" w:hAnsi="Times New Roman"/>
            </w:rPr>
          </w:pPr>
          <w:r>
            <w:rPr>
              <w:rFonts w:ascii="Times New Roman" w:hAnsi="Times New Roman"/>
              <w:sz w:val="20"/>
            </w:rPr>
            <w:t>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78acf178de11f0a8bbd1e98310677d">
            <w:r w:rsidRPr="00532B9F">
              <w:rPr>
                <w:rFonts w:ascii="Times New Roman" w:eastAsia="MS Mincho" w:hAnsi="Times New Roman"/>
                <w:sz w:val="20"/>
                <w:iCs/>
                <w:color w:val="0000FF" w:themeColor="hyperlink"/>
                <w:u w:val="single"/>
              </w:rPr>
              <w:t>V-820</w:t>
            </w:r>
          </w:fldSimple>
          <w:r>
            <w:rPr>
              <w:rFonts w:ascii="Times New Roman" w:eastAsia="MS Mincho" w:hAnsi="Times New Roman"/>
              <w:sz w:val="20"/>
              <w:iCs/>
            </w:rPr>
            <w:t>,
2025-08-14,
paskelbta TAR 2025-08-14, i. k. 2025-14038                </w:t>
          </w:r>
        </w:p>
        <w:p>
          <w:pPr>
            <w:jc w:val="both"/>
            <w:rPr>
              <w:rFonts w:ascii="Times New Roman" w:hAnsi="Times New Roman"/>
            </w:rPr>
          </w:pPr>
          <w:r>
            <w:rPr>
              <w:rFonts w:ascii="Times New Roman" w:hAnsi="Times New Roman"/>
              <w:sz w:val="20"/>
            </w:rPr>
            <w:t>Dėl švietimo, mokslo ir sporto ministro 2022 m. gruodžio 29 d. įsakymo Nr. V-2009 „Dėl 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ee243a46ec511f1b53dfa020e517810">
            <w:r w:rsidRPr="00532B9F">
              <w:rPr>
                <w:rFonts w:ascii="Times New Roman" w:eastAsia="MS Mincho" w:hAnsi="Times New Roman"/>
                <w:sz w:val="20"/>
                <w:iCs/>
                <w:color w:val="0000FF" w:themeColor="hyperlink"/>
                <w:u w:val="single"/>
              </w:rPr>
              <w:t>V-484</w:t>
            </w:r>
          </w:fldSimple>
          <w:r>
            <w:rPr>
              <w:rFonts w:ascii="Times New Roman" w:eastAsia="MS Mincho" w:hAnsi="Times New Roman"/>
              <w:sz w:val="20"/>
              <w:iCs/>
            </w:rPr>
            <w:t>,
2026-06-23,
paskelbta TAR 2026-06-23, i. k. 2026-10776                </w:t>
          </w:r>
        </w:p>
        <w:p>
          <w:pPr>
            <w:jc w:val="both"/>
            <w:rPr>
              <w:rFonts w:ascii="Times New Roman" w:hAnsi="Times New Roman"/>
            </w:rPr>
          </w:pPr>
          <w:r>
            <w:rPr>
              <w:rFonts w:ascii="Times New Roman" w:hAnsi="Times New Roman"/>
              <w:sz w:val="20"/>
            </w:rPr>
            <w:t>Dėl švietimo, mokslo ir sporto ministro 2022 m. gruodžio 29 d. įsakymo Nr. V-2009 „Dėl 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701" w:right="1134" w:bottom="567" w:left="1134" w:header="567" w:footer="567" w:gutter="0"/>
      <w:pgNumType w:start="1"/>
      <w:cols w:space="1296"/>
      <w:titlePg/>
      <w:docGrid w:linePitch="326"/>
    </w:sectPr>
  </w:body>
</w:document>
</file>

<file path=word/commentsIds.xml><?xml version="1.0" encoding="utf-8"?>
<w16cid:commentsIds xmlns:w16cid="http://schemas.microsoft.com/office/word/2016/wordml/cid" xmlns:mc="http://schemas.openxmlformats.org/markup-compatibility/2006" xmlns:w14="http://schemas.microsoft.com/office/word/2010/wordml" xmlns:w15="http://schemas.microsoft.com/office/word/2012/wordml" xmlns:w16="http://schemas.microsoft.com/office/word/2018/wordml" xmlns:w16cex="http://schemas.microsoft.com/office/word/2018/wordml/cex" xmlns:w16sdtdh="http://schemas.microsoft.com/office/word/2020/wordml/sdtdatahash" xmlns:w16se="http://schemas.microsoft.com/office/word/2015/wordml/symex" xmlns:wp14="http://schemas.microsoft.com/office/word/2010/wordprocessingDrawing" mc:Ignorable="w14 w15 w16se w16cid w16 w16cex w16sdtdh wp14">
  <w16cid:commentId w16cid:paraId="62D9CEDE" w16cid:durableId="274D57DF"/>
  <w16cid:commentId w16cid:paraId="39575B6E" w16cid:durableId="274D57E0"/>
  <w16cid:commentId w16cid:paraId="005C1301" w16cid:durableId="274D57E1"/>
  <w16cid:commentId w16cid:paraId="5EA40726" w16cid:durableId="274D57E2"/>
  <w16cid:commentId w16cid:paraId="09B96D90" w16cid:durableId="274D57E3"/>
  <w16cid:commentId w16cid:paraId="47E63838" w16cid:durableId="274D57E4"/>
  <w16cid:commentId w16cid:paraId="795942C1" w16cid:durableId="274D57E5"/>
  <w16cid:commentId w16cid:paraId="3E66B026" w16cid:durableId="274D57E6"/>
  <w16cid:commentId w16cid:paraId="6CF9E4E8" w16cid:durableId="274D57E7"/>
  <w16cid:commentId w16cid:paraId="434AB72C" w16cid:durableId="274D57E8"/>
  <w16cid:commentId w16cid:paraId="69A89120" w16cid:durableId="274D57E9"/>
  <w16cid:commentId w16cid:paraId="425F6A72" w16cid:durableId="274D57EA"/>
  <w16cid:commentId w16cid:paraId="2968E862" w16cid:durableId="274D57EB"/>
</w16cid:commentsIds>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val="en-US"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MERGEFORMAT</w:instrText>
    </w:r>
    <w:r>
      <w:rPr>
        <w:sz w:val="22"/>
        <w:szCs w:val="22"/>
        <w:lang w:val="en-US" w:eastAsia="lt-LT"/>
      </w:rPr>
      <w:fldChar w:fldCharType="separate"/>
    </w:r>
    <w:r>
      <w:rPr>
        <w:sz w:val="22"/>
        <w:szCs w:val="22"/>
        <w:lang w:eastAsia="lt-LT"/>
      </w:rPr>
      <w:t>3</w:t>
    </w:r>
    <w:r>
      <w:rPr>
        <w:sz w:val="22"/>
        <w:szCs w:val="22"/>
        <w:lang w:val="en-US" w:eastAsia="lt-LT"/>
      </w:rPr>
      <w:fldChar w:fldCharType="end"/>
    </w:r>
  </w:p>
  <w:p>
    <w:pPr>
      <w:tabs>
        <w:tab w:val="center" w:pos="4680"/>
        <w:tab w:val="right" w:pos="9360"/>
      </w:tabs>
      <w:rPr>
        <w:sz w:val="22"/>
        <w:szCs w:val="22"/>
        <w:lang w:val="en-US"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MERGEFORMAT</w:instrText>
    </w:r>
    <w:r>
      <w:rPr>
        <w:sz w:val="22"/>
        <w:szCs w:val="22"/>
        <w:lang w:val="en-US" w:eastAsia="lt-LT"/>
      </w:rPr>
      <w:fldChar w:fldCharType="separate"/>
    </w:r>
    <w:r>
      <w:rPr>
        <w:sz w:val="22"/>
        <w:szCs w:val="22"/>
        <w:lang w:eastAsia="lt-LT"/>
      </w:rPr>
      <w:t>2</w:t>
    </w:r>
    <w:r>
      <w:rPr>
        <w:sz w:val="22"/>
        <w:szCs w:val="22"/>
        <w:lang w:val="en-US" w:eastAsia="lt-LT"/>
      </w:rPr>
      <w:fldChar w:fldCharType="end"/>
    </w:r>
  </w:p>
  <w:p>
    <w:pPr>
      <w:tabs>
        <w:tab w:val="center" w:pos="4680"/>
        <w:tab w:val="right" w:pos="9360"/>
      </w:tabs>
      <w:rPr>
        <w:sz w:val="22"/>
        <w:szCs w:val="22"/>
        <w:lang w:val="en-US"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MERGEFORMAT</w:instrText>
    </w:r>
    <w:r>
      <w:rPr>
        <w:sz w:val="22"/>
        <w:szCs w:val="22"/>
        <w:lang w:val="en-US" w:eastAsia="lt-LT"/>
      </w:rPr>
      <w:fldChar w:fldCharType="separate"/>
    </w:r>
    <w:r>
      <w:rPr>
        <w:sz w:val="22"/>
        <w:szCs w:val="22"/>
        <w:lang w:eastAsia="lt-LT"/>
      </w:rPr>
      <w:t>2</w:t>
    </w:r>
    <w:r>
      <w:rPr>
        <w:sz w:val="22"/>
        <w:szCs w:val="22"/>
        <w:lang w:val="en-US" w:eastAsia="lt-LT"/>
      </w:rPr>
      <w:fldChar w:fldCharType="end"/>
    </w:r>
  </w:p>
  <w:p>
    <w:pPr>
      <w:tabs>
        <w:tab w:val="center" w:pos="4680"/>
        <w:tab w:val="right" w:pos="9360"/>
      </w:tabs>
      <w:rPr>
        <w:sz w:val="22"/>
        <w:szCs w:val="22"/>
        <w:lang w:val="en-US"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MERGEFORMAT</w:instrText>
    </w:r>
    <w:r>
      <w:rPr>
        <w:sz w:val="22"/>
        <w:szCs w:val="22"/>
        <w:lang w:val="en-US" w:eastAsia="lt-LT"/>
      </w:rPr>
      <w:fldChar w:fldCharType="separate"/>
    </w:r>
    <w:r>
      <w:rPr>
        <w:sz w:val="22"/>
        <w:szCs w:val="22"/>
        <w:lang w:eastAsia="lt-LT"/>
      </w:rPr>
      <w:t>4</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w:instrText>
    </w:r>
    <w:r>
      <w:rPr>
        <w:sz w:val="22"/>
        <w:szCs w:val="22"/>
        <w:lang w:val="en-US" w:eastAsia="lt-LT"/>
      </w:rPr>
      <w:instrText>ORMAT</w:instrText>
    </w:r>
    <w:r>
      <w:rPr>
        <w:sz w:val="22"/>
        <w:szCs w:val="22"/>
        <w:lang w:val="en-US" w:eastAsia="lt-LT"/>
      </w:rPr>
      <w:fldChar w:fldCharType="separate"/>
    </w:r>
    <w:r>
      <w:rPr>
        <w:sz w:val="22"/>
        <w:szCs w:val="22"/>
        <w:lang w:eastAsia="lt-LT"/>
      </w:rPr>
      <w:t>4</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w:instrText>
    </w:r>
    <w:r>
      <w:rPr>
        <w:sz w:val="22"/>
        <w:szCs w:val="22"/>
        <w:lang w:val="en-US" w:eastAsia="lt-LT"/>
      </w:rPr>
      <w:instrText>MAT</w:instrText>
    </w:r>
    <w:r>
      <w:rPr>
        <w:sz w:val="22"/>
        <w:szCs w:val="22"/>
        <w:lang w:val="en-US" w:eastAsia="lt-LT"/>
      </w:rPr>
      <w:fldChar w:fldCharType="separate"/>
    </w:r>
    <w:r>
      <w:rPr>
        <w:sz w:val="22"/>
        <w:szCs w:val="22"/>
        <w:lang w:eastAsia="lt-LT"/>
      </w:rPr>
      <w:t>3</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spacing w:after="160" w:line="259" w:lineRule="auto"/>
      <w:rPr>
        <w:szCs w:val="24"/>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9" w:lineRule="auto"/>
      <w:rPr>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6" w:lineRule="auto"/>
      <w:rPr>
        <w:szCs w:val="24"/>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5</w:t>
    </w:r>
    <w:r>
      <w:rPr>
        <w:szCs w:val="24"/>
        <w:lang w:eastAsia="lt-LT"/>
      </w:rPr>
      <w:fldChar w:fldCharType="end"/>
    </w:r>
  </w:p>
  <w:p>
    <w:pPr>
      <w:tabs>
        <w:tab w:val="center" w:pos="4153"/>
        <w:tab w:val="right" w:pos="8306"/>
      </w:tabs>
      <w:spacing w:after="160" w:line="256" w:lineRule="auto"/>
      <w:rPr>
        <w:szCs w:val="24"/>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153"/>
        <w:tab w:val="right" w:pos="8306"/>
      </w:tabs>
      <w:spacing w:after="160" w:line="259" w:lineRule="auto"/>
      <w:rPr>
        <w:szCs w:val="24"/>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spacing w:after="160" w:line="259" w:lineRule="auto"/>
      <w:rPr>
        <w:szCs w:val="24"/>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3</w:t>
    </w:r>
    <w:r>
      <w:rPr>
        <w:szCs w:val="24"/>
        <w:lang w:eastAsia="lt-LT"/>
      </w:rPr>
      <w:fldChar w:fldCharType="end"/>
    </w:r>
  </w:p>
  <w:p>
    <w:pPr>
      <w:tabs>
        <w:tab w:val="center" w:pos="4153"/>
        <w:tab w:val="right" w:pos="8306"/>
      </w:tabs>
      <w:spacing w:after="160" w:line="256" w:lineRule="auto"/>
      <w:rPr>
        <w:szCs w:val="24"/>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6" w:lineRule="auto"/>
      <w:rPr>
        <w:szCs w:val="24"/>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val="en-US"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eastAsia="lt-LT"/>
      </w:rPr>
      <w:t>2</w:t>
    </w:r>
    <w:r>
      <w:rPr>
        <w:szCs w:val="24"/>
        <w:lang w:val="en-US" w:eastAsia="lt-LT"/>
      </w:rPr>
      <w:fldChar w:fldCharType="end"/>
    </w:r>
  </w:p>
  <w:p>
    <w:pPr>
      <w:tabs>
        <w:tab w:val="center" w:pos="4680"/>
        <w:tab w:val="right" w:pos="9360"/>
      </w:tabs>
      <w:rPr>
        <w:sz w:val="22"/>
        <w:szCs w:val="22"/>
        <w:lang w:val="en-US"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6" w:lineRule="auto"/>
      <w:rPr>
        <w:szCs w:val="24"/>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6" w:lineRule="auto"/>
      <w:rPr>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embedSystemFonts/>
  <w:activeWritingStyle w:appName="MSWord" w:lang="ru-RU"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82EEC77"/>
  <w15:docId w15:val="{002C6851-6645-48EC-8F13-9DDCF37F9D8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43258294">
      <w:bodyDiv w:val="1"/>
      <w:marLeft w:val="0"/>
      <w:marRight w:val="0"/>
      <w:marTop w:val="0"/>
      <w:marBottom w:val="0"/>
      <w:divBdr>
        <w:top w:val="none" w:sz="0" w:space="0" w:color="auto"/>
        <w:left w:val="none" w:sz="0" w:space="0" w:color="auto"/>
        <w:bottom w:val="none" w:sz="0" w:space="0" w:color="auto"/>
        <w:right w:val="none" w:sz="0" w:space="0" w:color="auto"/>
      </w:divBdr>
    </w:div>
    <w:div w:id="54864613">
      <w:bodyDiv w:val="1"/>
      <w:marLeft w:val="0"/>
      <w:marRight w:val="0"/>
      <w:marTop w:val="0"/>
      <w:marBottom w:val="0"/>
      <w:divBdr>
        <w:top w:val="none" w:sz="0" w:space="0" w:color="auto"/>
        <w:left w:val="none" w:sz="0" w:space="0" w:color="auto"/>
        <w:bottom w:val="none" w:sz="0" w:space="0" w:color="auto"/>
        <w:right w:val="none" w:sz="0" w:space="0" w:color="auto"/>
      </w:divBdr>
      <w:divsChild>
        <w:div w:id="628901192">
          <w:marLeft w:val="0"/>
          <w:marRight w:val="0"/>
          <w:marTop w:val="0"/>
          <w:marBottom w:val="0"/>
          <w:divBdr>
            <w:top w:val="none" w:sz="0" w:space="0" w:color="auto"/>
            <w:left w:val="none" w:sz="0" w:space="0" w:color="auto"/>
            <w:bottom w:val="none" w:sz="0" w:space="0" w:color="auto"/>
            <w:right w:val="none" w:sz="0" w:space="0" w:color="auto"/>
          </w:divBdr>
        </w:div>
        <w:div w:id="1009522366">
          <w:marLeft w:val="0"/>
          <w:marRight w:val="0"/>
          <w:marTop w:val="0"/>
          <w:marBottom w:val="0"/>
          <w:divBdr>
            <w:top w:val="none" w:sz="0" w:space="0" w:color="auto"/>
            <w:left w:val="none" w:sz="0" w:space="0" w:color="auto"/>
            <w:bottom w:val="none" w:sz="0" w:space="0" w:color="auto"/>
            <w:right w:val="none" w:sz="0" w:space="0" w:color="auto"/>
          </w:divBdr>
          <w:divsChild>
            <w:div w:id="185075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86007083">
      <w:bodyDiv w:val="1"/>
      <w:marLeft w:val="0"/>
      <w:marRight w:val="0"/>
      <w:marTop w:val="0"/>
      <w:marBottom w:val="0"/>
      <w:divBdr>
        <w:top w:val="none" w:sz="0" w:space="0" w:color="auto"/>
        <w:left w:val="none" w:sz="0" w:space="0" w:color="auto"/>
        <w:bottom w:val="none" w:sz="0" w:space="0" w:color="auto"/>
        <w:right w:val="none" w:sz="0" w:space="0" w:color="auto"/>
      </w:divBdr>
    </w:div>
    <w:div w:id="105273669">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8275988">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6309287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1925752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49973403">
      <w:bodyDiv w:val="1"/>
      <w:marLeft w:val="0"/>
      <w:marRight w:val="0"/>
      <w:marTop w:val="0"/>
      <w:marBottom w:val="0"/>
      <w:divBdr>
        <w:top w:val="none" w:sz="0" w:space="0" w:color="auto"/>
        <w:left w:val="none" w:sz="0" w:space="0" w:color="auto"/>
        <w:bottom w:val="none" w:sz="0" w:space="0" w:color="auto"/>
        <w:right w:val="none" w:sz="0" w:space="0" w:color="auto"/>
      </w:divBdr>
    </w:div>
    <w:div w:id="102304772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34099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7798753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29338727">
      <w:bodyDiv w:val="1"/>
      <w:marLeft w:val="0"/>
      <w:marRight w:val="0"/>
      <w:marTop w:val="0"/>
      <w:marBottom w:val="0"/>
      <w:divBdr>
        <w:top w:val="none" w:sz="0" w:space="0" w:color="auto"/>
        <w:left w:val="none" w:sz="0" w:space="0" w:color="auto"/>
        <w:bottom w:val="none" w:sz="0" w:space="0" w:color="auto"/>
        <w:right w:val="none" w:sz="0" w:space="0" w:color="auto"/>
      </w:divBdr>
    </w:div>
    <w:div w:id="198411960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56462764">
      <w:bodyDiv w:val="1"/>
      <w:marLeft w:val="0"/>
      <w:marRight w:val="0"/>
      <w:marTop w:val="0"/>
      <w:marBottom w:val="0"/>
      <w:divBdr>
        <w:top w:val="none" w:sz="0" w:space="0" w:color="auto"/>
        <w:left w:val="none" w:sz="0" w:space="0" w:color="auto"/>
        <w:bottom w:val="none" w:sz="0" w:space="0" w:color="auto"/>
        <w:right w:val="none" w:sz="0" w:space="0" w:color="auto"/>
      </w:divBdr>
    </w:div>
    <w:div w:id="2065760266">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7.xml"/>
  <Relationship Id="rId11" Type="http://schemas.openxmlformats.org/officeDocument/2006/relationships/footer" Target="footer8.xml"/>
  <Relationship Id="rId12" Type="http://schemas.openxmlformats.org/officeDocument/2006/relationships/footer" Target="footer9.xml"/>
  <Relationship Id="rId13" Type="http://schemas.openxmlformats.org/officeDocument/2006/relationships/footnotes" Target="footnotes.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header" Target="header3.xml"/>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header" Target="header9.xml"/>
  <Relationship Id="rId2" Type="http://schemas.openxmlformats.org/officeDocument/2006/relationships/customXml" Target="../customXml/item2.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header" Target="header44.xml"/>
  <Relationship Id="rId25" Type="http://schemas.openxmlformats.org/officeDocument/2006/relationships/header" Target="header45.xml"/>
  <Relationship Id="rId26" Type="http://schemas.openxmlformats.org/officeDocument/2006/relationships/footer" Target="footer44.xml"/>
  <Relationship Id="rId27" Type="http://schemas.openxmlformats.org/officeDocument/2006/relationships/footer" Target="footer45.xml"/>
  <Relationship Id="rId28" Type="http://schemas.openxmlformats.org/officeDocument/2006/relationships/header" Target="header46.xml"/>
  <Relationship Id="rId29" Type="http://schemas.openxmlformats.org/officeDocument/2006/relationships/footer" Target="footer46.xml"/>
  <Relationship Id="rId3" Type="http://schemas.openxmlformats.org/officeDocument/2006/relationships/customXml" Target="../customXml/item3.xml"/>
  <Relationship Id="rId30" Type="http://schemas.openxmlformats.org/officeDocument/2006/relationships/header" Target="header47.xml"/>
  <Relationship Id="rId31" Type="http://schemas.openxmlformats.org/officeDocument/2006/relationships/header" Target="header48.xml"/>
  <Relationship Id="rId32" Type="http://schemas.openxmlformats.org/officeDocument/2006/relationships/footer" Target="footer47.xml"/>
  <Relationship Id="rId33" Type="http://schemas.openxmlformats.org/officeDocument/2006/relationships/footer" Target="footer48.xml"/>
  <Relationship Id="rId34" Type="http://schemas.openxmlformats.org/officeDocument/2006/relationships/header" Target="header49.xml"/>
  <Relationship Id="rId35" Type="http://schemas.openxmlformats.org/officeDocument/2006/relationships/footer" Target="footer49.xml"/>
  <Relationship Id="rId36" Type="http://schemas.openxmlformats.org/officeDocument/2006/relationships/customXml" Target="../customXml/item5.xml"/>
  <Relationship Id="rId4" Type="http://schemas.openxmlformats.org/officeDocument/2006/relationships/customXml" Target="../customXml/item4.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b:Sources xmlns:b="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arts xmlns="http://lrs.lt/TAIS/DocParts">
  <Part Type="pagrindine" DocPartId="69d9cc5400fc457ea3200aed234c0ab6" PartId="e5a62be408d141c19d3b9f28200f711d">
    <Part Type="preambule" DocPartId="cda2c4b2828b4cf28729b78b25cf031c" PartId="efff436575424dc58aa3be8541f7e42e"/>
    <Part Type="pastraipa" DocPartId="dd0e3824b3444706b12389010082858e" PartId="3cff926a59474d3ca9139aba9bdb731e"/>
    <Part Type="signatura" DocPartId="cf78eaef423242ed98453f3a8b486203" PartId="70b24954a7c64305bf21375e2ead1fbe"/>
  </Part>
  <Part Type="patvirtinta" Title="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TVARKOS APRAŠAS" DocPartId="b4f1eda29736424abd60fcee38053260" PartId="17f57e571765419dad4bf920e71dc2e1">
    <Part Type="skyrius" Nr="1" Title="BENDROSIOS NUOSTATOS" DocPartId="4a256a20d2074d4b853dbea6de9f0778" PartId="86e3100f30d14fd4b37e720b0482c055">
      <Part Type="punktas" Nr="1" Abbr="1 p." DocPartId="4a67df22686941c18c5db2d4e9f5558b" PartId="2fa1873485964d4789aa1b5f40f7cb22"/>
      <Part Type="punktas" Nr="2" Abbr="2 p." DocPartId="1fbb7824104a4c8fac9fdf505c53ddd6" PartId="cf4f75fcbf2c48d79b96d3ee951383fc">
        <Part Type="papunktis" Nr="2.1" Abbr="2.1 pp." DocPartId="39e1339aec614eb2bad739a4231e6be9" PartId="619ae47b190646ee8c99e6f3448d7cfc"/>
        <Part Type="papunktis" Nr="2.2" Abbr="2.2 pp." DocPartId="f931dabb124647edb34c5e32f6099deb" PartId="d1b6edb46bee419082ae039815f3fe78"/>
        <Part Type="papunktis" Nr="2.3" Abbr="2.3 pp." DocPartId="a87fb216eb684a90b2d1d0ec0e91f150" PartId="866074ac4e414f0eb78f687225d5569d"/>
        <Part Type="papunktis" Nr="2.4" Abbr="2.4 pp." DocPartId="fd8ed61fdb8f46629170ece913edc5c5" PartId="bc0b915db0ee4555996c5c77b8974f42"/>
        <Part Type="papunktis" Nr="2.5" Abbr="2.5 pp." DocPartId="adf7c51c29fd4069a4d7992b5304235d" PartId="1f4b1663b9b7486c860aa2cfd903ce07"/>
        <Part Type="papunktis" Nr="2.6" Abbr="2.6 pp." DocPartId="46cc15e88cb747b4b0feb73bc1d8c609" PartId="aafb724ce32349009ab6fe90484cf385"/>
      </Part>
      <Part Type="punktas" Nr="3" Abbr="3 p." DocPartId="76980c9100754d96aee7d4154580e232" PartId="0df0da694a044dbcb97021fd5b8e4d7f">
        <Part Type="papunktis" Nr="3.1" Abbr="3.1 pp." DocPartId="9facf1a41ab0435abc0fd61cae4e04db" PartId="d92e545a2b04412a90104d21bc1df202"/>
        <Part Type="papunktis" Nr="3.2" Abbr="3.2 pp." DocPartId="71726ac618414ab09f8d3cd5440635d9" PartId="700a2034c4804303b2a5f00d0806f689"/>
        <Part Type="papunktis" Nr="3.3" Abbr="3.3 pp." DocPartId="2a6a3e5677a344a4bd9298bb4270c8f8" PartId="13e9d10951884db4a698bc3edcfffce0"/>
        <Part Type="papunktis" Nr="3.4" Abbr="3.4 pp." DocPartId="6325283dfd754092b3d74a510d4e4e98" PartId="45e6761a0e674f848d1721e9813959af"/>
        <Part Type="papunktis" Nr="3.5" Abbr="3.5 pp." DocPartId="75eaef9b98da49e8a3bdf119f4d25b59" PartId="38ffb28e35764b869f579f82f1e0f9c6"/>
        <Part Type="papunktis" Nr="3.6" Abbr="3.6 pp." DocPartId="c2004bc3ebb34ae8aa4d48f213fd79ea" PartId="e57c419b572b423ea3c6bf3aecc82c9a"/>
      </Part>
      <Part Type="punktas" Nr="4" Abbr="4 p." DocPartId="99f2e3581c084383b3fae72a892bc5cf" PartId="3fd7347f511c4a079df2b270fcd7ae31"/>
    </Part>
    <Part Type="skyrius" Nr="2" Title="STUDIJŲ PASIEKIMŲ VERTINIMO KRITERIJAI IR JŲ SVORIO KOEFICIENTAI" DocPartId="02ca01798b6543faac8066859f67f395" PartId="2c3d0b5c66e440c1bb0e9c8414968377">
      <Part Type="punktas" Nr="5" Abbr="5 p." DocPartId="1006c8af15874dc2be1cfabc694c5aa2" PartId="23669d23fde446c2995a246772b974d4">
        <Part Type="papunktis" Nr="5.1" Abbr="5.1 pp." DocPartId="3567e66af556490fa6aa92ed9ca4b0a7" PartId="42403791725b4586b542b8d525e8d609"/>
        <Part Type="papunktis" Nr="5.2" Abbr="5.2 pp." DocPartId="f3f5cacea9f5460a9bb581427679018f" PartId="2784451824164710ad265924c5c6c0c2"/>
        <Part Type="papunktis" Nr="5.3" Abbr="5.3 pp." DocPartId="f1abb7f96b9e43d49da2dea74b9bad2f" PartId="6798111f15454889befa2c0d84cd5360"/>
        <Part Type="papunktis" Nr="5.4" Abbr="5.4 pp." DocPartId="5e8756c0334b49fb85eb2a5f32871eff" PartId="e828980e17944197a6fe2ddb56142655"/>
        <Part Type="papunktis" Nr="5.5" Abbr="5.5 pp." DocPartId="eef56f74d0724e4ea8d235d790d21633" PartId="6a112c99fde04b57b9e79fcf5bcb073d"/>
        <Part Type="papunktis" Nr="5.6" Abbr="5.6 pp." DocPartId="d5d8b8184fb04f5ba882e17988103829" PartId="b16b4a4f0bfc48c3b91254ca56d121b5">
          <Part Type="papunktis" Nr="5.6.1" Abbr="5.6.1 pp." DocPartId="0fe4085444bb4e0d856e224003675296" PartId="7bb99f66fa4b45ce9d7b2260a82a4710">
            <Part Type="papunktis" Nr="5.6.1.1" Abbr="5.6.1.1 pp." DocPartId="666d570c80cb43ba9da75335c916d42a" PartId="1ff4a037bc784908815fb673add52aec"/>
            <Part Type="papunktis" Nr="5.6.1.2" Abbr="5.6.1.2 pp." DocPartId="61e90b8de90647b099b25131c2c1e030" PartId="f6173cfa36894c3795bb1fcc3b2f9bb1"/>
            <Part Type="papunktis" Nr="5.6.1.3" Abbr="5.6.1.3 pp." DocPartId="b9818b0f16ac4fbe9cda238933da679c" PartId="c555ab31d78f4f23862adf71a8928e44"/>
            <Part Type="papunktis" Nr="5.6.1.4" Abbr="5.6.1.4 pp." DocPartId="86dfbc5a3d3e4678b45e73dcf0c96c6e" PartId="02a18367ed994fbb9350226556f05315"/>
            <Part Type="papunktis" Nr="5.6.1.5" Abbr="5.6.1.5 pp." DocPartId="8efe1b31b532426082b9dd199bbaf4d6" PartId="3b5aebf45b864070ba77be00f3838e56"/>
            <Part Type="papunktis" Nr="5.6.1.6" Abbr="5.6.1.6 pp." DocPartId="99abbee8f3f34ae8bdbf4c407b6357a5" PartId="ae415d6788204cd2975998179942b66d"/>
            <Part Type="papunktis" Nr="5.6.1.7" Abbr="5.6.1.7 pp." DocPartId="e64dcbadf8f84b6593768e3fed5b0e38" PartId="d44c7fec0c9e4eff9d87dbe31b46f96e"/>
          </Part>
          <Part Type="papunktis" Nr="5.6.2" Abbr="5.6.2 pp." DocPartId="aab6f3dad429459e8ee12e81c3f16b85" PartId="04d43cd4dd114ef5af526afe683e9ea4">
            <Part Type="papunktis" Nr="5.6.2.1" Abbr="5.6.2.1 pp." DocPartId="c7fa52f435c34165a0aadb4315c5ebca" PartId="0332ea5611794e1daca261156b0e75a3"/>
            <Part Type="papunktis" Nr="5.6.2.2" Abbr="5.6.2.2 pp." DocPartId="7768f99c551a40ba9c037db512e71b24" PartId="3795e8ba3d3e4fe7a974ee0cde7ee14b"/>
            <Part Type="papunktis" Nr="5.6.2.3" Abbr="5.6.2.3 pp." DocPartId="63afbae546e844d0a1c258eb43994f57" PartId="40077fe671834299bc28c0d24fdfda04"/>
            <Part Type="papunktis" Nr="5.6.2.4" Abbr="5.6.2.4 pp." DocPartId="6d78661a13ca48ae874dc354c375315c" PartId="e8e7b23e45b448c7b3cbb5685999b38a"/>
            <Part Type="papunktis" Nr="5.6.2.5" Abbr="5.6.2.5 pp." DocPartId="a23899e443914adc87c92436ee1ef9bf" PartId="486027e00d7a42ca8e79b8564684f40a"/>
            <Part Type="papunktis" Nr="5.6.2.6" Abbr="5.6.2.6 pp." DocPartId="89d9274a2f3641d1b8a28e44644e435d" PartId="e53d34dbf1e749eaa8e2528b352e577b"/>
          </Part>
        </Part>
      </Part>
      <Part Type="punktas" Nr="6" Abbr="6 p." DocPartId="5294c584438c4711a187866136579e72" PartId="7848505bbd9f4188be818741da98d78a">
        <Part Type="papunktis" Nr="6.1" Abbr="6.1 pp." DocPartId="e48d7550d4cf4c258a70c0f5c8b3f3d6" PartId="ea339555a158411bae6cfe672b484449"/>
        <Part Type="papunktis" Nr="6.2" Abbr="6.2 pp." DocPartId="98831a258b964e08a85d70463fe6df68" PartId="c34d5ca4fb1e4222b595b6afcb4269a1"/>
        <Part Type="papunktis" Nr="6.3" Abbr="6.3 pp." DocPartId="fa9747109f094e70b46f026854e6f864" PartId="0e9ea98633294db99352fc35d2c10e93"/>
        <Part Type="papunktis" Nr="6.4" Abbr="6.4 pp." DocPartId="bdf252f3c7884bcabffa192aaf9d7a82" PartId="9499a97f896249bcb9b32908aa8ee874"/>
        <Part Type="papunktis" Nr="6.5" Abbr="6.5 pp." DocPartId="f755b12dc3eb48aab698d5592995cbb2" PartId="f5037a7d7c0841d7bbd1ce441e0f57e5"/>
        <Part Type="papunktis" Nr="6.6" Abbr="6.6 pp." DocPartId="c7f68fa52a95428799e00ae87985a0ea" PartId="73d5e667b44b433c8b2f64b2cda66cf7"/>
        <Part Type="papunktis" Nr="6.7" Abbr="6.7 pp." DocPartId="af3010569c6c49939321b7473af5beee" PartId="0eb0d9f7297740e0a5a4e1cb881b8a06"/>
        <Part Type="papunktis" Nr="6.8" Abbr="6.8 pp." DocPartId="b5553acba24a43a0ad56462adc3ab6f8" PartId="c83b1566e27c4ed7a62d20a53124ed13"/>
        <Part Type="papunktis" Nr="6.9" Abbr="6.9 pp." DocPartId="aa3c1eb936ac4ecdaa94a24b9832b609" PartId="0709f8091d444af2b1a942103e7d02cf"/>
        <Part Type="papunktis" Nr="6.10" Abbr="6.10 pp." DocPartId="3e584eb4b4ca4ba685be3eca9879acd0" PartId="31a53bde399c4e04bcfedfd1da3588c3"/>
        <Part Type="papunktis" Nr="6.11" Abbr="6.11 pp." DocPartId="7e2a9d8e6bb749d39bd4d9f477f80b75" PartId="e1ef3117b6e040f4b79bdfc7345df9cc"/>
        <Part Type="papunktis" Nr="6.12" Abbr="6.12 pp." DocPartId="c50c4c7b33014e6b9c63313b74eae50f" PartId="090e9af5ae5543379a9e869161f928e4"/>
        <Part Type="papunktis" Nr="6.13" Abbr="6.13 pp." DocPartId="6b7d967579d241a490dff61b81687e90" PartId="2ace7eb75c4a405a9e57bcf43466b83e"/>
      </Part>
      <Part Type="punktas" Nr="7" Abbr="7 p." DocPartId="79c76bd43089424db34bc81c53555b92" PartId="c27ed8128afc476692588b94ab794bff"/>
      <Part Type="punktas" Nr="8" Abbr="8 p." DocPartId="f80ab0b2529e44b1adaaa7187fc112e0" PartId="fd4fc1b0aeda4f288b4970ccf6ab24bc"/>
    </Part>
    <Part Type="skyrius" Nr="3" Title="VALSTYBĖS BIUDŽETO SKATINAMOJO FINANSAVIMO UŽ STUDIJŲ PASIEKIMUS LĖŠŲ SKIRSTYMO MOKSLO IR STUDIJŲ INSTITUCIJOMS PRINCIPAI" DocPartId="f45ec8346f5d47c1980ef0bd869ea4aa" PartId="c635484b374542cd9837100c76e9e1d0">
      <Part Type="punktas" Nr="9" Abbr="9 p." DocPartId="674f7de6d48a43a0bc3cdc2c23941518" PartId="22b766fb860144d781b4d0e70c6a820e"/>
      <Part Type="punktas" Nr="10" Abbr="10 p." DocPartId="4a23e9c4ee574ce18b5ccb7d01e74ef5" PartId="f1502d4b77524f8cb911110cae891ffb"/>
      <Part Type="punktas" Nr="11" Abbr="11 p." DocPartId="5e224c9dbeea4fee91233f69941fc24e" PartId="b83f3487a7e34eaeaa110ea0631134ba"/>
      <Part Type="punktas" Nr="12" Abbr="12 p." DocPartId="2f557e6a3ef7480cb0efd9b9fc146c4a" PartId="9f9578ab0c48444bbc98a6b80629bcac"/>
      <Part Type="punktas" Nr="13" Abbr="13 p." DocPartId="c1f92dcc4c1d46669df7a06f53dfb832" PartId="b547dc8849404bd2a9b9d4d2506e41f4"/>
      <Part Type="punktas" Nr="14" Abbr="14 p." DocPartId="893c3def5bb7405983997bf5ae18528b" PartId="c43df66088bd4380ad785b2f87f78224"/>
    </Part>
    <Part Type="skyrius" Nr="4" Title="BAIGIAMOSIOS NUOSTATOS" DocPartId="8e8799c1cb4a407b9e12c1c318a11f4d" PartId="b9c32f3f08f14f9faa4319bb44186a34">
      <Part Type="punktas" Nr="15" Abbr="15 p." DocPartId="229878cdbcc4407eab52dda760e0123e" PartId="335de8bf31484263bc534a271d2551a3"/>
      <Part Type="punktas" Nr="16" Abbr="16 p." DocPartId="08cf68979e2f430dad438764bc37af68" PartId="5dc5b908781f474bb10c89fc533561a0">
        <Part Type="papunktis" Nr="16.1" Abbr="16.1 pp." DocPartId="e340dc435ee4409b81f3ba02aacb43c5" PartId="033f700d6bbc477490f222ffa25e95d7"/>
        <Part Type="papunktis" Nr="16.2" Abbr="16.2 pp." DocPartId="d6820de1fb39499ab8cf0b37e0839769" PartId="39e70f11d2ef45ceb88fc4b5464d5e68">
          <Part Type="papunktis" Nr="16.2.1" Abbr="16.2.1 pp." DocPartId="69ea58d81432410292b53cf496d78e23" PartId="658bec9b788347f482b3e650969f4ab1"/>
          <Part Type="papunktis" Nr="16.2.2" Abbr="16.2.2 pp." DocPartId="f82f69c7e72d4e1a8ed49275bcdeec39" PartId="c7d5c2fcc77c44a1b6f536047dc6727c"/>
        </Part>
      </Part>
    </Part>
    <Part Type="pabaiga" DocPartId="e167f28085094acb93e8314d68aa802e" PartId="2ab52ab38c7747cd8e89cd524f092bb3"/>
  </Part>
  <Part Type="priedas" Nr="1" Abbr="1 pr." Title="DUOMENYS APIE MOKSLO IR STUDIJŲ INSTITUCIJŲ LĖŠAS, PER STUDIJŲ METUS GAUTAS IŠ ŪKIO SUBJEKTŲ, NEVYRIAUSYBINIŲ ORGANIZACIJŲ IR FIZINIŲ ASMENŲ UŽ UŽSAKYMUS STUDIJOMS IR PAGAL PARAMOS SUTARTIS STUDIJŲ VEIKLAI VYKDYTI" DocPartId="46c039f1e0d447deb2b8836bb7e1d0a7" PartId="a1c0df39a11947bdb8d906aba47c46b7"/>
  <Part Type="priedas" Nr="1" Abbr="1 pr." Title="MOKSLO IR STUDIJŲ INSTITUCIJŲ STUDIJŲ VEIKLOS PASIEKIMŲ KRITERIJŲ PROCENTINIAI SVORIO KOEFICIENTAI" DocPartId="fc07fccea0484789b6bf407a7ce8c9e7" PartId="5bc2afc06f46437aba53522607578aa9">
    <Part Type="pabaiga" DocPartId="871fe2937a1a40cdbd24262abf255e77" PartId="e11990cdb2434c94b74f567553e396fd"/>
  </Part>
  <Part Type="priedas" Nr="2" Abbr="2 pr." Title="MOKSLO IR STUDIJŲ INSTITUCIJŲ STUDIJŲ VEIKLOS PASIEKIMŲ KRITERIJŲ ĮVERČIŲ APRAŠAI" DocPartId="3a6a862cb02a416395b25ba0feed5f37" PartId="de2e179ea6144a1ca90b69a2284b7b49">
    <Part Type="pabaiga" DocPartId="74a5f5a9f1f1435384658ada68cd80b5" PartId="e75fe0e42f494b19ae1ebc8eb1ba82e2"/>
  </Part>
  <Part Type="priedas" Nr="3" Abbr="3 pr." Title="MOKSLO IR STUDIJŲ INSTITUCIJŲ STUDIJŲ VEIKLOS PASIEKIMAMS VERTINTI REIKALINGŲ DUOMENŲ TEIKIMO IR SKELBIMO TERMINAI BEI ATSAKINGOS INSTITUCIJOS" DocPartId="1fe148f9ab844fc8977215401e8c0266" PartId="2d20fdd4d7a54687aab1742b1414762e">
    <Part Type="pabaiga" DocPartId="fb9d504d9b644c509ed905d2fd20cac4" PartId="488d46bc2a324cdabd809e631a8329f8"/>
  </Part>
  <Part Type="priedas" Nr="4" Abbr="4 pr." Title="MOKSLO IR STUDIJŲ INSTITUCIJŲ STUDIJŲ VEIKLOS PASIEKIMŲ KRITERIJŲ ĮVERČIŲ APRAŠAI" DocPartId="fab15210a81b45ebb4a88ad342c2a415" PartId="a29ea594fe3544129a2a5372674104fc">
    <Part Type="pabaiga" DocPartId="702e72b2d1d1459d9b5a18b08edb04b5" PartId="2c3c792dc51f48ac99eaf6e36d6bced7"/>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1139980-8799-4A01-A6C3-368C2BAF82A9}">
  <ds:schemaRefs>
    <ds:schemaRef ds:uri="http://schemas.microsoft.com/sharepoint/v3/contenttype/forms"/>
  </ds:schemaRefs>
</ds:datastoreItem>
</file>

<file path=customXml/itemProps2.xml><?xml version="1.0" encoding="utf-8"?>
<ds:datastoreItem xmlns:ds="http://schemas.openxmlformats.org/officeDocument/2006/customXml" ds:itemID="{D263097E-C354-49C0-AF3C-3CF325A6D4CF}">
  <ds:schemaRefs>
    <ds:schemaRef ds:uri="http://schemas.microsoft.com/office/2006/metadata/properties"/>
  </ds:schemaRefs>
</ds:datastoreItem>
</file>

<file path=customXml/itemProps3.xml><?xml version="1.0" encoding="utf-8"?>
<ds:datastoreItem xmlns:ds="http://schemas.openxmlformats.org/officeDocument/2006/customXml" ds:itemID="{5FE63EDB-48AC-4A08-A240-3A11262B88B5}">
  <ds:schemaRefs>
    <ds:schemaRef ds:uri="http://schemas.openxmlformats.org/officeDocument/2006/bibliography"/>
  </ds:schemaRefs>
</ds:datastoreItem>
</file>

<file path=customXml/itemProps4.xml><?xml version="1.0" encoding="utf-8"?>
<ds:datastoreItem xmlns:ds="http://schemas.openxmlformats.org/officeDocument/2006/customXml" ds:itemID="{9C7A396F-B29E-41EC-8661-69F82AA06633}">
  <ds:schemaRefs>
    <ds:schemaRef ds:uri="http://schemas.microsoft.com/office/2006/metadata/contentType"/>
    <ds:schemaRef ds:uri="http://schemas.microsoft.com/office/2006/metadata/properties/metaAttributes"/>
    <ds:schemaRef ds:uri="http://www.w3.org/2001/XMLSchema"/>
  </ds:schemaRefs>
</ds:datastoreItem>
</file>

<file path=customXml/itemProps5.xml><?xml version="1.0" encoding="utf-8"?>
<ds:datastoreItem xmlns:ds="http://schemas.openxmlformats.org/officeDocument/2006/customXml" ds:itemID="{4390362D-0246-484C-BD94-FB16BF2B6543}">
  <ds:schemaRefs>
    <ds:schemaRef ds:uri="http://lrs.lt/TAIS/DocParts"/>
  </ds:schemaRefs>
</ds:datastoreItem>
</file>

<file path=customXml/itemProps6.xml><?xml version="1.0" encoding="utf-8"?>
<ds:datastoreItem xmlns:ds="http://schemas.openxmlformats.org/officeDocument/2006/customXml" ds:itemID="{5FE63EDB-48AC-4A08-A240-3A11262B88B5}">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15</TotalTime>
  <Pages>37</Pages>
  <Words>53737</Words>
  <Characters>30631</Characters>
  <Application>Microsoft Office Word</Application>
  <DocSecurity>0</DocSecurity>
  <Lines>255</Lines>
  <Paragraphs>168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c84e5bbd-b1f3-4534-97c0-f9ae7ae05132</vt:lpstr>
      <vt:lpstr>c84e5bbd-b1f3-4534-97c0-f9ae7ae05132</vt:lpstr>
    </vt:vector>
  </TitlesOfParts>
  <Company>LRVK</Company>
  <LinksUpToDate>false</LinksUpToDate>
  <CharactersWithSpaces>84200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2022-12-29T06:24:00Z</dcterms:created>
  <dc:creator>lrvk</dc:creator>
  <lastModifiedBy>PABIJŪNĖ Agnė</lastModifiedBy>
  <lastPrinted>2021-08-19T07:01:00Z</lastPrinted>
  <dcterms:modified xsi:type="dcterms:W3CDTF">2026-06-25T11:30:00Z</dcterms:modified>
  <revision>11</revision>
  <dc:title>806567cd-e05f-49db-a492-feddbcd91868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Pridėta po tvirtinimo</vt:lpwstr>
  </property>
</Properties>
</file>