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50ea1f925f04b86b370f554062fec77"/>
        <w:lock w:val="sdtLocked"/>
        <w:richText/>
      </w:sdtPr>
      <w:sdtContent>
        <w:p>
          <w:pPr>
            <w:jc w:val="both"/>
            <w:rPr>
              <w:rFonts w:ascii="Times New Roman" w:hAnsi="Times New Roman"/>
            </w:rPr>
          </w:pPr>
          <w:r>
            <w:rPr>
              <w:rFonts w:ascii="Times New Roman" w:hAnsi="Times New Roman"/>
              <w:b/>
              <w:i/>
            </w:rPr>
            <w:t>Suvestinė redakcija nuo 2026-04-08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2025-12-01, i. k. 2025-20227</w:t>
          </w:r>
        </w:p>
        <w:p>
          <w:pPr>
            <w:jc w:val="both"/>
            <w:rPr>
              <w:rFonts w:ascii="Times New Roman" w:hAnsi="Times New Roman"/>
              <w:sz w:val="20"/>
            </w:rPr>
          </w:pPr>
        </w:p>
        <w:p>
          <w:pPr>
            <w:tabs>
              <w:tab w:val="center" w:pos="4986"/>
              <w:tab w:val="right" w:pos="9972"/>
            </w:tabs>
            <w:rPr>
              <w:sz w:val="20"/>
              <w:lang w:eastAsia="lt-LT"/>
            </w:rPr>
          </w:pPr>
        </w:p>
        <w:p>
          <w:pPr>
            <w:tabs>
              <w:tab w:val="center" w:pos="4986"/>
              <w:tab w:val="right" w:pos="9972"/>
            </w:tabs>
            <w:rPr>
              <w:sz w:val="20"/>
              <w:lang w:eastAsia="lt-LT"/>
            </w:rPr>
          </w:pPr>
        </w:p>
        <w:p>
          <w:pPr>
            <w:jc w:val="center"/>
            <w:rPr>
              <w:sz w:val="10"/>
              <w:szCs w:val="10"/>
            </w:rPr>
          </w:pPr>
          <w:r>
            <w:rPr>
              <w:sz w:val="10"/>
              <w:szCs w:val="10"/>
              <w:lang w:eastAsia="lt-LT"/>
            </w:rPr>
            <w:drawing>
              <wp:inline distT="0" distB="0" distL="0" distR="0">
                <wp:extent cx="518160" cy="628015"/>
                <wp:effectExtent l="0" t="0" r="0" b="63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8160" cy="628015"/>
                        </a:xfrm>
                        <a:prstGeom prst="rect">
                          <a:avLst/>
                        </a:prstGeom>
                        <a:noFill/>
                      </pic:spPr>
                    </pic:pic>
                  </a:graphicData>
                </a:graphic>
              </wp:inline>
            </w:drawing>
          </w:r>
        </w:p>
        <w:p>
          <w:pPr>
            <w:jc w:val="center"/>
            <w:rPr>
              <w:b/>
              <w:sz w:val="28"/>
              <w:szCs w:val="28"/>
              <w:lang w:eastAsia="lt-LT"/>
            </w:rPr>
          </w:pPr>
          <w:r>
            <w:rPr>
              <w:b/>
              <w:sz w:val="28"/>
              <w:szCs w:val="28"/>
              <w:lang w:eastAsia="lt-LT"/>
            </w:rPr>
            <w:t xml:space="preserve">KLAIPĖDOS MIESTO SAVIVALDYBĖS </w:t>
          </w:r>
        </w:p>
        <w:p>
          <w:pPr>
            <w:jc w:val="center"/>
            <w:rPr>
              <w:b/>
              <w:sz w:val="28"/>
              <w:szCs w:val="28"/>
              <w:lang w:eastAsia="lt-LT"/>
            </w:rPr>
          </w:pPr>
          <w:r>
            <w:rPr>
              <w:b/>
              <w:sz w:val="28"/>
              <w:szCs w:val="28"/>
              <w:lang w:eastAsia="lt-LT"/>
            </w:rPr>
            <w:t>ADMINISTRACIJOS DIREKTORIUS</w:t>
          </w:r>
        </w:p>
        <w:p>
          <w:pPr>
            <w:jc w:val="center"/>
            <w:rPr>
              <w:bCs/>
              <w:caps/>
              <w:szCs w:val="24"/>
              <w:lang w:eastAsia="lt-LT"/>
            </w:rPr>
          </w:pPr>
        </w:p>
        <w:p>
          <w:pPr>
            <w:jc w:val="center"/>
            <w:rPr>
              <w:b/>
              <w:szCs w:val="24"/>
              <w:lang w:eastAsia="lt-LT"/>
            </w:rPr>
          </w:pPr>
          <w:r>
            <w:rPr>
              <w:b/>
              <w:szCs w:val="24"/>
              <w:lang w:eastAsia="lt-LT"/>
            </w:rPr>
            <w:t>ĮSAKYMAS</w:t>
          </w:r>
        </w:p>
        <w:p>
          <w:pPr>
            <w:jc w:val="center"/>
            <w:rPr>
              <w:szCs w:val="24"/>
              <w:lang w:eastAsia="lt-LT"/>
            </w:rPr>
          </w:pPr>
          <w:r>
            <w:rPr>
              <w:b/>
              <w:caps/>
              <w:szCs w:val="24"/>
              <w:lang w:eastAsia="lt-LT"/>
            </w:rPr>
            <w:t xml:space="preserve">DĖL </w:t>
          </w:r>
          <w:r>
            <w:rPr>
              <w:b/>
              <w:szCs w:val="24"/>
              <w:lang w:eastAsia="lt-LT"/>
            </w:rPr>
            <w:t>KLAIPĖDOS MIESTO SAVIVALDYBĖS VIEŠŲJŲ VIETŲ PREKIAUTI IR TEIKTI PASLAUGAS NUO (IŠ) LAIKINŲJŲ ĮRENGINIŲ IŠDĖSTYMO ADRESŲ SĄRAŠO PATVIRTINIMO</w:t>
          </w:r>
        </w:p>
        <w:p>
          <w:pPr>
            <w:rPr>
              <w:szCs w:val="24"/>
              <w:lang w:eastAsia="lt-LT"/>
            </w:rPr>
          </w:pPr>
        </w:p>
        <w:p>
          <w:pPr>
            <w:tabs>
              <w:tab w:val="left" w:pos="5070"/>
              <w:tab w:val="left" w:pos="5366"/>
              <w:tab w:val="left" w:pos="6771"/>
              <w:tab w:val="left" w:pos="7363"/>
            </w:tabs>
            <w:jc w:val="center"/>
            <w:rPr>
              <w:szCs w:val="24"/>
              <w:lang w:eastAsia="lt-LT"/>
            </w:rPr>
          </w:pPr>
          <w:r>
            <w:rPr>
              <w:szCs w:val="24"/>
              <w:lang w:eastAsia="lt-LT"/>
            </w:rPr>
            <w:t xml:space="preserve">2025 m. lapkričio 28 d. Nr. </w:t>
          </w:r>
          <w:r>
            <w:rPr>
              <w:color w:val="333333"/>
              <w:szCs w:val="24"/>
              <w:shd w:val="clear" w:color="auto" w:fill="FFFFFF"/>
            </w:rPr>
            <w:t>AD1-920</w:t>
          </w:r>
        </w:p>
        <w:p>
          <w:pPr>
            <w:tabs>
              <w:tab w:val="left" w:pos="5070"/>
              <w:tab w:val="left" w:pos="5366"/>
              <w:tab w:val="left" w:pos="6771"/>
              <w:tab w:val="left" w:pos="7363"/>
            </w:tabs>
            <w:jc w:val="center"/>
            <w:rPr>
              <w:szCs w:val="24"/>
              <w:lang w:eastAsia="lt-LT"/>
            </w:rPr>
          </w:pPr>
          <w:r>
            <w:rPr>
              <w:szCs w:val="24"/>
              <w:lang w:eastAsia="lt-LT"/>
            </w:rPr>
            <w:t>Klaipėda</w:t>
          </w:r>
        </w:p>
        <w:p>
          <w:pPr>
            <w:jc w:val="both"/>
            <w:rPr>
              <w:szCs w:val="24"/>
              <w:lang w:eastAsia="lt-LT"/>
            </w:rPr>
          </w:pPr>
        </w:p>
        <w:p>
          <w:pPr>
            <w:jc w:val="both"/>
            <w:rPr>
              <w:szCs w:val="24"/>
              <w:lang w:eastAsia="lt-LT"/>
            </w:rPr>
          </w:pPr>
        </w:p>
        <w:sdt>
          <w:sdtPr>
            <w:alias w:val="preambule"/>
            <w:tag w:val="part_7b8285de2f6649689b3fcbf6f7077e58"/>
            <w:lock w:val="sdtLocked"/>
            <w:richText/>
          </w:sdtPr>
          <w:sdtContent>
            <w:p>
              <w:pPr>
                <w:ind w:firstLine="709"/>
                <w:jc w:val="both"/>
                <w:rPr>
                  <w:rFonts w:ascii="Arial" w:hAnsi="Arial" w:cs="Arial"/>
                  <w:sz w:val="20"/>
                  <w:lang w:eastAsia="lt-LT"/>
                </w:rPr>
              </w:pPr>
              <w:r>
                <w:rPr>
                  <w:szCs w:val="24"/>
                  <w:lang w:eastAsia="lt-LT"/>
                </w:rPr>
                <w:t xml:space="preserve">Vadovaudamasis Lietuvos Respublikos vietos savivaldos įstatymo 34 straipsnio 1 dalimi, Prekybos ir paslaugų teikimo Klaipėdos miesto viešosiose vietose tvarkos aprašo, patvirtinto Klaipėdos miesto savivaldybės tarybos 2011 m. spalio 27 d. sprendimu Nr. T2-331 „Dėl Prekybos ir paslaugų teikimo Klaipėdos miesto viešosiose vietose vietinės rinkliavos nuostatų ir Prekybos ir paslaugų teikimo Klaipėdos miesto viešosiose vietose tvarkos aprašo patvirtinimo“, </w:t>
              </w:r>
              <w:r>
                <w:rPr>
                  <w:color w:val="000000"/>
                  <w:szCs w:val="24"/>
                  <w:lang w:eastAsia="lt-LT"/>
                </w:rPr>
                <w:t>14</w:t>
              </w:r>
              <w:r>
                <w:rPr>
                  <w:color w:val="000000"/>
                  <w:szCs w:val="24"/>
                  <w:vertAlign w:val="superscript"/>
                  <w:lang w:eastAsia="lt-LT"/>
                </w:rPr>
                <w:t>1</w:t>
              </w:r>
              <w:r>
                <w:rPr>
                  <w:color w:val="000000"/>
                  <w:szCs w:val="24"/>
                  <w:lang w:eastAsia="lt-LT"/>
                </w:rPr>
                <w:t xml:space="preserve"> punktu</w:t>
              </w:r>
              <w:r>
                <w:rPr>
                  <w:szCs w:val="24"/>
                  <w:lang w:eastAsia="lt-LT"/>
                </w:rPr>
                <w:t>:</w:t>
              </w:r>
            </w:p>
          </w:sdtContent>
        </w:sdt>
        <w:sdt>
          <w:sdtPr>
            <w:alias w:val="1 p."/>
            <w:tag w:val="part_8aed104854ad41f883d3689e59a93778"/>
            <w:lock w:val="sdtLocked"/>
            <w:richText/>
          </w:sdtPr>
          <w:sdtContent>
            <w:p>
              <w:pPr>
                <w:tabs>
                  <w:tab w:val="left" w:pos="1418"/>
                </w:tabs>
                <w:ind w:firstLine="720"/>
                <w:jc w:val="both"/>
                <w:rPr>
                  <w:szCs w:val="24"/>
                  <w:lang w:eastAsia="lt-LT"/>
                </w:rPr>
              </w:pPr>
              <w:sdt>
                <w:sdtPr>
                  <w:alias w:val="Numeris"/>
                  <w:tag w:val="nr_8aed104854ad41f883d3689e59a93778"/>
                  <w:lock w:val="sdtLocked"/>
                  <w:richText/>
                </w:sdtPr>
                <w:sdtContent>
                  <w:r>
                    <w:rPr>
                      <w:szCs w:val="24"/>
                      <w:lang w:eastAsia="lt-LT"/>
                    </w:rPr>
                    <w:t>1</w:t>
                  </w:r>
                </w:sdtContent>
              </w:sdt>
              <w:r>
                <w:rPr>
                  <w:szCs w:val="24"/>
                  <w:lang w:eastAsia="lt-LT"/>
                </w:rPr>
                <w:t>. </w:t>
              </w:r>
              <w:r>
                <w:rPr>
                  <w:spacing w:val="60"/>
                  <w:szCs w:val="24"/>
                  <w:lang w:eastAsia="lt-LT"/>
                </w:rPr>
                <w:t>Tvirtin</w:t>
              </w:r>
              <w:r>
                <w:rPr>
                  <w:szCs w:val="24"/>
                  <w:lang w:eastAsia="lt-LT"/>
                </w:rPr>
                <w:t>u Klaipėdos miesto savivaldybės viešųjų vietų prekiauti ir teikti paslaugas nuo (iš) laikinųjų įrenginių išdėstymo adresų sąrašą (pridedama).</w:t>
              </w:r>
            </w:p>
          </w:sdtContent>
        </w:sdt>
        <w:sdt>
          <w:sdtPr>
            <w:alias w:val="2 p."/>
            <w:tag w:val="part_52d4df3368bc492e840104dbc582664e"/>
            <w:lock w:val="sdtLocked"/>
            <w:richText/>
          </w:sdtPr>
          <w:sdtContent>
            <w:p>
              <w:pPr>
                <w:keepNext/>
                <w:ind w:firstLine="720"/>
                <w:jc w:val="both"/>
                <w:outlineLvl w:val="2"/>
                <w:rPr>
                  <w:szCs w:val="24"/>
                  <w:lang w:eastAsia="lt-LT"/>
                </w:rPr>
              </w:pPr>
              <w:sdt>
                <w:sdtPr>
                  <w:alias w:val="Numeris"/>
                  <w:tag w:val="nr_52d4df3368bc492e840104dbc582664e"/>
                  <w:lock w:val="sdtLocked"/>
                  <w:richText/>
                </w:sdtPr>
                <w:sdtContent>
                  <w:r>
                    <w:rPr>
                      <w:szCs w:val="24"/>
                      <w:lang w:eastAsia="lt-LT"/>
                    </w:rPr>
                    <w:t>2</w:t>
                  </w:r>
                </w:sdtContent>
              </w:sdt>
              <w:r>
                <w:rPr>
                  <w:szCs w:val="24"/>
                  <w:lang w:eastAsia="lt-LT"/>
                </w:rPr>
                <w:t>. </w:t>
              </w:r>
              <w:r>
                <w:rPr>
                  <w:spacing w:val="60"/>
                  <w:szCs w:val="24"/>
                  <w:lang w:eastAsia="lt-LT"/>
                </w:rPr>
                <w:t xml:space="preserve">Pripažįstu </w:t>
              </w:r>
              <w:r>
                <w:rPr>
                  <w:szCs w:val="24"/>
                  <w:lang w:eastAsia="lt-LT"/>
                </w:rPr>
                <w:t>netekusiu galios Klaipėdos miesto savivaldybės administracijos direktoriaus 2022 m. lapkričio 30 d. įsakymą Nr. AD1-1471 „Dėl Klaipėdos miesto savivaldybės viešųjų vietų prekiauti ir teikti paslaugas nuo (iš) laikinųjų įrenginių išdėstymo adresų sąrašo ir viešųjų vietų prekiauti ir teikti paslaugas nuo (iš) laikinųjų įrenginių išdėstymo adresų sąrašo patvirtinimo“ su visais pakeitimais ir papildymais.</w:t>
              </w:r>
            </w:p>
          </w:sdtContent>
        </w:sdt>
        <w:sdt>
          <w:sdtPr>
            <w:alias w:val="3 p."/>
            <w:tag w:val="part_26a2971b2a6041d1b902e7fbd7ce0d71"/>
            <w:lock w:val="sdtLocked"/>
            <w:richText/>
          </w:sdtPr>
          <w:sdtContent>
            <w:p>
              <w:pPr>
                <w:keepNext/>
                <w:ind w:firstLine="720"/>
                <w:jc w:val="both"/>
                <w:outlineLvl w:val="2"/>
                <w:rPr>
                  <w:szCs w:val="24"/>
                  <w:lang w:eastAsia="lt-LT"/>
                </w:rPr>
              </w:pPr>
              <w:sdt>
                <w:sdtPr>
                  <w:alias w:val="Numeris"/>
                  <w:tag w:val="nr_26a2971b2a6041d1b902e7fbd7ce0d71"/>
                  <w:lock w:val="sdtLocked"/>
                  <w:richText/>
                </w:sdtPr>
                <w:sdtContent>
                  <w:r>
                    <w:rPr>
                      <w:szCs w:val="24"/>
                      <w:lang w:eastAsia="lt-LT"/>
                    </w:rPr>
                    <w:t>3</w:t>
                  </w:r>
                </w:sdtContent>
              </w:sdt>
              <w:r>
                <w:rPr>
                  <w:szCs w:val="24"/>
                  <w:lang w:eastAsia="lt-LT"/>
                </w:rPr>
                <w:t>. </w:t>
              </w:r>
              <w:r>
                <w:rPr>
                  <w:spacing w:val="60"/>
                  <w:szCs w:val="24"/>
                  <w:lang w:eastAsia="lt-LT"/>
                </w:rPr>
                <w:t>Nustata</w:t>
              </w:r>
              <w:r>
                <w:rPr>
                  <w:szCs w:val="24"/>
                  <w:lang w:eastAsia="lt-LT"/>
                </w:rPr>
                <w:t>u, kad šis įsakymas įsigalioja 2026 m. kovo 1 d.</w:t>
              </w:r>
            </w:p>
          </w:sdtContent>
        </w:sdt>
        <w:sdt>
          <w:sdtPr>
            <w:alias w:val="4 p."/>
            <w:tag w:val="part_140d7f4ea5354388ac06cfe5f83281e3"/>
            <w:lock w:val="sdtLocked"/>
            <w:richText/>
          </w:sdtPr>
          <w:sdtContent>
            <w:p>
              <w:pPr>
                <w:ind w:firstLine="720"/>
                <w:jc w:val="both"/>
                <w:rPr>
                  <w:szCs w:val="24"/>
                  <w:lang w:eastAsia="lt-LT"/>
                </w:rPr>
              </w:pPr>
              <w:sdt>
                <w:sdtPr>
                  <w:alias w:val="Numeris"/>
                  <w:tag w:val="nr_140d7f4ea5354388ac06cfe5f83281e3"/>
                  <w:lock w:val="sdtLocked"/>
                  <w:richText/>
                </w:sdtPr>
                <w:sdtContent>
                  <w:r>
                    <w:rPr>
                      <w:szCs w:val="24"/>
                      <w:lang w:eastAsia="lt-LT"/>
                    </w:rPr>
                    <w:t>4</w:t>
                  </w:r>
                </w:sdtContent>
              </w:sdt>
              <w:r>
                <w:rPr>
                  <w:szCs w:val="24"/>
                  <w:lang w:eastAsia="lt-LT"/>
                </w:rPr>
                <w:t>. </w:t>
              </w:r>
              <w:r>
                <w:rPr>
                  <w:spacing w:val="60"/>
                  <w:szCs w:val="24"/>
                  <w:lang w:eastAsia="lt-LT"/>
                </w:rPr>
                <w:t>Nustata</w:t>
              </w:r>
              <w:r>
                <w:rPr>
                  <w:szCs w:val="24"/>
                  <w:lang w:eastAsia="lt-LT"/>
                </w:rPr>
                <w:t>u, kad šis įsakymas skelbiamas Teisės aktų registre ir Klaipėdos miesto savivaldybės interneto svetainėje.</w:t>
              </w:r>
            </w:p>
          </w:sdtContent>
        </w:sdt>
        <w:sdt>
          <w:sdtPr>
            <w:alias w:val="signatura"/>
            <w:tag w:val="part_2dd5cb7049714924885cc8d70bc7b3af"/>
            <w:lock w:val="sdtLocked"/>
            <w:richText/>
          </w:sdtPr>
          <w:sdtContent>
            <w:p>
              <w:pPr>
                <w:ind w:right="480"/>
                <w:rPr>
                  <w:szCs w:val="24"/>
                  <w:lang w:eastAsia="lt-LT"/>
                </w:rPr>
              </w:pPr>
            </w:p>
            <w:p>
              <w:pPr>
                <w:ind w:right="480"/>
                <w:rPr>
                  <w:szCs w:val="24"/>
                  <w:lang w:eastAsia="lt-LT"/>
                </w:rPr>
              </w:pPr>
            </w:p>
            <w:p>
              <w:pPr>
                <w:ind w:right="480"/>
                <w:rPr>
                  <w:szCs w:val="24"/>
                  <w:lang w:eastAsia="lt-LT"/>
                </w:rPr>
              </w:pPr>
            </w:p>
            <w:p>
              <w:pPr>
                <w:ind w:right="480"/>
                <w:rPr>
                  <w:szCs w:val="24"/>
                  <w:lang w:eastAsia="lt-LT"/>
                </w:rPr>
              </w:pPr>
              <w:r>
                <w:rPr>
                  <w:szCs w:val="24"/>
                  <w:lang w:eastAsia="lt-LT"/>
                </w:rPr>
                <w:t xml:space="preserve">Administravimo departamento direktorius, </w:t>
              </w:r>
            </w:p>
            <w:p>
              <w:pPr>
                <w:ind w:right="480"/>
              </w:pPr>
              <w:r>
                <w:rPr>
                  <w:szCs w:val="24"/>
                  <w:lang w:eastAsia="lt-LT"/>
                </w:rPr>
                <w:t>atliekantis Savivaldybės administracijos direktoriaus funkcijas</w:t>
                <w:tab/>
                <w:t>Gintautas Mačiulaitis</w:t>
              </w:r>
            </w:p>
          </w:sdtContent>
        </w:sdt>
      </w:sdtContent>
    </w:sdt>
    <w:sdt>
      <w:sdtPr>
        <w:alias w:val="patvirtinta"/>
        <w:tag w:val="part_e31080e8c0d840cea83c558cab0d35d7"/>
        <w:lock w:val="sdtLocked"/>
        <w:richText/>
      </w:sdtPr>
      <w:sdtContent>
        <w:p>
          <w:pPr>
            <w:tabs>
              <w:tab w:val="left" w:pos="5070"/>
              <w:tab w:val="left" w:pos="5366"/>
              <w:tab w:val="left" w:pos="6771"/>
              <w:tab w:val="left" w:pos="7363"/>
            </w:tabs>
            <w:ind w:left="6237"/>
            <w:sectPr>
              <w:headerReference w:type="even" r:id="rId9"/>
              <w:headerReference w:type="default" r:id="rId10"/>
              <w:footerReference w:type="even" r:id="rId11"/>
              <w:footerReference w:type="default" r:id="rId12"/>
              <w:headerReference w:type="first" r:id="rId13"/>
              <w:footerReference w:type="first" r:id="rId14"/>
              <w:pgSz w:w="11907" w:h="16839" w:code="9"/>
              <w:pgMar w:top="1134" w:right="567" w:bottom="1134" w:left="1701" w:header="709" w:footer="145" w:gutter="0"/>
              <w:cols w:space="708"/>
              <w:titlePg/>
              <w:docGrid w:linePitch="360"/>
            </w:sectPr>
          </w:pPr>
        </w:p>
        <w:p>
          <w:pPr>
            <w:tabs>
              <w:tab w:val="left" w:pos="5070"/>
              <w:tab w:val="left" w:pos="5366"/>
              <w:tab w:val="left" w:pos="6771"/>
              <w:tab w:val="left" w:pos="7363"/>
            </w:tabs>
            <w:ind w:left="6237"/>
            <w:rPr>
              <w:szCs w:val="24"/>
              <w:lang w:eastAsia="lt-LT"/>
            </w:rPr>
          </w:pPr>
          <w:r>
            <w:rPr>
              <w:szCs w:val="24"/>
              <w:lang w:eastAsia="lt-LT"/>
            </w:rPr>
            <w:t xml:space="preserve">PATVIRTINTA </w:t>
          </w:r>
        </w:p>
        <w:p>
          <w:pPr>
            <w:tabs>
              <w:tab w:val="left" w:pos="5070"/>
              <w:tab w:val="left" w:pos="5366"/>
              <w:tab w:val="left" w:pos="6771"/>
              <w:tab w:val="left" w:pos="7363"/>
            </w:tabs>
            <w:ind w:left="6237"/>
            <w:rPr>
              <w:szCs w:val="24"/>
              <w:lang w:eastAsia="lt-LT"/>
            </w:rPr>
          </w:pPr>
          <w:r>
            <w:rPr>
              <w:szCs w:val="24"/>
              <w:lang w:eastAsia="lt-LT"/>
            </w:rPr>
            <w:t>Klaipėdos miesto savivaldybės administracijos direktoriaus</w:t>
          </w:r>
        </w:p>
        <w:p>
          <w:pPr>
            <w:tabs>
              <w:tab w:val="left" w:pos="5070"/>
              <w:tab w:val="left" w:pos="5366"/>
              <w:tab w:val="left" w:pos="6771"/>
              <w:tab w:val="left" w:pos="7363"/>
            </w:tabs>
            <w:ind w:left="6237"/>
            <w:rPr>
              <w:szCs w:val="24"/>
              <w:lang w:eastAsia="lt-LT"/>
            </w:rPr>
          </w:pPr>
          <w:r>
            <w:rPr>
              <w:szCs w:val="24"/>
              <w:lang w:eastAsia="lt-LT"/>
            </w:rPr>
            <w:t>2025 m. lapkričio 28 d. d. įsakymu Nr. AD1-920</w:t>
          </w:r>
        </w:p>
        <w:p>
          <w:pPr>
            <w:jc w:val="both"/>
            <w:rPr>
              <w:szCs w:val="24"/>
            </w:rPr>
          </w:pPr>
        </w:p>
        <w:p>
          <w:pPr>
            <w:jc w:val="both"/>
            <w:rPr>
              <w:szCs w:val="24"/>
            </w:rPr>
          </w:pPr>
        </w:p>
        <w:p>
          <w:pPr>
            <w:jc w:val="center"/>
            <w:rPr>
              <w:b/>
              <w:szCs w:val="24"/>
            </w:rPr>
          </w:pPr>
          <w:sdt>
            <w:sdtPr>
              <w:alias w:val="Pavadinimas"/>
              <w:tag w:val="title_e31080e8c0d840cea83c558cab0d35d7"/>
              <w:lock w:val="sdtLocked"/>
              <w:richText/>
            </w:sdtPr>
            <w:sdtContent>
              <w:r>
                <w:rPr>
                  <w:b/>
                  <w:szCs w:val="24"/>
                </w:rPr>
                <w:t>KLAIPĖDOS MIESTO SAVIVALDYBĖS VIEŠŲJŲ VIETŲ PREKIAUTI IR TEIKTI PASLAUGAS NUO (IŠ) LAIKINŲJŲ ĮRENGINIŲ IŠDĖSTYMO ADRESŲ SĄRAŠAS</w:t>
              </w:r>
            </w:sdtContent>
          </w:sdt>
        </w:p>
        <w:p>
          <w:pPr>
            <w:jc w:val="both"/>
            <w:rPr>
              <w:b/>
              <w:szCs w:val="24"/>
            </w:rPr>
          </w:pPr>
        </w:p>
        <w:sdt>
          <w:sdtPr>
            <w:alias w:val="1 p."/>
            <w:tag w:val="part_13890bebbd2e4bdfad1dbde1b1939437"/>
            <w:lock w:val="sdtLocked"/>
            <w:richText/>
          </w:sdtPr>
          <w:sdtContent>
            <w:p>
              <w:pPr>
                <w:jc w:val="both"/>
                <w:rPr>
                  <w:b/>
                  <w:szCs w:val="24"/>
                </w:rPr>
              </w:pPr>
              <w:sdt>
                <w:sdtPr>
                  <w:alias w:val="Numeris"/>
                  <w:tag w:val="nr_13890bebbd2e4bdfad1dbde1b1939437"/>
                  <w:lock w:val="sdtLocked"/>
                  <w:richText/>
                </w:sdtPr>
                <w:sdtContent>
                  <w:r>
                    <w:rPr>
                      <w:b/>
                      <w:szCs w:val="24"/>
                    </w:rPr>
                    <w:t>1</w:t>
                  </w:r>
                </w:sdtContent>
              </w:sdt>
              <w:r>
                <w:rPr>
                  <w:b/>
                  <w:szCs w:val="24"/>
                </w:rPr>
                <w:t>. Vietos prekiauti ir teikti paslaugas Klaipėdos miesto paplūdimiuose ir jų prieigose planavimo dokumentuose nustatytose zonose ir teritorijose</w:t>
              </w:r>
            </w:p>
            <w:p>
              <w:pPr>
                <w:jc w:val="both"/>
                <w:rPr>
                  <w:bCs/>
                  <w:szCs w:val="24"/>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7068"/>
                <w:gridCol w:w="1578"/>
              </w:tblGrid>
              <w:tr>
                <w:trPr>
                  <w:trHeight w:val="602"/>
                </w:trPr>
                <w:tc>
                  <w:tcPr>
                    <w:tcW w:w="993"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w:t>
                    </w:r>
                  </w:p>
                  <w:p>
                    <w:pPr>
                      <w:jc w:val="both"/>
                      <w:rPr>
                        <w:b/>
                        <w:szCs w:val="24"/>
                      </w:rPr>
                    </w:pPr>
                    <w:r>
                      <w:rPr>
                        <w:b/>
                        <w:szCs w:val="24"/>
                      </w:rPr>
                      <w:t>Nr.</w:t>
                    </w:r>
                  </w:p>
                </w:tc>
                <w:tc>
                  <w:tcPr>
                    <w:tcW w:w="7068"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Prekybos ir paslaugų teikimo vieta</w:t>
                    </w:r>
                  </w:p>
                </w:tc>
                <w:tc>
                  <w:tcPr>
                    <w:tcW w:w="1578"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Vietų skaičius</w:t>
                    </w:r>
                  </w:p>
                </w:tc>
              </w:tr>
              <w:tr>
                <w:trPr>
                  <w:trHeight w:val="292"/>
                </w:trPr>
                <w:tc>
                  <w:tcPr>
                    <w:tcW w:w="993"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1</w:t>
                    </w:r>
                  </w:p>
                </w:tc>
                <w:tc>
                  <w:tcPr>
                    <w:tcW w:w="7068"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2</w:t>
                    </w:r>
                  </w:p>
                </w:tc>
                <w:tc>
                  <w:tcPr>
                    <w:tcW w:w="1578"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3</w:t>
                    </w:r>
                  </w:p>
                </w:tc>
              </w:tr>
              <w:tr>
                <w:trPr>
                  <w:trHeight w:val="309"/>
                </w:trPr>
                <w:tc>
                  <w:tcPr>
                    <w:tcW w:w="993"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1.1.</w:t>
                    </w:r>
                  </w:p>
                  <w:p>
                    <w:pPr>
                      <w:jc w:val="both"/>
                      <w:rPr>
                        <w:bCs/>
                        <w:szCs w:val="24"/>
                      </w:rPr>
                    </w:pPr>
                    <w:r>
                      <w:rPr>
                        <w:bCs/>
                        <w:szCs w:val="24"/>
                      </w:rPr>
                      <w:t>1.2.</w:t>
                    </w:r>
                  </w:p>
                </w:tc>
                <w:tc>
                  <w:tcPr>
                    <w:tcW w:w="7068"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Girulių ir Melnragės paplūdimiai (prekybos ir paslaugų teikimo zonos)</w:t>
                    </w:r>
                  </w:p>
                  <w:p>
                    <w:pPr>
                      <w:jc w:val="both"/>
                      <w:rPr>
                        <w:bCs/>
                        <w:szCs w:val="24"/>
                      </w:rPr>
                    </w:pPr>
                    <w:r>
                      <w:rPr>
                        <w:bCs/>
                        <w:szCs w:val="24"/>
                      </w:rPr>
                      <w:t>Melnragė, prie statinio Vėtros g. 8 (prekybos ir paslaugų teikimo teritorija)</w:t>
                    </w:r>
                  </w:p>
                </w:tc>
                <w:tc>
                  <w:tcPr>
                    <w:tcW w:w="1578"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 xml:space="preserve">13 </w:t>
                    </w:r>
                  </w:p>
                  <w:p>
                    <w:pPr>
                      <w:jc w:val="both"/>
                      <w:rPr>
                        <w:bCs/>
                        <w:szCs w:val="24"/>
                      </w:rPr>
                    </w:pPr>
                    <w:r>
                      <w:rPr>
                        <w:bCs/>
                        <w:szCs w:val="24"/>
                      </w:rPr>
                      <w:t>1</w:t>
                    </w:r>
                  </w:p>
                </w:tc>
              </w:tr>
            </w:tbl>
            <w:p/>
            <w:p>
              <w:pPr>
                <w:ind w:firstLine="8222"/>
                <w:rPr>
                  <w:bCs/>
                  <w:szCs w:val="24"/>
                </w:rPr>
              </w:pPr>
              <w:r>
                <w:rPr>
                  <w:bCs/>
                  <w:szCs w:val="24"/>
                </w:rPr>
                <w:t>Iš viso: 14</w:t>
              </w:r>
            </w:p>
            <w:p>
              <w:pPr>
                <w:jc w:val="both"/>
                <w:rPr>
                  <w:bCs/>
                  <w:szCs w:val="24"/>
                </w:rPr>
              </w:pPr>
              <w:r>
                <w:rPr>
                  <w:bCs/>
                  <w:szCs w:val="24"/>
                </w:rPr>
                <w:t>Prekybos ir paslaugų teikimo vietoms Klaipėdos miesto paplūdimiuose ir jų prieigose planavimo dokumentuose nustatytose zonose ir teritorijose įrengti skelbiamas konkursas.</w:t>
              </w:r>
            </w:p>
            <w:p>
              <w:pPr>
                <w:jc w:val="both"/>
                <w:rPr>
                  <w:bCs/>
                  <w:szCs w:val="24"/>
                </w:rPr>
              </w:pPr>
              <w:r>
                <w:rPr>
                  <w:bCs/>
                  <w:szCs w:val="24"/>
                </w:rPr>
                <w:t>Vienos zonos Girulių ir Melnragės paplūdimiuose plotas – 500,00 m</w:t>
              </w:r>
              <w:r>
                <w:rPr>
                  <w:bCs/>
                  <w:szCs w:val="24"/>
                  <w:vertAlign w:val="superscript"/>
                </w:rPr>
                <w:t>2</w:t>
              </w:r>
              <w:r>
                <w:rPr>
                  <w:bCs/>
                  <w:szCs w:val="24"/>
                </w:rPr>
                <w:t>. Zonų Nr. 1–11 išdėstymo schema nustatyta Girulių detaliajame plane, patvirtintame Klaipėdos miesto savivaldybės tarybos 2005 m. gegužės 26 d. sprendimu Nr. T2-177 „Dėl Girulių detaliojo plano patvirtinimo“.</w:t>
              </w:r>
            </w:p>
            <w:p>
              <w:pPr>
                <w:jc w:val="both"/>
                <w:rPr>
                  <w:bCs/>
                  <w:szCs w:val="24"/>
                </w:rPr>
              </w:pPr>
              <w:r>
                <w:rPr>
                  <w:bCs/>
                  <w:szCs w:val="24"/>
                </w:rPr>
                <w:t>Prekybos ir paslaugų teikimo zonos Nr. 12–13 Melnragės paplūdimyje ir teritorija Melnragėje, prie statinio Vėtros g. 8, nustatyta detaliajame plane, patvirtintame Klaipėdos miesto savivaldybės administracijos direktoriaus 2015 m. balandžio 24 d. įsakymu Nr. AD1-1144 „Dėl teritorijos nuo Audros g. tęsinio iki jūros, prie buvusių karinių objektų (Antrojo pasaulinio karo Vokiečių baterijos) Melnragės pajūryje, iki Klaipėdos valstybinio jūrų uosto teritorijos prie šiaurinio molo, Klaipėdoje, detaliojo plano patvirtinimo“.</w:t>
              </w:r>
            </w:p>
            <w:p>
              <w:pPr>
                <w:jc w:val="both"/>
                <w:rPr>
                  <w:bCs/>
                  <w:szCs w:val="24"/>
                </w:rPr>
              </w:pPr>
              <w:r>
                <w:rPr>
                  <w:bCs/>
                  <w:szCs w:val="24"/>
                </w:rPr>
                <w:t xml:space="preserve">Veikla vykdoma nuo gegužės 1 d. iki rugsėjo 30 d., jei konkurso sąlygose nenustatytas kitas prekybos ir paslaugų teikimo laikotarpis. </w:t>
              </w:r>
            </w:p>
            <w:p>
              <w:pPr>
                <w:jc w:val="both"/>
                <w:rPr>
                  <w:b/>
                  <w:szCs w:val="24"/>
                </w:rPr>
              </w:pPr>
            </w:p>
            <w:p>
              <w:pPr>
                <w:rPr>
                  <w:sz w:val="10"/>
                  <w:szCs w:val="10"/>
                </w:rPr>
              </w:pPr>
            </w:p>
          </w:sdtContent>
        </w:sdt>
        <w:sdt>
          <w:sdtPr>
            <w:alias w:val="2 p."/>
            <w:tag w:val="part_67589ebacd844ded8c867a80e61d7685"/>
            <w:lock w:val="sdtLocked"/>
            <w:richText/>
          </w:sdtPr>
          <w:sdtContent>
            <w:p>
              <w:pPr>
                <w:ind w:firstLine="709"/>
                <w:jc w:val="both"/>
                <w:rPr>
                  <w:color w:val="000000"/>
                  <w:szCs w:val="24"/>
                  <w:lang w:eastAsia="lt-LT"/>
                </w:rPr>
              </w:pPr>
              <w:sdt>
                <w:sdtPr>
                  <w:alias w:val="Numeris"/>
                  <w:tag w:val="nr_67589ebacd844ded8c867a80e61d7685"/>
                  <w:lock w:val="sdtLocked"/>
                  <w:richText/>
                </w:sdtPr>
                <w:sdtContent>
                  <w:r>
                    <w:rPr>
                      <w:b/>
                      <w:bCs/>
                      <w:color w:val="000000"/>
                      <w:szCs w:val="24"/>
                      <w:lang w:eastAsia="lt-LT"/>
                    </w:rPr>
                    <w:t>2</w:t>
                  </w:r>
                </w:sdtContent>
              </w:sdt>
              <w:r>
                <w:rPr>
                  <w:b/>
                  <w:bCs/>
                  <w:color w:val="000000"/>
                  <w:szCs w:val="24"/>
                  <w:lang w:eastAsia="lt-LT"/>
                </w:rPr>
                <w:t>. Vietos prekiauti iš nestacionariųjų lauko kavinių</w:t>
              </w:r>
              <w:r>
                <w:rPr>
                  <w:color w:val="000000"/>
                  <w:szCs w:val="24"/>
                  <w:lang w:eastAsia="lt-LT"/>
                </w:rPr>
                <w:t> </w:t>
              </w:r>
            </w:p>
            <w:p>
              <w:pPr>
                <w:ind w:firstLine="709"/>
                <w:jc w:val="both"/>
                <w:rPr>
                  <w:color w:val="000000"/>
                  <w:szCs w:val="24"/>
                  <w:lang w:eastAsia="lt-LT"/>
                </w:rPr>
              </w:pPr>
            </w:p>
            <w:tbl>
              <w:tblPr>
                <w:tblW w:w="9639" w:type="dxa"/>
                <w:tblInd w:w="-15" w:type="dxa"/>
                <w:tblCellMar>
                  <w:left w:w="0" w:type="dxa"/>
                  <w:right w:w="0" w:type="dxa"/>
                </w:tblCellMar>
                <w:tblLook w:val="01E0" w:firstRow="1" w:lastRow="1" w:firstColumn="1" w:lastColumn="1" w:noHBand="0" w:noVBand="0"/>
              </w:tblPr>
              <w:tblGrid>
                <w:gridCol w:w="709"/>
                <w:gridCol w:w="6080"/>
                <w:gridCol w:w="1245"/>
                <w:gridCol w:w="1605"/>
              </w:tblGrid>
              <w:tr>
                <w:trPr>
                  <w:trHeight w:val="597"/>
                </w:trPr>
                <w:tc>
                  <w:tcPr>
                    <w:tcW w:w="70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rPr>
                        <w:color w:val="000000"/>
                        <w:szCs w:val="24"/>
                        <w:lang w:eastAsia="lt-LT"/>
                      </w:rPr>
                    </w:pPr>
                    <w:r>
                      <w:rPr>
                        <w:b/>
                        <w:bCs/>
                        <w:color w:val="000000"/>
                        <w:szCs w:val="24"/>
                        <w:lang w:eastAsia="lt-LT"/>
                      </w:rPr>
                      <w:t>Eil. Nr.</w:t>
                    </w:r>
                  </w:p>
                </w:tc>
                <w:tc>
                  <w:tcPr>
                    <w:tcW w:w="6080"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rPr>
                        <w:color w:val="000000"/>
                        <w:szCs w:val="24"/>
                        <w:lang w:eastAsia="lt-LT"/>
                      </w:rPr>
                    </w:pPr>
                    <w:r>
                      <w:rPr>
                        <w:b/>
                        <w:bCs/>
                        <w:color w:val="000000"/>
                        <w:szCs w:val="24"/>
                        <w:lang w:eastAsia="lt-LT"/>
                      </w:rPr>
                      <w:t>Prekybos ir paslaugų teikimo vieta</w:t>
                    </w:r>
                  </w:p>
                </w:tc>
                <w:tc>
                  <w:tcPr>
                    <w:tcW w:w="124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rPr>
                        <w:color w:val="000000"/>
                        <w:szCs w:val="24"/>
                        <w:lang w:eastAsia="lt-LT"/>
                      </w:rPr>
                    </w:pPr>
                    <w:r>
                      <w:rPr>
                        <w:b/>
                        <w:bCs/>
                        <w:color w:val="000000"/>
                        <w:szCs w:val="24"/>
                        <w:lang w:eastAsia="lt-LT"/>
                      </w:rPr>
                      <w:t>Vietų skaičius</w:t>
                    </w:r>
                  </w:p>
                </w:tc>
                <w:tc>
                  <w:tcPr>
                    <w:tcW w:w="160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rPr>
                        <w:color w:val="000000"/>
                        <w:szCs w:val="24"/>
                        <w:lang w:eastAsia="lt-LT"/>
                      </w:rPr>
                    </w:pPr>
                    <w:r>
                      <w:rPr>
                        <w:b/>
                        <w:bCs/>
                        <w:color w:val="000000"/>
                        <w:szCs w:val="24"/>
                        <w:lang w:eastAsia="lt-LT"/>
                      </w:rPr>
                      <w:t>Priedo</w:t>
                    </w:r>
                  </w:p>
                  <w:p>
                    <w:pPr>
                      <w:rPr>
                        <w:color w:val="000000"/>
                        <w:szCs w:val="24"/>
                        <w:lang w:eastAsia="lt-LT"/>
                      </w:rPr>
                    </w:pPr>
                    <w:r>
                      <w:rPr>
                        <w:b/>
                        <w:bCs/>
                        <w:color w:val="000000"/>
                        <w:szCs w:val="24"/>
                        <w:lang w:eastAsia="lt-LT"/>
                      </w:rPr>
                      <w:t>Nr.</w:t>
                    </w:r>
                  </w:p>
                </w:tc>
              </w:tr>
              <w:tr>
                <w:trPr>
                  <w:trHeight w:val="290"/>
                </w:trPr>
                <w:tc>
                  <w:tcPr>
                    <w:tcW w:w="70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rPr>
                        <w:color w:val="000000"/>
                        <w:szCs w:val="24"/>
                        <w:lang w:eastAsia="lt-LT"/>
                      </w:rPr>
                    </w:pPr>
                    <w:r>
                      <w:rPr>
                        <w:b/>
                        <w:bCs/>
                        <w:color w:val="000000"/>
                        <w:szCs w:val="24"/>
                        <w:lang w:eastAsia="lt-LT"/>
                      </w:rPr>
                      <w:t>1</w:t>
                    </w:r>
                  </w:p>
                </w:tc>
                <w:tc>
                  <w:tcPr>
                    <w:tcW w:w="6080"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rPr>
                        <w:color w:val="000000"/>
                        <w:szCs w:val="24"/>
                        <w:lang w:eastAsia="lt-LT"/>
                      </w:rPr>
                    </w:pPr>
                    <w:r>
                      <w:rPr>
                        <w:b/>
                        <w:bCs/>
                        <w:color w:val="000000"/>
                        <w:szCs w:val="24"/>
                        <w:lang w:eastAsia="lt-LT"/>
                      </w:rPr>
                      <w:t>2</w:t>
                    </w:r>
                  </w:p>
                </w:tc>
                <w:tc>
                  <w:tcPr>
                    <w:tcW w:w="124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rPr>
                        <w:color w:val="000000"/>
                        <w:szCs w:val="24"/>
                        <w:lang w:eastAsia="lt-LT"/>
                      </w:rPr>
                    </w:pPr>
                    <w:r>
                      <w:rPr>
                        <w:b/>
                        <w:bCs/>
                        <w:color w:val="000000"/>
                        <w:szCs w:val="24"/>
                        <w:lang w:eastAsia="lt-LT"/>
                      </w:rPr>
                      <w:t>3</w:t>
                    </w:r>
                  </w:p>
                </w:tc>
                <w:tc>
                  <w:tcPr>
                    <w:tcW w:w="160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rPr>
                        <w:color w:val="000000"/>
                        <w:szCs w:val="24"/>
                        <w:lang w:eastAsia="lt-LT"/>
                      </w:rPr>
                    </w:pPr>
                    <w:r>
                      <w:rPr>
                        <w:b/>
                        <w:bCs/>
                        <w:color w:val="000000"/>
                        <w:szCs w:val="24"/>
                        <w:lang w:eastAsia="lt-LT"/>
                      </w:rPr>
                      <w:t>4</w:t>
                    </w:r>
                  </w:p>
                </w:tc>
              </w:tr>
              <w:tr>
                <w:trPr>
                  <w:trHeight w:val="597"/>
                </w:trPr>
                <w:tc>
                  <w:tcPr>
                    <w:tcW w:w="709" w:type="dxa"/>
                    <w:tcBorders>
                      <w:top w:val="nil"/>
                      <w:left w:val="single" w:sz="12" w:space="0" w:color="auto"/>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2.1.</w:t>
                    </w:r>
                  </w:p>
                </w:tc>
                <w:tc>
                  <w:tcPr>
                    <w:tcW w:w="6080"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Smiltynės senasis paplūdimys, prie centrinio įėjimo į bendrąjį paplūdimį (gelbėjimo stoties), vieta Nr. 1</w:t>
                    </w:r>
                    <w:r>
                      <w:rPr>
                        <w:szCs w:val="24"/>
                        <w:vertAlign w:val="superscript"/>
                        <w:lang w:eastAsia="lt-LT"/>
                      </w:rPr>
                      <w:t>2</w:t>
                    </w:r>
                  </w:p>
                </w:tc>
                <w:tc>
                  <w:tcPr>
                    <w:tcW w:w="124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1</w:t>
                    </w:r>
                  </w:p>
                </w:tc>
                <w:tc>
                  <w:tcPr>
                    <w:tcW w:w="160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11</w:t>
                    </w:r>
                  </w:p>
                </w:tc>
              </w:tr>
              <w:tr>
                <w:trPr>
                  <w:trHeight w:val="668"/>
                </w:trPr>
                <w:tc>
                  <w:tcPr>
                    <w:tcW w:w="709" w:type="dxa"/>
                    <w:tcBorders>
                      <w:top w:val="nil"/>
                      <w:left w:val="single" w:sz="12" w:space="0" w:color="auto"/>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2.2.</w:t>
                    </w:r>
                  </w:p>
                </w:tc>
                <w:tc>
                  <w:tcPr>
                    <w:tcW w:w="6080"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Smiltynės senosios perkėlos paplūdimio prieigos, prie įėjimo į bendrąjį paplūdimį, vieta Nr. 2</w:t>
                    </w:r>
                    <w:r>
                      <w:rPr>
                        <w:szCs w:val="24"/>
                        <w:vertAlign w:val="superscript"/>
                        <w:lang w:eastAsia="lt-LT"/>
                      </w:rPr>
                      <w:t>2</w:t>
                    </w:r>
                  </w:p>
                </w:tc>
                <w:tc>
                  <w:tcPr>
                    <w:tcW w:w="124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1</w:t>
                    </w:r>
                  </w:p>
                </w:tc>
                <w:tc>
                  <w:tcPr>
                    <w:tcW w:w="160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12</w:t>
                    </w:r>
                  </w:p>
                </w:tc>
              </w:tr>
              <w:tr>
                <w:trPr>
                  <w:trHeight w:val="573"/>
                </w:trPr>
                <w:tc>
                  <w:tcPr>
                    <w:tcW w:w="709" w:type="dxa"/>
                    <w:tcBorders>
                      <w:top w:val="nil"/>
                      <w:left w:val="single" w:sz="12" w:space="0" w:color="auto"/>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2.3.</w:t>
                    </w:r>
                  </w:p>
                </w:tc>
                <w:tc>
                  <w:tcPr>
                    <w:tcW w:w="6080"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Smiltynės naujojo paplūdimio prieigos, prie centrinio įėjimo, vieta Nr. 3</w:t>
                    </w:r>
                    <w:r>
                      <w:rPr>
                        <w:szCs w:val="24"/>
                        <w:vertAlign w:val="superscript"/>
                        <w:lang w:eastAsia="lt-LT"/>
                      </w:rPr>
                      <w:t>2</w:t>
                    </w:r>
                  </w:p>
                </w:tc>
                <w:tc>
                  <w:tcPr>
                    <w:tcW w:w="124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1</w:t>
                    </w:r>
                  </w:p>
                </w:tc>
                <w:tc>
                  <w:tcPr>
                    <w:tcW w:w="160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9</w:t>
                    </w:r>
                  </w:p>
                </w:tc>
              </w:tr>
              <w:tr>
                <w:trPr>
                  <w:trHeight w:val="468"/>
                </w:trPr>
                <w:tc>
                  <w:tcPr>
                    <w:tcW w:w="709" w:type="dxa"/>
                    <w:tcBorders>
                      <w:top w:val="nil"/>
                      <w:left w:val="single" w:sz="12" w:space="0" w:color="auto"/>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2.4.</w:t>
                    </w:r>
                  </w:p>
                  <w:p>
                    <w:pPr>
                      <w:rPr>
                        <w:szCs w:val="24"/>
                        <w:lang w:eastAsia="lt-LT"/>
                      </w:rPr>
                    </w:pPr>
                  </w:p>
                </w:tc>
                <w:tc>
                  <w:tcPr>
                    <w:tcW w:w="6080" w:type="dxa"/>
                    <w:tcBorders>
                      <w:top w:val="nil"/>
                      <w:left w:val="nil"/>
                      <w:bottom w:val="nil"/>
                      <w:right w:val="single" w:sz="12" w:space="0" w:color="auto"/>
                    </w:tcBorders>
                    <w:tcMar>
                      <w:top w:w="0" w:type="dxa"/>
                      <w:left w:w="108" w:type="dxa"/>
                      <w:bottom w:w="0" w:type="dxa"/>
                      <w:right w:w="108" w:type="dxa"/>
                    </w:tcMar>
                    <w:hideMark/>
                  </w:tcPr>
                  <w:p>
                    <w:pPr>
                      <w:rPr>
                        <w:szCs w:val="24"/>
                        <w:vertAlign w:val="superscript"/>
                        <w:lang w:eastAsia="lt-LT"/>
                      </w:rPr>
                    </w:pPr>
                    <w:r>
                      <w:rPr>
                        <w:szCs w:val="24"/>
                        <w:lang w:eastAsia="lt-LT"/>
                      </w:rPr>
                      <w:t>Prie Mumlaukio ežero, šalia Liepojos g. automobilių sustojimo aikštelės</w:t>
                    </w:r>
                    <w:r>
                      <w:rPr>
                        <w:szCs w:val="24"/>
                        <w:vertAlign w:val="superscript"/>
                        <w:lang w:eastAsia="lt-LT"/>
                      </w:rPr>
                      <w:t>1</w:t>
                    </w:r>
                  </w:p>
                </w:tc>
                <w:tc>
                  <w:tcPr>
                    <w:tcW w:w="124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1</w:t>
                    </w:r>
                  </w:p>
                </w:tc>
                <w:tc>
                  <w:tcPr>
                    <w:tcW w:w="160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r>
                      <w:rPr>
                        <w:szCs w:val="24"/>
                        <w:lang w:eastAsia="lt-LT"/>
                      </w:rPr>
                      <w:t>35</w:t>
                    </w:r>
                  </w:p>
                </w:tc>
              </w:tr>
              <w:tr>
                <w:trPr>
                  <w:trHeight w:val="468"/>
                </w:trPr>
                <w:tc>
                  <w:tcPr>
                    <w:tcW w:w="709" w:type="dxa"/>
                    <w:tcBorders>
                      <w:top w:val="nil"/>
                      <w:left w:val="single" w:sz="12" w:space="0" w:color="auto"/>
                      <w:bottom w:val="single" w:sz="12" w:space="0" w:color="auto"/>
                      <w:right w:val="single" w:sz="12" w:space="0" w:color="auto"/>
                    </w:tcBorders>
                    <w:tcMar>
                      <w:top w:w="0" w:type="dxa"/>
                      <w:left w:w="108" w:type="dxa"/>
                      <w:bottom w:w="0" w:type="dxa"/>
                      <w:right w:w="108" w:type="dxa"/>
                    </w:tcMar>
                  </w:tcPr>
                  <w:p>
                    <w:pPr>
                      <w:rPr>
                        <w:szCs w:val="24"/>
                        <w:lang w:eastAsia="lt-LT"/>
                      </w:rPr>
                    </w:pPr>
                    <w:r>
                      <w:rPr>
                        <w:szCs w:val="24"/>
                        <w:lang w:eastAsia="lt-LT"/>
                      </w:rPr>
                      <w:t xml:space="preserve">2.5. </w:t>
                    </w:r>
                  </w:p>
                </w:tc>
                <w:tc>
                  <w:tcPr>
                    <w:tcW w:w="6080" w:type="dxa"/>
                    <w:tcBorders>
                      <w:top w:val="nil"/>
                      <w:left w:val="nil"/>
                      <w:bottom w:val="single" w:sz="12" w:space="0" w:color="auto"/>
                      <w:right w:val="single" w:sz="12" w:space="0" w:color="auto"/>
                    </w:tcBorders>
                    <w:tcMar>
                      <w:top w:w="0" w:type="dxa"/>
                      <w:left w:w="108" w:type="dxa"/>
                      <w:bottom w:w="0" w:type="dxa"/>
                      <w:right w:w="108" w:type="dxa"/>
                    </w:tcMar>
                  </w:tcPr>
                  <w:p>
                    <w:pPr>
                      <w:rPr>
                        <w:szCs w:val="24"/>
                        <w:lang w:eastAsia="lt-LT"/>
                      </w:rPr>
                    </w:pPr>
                    <w:r>
                      <w:rPr>
                        <w:szCs w:val="24"/>
                        <w:lang w:eastAsia="lt-LT"/>
                      </w:rPr>
                      <w:t>Danės skveras</w:t>
                    </w:r>
                    <w:r>
                      <w:rPr>
                        <w:szCs w:val="24"/>
                        <w:vertAlign w:val="superscript"/>
                        <w:lang w:eastAsia="lt-LT"/>
                      </w:rPr>
                      <w:t>1</w:t>
                    </w:r>
                  </w:p>
                </w:tc>
                <w:tc>
                  <w:tcPr>
                    <w:tcW w:w="1245" w:type="dxa"/>
                    <w:tcBorders>
                      <w:top w:val="nil"/>
                      <w:left w:val="nil"/>
                      <w:bottom w:val="single" w:sz="12" w:space="0" w:color="auto"/>
                      <w:right w:val="single" w:sz="12" w:space="0" w:color="auto"/>
                    </w:tcBorders>
                    <w:tcMar>
                      <w:top w:w="0" w:type="dxa"/>
                      <w:left w:w="108" w:type="dxa"/>
                      <w:bottom w:w="0" w:type="dxa"/>
                      <w:right w:w="108" w:type="dxa"/>
                    </w:tcMar>
                  </w:tcPr>
                  <w:p>
                    <w:pPr>
                      <w:rPr>
                        <w:szCs w:val="24"/>
                        <w:lang w:eastAsia="lt-LT"/>
                      </w:rPr>
                    </w:pPr>
                    <w:r>
                      <w:rPr>
                        <w:szCs w:val="24"/>
                        <w:lang w:eastAsia="lt-LT"/>
                      </w:rPr>
                      <w:t>2</w:t>
                    </w:r>
                  </w:p>
                </w:tc>
                <w:tc>
                  <w:tcPr>
                    <w:tcW w:w="1605" w:type="dxa"/>
                    <w:tcBorders>
                      <w:top w:val="nil"/>
                      <w:left w:val="nil"/>
                      <w:bottom w:val="single" w:sz="12" w:space="0" w:color="auto"/>
                      <w:right w:val="single" w:sz="12" w:space="0" w:color="auto"/>
                    </w:tcBorders>
                    <w:tcMar>
                      <w:top w:w="0" w:type="dxa"/>
                      <w:left w:w="108" w:type="dxa"/>
                      <w:bottom w:w="0" w:type="dxa"/>
                      <w:right w:w="108" w:type="dxa"/>
                    </w:tcMar>
                  </w:tcPr>
                  <w:p>
                    <w:pPr>
                      <w:rPr>
                        <w:szCs w:val="24"/>
                        <w:lang w:eastAsia="lt-LT"/>
                      </w:rPr>
                    </w:pPr>
                    <w:r>
                      <w:rPr>
                        <w:szCs w:val="24"/>
                        <w:lang w:eastAsia="lt-LT"/>
                      </w:rPr>
                      <w:t>2, 33</w:t>
                    </w:r>
                  </w:p>
                </w:tc>
              </w:tr>
            </w:tbl>
            <w:p>
              <w:pPr>
                <w:ind w:firstLine="7068"/>
                <w:jc w:val="both"/>
                <w:rPr>
                  <w:color w:val="000000"/>
                  <w:szCs w:val="24"/>
                  <w:lang w:eastAsia="lt-LT"/>
                </w:rPr>
              </w:pPr>
              <w:r>
                <w:rPr>
                  <w:color w:val="000000"/>
                  <w:szCs w:val="24"/>
                  <w:lang w:eastAsia="lt-LT"/>
                </w:rPr>
                <w:t>Iš viso: 6</w:t>
              </w:r>
            </w:p>
            <w:p>
              <w:pPr>
                <w:jc w:val="both"/>
                <w:rPr>
                  <w:color w:val="000000"/>
                  <w:szCs w:val="24"/>
                  <w:lang w:eastAsia="lt-LT"/>
                </w:rPr>
              </w:pPr>
              <w:r>
                <w:rPr>
                  <w:color w:val="000000"/>
                  <w:szCs w:val="24"/>
                  <w:vertAlign w:val="superscript"/>
                  <w:lang w:eastAsia="lt-LT"/>
                </w:rPr>
                <w:t>1</w:t>
              </w:r>
              <w:r>
                <w:rPr>
                  <w:color w:val="000000"/>
                  <w:szCs w:val="24"/>
                  <w:lang w:eastAsia="lt-LT"/>
                </w:rPr>
                <w:t>Nestacionarioji lauko kavinė ir (ar) mobilusis baras įrengiami konkurso būdu.</w:t>
              </w:r>
            </w:p>
            <w:p>
              <w:pPr>
                <w:jc w:val="both"/>
                <w:rPr>
                  <w:color w:val="000000"/>
                  <w:szCs w:val="24"/>
                  <w:lang w:eastAsia="lt-LT"/>
                </w:rPr>
              </w:pPr>
              <w:r>
                <w:rPr>
                  <w:color w:val="000000"/>
                  <w:szCs w:val="24"/>
                  <w:vertAlign w:val="superscript"/>
                  <w:lang w:eastAsia="lt-LT"/>
                </w:rPr>
                <w:t>2</w:t>
              </w:r>
              <w:r>
                <w:rPr>
                  <w:color w:val="000000"/>
                  <w:szCs w:val="24"/>
                  <w:lang w:eastAsia="lt-LT"/>
                </w:rPr>
                <w:t>Nestacionarioji lauko kavinė įrengiama tik gavus Kuršių nerijos nacionalinio parko direkcijos sutikimą.</w:t>
              </w:r>
            </w:p>
            <w:p>
              <w:pPr>
                <w:jc w:val="both"/>
                <w:rPr>
                  <w:b/>
                  <w:szCs w:val="24"/>
                </w:rPr>
              </w:pPr>
              <w:r>
                <w:rPr>
                  <w:color w:val="000000"/>
                  <w:szCs w:val="24"/>
                  <w:lang w:eastAsia="lt-LT"/>
                </w:rPr>
                <w:t>Veikla vykdoma nuo gegužės 1 d. iki rugsėjo 30 d., jei konkurso sąlygose nenustatytas kitas veiklos laikotarpis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68bf0246111f1a552c76556910e9c">
                <w:r w:rsidRPr="00532B9F">
                  <w:rPr>
                    <w:rFonts w:ascii="Times New Roman" w:eastAsia="MS Mincho" w:hAnsi="Times New Roman"/>
                    <w:sz w:val="20"/>
                    <w:i/>
                    <w:iCs/>
                    <w:color w:val="0000FF" w:themeColor="hyperlink"/>
                    <w:u w:val="single"/>
                  </w:rPr>
                  <w:t>AD1-227</w:t>
                </w:r>
              </w:fldSimple>
              <w:r>
                <w:rPr>
                  <w:rFonts w:ascii="Times New Roman" w:eastAsia="MS Mincho" w:hAnsi="Times New Roman"/>
                  <w:sz w:val="20"/>
                  <w:i/>
                  <w:iCs/>
                </w:rPr>
                <w:t>,
2026-03-20,
paskelbta TAR 2026-03-20, i. k. 2026-04425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4ec16326811f180c9c618618421ed">
                <w:r w:rsidRPr="00532B9F">
                  <w:rPr>
                    <w:rFonts w:ascii="Times New Roman" w:eastAsia="MS Mincho" w:hAnsi="Times New Roman"/>
                    <w:sz w:val="20"/>
                    <w:i/>
                    <w:iCs/>
                    <w:color w:val="0000FF" w:themeColor="hyperlink"/>
                    <w:u w:val="single"/>
                  </w:rPr>
                  <w:t>AD1-263</w:t>
                </w:r>
              </w:fldSimple>
              <w:r>
                <w:rPr>
                  <w:rFonts w:ascii="Times New Roman" w:eastAsia="MS Mincho" w:hAnsi="Times New Roman"/>
                  <w:sz w:val="20"/>
                  <w:i/>
                  <w:iCs/>
                </w:rPr>
                <w:t>,
2026-04-07,
paskelbta TAR 2026-04-07, i. k. 2026-05670            </w:t>
              </w:r>
            </w:p>
            <w:p/>
          </w:sdtContent>
        </w:sdt>
        <w:sdt>
          <w:sdtPr>
            <w:alias w:val="3 p."/>
            <w:tag w:val="part_94da1dcdb6ca42bf95c9d6ff795bd2f4"/>
            <w:lock w:val="sdtLocked"/>
            <w:richText/>
          </w:sdtPr>
          <w:sdtContent>
            <w:p>
              <w:pPr>
                <w:jc w:val="both"/>
                <w:rPr>
                  <w:b/>
                  <w:szCs w:val="24"/>
                </w:rPr>
              </w:pPr>
              <w:sdt>
                <w:sdtPr>
                  <w:alias w:val="Numeris"/>
                  <w:tag w:val="nr_94da1dcdb6ca42bf95c9d6ff795bd2f4"/>
                  <w:lock w:val="sdtLocked"/>
                  <w:richText/>
                </w:sdtPr>
                <w:sdtContent>
                  <w:r>
                    <w:rPr>
                      <w:b/>
                      <w:szCs w:val="24"/>
                    </w:rPr>
                    <w:t>3</w:t>
                  </w:r>
                </w:sdtContent>
              </w:sdt>
              <w:r>
                <w:rPr>
                  <w:b/>
                  <w:szCs w:val="24"/>
                </w:rPr>
                <w:t>. Vietos prekiauti išplėstose aptarnavimo vietose prie veikiančių stacionariųjų viešojo maitinimo vietų</w:t>
              </w:r>
            </w:p>
            <w:p>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8"/>
                <w:gridCol w:w="6720"/>
                <w:gridCol w:w="2081"/>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 Nr.</w:t>
                    </w:r>
                  </w:p>
                </w:tc>
                <w:tc>
                  <w:tcPr>
                    <w:tcW w:w="6931"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Prekybos vieta</w:t>
                    </w:r>
                  </w:p>
                </w:tc>
                <w:tc>
                  <w:tcPr>
                    <w:tcW w:w="2107"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1</w:t>
                    </w:r>
                  </w:p>
                </w:tc>
                <w:tc>
                  <w:tcPr>
                    <w:tcW w:w="6931"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2</w:t>
                    </w:r>
                  </w:p>
                </w:tc>
                <w:tc>
                  <w:tcPr>
                    <w:tcW w:w="2107"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3</w:t>
                    </w:r>
                  </w:p>
                </w:tc>
              </w:tr>
              <w:tr>
                <w:tc>
                  <w:tcPr>
                    <w:tcW w:w="817"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3.1.</w:t>
                    </w:r>
                  </w:p>
                </w:tc>
                <w:tc>
                  <w:tcPr>
                    <w:tcW w:w="6931"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Prie veikiančių stacionariųjų viešojo maitinimo vietų Klaipėdos miesto savivaldybės teritorijoje</w:t>
                    </w:r>
                  </w:p>
                </w:tc>
                <w:tc>
                  <w:tcPr>
                    <w:tcW w:w="2107"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Pagal pageidavimą</w:t>
                    </w:r>
                  </w:p>
                </w:tc>
              </w:tr>
            </w:tbl>
            <w:p>
              <w:pPr>
                <w:jc w:val="both"/>
                <w:rPr>
                  <w:b/>
                  <w:szCs w:val="24"/>
                </w:rPr>
              </w:pPr>
            </w:p>
            <w:p>
              <w:pPr>
                <w:jc w:val="both"/>
                <w:rPr>
                  <w:bCs/>
                  <w:szCs w:val="24"/>
                </w:rPr>
              </w:pPr>
              <w:r>
                <w:rPr>
                  <w:bCs/>
                  <w:szCs w:val="24"/>
                </w:rPr>
                <w:t xml:space="preserve">Nesudėtingų statinių valstybinėje žemėje statybos teisinius santykius reglamentuoja Lietuvos Respublikos statybos įstatymas, Statybos techniniai reglamentai ir Nacionalinės žemės tarnybos prie žemės ūkio ministerijos patvirtintos taisyklės. </w:t>
              </w:r>
            </w:p>
            <w:p>
              <w:pPr>
                <w:jc w:val="both"/>
                <w:rPr>
                  <w:b/>
                  <w:szCs w:val="24"/>
                </w:rPr>
              </w:pPr>
            </w:p>
          </w:sdtContent>
        </w:sdt>
        <w:sdt>
          <w:sdtPr>
            <w:alias w:val="4 p."/>
            <w:tag w:val="part_02335a7e5686484e9ba9169f645c729c"/>
            <w:lock w:val="sdtLocked"/>
            <w:richText/>
          </w:sdtPr>
          <w:sdtContent>
            <w:p>
              <w:pPr>
                <w:jc w:val="both"/>
                <w:rPr>
                  <w:b/>
                  <w:bCs/>
                  <w:color w:val="000000"/>
                  <w:szCs w:val="24"/>
                </w:rPr>
              </w:pPr>
              <w:sdt>
                <w:sdtPr>
                  <w:alias w:val="Numeris"/>
                  <w:tag w:val="nr_02335a7e5686484e9ba9169f645c729c"/>
                  <w:lock w:val="sdtLocked"/>
                  <w:richText/>
                </w:sdtPr>
                <w:sdtContent>
                  <w:r>
                    <w:rPr>
                      <w:b/>
                      <w:bCs/>
                      <w:color w:val="000000"/>
                      <w:szCs w:val="24"/>
                    </w:rPr>
                    <w:t>4</w:t>
                  </w:r>
                </w:sdtContent>
              </w:sdt>
              <w:r>
                <w:rPr>
                  <w:b/>
                  <w:bCs/>
                  <w:color w:val="000000"/>
                  <w:szCs w:val="24"/>
                </w:rPr>
                <w:t>. Vietos prekiauti iš kioskų</w:t>
              </w:r>
            </w:p>
            <w:p>
              <w:pPr>
                <w:ind w:firstLine="709"/>
                <w:jc w:val="both"/>
                <w:rPr>
                  <w:color w:val="000000"/>
                  <w:szCs w:val="24"/>
                </w:rPr>
              </w:pPr>
            </w:p>
            <w:tbl>
              <w:tblPr>
                <w:tblW w:w="0" w:type="auto"/>
                <w:tblCellMar>
                  <w:left w:w="0" w:type="dxa"/>
                  <w:right w:w="0" w:type="dxa"/>
                </w:tblCellMar>
                <w:tblLook w:val="04A0" w:firstRow="1" w:lastRow="0" w:firstColumn="1" w:lastColumn="0" w:noHBand="0" w:noVBand="1"/>
              </w:tblPr>
              <w:tblGrid>
                <w:gridCol w:w="855"/>
                <w:gridCol w:w="6218"/>
                <w:gridCol w:w="1276"/>
                <w:gridCol w:w="1259"/>
              </w:tblGrid>
              <w:tr>
                <w:tc>
                  <w:tcPr>
                    <w:tcW w:w="85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jc w:val="both"/>
                      <w:rPr>
                        <w:color w:val="000000"/>
                        <w:szCs w:val="24"/>
                      </w:rPr>
                    </w:pPr>
                    <w:r>
                      <w:rPr>
                        <w:b/>
                        <w:bCs/>
                        <w:color w:val="000000"/>
                        <w:szCs w:val="24"/>
                      </w:rPr>
                      <w:t>Eil. Nr.</w:t>
                    </w:r>
                  </w:p>
                </w:tc>
                <w:tc>
                  <w:tcPr>
                    <w:tcW w:w="6218"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color w:val="000000"/>
                        <w:szCs w:val="24"/>
                      </w:rPr>
                    </w:pPr>
                    <w:r>
                      <w:rPr>
                        <w:b/>
                        <w:bCs/>
                        <w:color w:val="000000"/>
                        <w:szCs w:val="24"/>
                      </w:rPr>
                      <w:t>Prekybos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color w:val="000000"/>
                        <w:szCs w:val="24"/>
                      </w:rPr>
                    </w:pPr>
                    <w:r>
                      <w:rPr>
                        <w:b/>
                        <w:bCs/>
                        <w:color w:val="000000"/>
                        <w:szCs w:val="24"/>
                      </w:rPr>
                      <w:t>Vietų skaičius</w:t>
                    </w:r>
                  </w:p>
                </w:tc>
                <w:tc>
                  <w:tcPr>
                    <w:tcW w:w="1259"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b/>
                        <w:bCs/>
                        <w:color w:val="000000"/>
                        <w:szCs w:val="24"/>
                      </w:rPr>
                      <w:t>Priedo</w:t>
                    </w:r>
                  </w:p>
                  <w:p>
                    <w:pPr>
                      <w:jc w:val="both"/>
                      <w:rPr>
                        <w:color w:val="000000"/>
                        <w:szCs w:val="24"/>
                      </w:rPr>
                    </w:pPr>
                    <w:r>
                      <w:rPr>
                        <w:b/>
                        <w:bCs/>
                        <w:color w:val="000000"/>
                        <w:szCs w:val="24"/>
                      </w:rPr>
                      <w:t>Nr.</w:t>
                    </w:r>
                  </w:p>
                </w:tc>
              </w:tr>
              <w:tr>
                <w:tc>
                  <w:tcPr>
                    <w:tcW w:w="855"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b/>
                        <w:bCs/>
                        <w:color w:val="000000"/>
                        <w:szCs w:val="24"/>
                      </w:rPr>
                      <w:t>1</w:t>
                    </w:r>
                  </w:p>
                </w:tc>
                <w:tc>
                  <w:tcPr>
                    <w:tcW w:w="6218"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b/>
                        <w:bCs/>
                        <w:color w:val="000000"/>
                        <w:szCs w:val="24"/>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b/>
                        <w:bCs/>
                        <w:color w:val="000000"/>
                        <w:szCs w:val="24"/>
                      </w:rPr>
                      <w:t>3</w:t>
                    </w:r>
                  </w:p>
                </w:tc>
                <w:tc>
                  <w:tcPr>
                    <w:tcW w:w="1259"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b/>
                        <w:bCs/>
                        <w:color w:val="000000"/>
                        <w:szCs w:val="24"/>
                      </w:rPr>
                      <w:t>4</w:t>
                    </w:r>
                  </w:p>
                </w:tc>
              </w:tr>
              <w:tr>
                <w:tc>
                  <w:tcPr>
                    <w:tcW w:w="855"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4.1.</w:t>
                    </w:r>
                  </w:p>
                </w:tc>
                <w:tc>
                  <w:tcPr>
                    <w:tcW w:w="6218"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Sausio 15-osios g. 12</w:t>
                    </w:r>
                  </w:p>
                </w:tc>
                <w:tc>
                  <w:tcPr>
                    <w:tcW w:w="1276"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2</w:t>
                    </w:r>
                  </w:p>
                </w:tc>
                <w:tc>
                  <w:tcPr>
                    <w:tcW w:w="125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3</w:t>
                    </w:r>
                  </w:p>
                </w:tc>
              </w:tr>
              <w:tr>
                <w:trPr>
                  <w:trHeight w:val="308"/>
                </w:trPr>
                <w:tc>
                  <w:tcPr>
                    <w:tcW w:w="855"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4.2.</w:t>
                    </w:r>
                  </w:p>
                </w:tc>
                <w:tc>
                  <w:tcPr>
                    <w:tcW w:w="6218"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Teatro a.</w:t>
                    </w:r>
                    <w:r>
                      <w:rPr>
                        <w:color w:val="000000"/>
                        <w:szCs w:val="24"/>
                        <w:vertAlign w:val="superscript"/>
                      </w:rPr>
                      <w:t>1</w:t>
                    </w:r>
                  </w:p>
                  <w:p>
                    <w:pPr>
                      <w:ind w:firstLine="709"/>
                      <w:jc w:val="both"/>
                      <w:rPr>
                        <w:color w:val="000000"/>
                        <w:szCs w:val="24"/>
                      </w:rPr>
                    </w:pP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3</w:t>
                    </w:r>
                  </w:p>
                </w:tc>
                <w:tc>
                  <w:tcPr>
                    <w:tcW w:w="1259"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w:t>
                    </w:r>
                  </w:p>
                </w:tc>
              </w:tr>
            </w:tbl>
            <w:p>
              <w:pPr>
                <w:ind w:firstLine="7343"/>
                <w:jc w:val="both"/>
                <w:rPr>
                  <w:color w:val="000000"/>
                  <w:szCs w:val="24"/>
                </w:rPr>
              </w:pPr>
              <w:r>
                <w:rPr>
                  <w:color w:val="000000"/>
                  <w:szCs w:val="24"/>
                </w:rPr>
                <w:t>Iš viso: 5</w:t>
              </w:r>
            </w:p>
            <w:p>
              <w:pPr>
                <w:jc w:val="both"/>
                <w:rPr>
                  <w:color w:val="000000"/>
                  <w:szCs w:val="24"/>
                </w:rPr>
              </w:pPr>
              <w:r>
                <w:rPr>
                  <w:color w:val="000000"/>
                  <w:szCs w:val="24"/>
                  <w:vertAlign w:val="superscript"/>
                </w:rPr>
                <w:t>1</w:t>
              </w:r>
              <w:r>
                <w:rPr>
                  <w:color w:val="000000"/>
                  <w:szCs w:val="24"/>
                </w:rPr>
                <w:t>Veikla vykdoma nuo gruodžio 1 d. iki vasario 28 d. Kioskų (prekybinių namelių) architektūra ir estetinė išvaizda turi derintis su Kalėdų–Naujųjų metų laikotarpio Teatro a. apipavidalinimu ir vizualizacija. Prekyba kalėdinių renginių metu vykdoma tik gavus renginių organizatoriaus sutikimą. Išduodant leidimus, taikomas Klaipėdos miesto savivaldybės tarybos patvirtintas vietinės rinkliavos dydis už prekybą masinių renginių metu.</w:t>
              </w:r>
            </w:p>
            <w:p>
              <w:pPr>
                <w:jc w:val="both"/>
                <w:rPr>
                  <w:bCs/>
                  <w:szCs w:val="24"/>
                </w:rPr>
              </w:pPr>
              <w:r>
                <w:rPr>
                  <w:color w:val="000000"/>
                  <w:szCs w:val="24"/>
                </w:rPr>
                <w:t>Nesudėtingų statinių valstybinėje žemėje statybos teisinius santykius reglamentuoja Lietuvos Respublikos statybos įstatymas, Statybos techniniai reglamentai ir Nacionalinės žemės tarnybos prie žemės ūkio ministerijos patvirtintos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68bf0246111f1a552c76556910e9c">
                <w:r w:rsidRPr="00532B9F">
                  <w:rPr>
                    <w:rFonts w:ascii="Times New Roman" w:eastAsia="MS Mincho" w:hAnsi="Times New Roman"/>
                    <w:sz w:val="20"/>
                    <w:i/>
                    <w:iCs/>
                    <w:color w:val="0000FF" w:themeColor="hyperlink"/>
                    <w:u w:val="single"/>
                  </w:rPr>
                  <w:t>AD1-227</w:t>
                </w:r>
              </w:fldSimple>
              <w:r>
                <w:rPr>
                  <w:rFonts w:ascii="Times New Roman" w:eastAsia="MS Mincho" w:hAnsi="Times New Roman"/>
                  <w:sz w:val="20"/>
                  <w:i/>
                  <w:iCs/>
                </w:rPr>
                <w:t>,
2026-03-20,
paskelbta TAR 2026-03-20, i. k. 2026-04425            </w:t>
              </w:r>
            </w:p>
            <w:p/>
          </w:sdtContent>
        </w:sdt>
        <w:sdt>
          <w:sdtPr>
            <w:alias w:val="5 p."/>
            <w:tag w:val="part_526c74f77bf8473a81dee2047e945d91"/>
            <w:lock w:val="sdtLocked"/>
            <w:richText/>
          </w:sdtPr>
          <w:sdtContent>
            <w:p>
              <w:pPr>
                <w:jc w:val="both"/>
                <w:rPr>
                  <w:b/>
                  <w:szCs w:val="24"/>
                </w:rPr>
              </w:pPr>
              <w:sdt>
                <w:sdtPr>
                  <w:alias w:val="Numeris"/>
                  <w:tag w:val="nr_526c74f77bf8473a81dee2047e945d91"/>
                  <w:lock w:val="sdtLocked"/>
                  <w:richText/>
                </w:sdtPr>
                <w:sdtContent>
                  <w:r>
                    <w:rPr>
                      <w:b/>
                      <w:szCs w:val="24"/>
                    </w:rPr>
                    <w:t>5</w:t>
                  </w:r>
                </w:sdtContent>
              </w:sdt>
              <w:r>
                <w:rPr>
                  <w:b/>
                  <w:szCs w:val="24"/>
                </w:rPr>
                <w:t xml:space="preserve">. Vietos prekiauti iš spaudos kioskų </w:t>
              </w:r>
            </w:p>
            <w:p>
              <w:pPr>
                <w:jc w:val="both"/>
                <w:rPr>
                  <w:b/>
                  <w:szCs w:val="24"/>
                </w:rPr>
              </w:pPr>
            </w:p>
            <w:tbl>
              <w:tblPr>
                <w:tblW w:w="0" w:type="auto"/>
                <w:tblBorders>
                  <w:top w:val="single" w:sz="18" w:space="0" w:color="auto"/>
                  <w:left w:val="single" w:sz="18" w:space="0" w:color="auto"/>
                  <w:bottom w:val="single" w:sz="18" w:space="0" w:color="auto"/>
                  <w:right w:val="single" w:sz="18" w:space="0" w:color="auto"/>
                  <w:insideH w:val="single" w:sz="12" w:space="0" w:color="auto"/>
                  <w:insideV w:val="single" w:sz="12" w:space="0" w:color="auto"/>
                </w:tblBorders>
                <w:tblLook w:val="01E0" w:firstRow="1" w:lastRow="1" w:firstColumn="1" w:lastColumn="1" w:noHBand="0" w:noVBand="0"/>
              </w:tblPr>
              <w:tblGrid>
                <w:gridCol w:w="807"/>
                <w:gridCol w:w="6703"/>
                <w:gridCol w:w="2083"/>
              </w:tblGrid>
              <w:tr>
                <w:tc>
                  <w:tcPr>
                    <w:tcW w:w="817" w:type="dxa"/>
                    <w:vAlign w:val="center"/>
                    <w:hideMark/>
                  </w:tcPr>
                  <w:p>
                    <w:pPr>
                      <w:jc w:val="both"/>
                      <w:rPr>
                        <w:b/>
                        <w:szCs w:val="24"/>
                      </w:rPr>
                    </w:pPr>
                    <w:r>
                      <w:rPr>
                        <w:b/>
                        <w:szCs w:val="24"/>
                      </w:rPr>
                      <w:t>Eil. Nr.</w:t>
                    </w:r>
                  </w:p>
                </w:tc>
                <w:tc>
                  <w:tcPr>
                    <w:tcW w:w="6930" w:type="dxa"/>
                    <w:vAlign w:val="center"/>
                    <w:hideMark/>
                  </w:tcPr>
                  <w:p>
                    <w:pPr>
                      <w:jc w:val="both"/>
                      <w:rPr>
                        <w:b/>
                        <w:szCs w:val="24"/>
                      </w:rPr>
                    </w:pPr>
                    <w:r>
                      <w:rPr>
                        <w:b/>
                        <w:szCs w:val="24"/>
                      </w:rPr>
                      <w:t>Prekybos vieta</w:t>
                    </w:r>
                  </w:p>
                </w:tc>
                <w:tc>
                  <w:tcPr>
                    <w:tcW w:w="2108" w:type="dxa"/>
                    <w:vAlign w:val="center"/>
                    <w:hideMark/>
                  </w:tcPr>
                  <w:p>
                    <w:pPr>
                      <w:jc w:val="both"/>
                      <w:rPr>
                        <w:b/>
                        <w:szCs w:val="24"/>
                      </w:rPr>
                    </w:pPr>
                    <w:r>
                      <w:rPr>
                        <w:b/>
                        <w:szCs w:val="24"/>
                      </w:rPr>
                      <w:t>Vietų skaičius</w:t>
                    </w:r>
                  </w:p>
                </w:tc>
              </w:tr>
              <w:tr>
                <w:tc>
                  <w:tcPr>
                    <w:tcW w:w="817" w:type="dxa"/>
                    <w:hideMark/>
                  </w:tcPr>
                  <w:p>
                    <w:pPr>
                      <w:jc w:val="both"/>
                      <w:rPr>
                        <w:b/>
                        <w:szCs w:val="24"/>
                      </w:rPr>
                    </w:pPr>
                    <w:r>
                      <w:rPr>
                        <w:b/>
                        <w:szCs w:val="24"/>
                      </w:rPr>
                      <w:t>1</w:t>
                    </w:r>
                  </w:p>
                </w:tc>
                <w:tc>
                  <w:tcPr>
                    <w:tcW w:w="6930" w:type="dxa"/>
                    <w:hideMark/>
                  </w:tcPr>
                  <w:p>
                    <w:pPr>
                      <w:jc w:val="both"/>
                      <w:rPr>
                        <w:b/>
                        <w:szCs w:val="24"/>
                      </w:rPr>
                    </w:pPr>
                    <w:r>
                      <w:rPr>
                        <w:b/>
                        <w:szCs w:val="24"/>
                      </w:rPr>
                      <w:t>2</w:t>
                    </w:r>
                  </w:p>
                </w:tc>
                <w:tc>
                  <w:tcPr>
                    <w:tcW w:w="2108" w:type="dxa"/>
                    <w:hideMark/>
                  </w:tcPr>
                  <w:p>
                    <w:pPr>
                      <w:jc w:val="both"/>
                      <w:rPr>
                        <w:b/>
                        <w:szCs w:val="24"/>
                      </w:rPr>
                    </w:pPr>
                    <w:r>
                      <w:rPr>
                        <w:b/>
                        <w:szCs w:val="24"/>
                      </w:rPr>
                      <w:t>3</w:t>
                    </w:r>
                  </w:p>
                </w:tc>
              </w:tr>
              <w:tr>
                <w:tc>
                  <w:tcPr>
                    <w:tcW w:w="817" w:type="dxa"/>
                    <w:hideMark/>
                  </w:tcPr>
                  <w:p>
                    <w:pPr>
                      <w:jc w:val="both"/>
                      <w:rPr>
                        <w:bCs/>
                        <w:szCs w:val="24"/>
                      </w:rPr>
                    </w:pPr>
                    <w:r>
                      <w:rPr>
                        <w:bCs/>
                        <w:szCs w:val="24"/>
                      </w:rPr>
                      <w:t>5.1.</w:t>
                    </w:r>
                  </w:p>
                </w:tc>
                <w:tc>
                  <w:tcPr>
                    <w:tcW w:w="6930" w:type="dxa"/>
                    <w:hideMark/>
                  </w:tcPr>
                  <w:p>
                    <w:pPr>
                      <w:jc w:val="both"/>
                      <w:rPr>
                        <w:bCs/>
                        <w:szCs w:val="24"/>
                      </w:rPr>
                    </w:pPr>
                    <w:r>
                      <w:rPr>
                        <w:bCs/>
                        <w:szCs w:val="24"/>
                      </w:rPr>
                      <w:t>Klaipėdos miesto savivaldybės teritorija</w:t>
                    </w:r>
                  </w:p>
                </w:tc>
                <w:tc>
                  <w:tcPr>
                    <w:tcW w:w="2108" w:type="dxa"/>
                    <w:hideMark/>
                  </w:tcPr>
                  <w:p>
                    <w:pPr>
                      <w:jc w:val="both"/>
                      <w:rPr>
                        <w:bCs/>
                        <w:szCs w:val="24"/>
                      </w:rPr>
                    </w:pPr>
                    <w:r>
                      <w:rPr>
                        <w:bCs/>
                        <w:szCs w:val="24"/>
                      </w:rPr>
                      <w:t xml:space="preserve">Pagal Spaudos kioskų Klaipėdos mieste išdėstymo schemą, patvirtintą Klaipėdos miesto savivaldybės tarybos 2007 m. spalio 25 d. sprendimu Nr. T2-330 „Dėl Spaudos kioskų Klaipėdos mieste išdėstymo schemos patvirtinimo“ </w:t>
                    </w:r>
                  </w:p>
                </w:tc>
              </w:tr>
            </w:tbl>
            <w:p>
              <w:pPr>
                <w:jc w:val="both"/>
                <w:rPr>
                  <w:bCs/>
                  <w:szCs w:val="24"/>
                </w:rPr>
              </w:pPr>
            </w:p>
            <w:p>
              <w:pPr>
                <w:jc w:val="both"/>
                <w:rPr>
                  <w:bCs/>
                  <w:szCs w:val="24"/>
                </w:rPr>
              </w:pPr>
              <w:r>
                <w:rPr>
                  <w:bCs/>
                  <w:szCs w:val="24"/>
                </w:rPr>
                <w:t xml:space="preserve">Prekyba iš spaudos kioskų turi atitikti  Klaipėdos miesto savivaldybės tarybos 2007 m. spalio 25 d. sprendimo Nr. T2-330 „Dėl Spaudos kioskų Klaipėdos mieste išdėstymo schemos patvirtinimo“ tikslinę paskirtį.</w:t>
              </w:r>
            </w:p>
            <w:p>
              <w:pPr>
                <w:jc w:val="both"/>
                <w:rPr>
                  <w:b/>
                  <w:szCs w:val="24"/>
                </w:rPr>
              </w:pPr>
            </w:p>
          </w:sdtContent>
        </w:sdt>
        <w:sdt>
          <w:sdtPr>
            <w:alias w:val="6 p."/>
            <w:tag w:val="part_f036a45198264e938b483f56de64e8c2"/>
            <w:lock w:val="sdtLocked"/>
            <w:richText/>
          </w:sdtPr>
          <w:sdtContent>
            <w:p>
              <w:pPr>
                <w:jc w:val="both"/>
                <w:rPr>
                  <w:b/>
                  <w:szCs w:val="24"/>
                  <w:lang w:val="en-US"/>
                </w:rPr>
              </w:pPr>
              <w:sdt>
                <w:sdtPr>
                  <w:alias w:val="Numeris"/>
                  <w:tag w:val="nr_f036a45198264e938b483f56de64e8c2"/>
                  <w:lock w:val="sdtLocked"/>
                  <w:richText/>
                </w:sdtPr>
                <w:sdtContent>
                  <w:r>
                    <w:rPr>
                      <w:b/>
                      <w:szCs w:val="24"/>
                    </w:rPr>
                    <w:t>6</w:t>
                  </w:r>
                </w:sdtContent>
              </w:sdt>
              <w:r>
                <w:rPr>
                  <w:b/>
                  <w:szCs w:val="24"/>
                </w:rPr>
                <w:t>. Vietos prekiauti kapinių Joniškės g. prieigose¹</w:t>
              </w:r>
            </w:p>
            <w:p>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6222"/>
                <w:gridCol w:w="1276"/>
                <w:gridCol w:w="1259"/>
              </w:tblGrid>
              <w:tr>
                <w:tc>
                  <w:tcPr>
                    <w:tcW w:w="851"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 Nr.</w:t>
                    </w:r>
                  </w:p>
                </w:tc>
                <w:tc>
                  <w:tcPr>
                    <w:tcW w:w="6222"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Priedo</w:t>
                    </w:r>
                  </w:p>
                  <w:p>
                    <w:pPr>
                      <w:jc w:val="both"/>
                      <w:rPr>
                        <w:b/>
                        <w:szCs w:val="24"/>
                      </w:rPr>
                    </w:pPr>
                    <w:r>
                      <w:rPr>
                        <w:b/>
                        <w:szCs w:val="24"/>
                      </w:rPr>
                      <w:t>Nr.</w:t>
                    </w:r>
                  </w:p>
                </w:tc>
              </w:tr>
              <w:tr>
                <w:tc>
                  <w:tcPr>
                    <w:tcW w:w="851"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1</w:t>
                    </w:r>
                  </w:p>
                </w:tc>
                <w:tc>
                  <w:tcPr>
                    <w:tcW w:w="6222"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2</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3</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4</w:t>
                    </w:r>
                  </w:p>
                </w:tc>
              </w:tr>
              <w:tr>
                <w:tc>
                  <w:tcPr>
                    <w:tcW w:w="851"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6.1.</w:t>
                    </w:r>
                  </w:p>
                </w:tc>
                <w:tc>
                  <w:tcPr>
                    <w:tcW w:w="6222"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Kapinių Joniškės g. prieigos</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29</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5</w:t>
                    </w:r>
                  </w:p>
                </w:tc>
              </w:tr>
            </w:tbl>
            <w:p>
              <w:pPr>
                <w:ind w:firstLine="7371"/>
                <w:rPr>
                  <w:bCs/>
                  <w:szCs w:val="24"/>
                </w:rPr>
              </w:pPr>
              <w:r>
                <w:rPr>
                  <w:bCs/>
                  <w:szCs w:val="24"/>
                </w:rPr>
                <w:t>Iš viso: 29</w:t>
              </w:r>
            </w:p>
            <w:p>
              <w:pPr>
                <w:jc w:val="both"/>
                <w:rPr>
                  <w:bCs/>
                  <w:szCs w:val="24"/>
                </w:rPr>
              </w:pPr>
              <w:r>
                <w:rPr>
                  <w:bCs/>
                  <w:szCs w:val="24"/>
                </w:rPr>
                <w:t>¹Leidimai prekiauti vietose nuo Nr. 14 iki Nr. 29 išduodami tik tada, kai užimtos visos vietos nuo Nr. 1 iki Nr. 13 (išskyrus prekybą Visų Šventųjų (lapkričio 1-osios) dienos proga).</w:t>
              </w:r>
            </w:p>
            <w:p>
              <w:pPr>
                <w:jc w:val="both"/>
                <w:rPr>
                  <w:bCs/>
                  <w:szCs w:val="24"/>
                </w:rPr>
              </w:pPr>
              <w:r>
                <w:rPr>
                  <w:bCs/>
                  <w:szCs w:val="24"/>
                </w:rPr>
                <w:t xml:space="preserve">Prekybai Visų Šventųjų (lapkričio 1-osios) dienos proga taikomi Prekybos ir paslaugų teikimo Klaipėdos miesto viešosiose vietose prašymų leidimams gauti priėmimo, derinimo, leidimų, leidimų dublikatų išdavimo, prekybos ir paslaugų teikimo laiko apribojimo, leidimų galiojimo sustabdymo, galiojimo panaikinimo tvarkos apraše, patvirtintame Savivaldybės administracijos direktoriaus įsakymu, nustatyti reikalavimai prekybai gėlėmis švenčių ir atmintinų dienų proga. </w:t>
              </w:r>
            </w:p>
            <w:p>
              <w:pPr>
                <w:jc w:val="both"/>
                <w:rPr>
                  <w:bCs/>
                  <w:szCs w:val="24"/>
                </w:rPr>
              </w:pPr>
              <w:r>
                <w:rPr>
                  <w:bCs/>
                  <w:szCs w:val="24"/>
                </w:rPr>
                <w:t>Viena prekybos vieta negali užimti didesnį kaip 4,00 m</w:t>
              </w:r>
              <w:r>
                <w:rPr>
                  <w:bCs/>
                  <w:szCs w:val="24"/>
                  <w:vertAlign w:val="superscript"/>
                </w:rPr>
                <w:t>2</w:t>
              </w:r>
              <w:r>
                <w:rPr>
                  <w:bCs/>
                  <w:szCs w:val="24"/>
                </w:rPr>
                <w:t xml:space="preserve"> plotą. </w:t>
              </w:r>
            </w:p>
            <w:p>
              <w:pPr>
                <w:jc w:val="both"/>
                <w:rPr>
                  <w:b/>
                  <w:szCs w:val="24"/>
                </w:rPr>
              </w:pPr>
            </w:p>
          </w:sdtContent>
        </w:sdt>
        <w:sdt>
          <w:sdtPr>
            <w:alias w:val="7 p."/>
            <w:tag w:val="part_07d0b798c90642daa20b8b76db2838ed"/>
            <w:lock w:val="sdtLocked"/>
            <w:richText/>
          </w:sdtPr>
          <w:sdtContent>
            <w:p>
              <w:pPr>
                <w:jc w:val="both"/>
                <w:rPr>
                  <w:b/>
                  <w:szCs w:val="24"/>
                </w:rPr>
              </w:pPr>
              <w:sdt>
                <w:sdtPr>
                  <w:alias w:val="Numeris"/>
                  <w:tag w:val="nr_07d0b798c90642daa20b8b76db2838ed"/>
                  <w:lock w:val="sdtLocked"/>
                  <w:richText/>
                </w:sdtPr>
                <w:sdtContent>
                  <w:r>
                    <w:rPr>
                      <w:b/>
                      <w:szCs w:val="24"/>
                    </w:rPr>
                    <w:t>7</w:t>
                  </w:r>
                </w:sdtContent>
              </w:sdt>
              <w:r>
                <w:rPr>
                  <w:b/>
                  <w:szCs w:val="24"/>
                </w:rPr>
                <w:t>. Vietos prekiauti suvenyrais nuo (iš) laikinųjų įrenginių</w:t>
              </w:r>
            </w:p>
            <w:p>
              <w:pPr>
                <w:jc w:val="both"/>
                <w:rPr>
                  <w:b/>
                  <w:szCs w:val="24"/>
                </w:rPr>
              </w:pPr>
            </w:p>
            <w:tbl>
              <w:tblPr>
                <w:tblW w:w="0" w:type="auto"/>
                <w:tblCellMar>
                  <w:left w:w="0" w:type="dxa"/>
                  <w:right w:w="0" w:type="dxa"/>
                </w:tblCellMar>
                <w:tblLook w:val="04A0" w:firstRow="1" w:lastRow="0" w:firstColumn="1" w:lastColumn="0" w:noHBand="0" w:noVBand="1"/>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jc w:val="both"/>
                      <w:rPr>
                        <w:b/>
                        <w:szCs w:val="24"/>
                      </w:rPr>
                    </w:pPr>
                    <w:r>
                      <w:rPr>
                        <w:b/>
                        <w:szCs w:val="24"/>
                      </w:rPr>
                      <w:t>Eil. Nr.</w:t>
                    </w:r>
                  </w:p>
                </w:tc>
                <w:tc>
                  <w:tcPr>
                    <w:tcW w:w="621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b/>
                        <w:szCs w:val="24"/>
                      </w:rPr>
                    </w:pPr>
                    <w:r>
                      <w:rPr>
                        <w:b/>
                        <w:szCs w:val="24"/>
                      </w:rPr>
                      <w:t>Prekybos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b/>
                        <w:szCs w:val="24"/>
                      </w:rPr>
                    </w:pPr>
                    <w:r>
                      <w:rPr>
                        <w:b/>
                        <w:szCs w:val="24"/>
                      </w:rPr>
                      <w:t>Vietų skaičius</w:t>
                    </w:r>
                  </w:p>
                </w:tc>
                <w:tc>
                  <w:tcPr>
                    <w:tcW w:w="1259"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Priedo</w:t>
                    </w:r>
                  </w:p>
                  <w:p>
                    <w:pPr>
                      <w:jc w:val="both"/>
                      <w:rPr>
                        <w:b/>
                        <w:szCs w:val="24"/>
                      </w:rPr>
                    </w:pPr>
                    <w:r>
                      <w:rPr>
                        <w:b/>
                        <w:szCs w:val="24"/>
                      </w:rPr>
                      <w:t>Nr.</w:t>
                    </w:r>
                  </w:p>
                </w:tc>
              </w:tr>
              <w:tr>
                <w:tc>
                  <w:tcPr>
                    <w:tcW w:w="858"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1</w:t>
                    </w:r>
                  </w:p>
                </w:tc>
                <w:tc>
                  <w:tcPr>
                    <w:tcW w:w="6215"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3</w:t>
                    </w:r>
                  </w:p>
                </w:tc>
                <w:tc>
                  <w:tcPr>
                    <w:tcW w:w="1259"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4</w:t>
                    </w:r>
                  </w:p>
                </w:tc>
              </w:tr>
              <w:tr>
                <w:tc>
                  <w:tcPr>
                    <w:tcW w:w="858"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bCs/>
                        <w:szCs w:val="24"/>
                      </w:rPr>
                      <w:t>7.1.</w:t>
                    </w:r>
                  </w:p>
                </w:tc>
                <w:tc>
                  <w:tcPr>
                    <w:tcW w:w="621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Teatro aikštė¹</w:t>
                    </w:r>
                  </w:p>
                </w:tc>
                <w:tc>
                  <w:tcPr>
                    <w:tcW w:w="1276"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30</w:t>
                    </w:r>
                  </w:p>
                </w:tc>
                <w:tc>
                  <w:tcPr>
                    <w:tcW w:w="1259"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1</w:t>
                    </w:r>
                  </w:p>
                </w:tc>
              </w:tr>
              <w:tr>
                <w:tc>
                  <w:tcPr>
                    <w:tcW w:w="858"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jc w:val="both"/>
                      <w:rPr>
                        <w:bCs/>
                        <w:szCs w:val="24"/>
                      </w:rPr>
                    </w:pPr>
                    <w:r>
                      <w:rPr>
                        <w:bCs/>
                        <w:szCs w:val="24"/>
                      </w:rPr>
                      <w:t>7.2.</w:t>
                    </w:r>
                  </w:p>
                </w:tc>
                <w:tc>
                  <w:tcPr>
                    <w:tcW w:w="6215" w:type="dxa"/>
                    <w:tcBorders>
                      <w:top w:val="nil"/>
                      <w:left w:val="nil"/>
                      <w:bottom w:val="single" w:sz="18" w:space="0" w:color="auto"/>
                      <w:right w:val="single" w:sz="12" w:space="0" w:color="auto"/>
                    </w:tcBorders>
                    <w:tcMar>
                      <w:top w:w="0" w:type="dxa"/>
                      <w:left w:w="108" w:type="dxa"/>
                      <w:bottom w:w="0" w:type="dxa"/>
                      <w:right w:w="108" w:type="dxa"/>
                    </w:tcMar>
                    <w:hideMark/>
                  </w:tcPr>
                  <w:p>
                    <w:pPr>
                      <w:jc w:val="both"/>
                      <w:rPr>
                        <w:bCs/>
                        <w:szCs w:val="24"/>
                      </w:rPr>
                    </w:pPr>
                    <w:r>
                      <w:rPr>
                        <w:bCs/>
                        <w:szCs w:val="24"/>
                      </w:rPr>
                      <w:t>Smiltynės senosios perkėlos prieigos²</w:t>
                    </w:r>
                  </w:p>
                </w:tc>
                <w:tc>
                  <w:tcPr>
                    <w:tcW w:w="1276" w:type="dxa"/>
                    <w:tcBorders>
                      <w:top w:val="nil"/>
                      <w:left w:val="nil"/>
                      <w:bottom w:val="single" w:sz="18" w:space="0" w:color="auto"/>
                      <w:right w:val="single" w:sz="12" w:space="0" w:color="auto"/>
                    </w:tcBorders>
                    <w:tcMar>
                      <w:top w:w="0" w:type="dxa"/>
                      <w:left w:w="108" w:type="dxa"/>
                      <w:bottom w:w="0" w:type="dxa"/>
                      <w:right w:w="108" w:type="dxa"/>
                    </w:tcMar>
                    <w:hideMark/>
                  </w:tcPr>
                  <w:p>
                    <w:pPr>
                      <w:jc w:val="both"/>
                      <w:rPr>
                        <w:bCs/>
                        <w:szCs w:val="24"/>
                      </w:rPr>
                    </w:pPr>
                    <w:r>
                      <w:rPr>
                        <w:bCs/>
                        <w:szCs w:val="24"/>
                      </w:rPr>
                      <w:t>3</w:t>
                    </w:r>
                  </w:p>
                </w:tc>
                <w:tc>
                  <w:tcPr>
                    <w:tcW w:w="1259" w:type="dxa"/>
                    <w:tcBorders>
                      <w:top w:val="nil"/>
                      <w:left w:val="nil"/>
                      <w:bottom w:val="single" w:sz="18" w:space="0" w:color="auto"/>
                      <w:right w:val="single" w:sz="12" w:space="0" w:color="auto"/>
                    </w:tcBorders>
                    <w:tcMar>
                      <w:top w:w="0" w:type="dxa"/>
                      <w:left w:w="108" w:type="dxa"/>
                      <w:bottom w:w="0" w:type="dxa"/>
                      <w:right w:w="108" w:type="dxa"/>
                    </w:tcMar>
                    <w:hideMark/>
                  </w:tcPr>
                  <w:p>
                    <w:pPr>
                      <w:jc w:val="both"/>
                      <w:rPr>
                        <w:bCs/>
                        <w:szCs w:val="24"/>
                      </w:rPr>
                    </w:pPr>
                    <w:r>
                      <w:rPr>
                        <w:bCs/>
                        <w:szCs w:val="24"/>
                      </w:rPr>
                      <w:t>6</w:t>
                    </w:r>
                  </w:p>
                </w:tc>
              </w:tr>
            </w:tbl>
            <w:p>
              <w:pPr>
                <w:ind w:firstLine="7371"/>
                <w:rPr>
                  <w:bCs/>
                  <w:szCs w:val="24"/>
                </w:rPr>
              </w:pPr>
              <w:r>
                <w:rPr>
                  <w:bCs/>
                  <w:szCs w:val="24"/>
                </w:rPr>
                <w:t>Iš viso: 33</w:t>
              </w:r>
            </w:p>
            <w:p>
              <w:pPr>
                <w:jc w:val="both"/>
                <w:rPr>
                  <w:bCs/>
                  <w:szCs w:val="24"/>
                </w:rPr>
              </w:pPr>
              <w:r>
                <w:rPr>
                  <w:bCs/>
                  <w:szCs w:val="24"/>
                </w:rPr>
                <w:t>¹Prekyba tik suvenyrais iš gintaro ir jo gaminių.</w:t>
              </w:r>
            </w:p>
            <w:p>
              <w:pPr>
                <w:jc w:val="both"/>
                <w:rPr>
                  <w:bCs/>
                  <w:szCs w:val="24"/>
                </w:rPr>
              </w:pPr>
              <w:r>
                <w:rPr>
                  <w:bCs/>
                  <w:szCs w:val="24"/>
                </w:rPr>
                <w:t>²Leidimas veiklai išduodamas tik pateikus Kuršių nerijos nacionalinio parko direkcijos sutikimą.</w:t>
              </w:r>
            </w:p>
            <w:p>
              <w:pPr>
                <w:jc w:val="both"/>
                <w:rPr>
                  <w:bCs/>
                  <w:szCs w:val="24"/>
                </w:rPr>
              </w:pPr>
              <w:r>
                <w:rPr>
                  <w:bCs/>
                  <w:szCs w:val="24"/>
                </w:rPr>
                <w:t>Viena prekybos vieta negali užimti didesnį kaip 4,00 m</w:t>
              </w:r>
              <w:r>
                <w:rPr>
                  <w:bCs/>
                  <w:szCs w:val="24"/>
                  <w:vertAlign w:val="superscript"/>
                </w:rPr>
                <w:t>2</w:t>
              </w:r>
              <w:r>
                <w:rPr>
                  <w:bCs/>
                  <w:szCs w:val="24"/>
                </w:rPr>
                <w:t xml:space="preserve"> plotą. </w:t>
              </w:r>
            </w:p>
            <w:p>
              <w:pPr>
                <w:jc w:val="both"/>
                <w:rPr>
                  <w:bCs/>
                  <w:szCs w:val="24"/>
                </w:rPr>
              </w:pPr>
            </w:p>
          </w:sdtContent>
        </w:sdt>
        <w:sdt>
          <w:sdtPr>
            <w:alias w:val="8 p."/>
            <w:tag w:val="part_0276b9d1b9b74c61ad4da89c14d08e94"/>
            <w:lock w:val="sdtLocked"/>
            <w:richText/>
          </w:sdtPr>
          <w:sdtContent>
            <w:p>
              <w:pPr>
                <w:jc w:val="both"/>
                <w:rPr>
                  <w:b/>
                  <w:szCs w:val="24"/>
                </w:rPr>
              </w:pPr>
              <w:sdt>
                <w:sdtPr>
                  <w:alias w:val="Numeris"/>
                  <w:tag w:val="nr_0276b9d1b9b74c61ad4da89c14d08e94"/>
                  <w:lock w:val="sdtLocked"/>
                  <w:richText/>
                </w:sdtPr>
                <w:sdtContent>
                  <w:r>
                    <w:rPr>
                      <w:b/>
                      <w:szCs w:val="24"/>
                    </w:rPr>
                    <w:t>8</w:t>
                  </w:r>
                </w:sdtContent>
              </w:sdt>
              <w:r>
                <w:rPr>
                  <w:b/>
                  <w:szCs w:val="24"/>
                </w:rPr>
                <w:t>. Vietos prekiauti eglutėmis ir jų šakomis</w:t>
              </w:r>
            </w:p>
            <w:p>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195"/>
                <w:gridCol w:w="1276"/>
                <w:gridCol w:w="1259"/>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 Nr.</w:t>
                    </w:r>
                  </w:p>
                </w:tc>
                <w:tc>
                  <w:tcPr>
                    <w:tcW w:w="6195"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 xml:space="preserve">Priedo </w:t>
                    </w:r>
                  </w:p>
                  <w:p>
                    <w:pPr>
                      <w:jc w:val="both"/>
                      <w:rPr>
                        <w:b/>
                        <w:szCs w:val="24"/>
                      </w:rPr>
                    </w:pPr>
                    <w:r>
                      <w:rPr>
                        <w:b/>
                        <w:szCs w:val="24"/>
                      </w:rPr>
                      <w:t>Nr.</w:t>
                    </w:r>
                  </w:p>
                </w:tc>
              </w:tr>
              <w:tr>
                <w:tc>
                  <w:tcPr>
                    <w:tcW w:w="878"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1</w:t>
                    </w:r>
                  </w:p>
                </w:tc>
                <w:tc>
                  <w:tcPr>
                    <w:tcW w:w="6195"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2</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3</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4</w:t>
                    </w:r>
                  </w:p>
                </w:tc>
              </w:tr>
              <w:tr>
                <w:tc>
                  <w:tcPr>
                    <w:tcW w:w="878" w:type="dxa"/>
                    <w:tcBorders>
                      <w:top w:val="single" w:sz="12" w:space="0" w:color="auto"/>
                      <w:left w:val="single" w:sz="12" w:space="0" w:color="auto"/>
                      <w:bottom w:val="nil"/>
                      <w:right w:val="single" w:sz="12" w:space="0" w:color="auto"/>
                    </w:tcBorders>
                    <w:vAlign w:val="center"/>
                    <w:hideMark/>
                  </w:tcPr>
                  <w:p>
                    <w:pPr>
                      <w:jc w:val="both"/>
                      <w:rPr>
                        <w:bCs/>
                        <w:szCs w:val="24"/>
                      </w:rPr>
                    </w:pPr>
                    <w:r>
                      <w:rPr>
                        <w:bCs/>
                        <w:szCs w:val="24"/>
                      </w:rPr>
                      <w:t>8.1.</w:t>
                    </w:r>
                  </w:p>
                </w:tc>
                <w:tc>
                  <w:tcPr>
                    <w:tcW w:w="6195" w:type="dxa"/>
                    <w:tcBorders>
                      <w:top w:val="single" w:sz="12" w:space="0" w:color="auto"/>
                      <w:left w:val="single" w:sz="12" w:space="0" w:color="auto"/>
                      <w:bottom w:val="nil"/>
                      <w:right w:val="single" w:sz="12" w:space="0" w:color="auto"/>
                    </w:tcBorders>
                    <w:hideMark/>
                  </w:tcPr>
                  <w:p>
                    <w:pPr>
                      <w:jc w:val="both"/>
                      <w:rPr>
                        <w:bCs/>
                        <w:szCs w:val="24"/>
                      </w:rPr>
                    </w:pPr>
                    <w:r>
                      <w:rPr>
                        <w:bCs/>
                        <w:szCs w:val="24"/>
                      </w:rPr>
                      <w:t xml:space="preserve">Kretingos g. 54 prie parduotuvės </w:t>
                    </w:r>
                  </w:p>
                </w:tc>
                <w:tc>
                  <w:tcPr>
                    <w:tcW w:w="1276" w:type="dxa"/>
                    <w:tcBorders>
                      <w:top w:val="single" w:sz="12" w:space="0" w:color="auto"/>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single" w:sz="12" w:space="0" w:color="auto"/>
                      <w:left w:val="single" w:sz="12" w:space="0" w:color="auto"/>
                      <w:bottom w:val="nil"/>
                      <w:right w:val="single" w:sz="12" w:space="0" w:color="auto"/>
                    </w:tcBorders>
                    <w:hideMark/>
                  </w:tcPr>
                  <w:p>
                    <w:pPr>
                      <w:jc w:val="both"/>
                      <w:rPr>
                        <w:bCs/>
                        <w:szCs w:val="24"/>
                      </w:rPr>
                    </w:pPr>
                    <w:r>
                      <w:rPr>
                        <w:bCs/>
                        <w:szCs w:val="24"/>
                      </w:rPr>
                      <w:t>15</w:t>
                    </w:r>
                  </w:p>
                </w:tc>
              </w:tr>
              <w:tr>
                <w:trPr>
                  <w:trHeight w:val="244"/>
                </w:trP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Liepojos g. tarp pastatų Nr. 10–12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17</w:t>
                    </w:r>
                  </w:p>
                </w:tc>
              </w:tr>
              <w:tr>
                <w:trPr>
                  <w:trHeight w:val="277"/>
                </w:trP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8.3.</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Kretingos g. 9</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16</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8.4.</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J. Janonio g. 1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4</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8.5.</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Sportininkų g. 18 prie parduotuvės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19</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8.6.</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J. Janonio g. 19</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19</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8.7.</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Kūlių Vartų g. 3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w:t>
                    </w:r>
                  </w:p>
                </w:tc>
              </w:tr>
              <w:tr>
                <w:trPr>
                  <w:trHeight w:val="274"/>
                </w:trP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8.8.</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Šilutės pl. 16A</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21</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8.9.</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Taikos pr. 39 prie prekybos centro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22</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8.10.</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Taikos pr. 81 prie fontano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24</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8.11.</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Taikos pr. 101 prie prekybos centro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3</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25</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8.12.</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Debreceno g. 54A prie prekybos centro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31</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8.13.</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Taikos pr. 117B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26</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8.14.</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Taikos pr. 100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27</w:t>
                    </w:r>
                  </w:p>
                </w:tc>
              </w:tr>
              <w:tr>
                <w:trPr>
                  <w:trHeight w:val="229"/>
                </w:trP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8.15.</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Liubeko g. 3</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27</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8.16.</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Varpų g. 6</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27</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8.17.</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I. Simonaitytės g. 27A</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29</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8.18.</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I. Simonaitytės g. 32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29</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8.19.</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I. Simonaitytės g. 33</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29</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8.20.</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Brožynų g. 8</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28</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8.21.</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Jūrininkų pr. 10</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28</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8.22</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Šilutės pl. 62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30</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8.23.</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Debreceno g. 16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31</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8.24.</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Minijos g. 127 prie prekybos centro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32</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8.25.</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Naikupės g. 19</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32</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8.26.</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Nidos g. 5</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32</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8.27.</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Laukininkų g. 21 prie prekybos centro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 xml:space="preserve">28 </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8.28.</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Vingio g. 12B</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3</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29</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8.29.</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Vingio g. 29 prie prekybos centro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28</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8.30.</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Statybininkų pr. 1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30</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8.31.</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H. Manto g. 7 prie prekybos centro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4</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8.32.</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Baltijos pr. 101 prie parduotuvės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24</w:t>
                    </w:r>
                  </w:p>
                </w:tc>
              </w:tr>
              <w:tr>
                <w:tc>
                  <w:tcPr>
                    <w:tcW w:w="878" w:type="dxa"/>
                    <w:tcBorders>
                      <w:top w:val="nil"/>
                      <w:left w:val="single" w:sz="12" w:space="0" w:color="auto"/>
                      <w:bottom w:val="single" w:sz="12" w:space="0" w:color="auto"/>
                      <w:right w:val="single" w:sz="12" w:space="0" w:color="auto"/>
                    </w:tcBorders>
                    <w:vAlign w:val="center"/>
                    <w:hideMark/>
                  </w:tcPr>
                  <w:p>
                    <w:pPr>
                      <w:jc w:val="both"/>
                      <w:rPr>
                        <w:bCs/>
                        <w:szCs w:val="24"/>
                      </w:rPr>
                    </w:pPr>
                    <w:r>
                      <w:rPr>
                        <w:bCs/>
                        <w:szCs w:val="24"/>
                      </w:rPr>
                      <w:t>8.33.</w:t>
                    </w:r>
                  </w:p>
                </w:tc>
                <w:tc>
                  <w:tcPr>
                    <w:tcW w:w="6195" w:type="dxa"/>
                    <w:tcBorders>
                      <w:top w:val="nil"/>
                      <w:left w:val="single" w:sz="12" w:space="0" w:color="auto"/>
                      <w:bottom w:val="single" w:sz="18" w:space="0" w:color="auto"/>
                      <w:right w:val="single" w:sz="12" w:space="0" w:color="auto"/>
                    </w:tcBorders>
                    <w:hideMark/>
                  </w:tcPr>
                  <w:p>
                    <w:pPr>
                      <w:jc w:val="both"/>
                      <w:rPr>
                        <w:bCs/>
                        <w:szCs w:val="24"/>
                      </w:rPr>
                    </w:pPr>
                    <w:r>
                      <w:rPr>
                        <w:bCs/>
                        <w:szCs w:val="24"/>
                      </w:rPr>
                      <w:t>Statybininkų pr. 30, pėsčiųjų tako pakraštyje ant kietos dangos</w:t>
                    </w:r>
                  </w:p>
                </w:tc>
                <w:tc>
                  <w:tcPr>
                    <w:tcW w:w="1276" w:type="dxa"/>
                    <w:tcBorders>
                      <w:top w:val="nil"/>
                      <w:left w:val="single" w:sz="12" w:space="0" w:color="auto"/>
                      <w:bottom w:val="single" w:sz="12" w:space="0" w:color="auto"/>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single" w:sz="12" w:space="0" w:color="auto"/>
                      <w:right w:val="single" w:sz="12" w:space="0" w:color="auto"/>
                    </w:tcBorders>
                    <w:hideMark/>
                  </w:tcPr>
                  <w:p>
                    <w:pPr>
                      <w:jc w:val="both"/>
                      <w:rPr>
                        <w:bCs/>
                        <w:szCs w:val="24"/>
                      </w:rPr>
                    </w:pPr>
                    <w:r>
                      <w:rPr>
                        <w:bCs/>
                        <w:szCs w:val="24"/>
                      </w:rPr>
                      <w:t>26</w:t>
                    </w:r>
                  </w:p>
                </w:tc>
              </w:tr>
            </w:tbl>
            <w:p>
              <w:pPr>
                <w:ind w:firstLine="7371"/>
                <w:jc w:val="both"/>
                <w:rPr>
                  <w:bCs/>
                  <w:szCs w:val="24"/>
                </w:rPr>
              </w:pPr>
              <w:r>
                <w:rPr>
                  <w:bCs/>
                  <w:szCs w:val="24"/>
                </w:rPr>
                <w:t>Iš viso: 53</w:t>
              </w:r>
            </w:p>
            <w:p>
              <w:pPr>
                <w:jc w:val="both"/>
                <w:rPr>
                  <w:bCs/>
                  <w:szCs w:val="24"/>
                </w:rPr>
              </w:pPr>
            </w:p>
          </w:sdtContent>
        </w:sdt>
        <w:sdt>
          <w:sdtPr>
            <w:alias w:val="9 p."/>
            <w:tag w:val="part_bbd336e3f1a34578b0e7da3626a382fb"/>
            <w:lock w:val="sdtLocked"/>
            <w:richText/>
          </w:sdtPr>
          <w:sdtContent>
            <w:p>
              <w:pPr>
                <w:jc w:val="both"/>
                <w:rPr>
                  <w:b/>
                  <w:szCs w:val="24"/>
                </w:rPr>
              </w:pPr>
              <w:sdt>
                <w:sdtPr>
                  <w:alias w:val="Numeris"/>
                  <w:tag w:val="nr_bbd336e3f1a34578b0e7da3626a382fb"/>
                  <w:lock w:val="sdtLocked"/>
                  <w:richText/>
                </w:sdtPr>
                <w:sdtContent>
                  <w:r>
                    <w:rPr>
                      <w:b/>
                      <w:szCs w:val="24"/>
                    </w:rPr>
                    <w:t>9</w:t>
                  </w:r>
                </w:sdtContent>
              </w:sdt>
              <w:r>
                <w:rPr>
                  <w:b/>
                  <w:szCs w:val="24"/>
                </w:rPr>
                <w:t>. Vietos prekiauti ūkininkų pagamintais (išaugintais) maisto produktais iš (nuo) laikinųjų įrenginių ar specializuotų automobilių, automobilių priekabų, specialiųjų nemotorinių transporto priemonių (vadovaujantis žemės ūkio ministro rekomendacijomis)</w:t>
              </w:r>
            </w:p>
            <w:p>
              <w:pPr>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vAlign w:val="center"/>
                    <w:hideMark/>
                  </w:tcPr>
                  <w:p>
                    <w:pPr>
                      <w:jc w:val="both"/>
                      <w:rPr>
                        <w:bCs/>
                        <w:szCs w:val="24"/>
                      </w:rPr>
                    </w:pPr>
                    <w:r>
                      <w:rPr>
                        <w:bCs/>
                        <w:szCs w:val="24"/>
                      </w:rPr>
                      <w:t>Eil.</w:t>
                    </w:r>
                  </w:p>
                  <w:p>
                    <w:pPr>
                      <w:jc w:val="both"/>
                      <w:rPr>
                        <w:bCs/>
                        <w:szCs w:val="24"/>
                      </w:rPr>
                    </w:pPr>
                    <w:r>
                      <w:rPr>
                        <w:bCs/>
                        <w:szCs w:val="24"/>
                      </w:rPr>
                      <w:t>Nr.</w:t>
                    </w:r>
                  </w:p>
                </w:tc>
                <w:tc>
                  <w:tcPr>
                    <w:tcW w:w="6215" w:type="dxa"/>
                    <w:tcBorders>
                      <w:top w:val="single" w:sz="12" w:space="0" w:color="auto"/>
                      <w:left w:val="single" w:sz="12" w:space="0" w:color="auto"/>
                      <w:bottom w:val="single" w:sz="12" w:space="0" w:color="auto"/>
                      <w:right w:val="single" w:sz="12" w:space="0" w:color="auto"/>
                    </w:tcBorders>
                    <w:vAlign w:val="center"/>
                    <w:hideMark/>
                  </w:tcPr>
                  <w:p>
                    <w:pPr>
                      <w:jc w:val="both"/>
                      <w:rPr>
                        <w:bCs/>
                        <w:szCs w:val="24"/>
                      </w:rPr>
                    </w:pPr>
                    <w:r>
                      <w:rPr>
                        <w:bCs/>
                        <w:szCs w:val="24"/>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jc w:val="both"/>
                      <w:rPr>
                        <w:bCs/>
                        <w:szCs w:val="24"/>
                      </w:rPr>
                    </w:pPr>
                    <w:r>
                      <w:rPr>
                        <w:bCs/>
                        <w:szCs w:val="24"/>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Priedo</w:t>
                    </w:r>
                  </w:p>
                  <w:p>
                    <w:pPr>
                      <w:jc w:val="both"/>
                      <w:rPr>
                        <w:bCs/>
                        <w:szCs w:val="24"/>
                      </w:rPr>
                    </w:pPr>
                    <w:r>
                      <w:rPr>
                        <w:bCs/>
                        <w:szCs w:val="24"/>
                      </w:rPr>
                      <w:t>Nr.</w:t>
                    </w:r>
                  </w:p>
                </w:tc>
              </w:tr>
              <w:tr>
                <w:tc>
                  <w:tcPr>
                    <w:tcW w:w="858"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1</w:t>
                    </w:r>
                  </w:p>
                </w:tc>
                <w:tc>
                  <w:tcPr>
                    <w:tcW w:w="6215"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2</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3</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4</w:t>
                    </w:r>
                  </w:p>
                </w:tc>
              </w:tr>
              <w:tr>
                <w:tc>
                  <w:tcPr>
                    <w:tcW w:w="858" w:type="dxa"/>
                    <w:tcBorders>
                      <w:top w:val="nil"/>
                      <w:left w:val="single" w:sz="12" w:space="0" w:color="auto"/>
                      <w:bottom w:val="nil"/>
                      <w:right w:val="single" w:sz="12" w:space="0" w:color="auto"/>
                    </w:tcBorders>
                    <w:hideMark/>
                  </w:tcPr>
                  <w:p>
                    <w:pPr>
                      <w:jc w:val="both"/>
                      <w:rPr>
                        <w:bCs/>
                        <w:szCs w:val="24"/>
                      </w:rPr>
                    </w:pPr>
                    <w:r>
                      <w:rPr>
                        <w:bCs/>
                        <w:szCs w:val="24"/>
                      </w:rPr>
                      <w:t>9.1.</w:t>
                    </w:r>
                  </w:p>
                </w:tc>
                <w:tc>
                  <w:tcPr>
                    <w:tcW w:w="6215" w:type="dxa"/>
                    <w:tcBorders>
                      <w:top w:val="nil"/>
                      <w:left w:val="single" w:sz="12" w:space="0" w:color="auto"/>
                      <w:bottom w:val="nil"/>
                      <w:right w:val="single" w:sz="12" w:space="0" w:color="auto"/>
                    </w:tcBorders>
                    <w:hideMark/>
                  </w:tcPr>
                  <w:p>
                    <w:pPr>
                      <w:jc w:val="both"/>
                      <w:rPr>
                        <w:bCs/>
                        <w:szCs w:val="24"/>
                      </w:rPr>
                    </w:pPr>
                    <w:r>
                      <w:rPr>
                        <w:bCs/>
                        <w:szCs w:val="24"/>
                      </w:rPr>
                      <w:t xml:space="preserve">Taikos pr. 115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26</w:t>
                    </w:r>
                  </w:p>
                </w:tc>
              </w:tr>
              <w:tr>
                <w:tc>
                  <w:tcPr>
                    <w:tcW w:w="858" w:type="dxa"/>
                    <w:tcBorders>
                      <w:top w:val="nil"/>
                      <w:left w:val="single" w:sz="12" w:space="0" w:color="auto"/>
                      <w:bottom w:val="nil"/>
                      <w:right w:val="single" w:sz="12" w:space="0" w:color="auto"/>
                    </w:tcBorders>
                    <w:hideMark/>
                  </w:tcPr>
                  <w:p>
                    <w:pPr>
                      <w:jc w:val="both"/>
                      <w:rPr>
                        <w:bCs/>
                        <w:szCs w:val="24"/>
                      </w:rPr>
                    </w:pPr>
                    <w:r>
                      <w:rPr>
                        <w:bCs/>
                        <w:szCs w:val="24"/>
                      </w:rPr>
                      <w:t>9.2.</w:t>
                    </w:r>
                  </w:p>
                </w:tc>
                <w:tc>
                  <w:tcPr>
                    <w:tcW w:w="6215" w:type="dxa"/>
                    <w:tcBorders>
                      <w:top w:val="nil"/>
                      <w:left w:val="single" w:sz="12" w:space="0" w:color="auto"/>
                      <w:bottom w:val="nil"/>
                      <w:right w:val="single" w:sz="12" w:space="0" w:color="auto"/>
                    </w:tcBorders>
                    <w:hideMark/>
                  </w:tcPr>
                  <w:p>
                    <w:pPr>
                      <w:jc w:val="both"/>
                      <w:rPr>
                        <w:bCs/>
                        <w:szCs w:val="24"/>
                      </w:rPr>
                    </w:pPr>
                    <w:r>
                      <w:rPr>
                        <w:bCs/>
                        <w:szCs w:val="24"/>
                      </w:rPr>
                      <w:t>Vaidaugų g. 3</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28</w:t>
                    </w:r>
                  </w:p>
                </w:tc>
              </w:tr>
              <w:tr>
                <w:tc>
                  <w:tcPr>
                    <w:tcW w:w="858" w:type="dxa"/>
                    <w:tcBorders>
                      <w:top w:val="nil"/>
                      <w:left w:val="single" w:sz="12" w:space="0" w:color="auto"/>
                      <w:bottom w:val="nil"/>
                      <w:right w:val="single" w:sz="12" w:space="0" w:color="auto"/>
                    </w:tcBorders>
                    <w:hideMark/>
                  </w:tcPr>
                  <w:p>
                    <w:pPr>
                      <w:jc w:val="both"/>
                      <w:rPr>
                        <w:bCs/>
                        <w:szCs w:val="24"/>
                      </w:rPr>
                    </w:pPr>
                    <w:r>
                      <w:rPr>
                        <w:bCs/>
                        <w:szCs w:val="24"/>
                      </w:rPr>
                      <w:t>9.3.</w:t>
                    </w:r>
                  </w:p>
                </w:tc>
                <w:tc>
                  <w:tcPr>
                    <w:tcW w:w="6215" w:type="dxa"/>
                    <w:tcBorders>
                      <w:top w:val="nil"/>
                      <w:left w:val="single" w:sz="12" w:space="0" w:color="auto"/>
                      <w:bottom w:val="nil"/>
                      <w:right w:val="single" w:sz="12" w:space="0" w:color="auto"/>
                    </w:tcBorders>
                    <w:hideMark/>
                  </w:tcPr>
                  <w:p>
                    <w:pPr>
                      <w:jc w:val="both"/>
                      <w:rPr>
                        <w:bCs/>
                        <w:szCs w:val="24"/>
                      </w:rPr>
                    </w:pPr>
                    <w:r>
                      <w:rPr>
                        <w:bCs/>
                        <w:szCs w:val="24"/>
                      </w:rPr>
                      <w:t xml:space="preserve">Debreceno g. 16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31</w:t>
                    </w:r>
                  </w:p>
                </w:tc>
              </w:tr>
              <w:tr>
                <w:tc>
                  <w:tcPr>
                    <w:tcW w:w="858" w:type="dxa"/>
                    <w:tcBorders>
                      <w:top w:val="nil"/>
                      <w:left w:val="single" w:sz="12" w:space="0" w:color="auto"/>
                      <w:bottom w:val="nil"/>
                      <w:right w:val="single" w:sz="12" w:space="0" w:color="auto"/>
                    </w:tcBorders>
                    <w:hideMark/>
                  </w:tcPr>
                  <w:p>
                    <w:pPr>
                      <w:jc w:val="both"/>
                      <w:rPr>
                        <w:bCs/>
                        <w:szCs w:val="24"/>
                      </w:rPr>
                    </w:pPr>
                    <w:r>
                      <w:rPr>
                        <w:bCs/>
                        <w:szCs w:val="24"/>
                      </w:rPr>
                      <w:t>9.4.</w:t>
                    </w:r>
                  </w:p>
                </w:tc>
                <w:tc>
                  <w:tcPr>
                    <w:tcW w:w="6215" w:type="dxa"/>
                    <w:tcBorders>
                      <w:top w:val="nil"/>
                      <w:left w:val="single" w:sz="12" w:space="0" w:color="auto"/>
                      <w:bottom w:val="nil"/>
                      <w:right w:val="single" w:sz="12" w:space="0" w:color="auto"/>
                    </w:tcBorders>
                    <w:hideMark/>
                  </w:tcPr>
                  <w:p>
                    <w:pPr>
                      <w:jc w:val="both"/>
                      <w:rPr>
                        <w:bCs/>
                        <w:szCs w:val="24"/>
                      </w:rPr>
                    </w:pPr>
                    <w:r>
                      <w:rPr>
                        <w:bCs/>
                        <w:szCs w:val="24"/>
                      </w:rPr>
                      <w:t xml:space="preserve">Taikos pr. 101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25</w:t>
                    </w:r>
                  </w:p>
                </w:tc>
              </w:tr>
              <w:tr>
                <w:tc>
                  <w:tcPr>
                    <w:tcW w:w="858" w:type="dxa"/>
                    <w:tcBorders>
                      <w:top w:val="nil"/>
                      <w:left w:val="single" w:sz="12" w:space="0" w:color="auto"/>
                      <w:bottom w:val="single" w:sz="12" w:space="0" w:color="auto"/>
                      <w:right w:val="single" w:sz="12" w:space="0" w:color="auto"/>
                    </w:tcBorders>
                    <w:hideMark/>
                  </w:tcPr>
                  <w:p>
                    <w:pPr>
                      <w:jc w:val="both"/>
                      <w:rPr>
                        <w:bCs/>
                        <w:szCs w:val="24"/>
                      </w:rPr>
                    </w:pPr>
                    <w:r>
                      <w:rPr>
                        <w:bCs/>
                        <w:szCs w:val="24"/>
                      </w:rPr>
                      <w:t>9.5.</w:t>
                    </w:r>
                  </w:p>
                </w:tc>
                <w:tc>
                  <w:tcPr>
                    <w:tcW w:w="6215" w:type="dxa"/>
                    <w:tcBorders>
                      <w:top w:val="nil"/>
                      <w:left w:val="single" w:sz="12" w:space="0" w:color="auto"/>
                      <w:bottom w:val="single" w:sz="12" w:space="0" w:color="auto"/>
                      <w:right w:val="single" w:sz="12" w:space="0" w:color="auto"/>
                    </w:tcBorders>
                    <w:hideMark/>
                  </w:tcPr>
                  <w:p>
                    <w:pPr>
                      <w:jc w:val="both"/>
                      <w:rPr>
                        <w:bCs/>
                        <w:szCs w:val="24"/>
                      </w:rPr>
                    </w:pPr>
                    <w:r>
                      <w:rPr>
                        <w:bCs/>
                        <w:szCs w:val="24"/>
                      </w:rPr>
                      <w:t>Kuncų g. 14</w:t>
                    </w:r>
                  </w:p>
                </w:tc>
                <w:tc>
                  <w:tcPr>
                    <w:tcW w:w="1276" w:type="dxa"/>
                    <w:tcBorders>
                      <w:top w:val="nil"/>
                      <w:left w:val="single" w:sz="12" w:space="0" w:color="auto"/>
                      <w:bottom w:val="single" w:sz="12" w:space="0" w:color="auto"/>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single" w:sz="12" w:space="0" w:color="auto"/>
                      <w:right w:val="single" w:sz="12" w:space="0" w:color="auto"/>
                    </w:tcBorders>
                    <w:hideMark/>
                  </w:tcPr>
                  <w:p>
                    <w:pPr>
                      <w:jc w:val="both"/>
                      <w:rPr>
                        <w:bCs/>
                        <w:szCs w:val="24"/>
                      </w:rPr>
                    </w:pPr>
                    <w:r>
                      <w:rPr>
                        <w:bCs/>
                        <w:szCs w:val="24"/>
                      </w:rPr>
                      <w:t>28</w:t>
                    </w:r>
                  </w:p>
                </w:tc>
              </w:tr>
            </w:tbl>
            <w:p>
              <w:pPr>
                <w:ind w:firstLine="7371"/>
                <w:rPr>
                  <w:bCs/>
                  <w:szCs w:val="24"/>
                </w:rPr>
              </w:pPr>
              <w:r>
                <w:rPr>
                  <w:bCs/>
                  <w:szCs w:val="24"/>
                </w:rPr>
                <w:t>Iš viso: 9</w:t>
              </w:r>
            </w:p>
            <w:p>
              <w:pPr>
                <w:jc w:val="both"/>
                <w:rPr>
                  <w:bCs/>
                  <w:szCs w:val="24"/>
                </w:rPr>
              </w:pPr>
              <w:r>
                <w:rPr>
                  <w:bCs/>
                  <w:szCs w:val="24"/>
                </w:rPr>
                <w:t>Prekyba iš specializuotų automobilių, automobilių priekabų leidžiama, jeigu jų stovėjimas konkrečioje vietovėje netrukdo kelių eismui ir (ar) tai daryti nedraudžia Kelių eismo taisyklės. Už prekybai skirtos transporto priemonės stovėjimą mokamoje vietoje turi būti mokama nustatyta vietinė rinkliava. Kiekvieną dieną, baigęs prekybą (iki 24.00 val.), specializuotas automobilis, automobilio priekaba (maisto vagonėlis) turi būti pašalintas iš stovėjimo vietos.</w:t>
              </w:r>
            </w:p>
            <w:p>
              <w:pPr>
                <w:jc w:val="both"/>
                <w:rPr>
                  <w:bCs/>
                  <w:szCs w:val="24"/>
                </w:rPr>
              </w:pPr>
              <w:r>
                <w:rPr>
                  <w:bCs/>
                  <w:szCs w:val="24"/>
                </w:rPr>
                <w:t>Vienas laikinasis įrenginys, specialioji nemotorinė transporto priemonė negali užimti didesnį kaip 4,00 m</w:t>
              </w:r>
              <w:r>
                <w:rPr>
                  <w:bCs/>
                  <w:szCs w:val="24"/>
                  <w:vertAlign w:val="superscript"/>
                </w:rPr>
                <w:t>2</w:t>
              </w:r>
              <w:r>
                <w:rPr>
                  <w:bCs/>
                  <w:szCs w:val="24"/>
                </w:rPr>
                <w:t xml:space="preserve"> plotą. </w:t>
              </w:r>
            </w:p>
            <w:p>
              <w:pPr>
                <w:jc w:val="both"/>
                <w:rPr>
                  <w:b/>
                  <w:szCs w:val="24"/>
                </w:rPr>
              </w:pPr>
            </w:p>
          </w:sdtContent>
        </w:sdt>
        <w:sdt>
          <w:sdtPr>
            <w:alias w:val="10 p."/>
            <w:tag w:val="part_863b03121dee438b93c0aa4d49638701"/>
            <w:lock w:val="sdtLocked"/>
            <w:richText/>
          </w:sdtPr>
          <w:sdtContent>
            <w:p>
              <w:pPr>
                <w:jc w:val="both"/>
                <w:rPr>
                  <w:b/>
                  <w:bCs/>
                  <w:szCs w:val="24"/>
                  <w:lang w:eastAsia="lt-LT"/>
                </w:rPr>
              </w:pPr>
              <w:sdt>
                <w:sdtPr>
                  <w:alias w:val="Numeris"/>
                  <w:tag w:val="nr_863b03121dee438b93c0aa4d49638701"/>
                  <w:lock w:val="sdtLocked"/>
                  <w:richText/>
                </w:sdtPr>
                <w:sdtContent>
                  <w:r>
                    <w:rPr>
                      <w:b/>
                      <w:bCs/>
                      <w:szCs w:val="24"/>
                      <w:lang w:eastAsia="lt-LT"/>
                    </w:rPr>
                    <w:t>10</w:t>
                  </w:r>
                </w:sdtContent>
              </w:sdt>
              <w:r>
                <w:rPr>
                  <w:b/>
                  <w:bCs/>
                  <w:szCs w:val="24"/>
                  <w:lang w:eastAsia="lt-LT"/>
                </w:rPr>
                <w:t>. Prekybos maisto produktais iš (nuo) laikinųjų įrenginių ir specialiųjų nemotorinių transporto priemonių (dviračių, triračių, vežimėlių ant ratų) vietos, išskyrus prekybą ledais ir gaiviaisiais gėrimais iš šaldomų vežimėlių</w:t>
              </w:r>
            </w:p>
            <w:p>
              <w:pPr>
                <w:ind w:firstLine="709"/>
                <w:jc w:val="both"/>
                <w:rPr>
                  <w:szCs w:val="24"/>
                  <w:lang w:eastAsia="lt-LT"/>
                </w:rPr>
              </w:pPr>
            </w:p>
            <w:tbl>
              <w:tblPr>
                <w:tblW w:w="9609" w:type="dxa"/>
                <w:tblCellMar>
                  <w:left w:w="0" w:type="dxa"/>
                  <w:right w:w="0" w:type="dxa"/>
                </w:tblCellMar>
                <w:tblLook w:val="04A0" w:firstRow="1" w:lastRow="0" w:firstColumn="1" w:lastColumn="0" w:noHBand="0" w:noVBand="1"/>
              </w:tblPr>
              <w:tblGrid>
                <w:gridCol w:w="818"/>
                <w:gridCol w:w="5447"/>
                <w:gridCol w:w="2063"/>
                <w:gridCol w:w="1281"/>
              </w:tblGrid>
              <w:tr>
                <w:trPr>
                  <w:trHeight w:val="1656"/>
                </w:trPr>
                <w:tc>
                  <w:tcPr>
                    <w:tcW w:w="818"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jc w:val="both"/>
                      <w:rPr>
                        <w:szCs w:val="24"/>
                        <w:lang w:eastAsia="lt-LT"/>
                      </w:rPr>
                    </w:pPr>
                    <w:r>
                      <w:rPr>
                        <w:b/>
                        <w:bCs/>
                        <w:szCs w:val="24"/>
                        <w:lang w:eastAsia="lt-LT"/>
                      </w:rPr>
                      <w:t>Eil.</w:t>
                    </w:r>
                  </w:p>
                  <w:p>
                    <w:pPr>
                      <w:jc w:val="both"/>
                      <w:rPr>
                        <w:szCs w:val="24"/>
                        <w:lang w:eastAsia="lt-LT"/>
                      </w:rPr>
                    </w:pPr>
                    <w:r>
                      <w:rPr>
                        <w:b/>
                        <w:bCs/>
                        <w:szCs w:val="24"/>
                        <w:lang w:eastAsia="lt-LT"/>
                      </w:rPr>
                      <w:t>Nr.</w:t>
                    </w:r>
                  </w:p>
                </w:tc>
                <w:tc>
                  <w:tcPr>
                    <w:tcW w:w="5447"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szCs w:val="24"/>
                        <w:lang w:eastAsia="lt-LT"/>
                      </w:rPr>
                    </w:pPr>
                    <w:r>
                      <w:rPr>
                        <w:b/>
                        <w:bCs/>
                        <w:szCs w:val="24"/>
                        <w:lang w:eastAsia="lt-LT"/>
                      </w:rPr>
                      <w:t>Prekybos vieta</w:t>
                    </w:r>
                  </w:p>
                </w:tc>
                <w:tc>
                  <w:tcPr>
                    <w:tcW w:w="2063"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szCs w:val="24"/>
                        <w:lang w:eastAsia="lt-LT"/>
                      </w:rPr>
                    </w:pPr>
                    <w:r>
                      <w:rPr>
                        <w:b/>
                        <w:bCs/>
                        <w:szCs w:val="24"/>
                        <w:lang w:eastAsia="lt-LT"/>
                      </w:rPr>
                      <w:t>Vietų skaičius (maksimalus laikinųjų įrenginių, specialiųjų nemotorinių transporto priemonių vienoje vietoje skaičius – 2 vnt.)</w:t>
                    </w:r>
                  </w:p>
                </w:tc>
                <w:tc>
                  <w:tcPr>
                    <w:tcW w:w="1281"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szCs w:val="24"/>
                        <w:lang w:eastAsia="lt-LT"/>
                      </w:rPr>
                    </w:pPr>
                    <w:r>
                      <w:rPr>
                        <w:b/>
                        <w:bCs/>
                        <w:szCs w:val="24"/>
                        <w:lang w:eastAsia="lt-LT"/>
                      </w:rPr>
                      <w:t>Priedo</w:t>
                    </w:r>
                  </w:p>
                  <w:p>
                    <w:pPr>
                      <w:jc w:val="both"/>
                      <w:rPr>
                        <w:szCs w:val="24"/>
                        <w:lang w:eastAsia="lt-LT"/>
                      </w:rPr>
                    </w:pPr>
                    <w:r>
                      <w:rPr>
                        <w:b/>
                        <w:bCs/>
                        <w:szCs w:val="24"/>
                        <w:lang w:eastAsia="lt-LT"/>
                      </w:rPr>
                      <w:t>Nr.</w:t>
                    </w:r>
                  </w:p>
                </w:tc>
              </w:tr>
              <w:tr>
                <w:trPr>
                  <w:trHeight w:val="268"/>
                </w:trPr>
                <w:tc>
                  <w:tcPr>
                    <w:tcW w:w="818"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jc w:val="both"/>
                      <w:rPr>
                        <w:szCs w:val="24"/>
                        <w:lang w:eastAsia="lt-LT"/>
                      </w:rPr>
                    </w:pPr>
                    <w:r>
                      <w:rPr>
                        <w:b/>
                        <w:bCs/>
                        <w:szCs w:val="24"/>
                        <w:lang w:eastAsia="lt-LT"/>
                      </w:rPr>
                      <w:t>1</w:t>
                    </w:r>
                  </w:p>
                </w:tc>
                <w:tc>
                  <w:tcPr>
                    <w:tcW w:w="5447"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szCs w:val="24"/>
                        <w:lang w:eastAsia="lt-LT"/>
                      </w:rPr>
                    </w:pPr>
                    <w:r>
                      <w:rPr>
                        <w:b/>
                        <w:bCs/>
                        <w:szCs w:val="24"/>
                        <w:lang w:eastAsia="lt-LT"/>
                      </w:rPr>
                      <w:t>2</w:t>
                    </w:r>
                  </w:p>
                </w:tc>
                <w:tc>
                  <w:tcPr>
                    <w:tcW w:w="2063"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szCs w:val="24"/>
                        <w:lang w:eastAsia="lt-LT"/>
                      </w:rPr>
                    </w:pPr>
                    <w:r>
                      <w:rPr>
                        <w:b/>
                        <w:bCs/>
                        <w:szCs w:val="24"/>
                        <w:lang w:eastAsia="lt-LT"/>
                      </w:rPr>
                      <w:t>3</w:t>
                    </w:r>
                  </w:p>
                </w:tc>
                <w:tc>
                  <w:tcPr>
                    <w:tcW w:w="1281"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szCs w:val="24"/>
                        <w:lang w:eastAsia="lt-LT"/>
                      </w:rPr>
                    </w:pPr>
                    <w:r>
                      <w:rPr>
                        <w:b/>
                        <w:bCs/>
                        <w:szCs w:val="24"/>
                        <w:lang w:eastAsia="lt-LT"/>
                      </w:rPr>
                      <w:t>4</w:t>
                    </w:r>
                  </w:p>
                </w:tc>
              </w:tr>
              <w:tr>
                <w:trPr>
                  <w:trHeight w:val="268"/>
                </w:trPr>
                <w:tc>
                  <w:tcPr>
                    <w:tcW w:w="818"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10.1.</w:t>
                    </w:r>
                  </w:p>
                </w:tc>
                <w:tc>
                  <w:tcPr>
                    <w:tcW w:w="5447"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Smiltynės senosios perkėlos prieigos, kelias į Jūrų muziejų¹</w:t>
                    </w:r>
                  </w:p>
                </w:tc>
                <w:tc>
                  <w:tcPr>
                    <w:tcW w:w="2063"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5</w:t>
                    </w:r>
                  </w:p>
                </w:tc>
                <w:tc>
                  <w:tcPr>
                    <w:tcW w:w="1281"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6</w:t>
                    </w:r>
                  </w:p>
                </w:tc>
              </w:tr>
              <w:tr>
                <w:trPr>
                  <w:trHeight w:val="268"/>
                </w:trPr>
                <w:tc>
                  <w:tcPr>
                    <w:tcW w:w="818"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10.2.</w:t>
                    </w:r>
                  </w:p>
                </w:tc>
                <w:tc>
                  <w:tcPr>
                    <w:tcW w:w="5447"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Taikos pr. 101</w:t>
                    </w:r>
                  </w:p>
                </w:tc>
                <w:tc>
                  <w:tcPr>
                    <w:tcW w:w="2063"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1</w:t>
                    </w:r>
                  </w:p>
                </w:tc>
                <w:tc>
                  <w:tcPr>
                    <w:tcW w:w="1281"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25</w:t>
                    </w:r>
                  </w:p>
                </w:tc>
              </w:tr>
              <w:tr>
                <w:trPr>
                  <w:trHeight w:val="285"/>
                </w:trPr>
                <w:tc>
                  <w:tcPr>
                    <w:tcW w:w="818"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10.3.</w:t>
                    </w:r>
                  </w:p>
                </w:tc>
                <w:tc>
                  <w:tcPr>
                    <w:tcW w:w="5447"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Liepojos g. 43A, Klaipėdos universiteto ligoninės prieigos</w:t>
                    </w:r>
                  </w:p>
                </w:tc>
                <w:tc>
                  <w:tcPr>
                    <w:tcW w:w="2063"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1</w:t>
                    </w:r>
                  </w:p>
                </w:tc>
                <w:tc>
                  <w:tcPr>
                    <w:tcW w:w="1281"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14</w:t>
                    </w:r>
                  </w:p>
                </w:tc>
              </w:tr>
              <w:tr>
                <w:trPr>
                  <w:trHeight w:val="268"/>
                </w:trPr>
                <w:tc>
                  <w:tcPr>
                    <w:tcW w:w="818"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10.4.</w:t>
                    </w:r>
                  </w:p>
                </w:tc>
                <w:tc>
                  <w:tcPr>
                    <w:tcW w:w="5447"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Antroji sustojimo aikštelė dviračių tako ruože tarp Vasaros koncertų estrados ir Girulių</w:t>
                    </w:r>
                  </w:p>
                </w:tc>
                <w:tc>
                  <w:tcPr>
                    <w:tcW w:w="2063"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3</w:t>
                    </w:r>
                  </w:p>
                </w:tc>
                <w:tc>
                  <w:tcPr>
                    <w:tcW w:w="1281" w:type="dxa"/>
                    <w:tcBorders>
                      <w:top w:val="nil"/>
                      <w:left w:val="nil"/>
                      <w:bottom w:val="nil"/>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13</w:t>
                    </w:r>
                  </w:p>
                </w:tc>
              </w:tr>
              <w:tr>
                <w:trPr>
                  <w:trHeight w:val="285"/>
                </w:trPr>
                <w:tc>
                  <w:tcPr>
                    <w:tcW w:w="818"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10.5.</w:t>
                    </w:r>
                  </w:p>
                </w:tc>
                <w:tc>
                  <w:tcPr>
                    <w:tcW w:w="5447"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Vasaros koncertų estrados prieigos</w:t>
                    </w:r>
                  </w:p>
                </w:tc>
                <w:tc>
                  <w:tcPr>
                    <w:tcW w:w="2063"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3</w:t>
                    </w:r>
                  </w:p>
                </w:tc>
                <w:tc>
                  <w:tcPr>
                    <w:tcW w:w="1281"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szCs w:val="24"/>
                        <w:lang w:eastAsia="lt-LT"/>
                      </w:rPr>
                    </w:pPr>
                    <w:r>
                      <w:rPr>
                        <w:szCs w:val="24"/>
                        <w:lang w:eastAsia="lt-LT"/>
                      </w:rPr>
                      <w:t>17</w:t>
                    </w:r>
                  </w:p>
                </w:tc>
              </w:tr>
            </w:tbl>
            <w:p>
              <w:pPr>
                <w:ind w:firstLine="6537"/>
                <w:jc w:val="both"/>
                <w:rPr>
                  <w:szCs w:val="24"/>
                  <w:lang w:eastAsia="lt-LT"/>
                </w:rPr>
              </w:pPr>
              <w:r>
                <w:rPr>
                  <w:szCs w:val="24"/>
                  <w:lang w:eastAsia="lt-LT"/>
                </w:rPr>
                <w:t>Iš viso: 13</w:t>
              </w:r>
            </w:p>
            <w:p>
              <w:pPr>
                <w:jc w:val="both"/>
                <w:rPr>
                  <w:szCs w:val="24"/>
                  <w:lang w:eastAsia="lt-LT"/>
                </w:rPr>
              </w:pPr>
              <w:r>
                <w:rPr>
                  <w:szCs w:val="24"/>
                  <w:lang w:eastAsia="lt-LT"/>
                </w:rPr>
                <w:t>¹Leidimas veiklai išduodamas tik pateikus Kuršių nerijos nacionalinio parko direkcijos sutikimą.</w:t>
              </w:r>
            </w:p>
            <w:p>
              <w:pPr>
                <w:jc w:val="both"/>
                <w:rPr>
                  <w:szCs w:val="24"/>
                  <w:lang w:eastAsia="lt-LT"/>
                </w:rPr>
              </w:pPr>
              <w:r>
                <w:rPr>
                  <w:szCs w:val="24"/>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w:t>
              </w:r>
            </w:p>
            <w:p>
              <w:pPr>
                <w:jc w:val="both"/>
                <w:rPr>
                  <w:szCs w:val="24"/>
                  <w:lang w:eastAsia="lt-LT"/>
                </w:rPr>
              </w:pPr>
              <w:r>
                <w:rPr>
                  <w:szCs w:val="24"/>
                  <w:lang w:eastAsia="lt-LT"/>
                </w:rPr>
                <w:t>Prekyba iš laikinųjų įrenginių ir specialiųjų nemotorinių transporto priemonių leidžiama, jeigu jų stovėjimo konkrečioje vietovėje nedraudžia Kelių eismo taisyklės ir jų stovėjimas konkrečioje vietovėje netrukdo kelių eismui. Už prekybai skirtos laikinosios įrangos ir specialiųjų nemotorinių transporto priemonių stovėjimą mokamoje vietoje turi būti mokama nustatyta vietinė rinkliava. Kiekvieną dieną, baigus prekybą (iki 24.00 val.), laikinieji įrenginiai ir specialiosios nemotorinės transporto priemonės turi būti pašalinti iš stovėjimo vietos.</w:t>
              </w:r>
            </w:p>
            <w:p>
              <w:pPr>
                <w:jc w:val="both"/>
                <w:rPr>
                  <w:b/>
                  <w:szCs w:val="24"/>
                </w:rPr>
              </w:pPr>
              <w:r>
                <w:rPr>
                  <w:szCs w:val="24"/>
                  <w:lang w:eastAsia="lt-LT"/>
                </w:rPr>
                <w:t>Vienas laikinasis įrenginys, specialioji nemotorinė transporto priemonė negali užimti didesnį kaip 4,00 m</w:t>
              </w:r>
              <w:r>
                <w:rPr>
                  <w:szCs w:val="24"/>
                  <w:vertAlign w:val="superscript"/>
                  <w:lang w:eastAsia="lt-LT"/>
                </w:rPr>
                <w:t>2</w:t>
              </w:r>
              <w:r>
                <w:rPr>
                  <w:szCs w:val="24"/>
                  <w:lang w:eastAsia="lt-LT"/>
                </w:rPr>
                <w:t> plotą.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68bf0246111f1a552c76556910e9c">
                <w:r w:rsidRPr="00532B9F">
                  <w:rPr>
                    <w:rFonts w:ascii="Times New Roman" w:eastAsia="MS Mincho" w:hAnsi="Times New Roman"/>
                    <w:sz w:val="20"/>
                    <w:i/>
                    <w:iCs/>
                    <w:color w:val="0000FF" w:themeColor="hyperlink"/>
                    <w:u w:val="single"/>
                  </w:rPr>
                  <w:t>AD1-227</w:t>
                </w:r>
              </w:fldSimple>
              <w:r>
                <w:rPr>
                  <w:rFonts w:ascii="Times New Roman" w:eastAsia="MS Mincho" w:hAnsi="Times New Roman"/>
                  <w:sz w:val="20"/>
                  <w:i/>
                  <w:iCs/>
                </w:rPr>
                <w:t>,
2026-03-20,
paskelbta TAR 2026-03-20, i. k. 2026-04425            </w:t>
              </w:r>
            </w:p>
            <w:p/>
          </w:sdtContent>
        </w:sdt>
        <w:sdt>
          <w:sdtPr>
            <w:alias w:val="11 p."/>
            <w:tag w:val="part_73a016e0d18f4468966f6867b1521aff"/>
            <w:lock w:val="sdtLocked"/>
            <w:richText/>
          </w:sdtPr>
          <w:sdtContent>
            <w:p>
              <w:pPr>
                <w:jc w:val="both"/>
                <w:rPr>
                  <w:b/>
                  <w:bCs/>
                  <w:szCs w:val="24"/>
                  <w:lang w:eastAsia="lt-LT"/>
                </w:rPr>
              </w:pPr>
              <w:sdt>
                <w:sdtPr>
                  <w:alias w:val="Numeris"/>
                  <w:tag w:val="nr_73a016e0d18f4468966f6867b1521aff"/>
                  <w:lock w:val="sdtLocked"/>
                  <w:richText/>
                </w:sdtPr>
                <w:sdtContent>
                  <w:r>
                    <w:rPr>
                      <w:b/>
                      <w:bCs/>
                      <w:szCs w:val="24"/>
                      <w:lang w:eastAsia="lt-LT"/>
                    </w:rPr>
                    <w:t>11</w:t>
                  </w:r>
                </w:sdtContent>
              </w:sdt>
              <w:r>
                <w:rPr>
                  <w:b/>
                  <w:bCs/>
                  <w:szCs w:val="24"/>
                  <w:lang w:eastAsia="lt-LT"/>
                </w:rPr>
                <w:t>. Išvežiojamosios prekybos maisto produktais iš specializuotų automobilių, automobilių priekabų (maisto vagonėlių) vietos¹</w:t>
              </w:r>
            </w:p>
            <w:p>
              <w:pPr>
                <w:ind w:firstLine="709"/>
                <w:jc w:val="both"/>
                <w:rPr>
                  <w:b/>
                  <w:bCs/>
                  <w:szCs w:val="24"/>
                  <w:lang w:eastAsia="lt-LT"/>
                </w:rPr>
              </w:pPr>
            </w:p>
            <w:tbl>
              <w:tblPr>
                <w:tblW w:w="9645"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5531"/>
                <w:gridCol w:w="1986"/>
                <w:gridCol w:w="1276"/>
              </w:tblGrid>
              <w:tr>
                <w:trPr>
                  <w:cantSplit/>
                  <w:trHeight w:val="540"/>
                </w:trPr>
                <w:tc>
                  <w:tcPr>
                    <w:tcW w:w="852" w:type="dxa"/>
                    <w:tcBorders>
                      <w:top w:val="single" w:sz="12" w:space="0" w:color="auto"/>
                      <w:left w:val="single" w:sz="12" w:space="0" w:color="auto"/>
                      <w:bottom w:val="single" w:sz="12" w:space="0" w:color="auto"/>
                      <w:right w:val="single" w:sz="12" w:space="0" w:color="auto"/>
                    </w:tcBorders>
                    <w:vAlign w:val="center"/>
                    <w:hideMark/>
                  </w:tcPr>
                  <w:p>
                    <w:pPr>
                      <w:jc w:val="center"/>
                      <w:rPr>
                        <w:b/>
                        <w:bCs/>
                        <w:szCs w:val="24"/>
                        <w:lang w:eastAsia="lt-LT"/>
                      </w:rPr>
                    </w:pPr>
                    <w:r>
                      <w:rPr>
                        <w:b/>
                        <w:bCs/>
                        <w:szCs w:val="24"/>
                        <w:lang w:eastAsia="lt-LT"/>
                      </w:rPr>
                      <w:t>Eil.</w:t>
                    </w:r>
                  </w:p>
                  <w:p>
                    <w:pPr>
                      <w:jc w:val="center"/>
                      <w:rPr>
                        <w:b/>
                        <w:bCs/>
                        <w:szCs w:val="24"/>
                        <w:lang w:eastAsia="lt-LT"/>
                      </w:rPr>
                    </w:pPr>
                    <w:r>
                      <w:rPr>
                        <w:b/>
                        <w:bCs/>
                        <w:szCs w:val="24"/>
                        <w:lang w:eastAsia="lt-LT"/>
                      </w:rPr>
                      <w:t>Nr.</w:t>
                    </w:r>
                  </w:p>
                </w:tc>
                <w:tc>
                  <w:tcPr>
                    <w:tcW w:w="5531" w:type="dxa"/>
                    <w:tcBorders>
                      <w:top w:val="single" w:sz="12" w:space="0" w:color="auto"/>
                      <w:left w:val="single" w:sz="12" w:space="0" w:color="auto"/>
                      <w:bottom w:val="single" w:sz="12" w:space="0" w:color="auto"/>
                      <w:right w:val="single" w:sz="12" w:space="0" w:color="auto"/>
                    </w:tcBorders>
                    <w:vAlign w:val="center"/>
                    <w:hideMark/>
                  </w:tcPr>
                  <w:p>
                    <w:pPr>
                      <w:jc w:val="center"/>
                      <w:rPr>
                        <w:b/>
                        <w:bCs/>
                        <w:szCs w:val="24"/>
                        <w:lang w:eastAsia="lt-LT"/>
                      </w:rPr>
                    </w:pPr>
                    <w:r>
                      <w:rPr>
                        <w:b/>
                        <w:bCs/>
                        <w:szCs w:val="24"/>
                        <w:lang w:eastAsia="lt-LT"/>
                      </w:rPr>
                      <w:t>Prekybos vieta</w:t>
                    </w:r>
                  </w:p>
                </w:tc>
                <w:tc>
                  <w:tcPr>
                    <w:tcW w:w="1986" w:type="dxa"/>
                    <w:tcBorders>
                      <w:top w:val="single" w:sz="12" w:space="0" w:color="auto"/>
                      <w:left w:val="single" w:sz="12" w:space="0" w:color="auto"/>
                      <w:bottom w:val="single" w:sz="12" w:space="0" w:color="auto"/>
                      <w:right w:val="single" w:sz="12" w:space="0" w:color="auto"/>
                    </w:tcBorders>
                    <w:vAlign w:val="center"/>
                    <w:hideMark/>
                  </w:tcPr>
                  <w:p>
                    <w:pPr>
                      <w:jc w:val="center"/>
                      <w:rPr>
                        <w:b/>
                        <w:bCs/>
                        <w:szCs w:val="24"/>
                        <w:lang w:eastAsia="lt-LT"/>
                      </w:rPr>
                    </w:pPr>
                    <w:r>
                      <w:rPr>
                        <w:b/>
                        <w:bCs/>
                        <w:szCs w:val="24"/>
                        <w:lang w:eastAsia="lt-LT"/>
                      </w:rPr>
                      <w:t>Vietų skaičius (galimas tik 1 specializuotas automobilis, automobilių priekaba vienoje vietoje)</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jc w:val="center"/>
                      <w:rPr>
                        <w:b/>
                        <w:bCs/>
                        <w:szCs w:val="24"/>
                        <w:lang w:eastAsia="lt-LT"/>
                      </w:rPr>
                    </w:pPr>
                    <w:r>
                      <w:rPr>
                        <w:b/>
                        <w:bCs/>
                        <w:szCs w:val="24"/>
                        <w:lang w:eastAsia="lt-LT"/>
                      </w:rPr>
                      <w:t>Priedo</w:t>
                    </w:r>
                  </w:p>
                  <w:p>
                    <w:pPr>
                      <w:jc w:val="center"/>
                      <w:rPr>
                        <w:b/>
                        <w:bCs/>
                        <w:szCs w:val="24"/>
                        <w:lang w:eastAsia="lt-LT"/>
                      </w:rPr>
                    </w:pPr>
                    <w:r>
                      <w:rPr>
                        <w:b/>
                        <w:bCs/>
                        <w:szCs w:val="24"/>
                        <w:lang w:eastAsia="lt-LT"/>
                      </w:rPr>
                      <w:t>Nr.</w:t>
                    </w:r>
                  </w:p>
                </w:tc>
              </w:tr>
              <w:tr>
                <w:trPr>
                  <w:cantSplit/>
                  <w:trHeight w:val="285"/>
                </w:trPr>
                <w:tc>
                  <w:tcPr>
                    <w:tcW w:w="852" w:type="dxa"/>
                    <w:tcBorders>
                      <w:top w:val="single" w:sz="12" w:space="0" w:color="auto"/>
                      <w:left w:val="single" w:sz="12" w:space="0" w:color="auto"/>
                      <w:bottom w:val="single" w:sz="12" w:space="0" w:color="auto"/>
                      <w:right w:val="single" w:sz="12" w:space="0" w:color="auto"/>
                    </w:tcBorders>
                    <w:hideMark/>
                  </w:tcPr>
                  <w:p>
                    <w:pPr>
                      <w:jc w:val="both"/>
                      <w:rPr>
                        <w:b/>
                        <w:bCs/>
                        <w:szCs w:val="24"/>
                        <w:lang w:eastAsia="lt-LT"/>
                      </w:rPr>
                    </w:pPr>
                    <w:r>
                      <w:rPr>
                        <w:b/>
                        <w:bCs/>
                        <w:szCs w:val="24"/>
                        <w:lang w:eastAsia="lt-LT"/>
                      </w:rPr>
                      <w:t>1</w:t>
                    </w:r>
                  </w:p>
                </w:tc>
                <w:tc>
                  <w:tcPr>
                    <w:tcW w:w="5531" w:type="dxa"/>
                    <w:tcBorders>
                      <w:top w:val="single" w:sz="12" w:space="0" w:color="auto"/>
                      <w:left w:val="single" w:sz="12" w:space="0" w:color="auto"/>
                      <w:bottom w:val="single" w:sz="12" w:space="0" w:color="auto"/>
                      <w:right w:val="single" w:sz="12" w:space="0" w:color="auto"/>
                    </w:tcBorders>
                    <w:hideMark/>
                  </w:tcPr>
                  <w:p>
                    <w:pPr>
                      <w:jc w:val="both"/>
                      <w:rPr>
                        <w:b/>
                        <w:bCs/>
                        <w:szCs w:val="24"/>
                        <w:lang w:eastAsia="lt-LT"/>
                      </w:rPr>
                    </w:pPr>
                    <w:r>
                      <w:rPr>
                        <w:b/>
                        <w:bCs/>
                        <w:szCs w:val="24"/>
                        <w:lang w:eastAsia="lt-LT"/>
                      </w:rPr>
                      <w:t>2</w:t>
                    </w:r>
                  </w:p>
                </w:tc>
                <w:tc>
                  <w:tcPr>
                    <w:tcW w:w="1986" w:type="dxa"/>
                    <w:tcBorders>
                      <w:top w:val="single" w:sz="12" w:space="0" w:color="auto"/>
                      <w:left w:val="single" w:sz="12" w:space="0" w:color="auto"/>
                      <w:bottom w:val="single" w:sz="12" w:space="0" w:color="auto"/>
                      <w:right w:val="single" w:sz="12" w:space="0" w:color="auto"/>
                    </w:tcBorders>
                    <w:hideMark/>
                  </w:tcPr>
                  <w:p>
                    <w:pPr>
                      <w:jc w:val="both"/>
                      <w:rPr>
                        <w:b/>
                        <w:bCs/>
                        <w:szCs w:val="24"/>
                        <w:lang w:eastAsia="lt-LT"/>
                      </w:rPr>
                    </w:pPr>
                    <w:r>
                      <w:rPr>
                        <w:b/>
                        <w:bCs/>
                        <w:szCs w:val="24"/>
                        <w:lang w:eastAsia="lt-LT"/>
                      </w:rPr>
                      <w:t>3</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
                        <w:bCs/>
                        <w:szCs w:val="24"/>
                        <w:lang w:eastAsia="lt-LT"/>
                      </w:rPr>
                    </w:pPr>
                    <w:r>
                      <w:rPr>
                        <w:b/>
                        <w:bCs/>
                        <w:szCs w:val="24"/>
                        <w:lang w:eastAsia="lt-LT"/>
                      </w:rPr>
                      <w:t>4</w:t>
                    </w:r>
                  </w:p>
                </w:tc>
              </w:tr>
              <w:tr>
                <w:trPr>
                  <w:cantSplit/>
                  <w:trHeight w:val="270"/>
                </w:trPr>
                <w:tc>
                  <w:tcPr>
                    <w:tcW w:w="852" w:type="dxa"/>
                    <w:tcBorders>
                      <w:top w:val="single" w:sz="12" w:space="0" w:color="auto"/>
                      <w:left w:val="single" w:sz="12" w:space="0" w:color="auto"/>
                      <w:bottom w:val="nil"/>
                      <w:right w:val="single" w:sz="12" w:space="0" w:color="auto"/>
                    </w:tcBorders>
                    <w:hideMark/>
                  </w:tcPr>
                  <w:p>
                    <w:pPr>
                      <w:jc w:val="both"/>
                      <w:rPr>
                        <w:bCs/>
                        <w:szCs w:val="24"/>
                        <w:lang w:eastAsia="lt-LT"/>
                      </w:rPr>
                    </w:pPr>
                    <w:r>
                      <w:rPr>
                        <w:szCs w:val="24"/>
                        <w:lang w:eastAsia="lt-LT"/>
                      </w:rPr>
                      <w:t>11.1.</w:t>
                    </w:r>
                  </w:p>
                </w:tc>
                <w:tc>
                  <w:tcPr>
                    <w:tcW w:w="5531" w:type="dxa"/>
                    <w:tcBorders>
                      <w:top w:val="single" w:sz="12" w:space="0" w:color="auto"/>
                      <w:left w:val="single" w:sz="12" w:space="0" w:color="auto"/>
                      <w:bottom w:val="nil"/>
                      <w:right w:val="single" w:sz="12" w:space="0" w:color="auto"/>
                    </w:tcBorders>
                    <w:hideMark/>
                  </w:tcPr>
                  <w:p>
                    <w:pPr>
                      <w:jc w:val="both"/>
                      <w:rPr>
                        <w:bCs/>
                        <w:szCs w:val="24"/>
                        <w:lang w:eastAsia="lt-LT"/>
                      </w:rPr>
                    </w:pPr>
                    <w:r>
                      <w:rPr>
                        <w:szCs w:val="24"/>
                        <w:lang w:eastAsia="lt-LT"/>
                      </w:rPr>
                      <w:t>Smiltynės senosios perkėlos paplūdimio prieigos</w:t>
                    </w:r>
                    <w:r>
                      <w:rPr>
                        <w:szCs w:val="24"/>
                        <w:vertAlign w:val="superscript"/>
                        <w:lang w:eastAsia="lt-LT"/>
                      </w:rPr>
                      <w:t>4</w:t>
                    </w:r>
                  </w:p>
                </w:tc>
                <w:tc>
                  <w:tcPr>
                    <w:tcW w:w="1986" w:type="dxa"/>
                    <w:tcBorders>
                      <w:top w:val="single" w:sz="12" w:space="0" w:color="auto"/>
                      <w:left w:val="single" w:sz="12" w:space="0" w:color="auto"/>
                      <w:bottom w:val="nil"/>
                      <w:right w:val="single" w:sz="12" w:space="0" w:color="auto"/>
                    </w:tcBorders>
                    <w:hideMark/>
                  </w:tcPr>
                  <w:p>
                    <w:pPr>
                      <w:jc w:val="both"/>
                      <w:rPr>
                        <w:bCs/>
                        <w:szCs w:val="24"/>
                        <w:lang w:eastAsia="lt-LT"/>
                      </w:rPr>
                    </w:pPr>
                    <w:r>
                      <w:rPr>
                        <w:szCs w:val="24"/>
                        <w:lang w:eastAsia="lt-LT"/>
                      </w:rPr>
                      <w:t>1</w:t>
                    </w:r>
                  </w:p>
                </w:tc>
                <w:tc>
                  <w:tcPr>
                    <w:tcW w:w="1276" w:type="dxa"/>
                    <w:tcBorders>
                      <w:top w:val="single" w:sz="12" w:space="0" w:color="auto"/>
                      <w:left w:val="single" w:sz="12" w:space="0" w:color="auto"/>
                      <w:bottom w:val="nil"/>
                      <w:right w:val="single" w:sz="12" w:space="0" w:color="auto"/>
                    </w:tcBorders>
                    <w:hideMark/>
                  </w:tcPr>
                  <w:p>
                    <w:pPr>
                      <w:jc w:val="both"/>
                      <w:rPr>
                        <w:bCs/>
                        <w:szCs w:val="24"/>
                        <w:lang w:eastAsia="lt-LT"/>
                      </w:rPr>
                    </w:pPr>
                    <w:r>
                      <w:rPr>
                        <w:szCs w:val="24"/>
                        <w:lang w:eastAsia="lt-LT"/>
                      </w:rPr>
                      <w:t>11</w:t>
                    </w:r>
                  </w:p>
                </w:tc>
              </w:tr>
              <w:tr>
                <w:trPr>
                  <w:cantSplit/>
                  <w:trHeight w:val="270"/>
                </w:trPr>
                <w:tc>
                  <w:tcPr>
                    <w:tcW w:w="852"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11.2.</w:t>
                    </w:r>
                  </w:p>
                </w:tc>
                <w:tc>
                  <w:tcPr>
                    <w:tcW w:w="5531"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Smiltynės naujosios perkėlos paplūdimio prieigos</w:t>
                    </w:r>
                    <w:r>
                      <w:rPr>
                        <w:szCs w:val="24"/>
                        <w:vertAlign w:val="superscript"/>
                        <w:lang w:eastAsia="lt-LT"/>
                      </w:rPr>
                      <w:t>4</w:t>
                    </w:r>
                  </w:p>
                </w:tc>
                <w:tc>
                  <w:tcPr>
                    <w:tcW w:w="198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2</w:t>
                    </w:r>
                  </w:p>
                </w:tc>
                <w:tc>
                  <w:tcPr>
                    <w:tcW w:w="127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9</w:t>
                    </w:r>
                  </w:p>
                </w:tc>
              </w:tr>
              <w:tr>
                <w:trPr>
                  <w:cantSplit/>
                  <w:trHeight w:val="270"/>
                </w:trPr>
                <w:tc>
                  <w:tcPr>
                    <w:tcW w:w="852"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11.3.</w:t>
                    </w:r>
                  </w:p>
                </w:tc>
                <w:tc>
                  <w:tcPr>
                    <w:tcW w:w="5531"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Smiltynės senosios perkėlos prieigos, kelias į Jūrų muziejų</w:t>
                    </w:r>
                    <w:r>
                      <w:rPr>
                        <w:szCs w:val="24"/>
                        <w:vertAlign w:val="superscript"/>
                        <w:lang w:eastAsia="lt-LT"/>
                      </w:rPr>
                      <w:t>4</w:t>
                    </w:r>
                  </w:p>
                </w:tc>
                <w:tc>
                  <w:tcPr>
                    <w:tcW w:w="198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w:t>
                    </w:r>
                  </w:p>
                </w:tc>
                <w:tc>
                  <w:tcPr>
                    <w:tcW w:w="127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6</w:t>
                    </w:r>
                  </w:p>
                </w:tc>
              </w:tr>
              <w:tr>
                <w:trPr>
                  <w:cantSplit/>
                  <w:trHeight w:val="270"/>
                </w:trPr>
                <w:tc>
                  <w:tcPr>
                    <w:tcW w:w="852"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11.4.</w:t>
                    </w:r>
                  </w:p>
                </w:tc>
                <w:tc>
                  <w:tcPr>
                    <w:tcW w:w="5531" w:type="dxa"/>
                    <w:tcBorders>
                      <w:top w:val="nil"/>
                      <w:left w:val="single" w:sz="12" w:space="0" w:color="auto"/>
                      <w:bottom w:val="nil"/>
                      <w:right w:val="single" w:sz="12" w:space="0" w:color="auto"/>
                    </w:tcBorders>
                    <w:hideMark/>
                  </w:tcPr>
                  <w:p>
                    <w:pPr>
                      <w:jc w:val="both"/>
                      <w:rPr>
                        <w:bCs/>
                        <w:szCs w:val="24"/>
                        <w:vertAlign w:val="superscript"/>
                        <w:lang w:eastAsia="lt-LT"/>
                      </w:rPr>
                    </w:pPr>
                    <w:r>
                      <w:rPr>
                        <w:szCs w:val="24"/>
                        <w:lang w:eastAsia="lt-LT"/>
                      </w:rPr>
                      <w:t>Liepojos g. 12</w:t>
                    </w:r>
                  </w:p>
                </w:tc>
                <w:tc>
                  <w:tcPr>
                    <w:tcW w:w="198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w:t>
                    </w:r>
                  </w:p>
                </w:tc>
                <w:tc>
                  <w:tcPr>
                    <w:tcW w:w="127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17</w:t>
                    </w:r>
                  </w:p>
                </w:tc>
              </w:tr>
              <w:tr>
                <w:trPr>
                  <w:cantSplit/>
                  <w:trHeight w:val="285"/>
                </w:trPr>
                <w:tc>
                  <w:tcPr>
                    <w:tcW w:w="852"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11.5.</w:t>
                    </w:r>
                  </w:p>
                </w:tc>
                <w:tc>
                  <w:tcPr>
                    <w:tcW w:w="5531" w:type="dxa"/>
                    <w:tcBorders>
                      <w:top w:val="nil"/>
                      <w:left w:val="single" w:sz="12" w:space="0" w:color="auto"/>
                      <w:bottom w:val="nil"/>
                      <w:right w:val="single" w:sz="12" w:space="0" w:color="auto"/>
                    </w:tcBorders>
                    <w:hideMark/>
                  </w:tcPr>
                  <w:p>
                    <w:pPr>
                      <w:jc w:val="both"/>
                      <w:rPr>
                        <w:bCs/>
                        <w:szCs w:val="24"/>
                        <w:vertAlign w:val="superscript"/>
                        <w:lang w:eastAsia="lt-LT"/>
                      </w:rPr>
                    </w:pPr>
                    <w:r>
                      <w:rPr>
                        <w:szCs w:val="24"/>
                        <w:lang w:eastAsia="lt-LT"/>
                      </w:rPr>
                      <w:t>Smiltynės senosios perkėlos prieigos²</w:t>
                    </w:r>
                    <w:r>
                      <w:rPr>
                        <w:szCs w:val="24"/>
                        <w:vertAlign w:val="superscript"/>
                        <w:lang w:eastAsia="lt-LT"/>
                      </w:rPr>
                      <w:t>,4</w:t>
                    </w:r>
                  </w:p>
                </w:tc>
                <w:tc>
                  <w:tcPr>
                    <w:tcW w:w="198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w:t>
                    </w:r>
                  </w:p>
                </w:tc>
                <w:tc>
                  <w:tcPr>
                    <w:tcW w:w="127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6</w:t>
                    </w:r>
                  </w:p>
                </w:tc>
              </w:tr>
              <w:tr>
                <w:trPr>
                  <w:cantSplit/>
                  <w:trHeight w:val="270"/>
                </w:trPr>
                <w:tc>
                  <w:tcPr>
                    <w:tcW w:w="852"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11.6.</w:t>
                    </w:r>
                  </w:p>
                </w:tc>
                <w:tc>
                  <w:tcPr>
                    <w:tcW w:w="5531"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Smiltynės senosios perkėlos prieigos ties keleivių įlaipinimo-išlaipinimo vieta²</w:t>
                    </w:r>
                    <w:r>
                      <w:rPr>
                        <w:szCs w:val="24"/>
                        <w:vertAlign w:val="superscript"/>
                        <w:lang w:eastAsia="lt-LT"/>
                      </w:rPr>
                      <w:t>,4</w:t>
                    </w:r>
                  </w:p>
                </w:tc>
                <w:tc>
                  <w:tcPr>
                    <w:tcW w:w="198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w:t>
                    </w:r>
                  </w:p>
                </w:tc>
                <w:tc>
                  <w:tcPr>
                    <w:tcW w:w="127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6</w:t>
                    </w:r>
                  </w:p>
                </w:tc>
              </w:tr>
              <w:tr>
                <w:trPr>
                  <w:cantSplit/>
                  <w:trHeight w:val="285"/>
                </w:trPr>
                <w:tc>
                  <w:tcPr>
                    <w:tcW w:w="852" w:type="dxa"/>
                    <w:tcBorders>
                      <w:top w:val="nil"/>
                      <w:left w:val="single" w:sz="12" w:space="0" w:color="auto"/>
                      <w:bottom w:val="nil"/>
                      <w:right w:val="single" w:sz="12" w:space="0" w:color="auto"/>
                    </w:tcBorders>
                    <w:hideMark/>
                  </w:tcPr>
                  <w:p>
                    <w:pPr>
                      <w:jc w:val="both"/>
                      <w:rPr>
                        <w:szCs w:val="24"/>
                        <w:lang w:eastAsia="lt-LT"/>
                      </w:rPr>
                    </w:pPr>
                    <w:r>
                      <w:rPr>
                        <w:szCs w:val="24"/>
                        <w:lang w:eastAsia="lt-LT"/>
                      </w:rPr>
                      <w:t>11.7.</w:t>
                    </w:r>
                  </w:p>
                </w:tc>
                <w:tc>
                  <w:tcPr>
                    <w:tcW w:w="5531" w:type="dxa"/>
                    <w:tcBorders>
                      <w:top w:val="nil"/>
                      <w:left w:val="single" w:sz="12" w:space="0" w:color="auto"/>
                      <w:bottom w:val="nil"/>
                      <w:right w:val="single" w:sz="12" w:space="0" w:color="auto"/>
                    </w:tcBorders>
                    <w:hideMark/>
                  </w:tcPr>
                  <w:p>
                    <w:pPr>
                      <w:jc w:val="both"/>
                      <w:rPr>
                        <w:szCs w:val="24"/>
                        <w:lang w:eastAsia="lt-LT"/>
                      </w:rPr>
                    </w:pPr>
                    <w:r>
                      <w:rPr>
                        <w:szCs w:val="24"/>
                        <w:lang w:eastAsia="lt-LT"/>
                      </w:rPr>
                      <w:t>Išvežiojamoji prekyba pageidaujamu maršrutu</w:t>
                    </w:r>
                    <w:r>
                      <w:rPr>
                        <w:szCs w:val="24"/>
                        <w:vertAlign w:val="superscript"/>
                        <w:lang w:eastAsia="lt-LT"/>
                      </w:rPr>
                      <w:t>3</w:t>
                    </w:r>
                  </w:p>
                </w:tc>
                <w:tc>
                  <w:tcPr>
                    <w:tcW w:w="1986" w:type="dxa"/>
                    <w:tcBorders>
                      <w:top w:val="nil"/>
                      <w:left w:val="single" w:sz="12" w:space="0" w:color="auto"/>
                      <w:bottom w:val="nil"/>
                      <w:right w:val="single" w:sz="12" w:space="0" w:color="auto"/>
                    </w:tcBorders>
                    <w:hideMark/>
                  </w:tcPr>
                  <w:p>
                    <w:pPr>
                      <w:jc w:val="both"/>
                      <w:rPr>
                        <w:szCs w:val="24"/>
                        <w:lang w:eastAsia="lt-LT"/>
                      </w:rPr>
                    </w:pPr>
                    <w:r>
                      <w:rPr>
                        <w:szCs w:val="24"/>
                        <w:lang w:eastAsia="lt-LT"/>
                      </w:rPr>
                      <w:t>2</w:t>
                    </w:r>
                  </w:p>
                  <w:p>
                    <w:pPr>
                      <w:rPr>
                        <w:szCs w:val="24"/>
                        <w:lang w:eastAsia="lt-LT"/>
                      </w:rPr>
                    </w:pPr>
                  </w:p>
                </w:tc>
                <w:tc>
                  <w:tcPr>
                    <w:tcW w:w="1276" w:type="dxa"/>
                    <w:tcBorders>
                      <w:top w:val="nil"/>
                      <w:left w:val="single" w:sz="12" w:space="0" w:color="auto"/>
                      <w:bottom w:val="nil"/>
                      <w:right w:val="single" w:sz="12" w:space="0" w:color="auto"/>
                    </w:tcBorders>
                    <w:hideMark/>
                  </w:tcPr>
                  <w:p>
                    <w:pPr>
                      <w:jc w:val="both"/>
                      <w:rPr>
                        <w:szCs w:val="24"/>
                        <w:lang w:eastAsia="lt-LT"/>
                      </w:rPr>
                    </w:pPr>
                  </w:p>
                </w:tc>
              </w:tr>
              <w:tr>
                <w:trPr>
                  <w:cantSplit/>
                  <w:trHeight w:val="284"/>
                </w:trPr>
                <w:tc>
                  <w:tcPr>
                    <w:tcW w:w="852" w:type="dxa"/>
                    <w:tcBorders>
                      <w:top w:val="nil"/>
                      <w:left w:val="single" w:sz="12" w:space="0" w:color="auto"/>
                      <w:bottom w:val="nil"/>
                      <w:right w:val="single" w:sz="12" w:space="0" w:color="auto"/>
                    </w:tcBorders>
                  </w:tcPr>
                  <w:p>
                    <w:pPr>
                      <w:jc w:val="both"/>
                      <w:rPr>
                        <w:szCs w:val="24"/>
                        <w:lang w:eastAsia="lt-LT"/>
                      </w:rPr>
                    </w:pPr>
                    <w:r>
                      <w:rPr>
                        <w:szCs w:val="24"/>
                        <w:lang w:eastAsia="lt-LT"/>
                      </w:rPr>
                      <w:t>11.8.</w:t>
                    </w:r>
                  </w:p>
                </w:tc>
                <w:tc>
                  <w:tcPr>
                    <w:tcW w:w="5531" w:type="dxa"/>
                    <w:tcBorders>
                      <w:top w:val="nil"/>
                      <w:left w:val="single" w:sz="12" w:space="0" w:color="auto"/>
                      <w:bottom w:val="nil"/>
                      <w:right w:val="single" w:sz="12" w:space="0" w:color="auto"/>
                    </w:tcBorders>
                  </w:tcPr>
                  <w:p>
                    <w:pPr>
                      <w:jc w:val="both"/>
                      <w:rPr>
                        <w:szCs w:val="24"/>
                        <w:vertAlign w:val="superscript"/>
                        <w:lang w:eastAsia="lt-LT"/>
                      </w:rPr>
                    </w:pPr>
                    <w:r>
                      <w:rPr>
                        <w:szCs w:val="24"/>
                        <w:lang w:eastAsia="lt-LT"/>
                      </w:rPr>
                      <w:t>Liepojos g. 27 prie prekybos centro</w:t>
                    </w:r>
                    <w:r>
                      <w:rPr>
                        <w:szCs w:val="24"/>
                        <w:vertAlign w:val="superscript"/>
                        <w:lang w:eastAsia="lt-LT"/>
                      </w:rPr>
                      <w:t>5</w:t>
                    </w:r>
                  </w:p>
                </w:tc>
                <w:tc>
                  <w:tcPr>
                    <w:tcW w:w="1986" w:type="dxa"/>
                    <w:tcBorders>
                      <w:top w:val="nil"/>
                      <w:left w:val="single" w:sz="12" w:space="0" w:color="auto"/>
                      <w:bottom w:val="nil"/>
                      <w:right w:val="single" w:sz="12" w:space="0" w:color="auto"/>
                    </w:tcBorders>
                  </w:tcPr>
                  <w:p>
                    <w:pPr>
                      <w:jc w:val="both"/>
                      <w:rPr>
                        <w:szCs w:val="24"/>
                        <w:lang w:eastAsia="lt-LT"/>
                      </w:rPr>
                    </w:pPr>
                    <w:r>
                      <w:rPr>
                        <w:szCs w:val="24"/>
                        <w:lang w:eastAsia="lt-LT"/>
                      </w:rPr>
                      <w:t>1</w:t>
                    </w:r>
                  </w:p>
                </w:tc>
                <w:tc>
                  <w:tcPr>
                    <w:tcW w:w="1276" w:type="dxa"/>
                    <w:tcBorders>
                      <w:top w:val="nil"/>
                      <w:left w:val="single" w:sz="12" w:space="0" w:color="auto"/>
                      <w:bottom w:val="nil"/>
                      <w:right w:val="single" w:sz="12" w:space="0" w:color="auto"/>
                    </w:tcBorders>
                  </w:tcPr>
                  <w:p>
                    <w:pPr>
                      <w:jc w:val="both"/>
                      <w:rPr>
                        <w:szCs w:val="24"/>
                        <w:lang w:eastAsia="lt-LT"/>
                      </w:rPr>
                    </w:pPr>
                    <w:r>
                      <w:rPr>
                        <w:szCs w:val="24"/>
                        <w:lang w:eastAsia="lt-LT"/>
                      </w:rPr>
                      <w:t>14</w:t>
                    </w:r>
                  </w:p>
                </w:tc>
              </w:tr>
              <w:tr>
                <w:trPr>
                  <w:cantSplit/>
                  <w:trHeight w:val="284"/>
                </w:trPr>
                <w:tc>
                  <w:tcPr>
                    <w:tcW w:w="852" w:type="dxa"/>
                    <w:tcBorders>
                      <w:top w:val="nil"/>
                      <w:left w:val="single" w:sz="12" w:space="0" w:color="auto"/>
                      <w:bottom w:val="nil"/>
                      <w:right w:val="single" w:sz="12" w:space="0" w:color="auto"/>
                    </w:tcBorders>
                  </w:tcPr>
                  <w:p>
                    <w:pPr>
                      <w:jc w:val="both"/>
                      <w:rPr>
                        <w:szCs w:val="24"/>
                        <w:lang w:eastAsia="lt-LT"/>
                      </w:rPr>
                    </w:pPr>
                    <w:r>
                      <w:rPr>
                        <w:szCs w:val="24"/>
                        <w:lang w:eastAsia="lt-LT"/>
                      </w:rPr>
                      <w:t>11.9.</w:t>
                    </w:r>
                  </w:p>
                </w:tc>
                <w:tc>
                  <w:tcPr>
                    <w:tcW w:w="5531" w:type="dxa"/>
                    <w:tcBorders>
                      <w:top w:val="nil"/>
                      <w:left w:val="single" w:sz="12" w:space="0" w:color="auto"/>
                      <w:bottom w:val="nil"/>
                      <w:right w:val="single" w:sz="12" w:space="0" w:color="auto"/>
                    </w:tcBorders>
                  </w:tcPr>
                  <w:p>
                    <w:pPr>
                      <w:jc w:val="both"/>
                      <w:rPr>
                        <w:szCs w:val="24"/>
                        <w:lang w:eastAsia="lt-LT"/>
                      </w:rPr>
                    </w:pPr>
                    <w:r>
                      <w:rPr>
                        <w:szCs w:val="24"/>
                        <w:lang w:eastAsia="lt-LT"/>
                      </w:rPr>
                      <w:t>Vėtros g. 8</w:t>
                    </w:r>
                    <w:r>
                      <w:rPr>
                        <w:szCs w:val="24"/>
                        <w:vertAlign w:val="superscript"/>
                        <w:lang w:eastAsia="lt-LT"/>
                      </w:rPr>
                      <w:t>6</w:t>
                    </w:r>
                  </w:p>
                </w:tc>
                <w:tc>
                  <w:tcPr>
                    <w:tcW w:w="1986" w:type="dxa"/>
                    <w:tcBorders>
                      <w:top w:val="nil"/>
                      <w:left w:val="single" w:sz="12" w:space="0" w:color="auto"/>
                      <w:bottom w:val="nil"/>
                      <w:right w:val="single" w:sz="12" w:space="0" w:color="auto"/>
                    </w:tcBorders>
                  </w:tcPr>
                  <w:p>
                    <w:pPr>
                      <w:jc w:val="both"/>
                      <w:rPr>
                        <w:szCs w:val="24"/>
                        <w:lang w:eastAsia="lt-LT"/>
                      </w:rPr>
                    </w:pPr>
                    <w:r>
                      <w:rPr>
                        <w:szCs w:val="24"/>
                        <w:lang w:eastAsia="lt-LT"/>
                      </w:rPr>
                      <w:t>1</w:t>
                    </w:r>
                  </w:p>
                </w:tc>
                <w:tc>
                  <w:tcPr>
                    <w:tcW w:w="1276" w:type="dxa"/>
                    <w:tcBorders>
                      <w:top w:val="nil"/>
                      <w:left w:val="single" w:sz="12" w:space="0" w:color="auto"/>
                      <w:bottom w:val="nil"/>
                      <w:right w:val="single" w:sz="12" w:space="0" w:color="auto"/>
                    </w:tcBorders>
                  </w:tcPr>
                  <w:p>
                    <w:pPr>
                      <w:jc w:val="both"/>
                      <w:rPr>
                        <w:szCs w:val="24"/>
                        <w:lang w:eastAsia="lt-LT"/>
                      </w:rPr>
                    </w:pPr>
                    <w:r>
                      <w:rPr>
                        <w:szCs w:val="24"/>
                        <w:lang w:eastAsia="lt-LT"/>
                      </w:rPr>
                      <w:t>39</w:t>
                    </w:r>
                  </w:p>
                </w:tc>
              </w:tr>
              <w:tr>
                <w:trPr>
                  <w:cantSplit/>
                  <w:trHeight w:val="284"/>
                </w:trPr>
                <w:tc>
                  <w:tcPr>
                    <w:tcW w:w="852" w:type="dxa"/>
                    <w:tcBorders>
                      <w:top w:val="nil"/>
                      <w:left w:val="single" w:sz="12" w:space="0" w:color="auto"/>
                      <w:bottom w:val="nil"/>
                      <w:right w:val="single" w:sz="12" w:space="0" w:color="auto"/>
                    </w:tcBorders>
                  </w:tcPr>
                  <w:p>
                    <w:pPr>
                      <w:jc w:val="both"/>
                      <w:rPr>
                        <w:szCs w:val="24"/>
                        <w:lang w:eastAsia="lt-LT"/>
                      </w:rPr>
                    </w:pPr>
                    <w:r>
                      <w:rPr>
                        <w:szCs w:val="24"/>
                        <w:lang w:eastAsia="lt-LT"/>
                      </w:rPr>
                      <w:t xml:space="preserve">11.10. </w:t>
                    </w:r>
                  </w:p>
                </w:tc>
                <w:tc>
                  <w:tcPr>
                    <w:tcW w:w="5531" w:type="dxa"/>
                    <w:tcBorders>
                      <w:top w:val="nil"/>
                      <w:left w:val="single" w:sz="12" w:space="0" w:color="auto"/>
                      <w:bottom w:val="nil"/>
                      <w:right w:val="single" w:sz="12" w:space="0" w:color="auto"/>
                    </w:tcBorders>
                  </w:tcPr>
                  <w:p>
                    <w:pPr>
                      <w:jc w:val="both"/>
                      <w:rPr>
                        <w:szCs w:val="24"/>
                        <w:lang w:eastAsia="lt-LT"/>
                      </w:rPr>
                    </w:pPr>
                    <w:r>
                      <w:rPr>
                        <w:szCs w:val="24"/>
                        <w:lang w:eastAsia="lt-LT"/>
                      </w:rPr>
                      <w:t>I Melnragės paplūdimio prieigos (Audros g.)</w:t>
                    </w:r>
                    <w:r>
                      <w:rPr>
                        <w:szCs w:val="24"/>
                        <w:vertAlign w:val="superscript"/>
                        <w:lang w:eastAsia="lt-LT"/>
                      </w:rPr>
                      <w:t>2,6</w:t>
                    </w:r>
                  </w:p>
                </w:tc>
                <w:tc>
                  <w:tcPr>
                    <w:tcW w:w="1986" w:type="dxa"/>
                    <w:tcBorders>
                      <w:top w:val="nil"/>
                      <w:left w:val="single" w:sz="12" w:space="0" w:color="auto"/>
                      <w:bottom w:val="nil"/>
                      <w:right w:val="single" w:sz="12" w:space="0" w:color="auto"/>
                    </w:tcBorders>
                  </w:tcPr>
                  <w:p>
                    <w:pPr>
                      <w:jc w:val="both"/>
                      <w:rPr>
                        <w:szCs w:val="24"/>
                        <w:lang w:eastAsia="lt-LT"/>
                      </w:rPr>
                    </w:pPr>
                    <w:r>
                      <w:rPr>
                        <w:szCs w:val="24"/>
                        <w:lang w:eastAsia="lt-LT"/>
                      </w:rPr>
                      <w:t>2</w:t>
                    </w:r>
                  </w:p>
                </w:tc>
                <w:tc>
                  <w:tcPr>
                    <w:tcW w:w="1276" w:type="dxa"/>
                    <w:tcBorders>
                      <w:top w:val="nil"/>
                      <w:left w:val="single" w:sz="12" w:space="0" w:color="auto"/>
                      <w:bottom w:val="nil"/>
                      <w:right w:val="single" w:sz="12" w:space="0" w:color="auto"/>
                    </w:tcBorders>
                  </w:tcPr>
                  <w:p>
                    <w:pPr>
                      <w:jc w:val="both"/>
                      <w:rPr>
                        <w:szCs w:val="24"/>
                        <w:lang w:eastAsia="lt-LT"/>
                      </w:rPr>
                    </w:pPr>
                    <w:r>
                      <w:rPr>
                        <w:szCs w:val="24"/>
                        <w:lang w:eastAsia="lt-LT"/>
                      </w:rPr>
                      <w:t>39</w:t>
                    </w:r>
                  </w:p>
                </w:tc>
              </w:tr>
              <w:tr>
                <w:trPr>
                  <w:cantSplit/>
                  <w:trHeight w:val="284"/>
                </w:trPr>
                <w:tc>
                  <w:tcPr>
                    <w:tcW w:w="852" w:type="dxa"/>
                    <w:tcBorders>
                      <w:top w:val="nil"/>
                      <w:left w:val="single" w:sz="12" w:space="0" w:color="auto"/>
                      <w:bottom w:val="nil"/>
                      <w:right w:val="single" w:sz="12" w:space="0" w:color="auto"/>
                    </w:tcBorders>
                  </w:tcPr>
                  <w:p>
                    <w:pPr>
                      <w:jc w:val="both"/>
                      <w:rPr>
                        <w:szCs w:val="24"/>
                        <w:lang w:eastAsia="lt-LT"/>
                      </w:rPr>
                    </w:pPr>
                    <w:r>
                      <w:rPr>
                        <w:szCs w:val="24"/>
                        <w:lang w:eastAsia="lt-LT"/>
                      </w:rPr>
                      <w:t xml:space="preserve">11.11. </w:t>
                    </w:r>
                  </w:p>
                </w:tc>
                <w:tc>
                  <w:tcPr>
                    <w:tcW w:w="5531" w:type="dxa"/>
                    <w:tcBorders>
                      <w:top w:val="nil"/>
                      <w:left w:val="single" w:sz="12" w:space="0" w:color="auto"/>
                      <w:bottom w:val="nil"/>
                      <w:right w:val="single" w:sz="12" w:space="0" w:color="auto"/>
                    </w:tcBorders>
                  </w:tcPr>
                  <w:p>
                    <w:pPr>
                      <w:jc w:val="both"/>
                      <w:rPr>
                        <w:szCs w:val="24"/>
                        <w:lang w:eastAsia="lt-LT"/>
                      </w:rPr>
                    </w:pPr>
                    <w:r>
                      <w:rPr>
                        <w:szCs w:val="24"/>
                        <w:lang w:eastAsia="lt-LT"/>
                      </w:rPr>
                      <w:t>II Melnragės paplūdimio prieigos</w:t>
                    </w:r>
                    <w:r>
                      <w:rPr>
                        <w:szCs w:val="24"/>
                        <w:vertAlign w:val="superscript"/>
                        <w:lang w:eastAsia="lt-LT"/>
                      </w:rPr>
                      <w:t>6</w:t>
                    </w:r>
                  </w:p>
                </w:tc>
                <w:tc>
                  <w:tcPr>
                    <w:tcW w:w="1986" w:type="dxa"/>
                    <w:tcBorders>
                      <w:top w:val="nil"/>
                      <w:left w:val="single" w:sz="12" w:space="0" w:color="auto"/>
                      <w:bottom w:val="nil"/>
                      <w:right w:val="single" w:sz="12" w:space="0" w:color="auto"/>
                    </w:tcBorders>
                  </w:tcPr>
                  <w:p>
                    <w:pPr>
                      <w:jc w:val="both"/>
                      <w:rPr>
                        <w:szCs w:val="24"/>
                        <w:lang w:eastAsia="lt-LT"/>
                      </w:rPr>
                    </w:pPr>
                    <w:r>
                      <w:rPr>
                        <w:szCs w:val="24"/>
                        <w:lang w:eastAsia="lt-LT"/>
                      </w:rPr>
                      <w:t>2</w:t>
                    </w:r>
                  </w:p>
                </w:tc>
                <w:tc>
                  <w:tcPr>
                    <w:tcW w:w="1276" w:type="dxa"/>
                    <w:tcBorders>
                      <w:top w:val="nil"/>
                      <w:left w:val="single" w:sz="12" w:space="0" w:color="auto"/>
                      <w:bottom w:val="nil"/>
                      <w:right w:val="single" w:sz="12" w:space="0" w:color="auto"/>
                    </w:tcBorders>
                  </w:tcPr>
                  <w:p>
                    <w:pPr>
                      <w:jc w:val="both"/>
                      <w:rPr>
                        <w:szCs w:val="24"/>
                        <w:lang w:eastAsia="lt-LT"/>
                      </w:rPr>
                    </w:pPr>
                    <w:r>
                      <w:rPr>
                        <w:szCs w:val="24"/>
                        <w:lang w:eastAsia="lt-LT"/>
                      </w:rPr>
                      <w:t>40</w:t>
                    </w:r>
                  </w:p>
                </w:tc>
              </w:tr>
              <w:tr>
                <w:trPr>
                  <w:cantSplit/>
                  <w:trHeight w:val="284"/>
                </w:trPr>
                <w:tc>
                  <w:tcPr>
                    <w:tcW w:w="852" w:type="dxa"/>
                    <w:tcBorders>
                      <w:top w:val="nil"/>
                      <w:left w:val="single" w:sz="12" w:space="0" w:color="auto"/>
                      <w:bottom w:val="nil"/>
                      <w:right w:val="single" w:sz="12" w:space="0" w:color="auto"/>
                    </w:tcBorders>
                  </w:tcPr>
                  <w:p>
                    <w:pPr>
                      <w:jc w:val="both"/>
                      <w:rPr>
                        <w:szCs w:val="24"/>
                        <w:lang w:eastAsia="lt-LT"/>
                      </w:rPr>
                    </w:pPr>
                    <w:r>
                      <w:rPr>
                        <w:szCs w:val="24"/>
                        <w:lang w:eastAsia="lt-LT"/>
                      </w:rPr>
                      <w:t>11.12.</w:t>
                    </w:r>
                  </w:p>
                </w:tc>
                <w:tc>
                  <w:tcPr>
                    <w:tcW w:w="5531" w:type="dxa"/>
                    <w:tcBorders>
                      <w:top w:val="nil"/>
                      <w:left w:val="single" w:sz="12" w:space="0" w:color="auto"/>
                      <w:bottom w:val="nil"/>
                      <w:right w:val="single" w:sz="12" w:space="0" w:color="auto"/>
                    </w:tcBorders>
                  </w:tcPr>
                  <w:p>
                    <w:pPr>
                      <w:jc w:val="both"/>
                      <w:rPr>
                        <w:szCs w:val="24"/>
                        <w:lang w:eastAsia="lt-LT"/>
                      </w:rPr>
                    </w:pPr>
                    <w:r>
                      <w:rPr>
                        <w:szCs w:val="24"/>
                        <w:lang w:eastAsia="lt-LT"/>
                      </w:rPr>
                      <w:t>Centrinio paplūdimio prieigos</w:t>
                    </w:r>
                    <w:r>
                      <w:rPr>
                        <w:szCs w:val="24"/>
                        <w:vertAlign w:val="superscript"/>
                        <w:lang w:eastAsia="lt-LT"/>
                      </w:rPr>
                      <w:t>6</w:t>
                    </w:r>
                  </w:p>
                </w:tc>
                <w:tc>
                  <w:tcPr>
                    <w:tcW w:w="1986" w:type="dxa"/>
                    <w:tcBorders>
                      <w:top w:val="nil"/>
                      <w:left w:val="single" w:sz="12" w:space="0" w:color="auto"/>
                      <w:bottom w:val="nil"/>
                      <w:right w:val="single" w:sz="12" w:space="0" w:color="auto"/>
                    </w:tcBorders>
                  </w:tcPr>
                  <w:p>
                    <w:pPr>
                      <w:jc w:val="both"/>
                      <w:rPr>
                        <w:szCs w:val="24"/>
                        <w:lang w:eastAsia="lt-LT"/>
                      </w:rPr>
                    </w:pPr>
                    <w:r>
                      <w:rPr>
                        <w:szCs w:val="24"/>
                        <w:lang w:eastAsia="lt-LT"/>
                      </w:rPr>
                      <w:t>2</w:t>
                    </w:r>
                  </w:p>
                </w:tc>
                <w:tc>
                  <w:tcPr>
                    <w:tcW w:w="1276" w:type="dxa"/>
                    <w:tcBorders>
                      <w:top w:val="nil"/>
                      <w:left w:val="single" w:sz="12" w:space="0" w:color="auto"/>
                      <w:bottom w:val="nil"/>
                      <w:right w:val="single" w:sz="12" w:space="0" w:color="auto"/>
                    </w:tcBorders>
                  </w:tcPr>
                  <w:p>
                    <w:pPr>
                      <w:jc w:val="both"/>
                      <w:rPr>
                        <w:szCs w:val="24"/>
                        <w:lang w:eastAsia="lt-LT"/>
                      </w:rPr>
                    </w:pPr>
                    <w:r>
                      <w:rPr>
                        <w:szCs w:val="24"/>
                        <w:lang w:eastAsia="lt-LT"/>
                      </w:rPr>
                      <w:t>41</w:t>
                    </w:r>
                  </w:p>
                </w:tc>
              </w:tr>
              <w:tr>
                <w:trPr>
                  <w:cantSplit/>
                  <w:trHeight w:val="284"/>
                </w:trPr>
                <w:tc>
                  <w:tcPr>
                    <w:tcW w:w="852" w:type="dxa"/>
                    <w:tcBorders>
                      <w:top w:val="nil"/>
                      <w:left w:val="single" w:sz="12" w:space="0" w:color="auto"/>
                      <w:bottom w:val="single" w:sz="12" w:space="0" w:color="auto"/>
                      <w:right w:val="single" w:sz="12" w:space="0" w:color="auto"/>
                    </w:tcBorders>
                  </w:tcPr>
                  <w:p>
                    <w:pPr>
                      <w:jc w:val="both"/>
                      <w:rPr>
                        <w:szCs w:val="24"/>
                        <w:lang w:eastAsia="lt-LT"/>
                      </w:rPr>
                    </w:pPr>
                    <w:r>
                      <w:rPr>
                        <w:szCs w:val="24"/>
                        <w:lang w:eastAsia="lt-LT"/>
                      </w:rPr>
                      <w:t xml:space="preserve">11.13. </w:t>
                    </w:r>
                  </w:p>
                </w:tc>
                <w:tc>
                  <w:tcPr>
                    <w:tcW w:w="5531" w:type="dxa"/>
                    <w:tcBorders>
                      <w:top w:val="nil"/>
                      <w:left w:val="single" w:sz="12" w:space="0" w:color="auto"/>
                      <w:bottom w:val="single" w:sz="12" w:space="0" w:color="auto"/>
                      <w:right w:val="single" w:sz="12" w:space="0" w:color="auto"/>
                    </w:tcBorders>
                  </w:tcPr>
                  <w:p>
                    <w:pPr>
                      <w:jc w:val="both"/>
                      <w:rPr>
                        <w:szCs w:val="24"/>
                        <w:lang w:eastAsia="lt-LT"/>
                      </w:rPr>
                    </w:pPr>
                    <w:r>
                      <w:rPr>
                        <w:szCs w:val="24"/>
                        <w:lang w:eastAsia="lt-LT"/>
                      </w:rPr>
                      <w:t>I Girulių paplūdimio prieigos</w:t>
                    </w:r>
                    <w:r>
                      <w:rPr>
                        <w:szCs w:val="24"/>
                        <w:vertAlign w:val="superscript"/>
                        <w:lang w:eastAsia="lt-LT"/>
                      </w:rPr>
                      <w:t>6</w:t>
                    </w:r>
                  </w:p>
                </w:tc>
                <w:tc>
                  <w:tcPr>
                    <w:tcW w:w="1986" w:type="dxa"/>
                    <w:tcBorders>
                      <w:top w:val="nil"/>
                      <w:left w:val="single" w:sz="12" w:space="0" w:color="auto"/>
                      <w:bottom w:val="single" w:sz="12" w:space="0" w:color="auto"/>
                      <w:right w:val="single" w:sz="12" w:space="0" w:color="auto"/>
                    </w:tcBorders>
                  </w:tcPr>
                  <w:p>
                    <w:pPr>
                      <w:jc w:val="both"/>
                      <w:rPr>
                        <w:szCs w:val="24"/>
                        <w:lang w:eastAsia="lt-LT"/>
                      </w:rPr>
                    </w:pPr>
                    <w:r>
                      <w:rPr>
                        <w:szCs w:val="24"/>
                        <w:lang w:eastAsia="lt-LT"/>
                      </w:rPr>
                      <w:t>1</w:t>
                    </w:r>
                  </w:p>
                </w:tc>
                <w:tc>
                  <w:tcPr>
                    <w:tcW w:w="1276" w:type="dxa"/>
                    <w:tcBorders>
                      <w:top w:val="nil"/>
                      <w:left w:val="single" w:sz="12" w:space="0" w:color="auto"/>
                      <w:bottom w:val="single" w:sz="12" w:space="0" w:color="auto"/>
                      <w:right w:val="single" w:sz="12" w:space="0" w:color="auto"/>
                    </w:tcBorders>
                  </w:tcPr>
                  <w:p>
                    <w:pPr>
                      <w:jc w:val="both"/>
                      <w:rPr>
                        <w:szCs w:val="24"/>
                        <w:lang w:eastAsia="lt-LT"/>
                      </w:rPr>
                    </w:pPr>
                    <w:r>
                      <w:rPr>
                        <w:szCs w:val="24"/>
                        <w:lang w:eastAsia="lt-LT"/>
                      </w:rPr>
                      <w:t>42</w:t>
                    </w:r>
                  </w:p>
                </w:tc>
              </w:tr>
            </w:tbl>
            <w:p>
              <w:pPr>
                <w:ind w:firstLine="6634"/>
                <w:jc w:val="both"/>
                <w:rPr>
                  <w:szCs w:val="24"/>
                  <w:lang w:eastAsia="lt-LT"/>
                </w:rPr>
              </w:pPr>
              <w:r>
                <w:rPr>
                  <w:szCs w:val="24"/>
                  <w:lang w:eastAsia="lt-LT"/>
                </w:rPr>
                <w:t>Iš viso: 18</w:t>
              </w:r>
            </w:p>
            <w:p>
              <w:pPr>
                <w:jc w:val="both"/>
                <w:rPr>
                  <w:szCs w:val="24"/>
                  <w:lang w:eastAsia="lt-LT"/>
                </w:rPr>
              </w:pPr>
              <w:r>
                <w:rPr>
                  <w:szCs w:val="24"/>
                  <w:lang w:eastAsia="lt-LT"/>
                </w:rPr>
                <w:t>¹Išvežiojamoji prekyba iš specializuotų automobilių, automobilių priekabų leidžiama, jeigu jų stovėjimas konkrečioje vietovėje netrukdo kelių eismui ir (ar) tai daryti nedraudžia Kelių eismo taisyklės. Už prekybai skirtos transporto priemonės stovėjimą mokamoje vietoje turi būti mokama nustatyta vietinė rinkliava. Kiekvieną dieną, baigęs prekybą (iki 24.00 val.), specializuotas automobilis, automobilio priekaba (maisto vagonėlis) turi būti pašalintas iš stovėjimo vietos.</w:t>
              </w:r>
            </w:p>
            <w:p>
              <w:pPr>
                <w:jc w:val="both"/>
                <w:rPr>
                  <w:szCs w:val="24"/>
                  <w:lang w:eastAsia="lt-LT"/>
                </w:rPr>
              </w:pPr>
              <w:r>
                <w:rPr>
                  <w:szCs w:val="24"/>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 (išskyrus 11.8.).</w:t>
              </w:r>
            </w:p>
            <w:p>
              <w:pPr>
                <w:jc w:val="both"/>
                <w:rPr>
                  <w:szCs w:val="24"/>
                  <w:lang w:eastAsia="lt-LT"/>
                </w:rPr>
              </w:pPr>
              <w:r>
                <w:rPr>
                  <w:szCs w:val="24"/>
                  <w:lang w:eastAsia="lt-LT"/>
                </w:rPr>
                <w:t>²Prekyba leidžiama tik iš mažų lengvųjų nekrovininių ir nekomercinių automobilių (iki 5 sėdimų vietų), pritaikytų prekybai maisto produktais, be papildomos išnešamosios įrangos prie lengvojo automobilio.</w:t>
              </w:r>
            </w:p>
            <w:p>
              <w:pPr>
                <w:jc w:val="both"/>
                <w:rPr>
                  <w:szCs w:val="24"/>
                  <w:lang w:eastAsia="lt-LT"/>
                </w:rPr>
              </w:pPr>
              <w:r>
                <w:rPr>
                  <w:szCs w:val="24"/>
                  <w:lang w:eastAsia="lt-LT"/>
                </w:rPr>
                <w:t>³Išvežiojamajai prekybai pageidaujamu maršrutu turi pritarti Nuolatinė komisija, patvirtinta Savivaldybės administracijos direktoriaus 2025 m. balandžio 3 d. įsakymu Nr. AD1-249 „Dėl Nuolatinės komisijos Klaipėdos miesto savivaldybės viešųjų vietų prekiauti ir teikti paslaugas nuo (iš) laikinųjų įrenginių klausimams spręsti sudarymo“.</w:t>
              </w:r>
            </w:p>
            <w:p>
              <w:pPr>
                <w:jc w:val="both"/>
                <w:rPr>
                  <w:szCs w:val="24"/>
                  <w:lang w:eastAsia="lt-LT"/>
                </w:rPr>
              </w:pPr>
              <w:r>
                <w:rPr>
                  <w:szCs w:val="24"/>
                  <w:vertAlign w:val="superscript"/>
                  <w:lang w:eastAsia="lt-LT"/>
                </w:rPr>
                <w:t>4</w:t>
              </w:r>
              <w:r>
                <w:rPr>
                  <w:szCs w:val="24"/>
                  <w:lang w:eastAsia="lt-LT"/>
                </w:rPr>
                <w:t>Leidimas veiklai išduodamas tik pateikus Kuršių nerijos nacionalinio parko direkcijos sutikimą.</w:t>
              </w:r>
            </w:p>
            <w:p>
              <w:pPr>
                <w:jc w:val="both"/>
                <w:rPr>
                  <w:szCs w:val="24"/>
                  <w:lang w:eastAsia="lt-LT"/>
                </w:rPr>
              </w:pPr>
              <w:r>
                <w:rPr>
                  <w:szCs w:val="24"/>
                  <w:vertAlign w:val="superscript"/>
                  <w:lang w:eastAsia="lt-LT"/>
                </w:rPr>
                <w:t>5</w:t>
              </w:r>
              <w:r>
                <w:rPr>
                  <w:szCs w:val="24"/>
                  <w:lang w:eastAsia="lt-LT"/>
                </w:rPr>
                <w:t>Prekiauti žuvimi ir žuvies produktais leidžiama pateikus prekybos centro vystytojo sutikimą naudotis elektra.</w:t>
              </w:r>
            </w:p>
            <w:p>
              <w:pPr>
                <w:jc w:val="both"/>
                <w:rPr>
                  <w:b/>
                  <w:szCs w:val="24"/>
                </w:rPr>
              </w:pPr>
              <w:r>
                <w:rPr>
                  <w:szCs w:val="24"/>
                  <w:vertAlign w:val="superscript"/>
                  <w:lang w:eastAsia="lt-LT"/>
                </w:rPr>
                <w:t>6</w:t>
              </w:r>
              <w:r>
                <w:rPr>
                  <w:szCs w:val="24"/>
                  <w:lang w:eastAsia="lt-LT"/>
                </w:rPr>
                <w:t>Veikla vykdoma nuo kovo 2 d. iki gruodžio 31 d. ir vienam asmeniui išduodamas tik vienas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68bf0246111f1a552c76556910e9c">
                <w:r w:rsidRPr="00532B9F">
                  <w:rPr>
                    <w:rFonts w:ascii="Times New Roman" w:eastAsia="MS Mincho" w:hAnsi="Times New Roman"/>
                    <w:sz w:val="20"/>
                    <w:i/>
                    <w:iCs/>
                    <w:color w:val="0000FF" w:themeColor="hyperlink"/>
                    <w:u w:val="single"/>
                  </w:rPr>
                  <w:t>AD1-227</w:t>
                </w:r>
              </w:fldSimple>
              <w:r>
                <w:rPr>
                  <w:rFonts w:ascii="Times New Roman" w:eastAsia="MS Mincho" w:hAnsi="Times New Roman"/>
                  <w:sz w:val="20"/>
                  <w:i/>
                  <w:iCs/>
                </w:rPr>
                <w:t>,
2026-03-20,
paskelbta TAR 2026-03-20, i. k. 2026-04425            </w:t>
              </w:r>
            </w:p>
            <w:p/>
          </w:sdtContent>
        </w:sdt>
        <w:sdt>
          <w:sdtPr>
            <w:alias w:val="12 p."/>
            <w:tag w:val="part_02815c2b8a5644ac8356b194e76316f6"/>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2026-03-02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sdtContent>
        </w:sdt>
        <w:sdt>
          <w:sdtPr>
            <w:alias w:val="13 p."/>
            <w:tag w:val="part_7a1549c7f333497dbb5f92eb6ecfba29"/>
            <w:lock w:val="sdtLocked"/>
            <w:richText/>
          </w:sdtPr>
          <w:sdtContent>
            <w:p>
              <w:pPr>
                <w:jc w:val="both"/>
                <w:rPr>
                  <w:b/>
                  <w:szCs w:val="24"/>
                </w:rPr>
              </w:pPr>
              <w:sdt>
                <w:sdtPr>
                  <w:alias w:val="Numeris"/>
                  <w:tag w:val="nr_7a1549c7f333497dbb5f92eb6ecfba29"/>
                  <w:lock w:val="sdtLocked"/>
                  <w:richText/>
                </w:sdtPr>
                <w:sdtContent>
                  <w:r>
                    <w:rPr>
                      <w:b/>
                      <w:szCs w:val="24"/>
                    </w:rPr>
                    <w:t>13</w:t>
                  </w:r>
                </w:sdtContent>
              </w:sdt>
              <w:r>
                <w:rPr>
                  <w:b/>
                  <w:szCs w:val="24"/>
                </w:rPr>
                <w:t>. Vietos prekiauti gėlėmis švenčių ir atmintinų dienų proga¹</w:t>
              </w:r>
            </w:p>
            <w:p>
              <w:pPr>
                <w:jc w:val="both"/>
                <w:rPr>
                  <w:b/>
                  <w:szCs w:val="24"/>
                </w:rPr>
              </w:pPr>
            </w:p>
            <w:tbl>
              <w:tblPr>
                <w:tblW w:w="94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5"/>
                <w:gridCol w:w="5880"/>
                <w:gridCol w:w="1276"/>
                <w:gridCol w:w="1242"/>
              </w:tblGrid>
              <w:tr>
                <w:tc>
                  <w:tcPr>
                    <w:tcW w:w="1085"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 Nr.</w:t>
                    </w:r>
                  </w:p>
                </w:tc>
                <w:tc>
                  <w:tcPr>
                    <w:tcW w:w="5880"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Vietų skaičius</w:t>
                    </w:r>
                  </w:p>
                </w:tc>
                <w:tc>
                  <w:tcPr>
                    <w:tcW w:w="1242"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 xml:space="preserve">Priedo </w:t>
                    </w:r>
                  </w:p>
                  <w:p>
                    <w:pPr>
                      <w:jc w:val="both"/>
                      <w:rPr>
                        <w:b/>
                        <w:szCs w:val="24"/>
                      </w:rPr>
                    </w:pPr>
                    <w:r>
                      <w:rPr>
                        <w:b/>
                        <w:szCs w:val="24"/>
                      </w:rPr>
                      <w:t>Nr.</w:t>
                    </w:r>
                  </w:p>
                </w:tc>
              </w:tr>
              <w:tr>
                <w:tc>
                  <w:tcPr>
                    <w:tcW w:w="1085"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1</w:t>
                    </w:r>
                  </w:p>
                </w:tc>
                <w:tc>
                  <w:tcPr>
                    <w:tcW w:w="5880"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2</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3</w:t>
                    </w:r>
                  </w:p>
                </w:tc>
                <w:tc>
                  <w:tcPr>
                    <w:tcW w:w="1242"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4</w:t>
                    </w:r>
                  </w:p>
                </w:tc>
              </w:tr>
              <w:tr>
                <w:tc>
                  <w:tcPr>
                    <w:tcW w:w="1085" w:type="dxa"/>
                    <w:tcBorders>
                      <w:top w:val="single" w:sz="12" w:space="0" w:color="auto"/>
                      <w:left w:val="single" w:sz="12" w:space="0" w:color="auto"/>
                      <w:bottom w:val="nil"/>
                      <w:right w:val="single" w:sz="12" w:space="0" w:color="auto"/>
                    </w:tcBorders>
                    <w:vAlign w:val="center"/>
                    <w:hideMark/>
                  </w:tcPr>
                  <w:p>
                    <w:pPr>
                      <w:jc w:val="both"/>
                      <w:rPr>
                        <w:bCs/>
                        <w:szCs w:val="24"/>
                      </w:rPr>
                    </w:pPr>
                    <w:r>
                      <w:rPr>
                        <w:bCs/>
                        <w:szCs w:val="24"/>
                      </w:rPr>
                      <w:t>13.1.</w:t>
                    </w:r>
                  </w:p>
                </w:tc>
                <w:tc>
                  <w:tcPr>
                    <w:tcW w:w="5880" w:type="dxa"/>
                    <w:tcBorders>
                      <w:top w:val="single" w:sz="12" w:space="0" w:color="auto"/>
                      <w:left w:val="single" w:sz="12" w:space="0" w:color="auto"/>
                      <w:bottom w:val="nil"/>
                      <w:right w:val="single" w:sz="12" w:space="0" w:color="auto"/>
                    </w:tcBorders>
                    <w:hideMark/>
                  </w:tcPr>
                  <w:p>
                    <w:pPr>
                      <w:jc w:val="both"/>
                      <w:rPr>
                        <w:bCs/>
                        <w:szCs w:val="24"/>
                      </w:rPr>
                    </w:pPr>
                    <w:r>
                      <w:rPr>
                        <w:bCs/>
                        <w:szCs w:val="24"/>
                      </w:rPr>
                      <w:t>Vingio g. 29 prieš parduotuvę prie autobusų stotelės</w:t>
                    </w:r>
                  </w:p>
                </w:tc>
                <w:tc>
                  <w:tcPr>
                    <w:tcW w:w="1276" w:type="dxa"/>
                    <w:tcBorders>
                      <w:top w:val="single" w:sz="12" w:space="0" w:color="auto"/>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single" w:sz="12" w:space="0" w:color="auto"/>
                      <w:left w:val="single" w:sz="12" w:space="0" w:color="auto"/>
                      <w:bottom w:val="nil"/>
                      <w:right w:val="single" w:sz="12" w:space="0" w:color="auto"/>
                    </w:tcBorders>
                    <w:hideMark/>
                  </w:tcPr>
                  <w:p>
                    <w:pPr>
                      <w:jc w:val="both"/>
                      <w:rPr>
                        <w:bCs/>
                        <w:szCs w:val="24"/>
                      </w:rPr>
                    </w:pPr>
                    <w:r>
                      <w:rPr>
                        <w:bCs/>
                        <w:szCs w:val="24"/>
                      </w:rPr>
                      <w:t>28</w:t>
                    </w:r>
                  </w:p>
                </w:tc>
              </w:tr>
              <w:tr>
                <w:trPr>
                  <w:trHeight w:val="244"/>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Vingio g. 41</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28</w:t>
                    </w:r>
                  </w:p>
                </w:tc>
              </w:tr>
              <w:tr>
                <w:trPr>
                  <w:trHeight w:val="277"/>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Debreceno g. 54A</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31</w:t>
                    </w:r>
                  </w:p>
                </w:tc>
              </w:tr>
              <w:t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13.4.</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 xml:space="preserve">Laukininkų g. 21 prieš prekybos centrą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28</w:t>
                    </w:r>
                  </w:p>
                </w:tc>
              </w:tr>
              <w:t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13.5.</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 xml:space="preserve">Taikos pr. 101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3</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25</w:t>
                    </w:r>
                  </w:p>
                </w:tc>
              </w:tr>
              <w:t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13.6.</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J. Janonio g. 1</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4</w:t>
                    </w:r>
                  </w:p>
                </w:tc>
              </w:tr>
              <w:t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13.7.</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H. Manto g. 15 prie kioskų</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4</w:t>
                    </w:r>
                  </w:p>
                </w:tc>
              </w:tr>
              <w:tr>
                <w:trPr>
                  <w:trHeight w:val="124"/>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13.8.</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8 prie parduotuvės</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3</w:t>
                    </w:r>
                  </w:p>
                </w:tc>
              </w:tr>
              <w:tr>
                <w:trPr>
                  <w:trHeight w:val="200"/>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13.9.</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tarp namų Nr. 33 ir Nr. 35</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22</w:t>
                    </w:r>
                  </w:p>
                </w:tc>
              </w:tr>
              <w:tr>
                <w:trPr>
                  <w:trHeight w:val="134"/>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13.10.</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52C prie verslo centro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23</w:t>
                    </w:r>
                  </w:p>
                </w:tc>
              </w:tr>
              <w:tr>
                <w:trPr>
                  <w:trHeight w:val="237"/>
                </w:trPr>
                <w:tc>
                  <w:tcPr>
                    <w:tcW w:w="1085" w:type="dxa"/>
                    <w:tcBorders>
                      <w:top w:val="nil"/>
                      <w:left w:val="single" w:sz="12" w:space="0" w:color="auto"/>
                      <w:bottom w:val="nil"/>
                      <w:right w:val="single" w:sz="12" w:space="0" w:color="auto"/>
                    </w:tcBorders>
                    <w:hideMark/>
                  </w:tcPr>
                  <w:p>
                    <w:pPr>
                      <w:rPr>
                        <w:bCs/>
                        <w:szCs w:val="24"/>
                      </w:rPr>
                    </w:pPr>
                    <w:r>
                      <w:rPr>
                        <w:bCs/>
                        <w:szCs w:val="24"/>
                      </w:rPr>
                      <w:t>13.11.</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115, pėsčiųjų tako pakraštyje prie prekybos centro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4</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26</w:t>
                    </w:r>
                  </w:p>
                </w:tc>
              </w:tr>
              <w:tr>
                <w:trPr>
                  <w:trHeight w:val="172"/>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13.12.</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24 prie spaudos kiosko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4</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22</w:t>
                    </w:r>
                  </w:p>
                </w:tc>
              </w:tr>
              <w:tr>
                <w:trPr>
                  <w:trHeight w:val="106"/>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13.13.</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M. Mažvydo al. tarp namų Nr. 9 ir Nr. 11</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4</w:t>
                    </w:r>
                  </w:p>
                </w:tc>
              </w:tr>
              <w:tr>
                <w:trPr>
                  <w:trHeight w:val="195"/>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13.14.</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Vingio g. 14A</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29</w:t>
                    </w:r>
                  </w:p>
                </w:tc>
              </w:tr>
              <w:tr>
                <w:trPr>
                  <w:trHeight w:val="130"/>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13.15.</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Vingio g. 16B</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29</w:t>
                    </w:r>
                  </w:p>
                </w:tc>
              </w:tr>
              <w:tr>
                <w:trPr>
                  <w:trHeight w:val="342"/>
                </w:trPr>
                <w:tc>
                  <w:tcPr>
                    <w:tcW w:w="1085" w:type="dxa"/>
                    <w:tcBorders>
                      <w:top w:val="nil"/>
                      <w:left w:val="single" w:sz="12" w:space="0" w:color="auto"/>
                      <w:bottom w:val="nil"/>
                      <w:right w:val="single" w:sz="12" w:space="0" w:color="auto"/>
                    </w:tcBorders>
                    <w:vAlign w:val="center"/>
                  </w:tcPr>
                  <w:p>
                    <w:pPr>
                      <w:jc w:val="both"/>
                      <w:rPr>
                        <w:bCs/>
                        <w:szCs w:val="24"/>
                      </w:rPr>
                    </w:pPr>
                    <w:r>
                      <w:rPr>
                        <w:bCs/>
                        <w:szCs w:val="24"/>
                      </w:rPr>
                      <w:t>13.16.</w:t>
                    </w:r>
                  </w:p>
                  <w:p>
                    <w:pPr>
                      <w:jc w:val="both"/>
                      <w:rPr>
                        <w:bCs/>
                        <w:szCs w:val="24"/>
                      </w:rPr>
                    </w:pPr>
                  </w:p>
                </w:tc>
                <w:tc>
                  <w:tcPr>
                    <w:tcW w:w="5880" w:type="dxa"/>
                    <w:tcBorders>
                      <w:top w:val="nil"/>
                      <w:left w:val="single" w:sz="12" w:space="0" w:color="auto"/>
                      <w:bottom w:val="nil"/>
                      <w:right w:val="single" w:sz="12" w:space="0" w:color="auto"/>
                    </w:tcBorders>
                    <w:hideMark/>
                  </w:tcPr>
                  <w:p>
                    <w:pPr>
                      <w:jc w:val="both"/>
                      <w:rPr>
                        <w:bCs/>
                        <w:szCs w:val="24"/>
                      </w:rPr>
                    </w:pPr>
                    <w:r>
                      <w:rPr>
                        <w:bCs/>
                        <w:szCs w:val="24"/>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18</w:t>
                    </w:r>
                  </w:p>
                </w:tc>
              </w:tr>
              <w:tr>
                <w:trPr>
                  <w:trHeight w:val="241"/>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13.17.</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Danės g. 19</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w:t>
                    </w:r>
                  </w:p>
                </w:tc>
              </w:tr>
              <w:tr>
                <w:trPr>
                  <w:trHeight w:val="252"/>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13.18.</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Dragūnų g. 2</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14</w:t>
                    </w:r>
                  </w:p>
                </w:tc>
              </w:tr>
              <w:tr>
                <w:trPr>
                  <w:trHeight w:val="80"/>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13.19.</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Vilhelmo Berbomo g. 2</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16</w:t>
                    </w:r>
                  </w:p>
                </w:tc>
              </w:tr>
              <w:tr>
                <w:trPr>
                  <w:trHeight w:val="148"/>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13.20.</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Kretingos g. 83</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38</w:t>
                    </w:r>
                  </w:p>
                </w:tc>
              </w:tr>
              <w:tr>
                <w:trPr>
                  <w:trHeight w:val="223"/>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13.21.</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Priestočio g. 24, prie autobusų stoties spaudos kiosko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10</w:t>
                    </w:r>
                  </w:p>
                </w:tc>
              </w:tr>
              <w:tr>
                <w:trPr>
                  <w:trHeight w:val="172"/>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13.22.</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H. Manto g. 36</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4</w:t>
                    </w:r>
                  </w:p>
                </w:tc>
              </w:tr>
              <w:tr>
                <w:trPr>
                  <w:trHeight w:val="248"/>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13.23.</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Lietuvininkų a. schemoje nurodytoje vietoje²</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4</w:t>
                    </w:r>
                  </w:p>
                </w:tc>
              </w:tr>
              <w:tr>
                <w:trPr>
                  <w:trHeight w:val="182"/>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13.24.</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Debreceno g. 16</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31</w:t>
                    </w:r>
                  </w:p>
                </w:tc>
              </w:tr>
              <w:tr>
                <w:trPr>
                  <w:trHeight w:val="154"/>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13.25.</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15</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3</w:t>
                    </w:r>
                  </w:p>
                </w:tc>
              </w:tr>
              <w:tr>
                <w:trPr>
                  <w:trHeight w:val="177"/>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13.26.</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76</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25</w:t>
                    </w:r>
                  </w:p>
                </w:tc>
              </w:tr>
              <w:tr>
                <w:trPr>
                  <w:trHeight w:val="126"/>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13.27.</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82</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26</w:t>
                    </w:r>
                  </w:p>
                </w:tc>
              </w:tr>
              <w:tr>
                <w:trPr>
                  <w:trHeight w:val="215"/>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13.28.</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Šiaulių g. 1</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34</w:t>
                    </w:r>
                  </w:p>
                </w:tc>
              </w:tr>
              <w:tr>
                <w:trPr>
                  <w:trHeight w:val="206"/>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13.29.</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137</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27</w:t>
                    </w:r>
                  </w:p>
                </w:tc>
              </w:tr>
              <w:tr>
                <w:trPr>
                  <w:trHeight w:val="223"/>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13.30.</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I. Simonaitytės g. 32</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29</w:t>
                    </w:r>
                  </w:p>
                </w:tc>
              </w:tr>
              <w:tr>
                <w:trPr>
                  <w:trHeight w:val="242"/>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13.31.</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Vyturio g. 21A</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28</w:t>
                    </w:r>
                  </w:p>
                </w:tc>
              </w:tr>
              <w:tr>
                <w:trPr>
                  <w:trHeight w:val="231"/>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13.32.</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Vaidaugų g. 1</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28</w:t>
                    </w:r>
                  </w:p>
                </w:tc>
              </w:tr>
              <w:tr>
                <w:trPr>
                  <w:trHeight w:val="250"/>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13.33.</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Budelkiemio g. 15</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28</w:t>
                    </w:r>
                  </w:p>
                </w:tc>
              </w:tr>
              <w:tr>
                <w:trPr>
                  <w:trHeight w:val="111"/>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13.34.</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Naikupės g. 18</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32</w:t>
                    </w:r>
                  </w:p>
                </w:tc>
              </w:tr>
              <w:tr>
                <w:trPr>
                  <w:trHeight w:val="133"/>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13.35.</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H. Manto g. 8</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4</w:t>
                    </w:r>
                  </w:p>
                </w:tc>
              </w:tr>
              <w:tr>
                <w:trPr>
                  <w:trHeight w:val="124"/>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13.36.</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S. Daukanto g. 19</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4</w:t>
                    </w:r>
                  </w:p>
                </w:tc>
              </w:tr>
              <w:tr>
                <w:trPr>
                  <w:trHeight w:val="80"/>
                </w:trPr>
                <w:tc>
                  <w:tcPr>
                    <w:tcW w:w="1085" w:type="dxa"/>
                    <w:tcBorders>
                      <w:top w:val="nil"/>
                      <w:left w:val="single" w:sz="12" w:space="0" w:color="auto"/>
                      <w:bottom w:val="single" w:sz="12" w:space="0" w:color="auto"/>
                      <w:right w:val="single" w:sz="12" w:space="0" w:color="auto"/>
                    </w:tcBorders>
                    <w:vAlign w:val="center"/>
                    <w:hideMark/>
                  </w:tcPr>
                  <w:p>
                    <w:pPr>
                      <w:jc w:val="both"/>
                      <w:rPr>
                        <w:bCs/>
                        <w:szCs w:val="24"/>
                      </w:rPr>
                    </w:pPr>
                    <w:r>
                      <w:rPr>
                        <w:bCs/>
                        <w:szCs w:val="24"/>
                      </w:rPr>
                      <w:t>13.37.</w:t>
                    </w:r>
                  </w:p>
                </w:tc>
                <w:tc>
                  <w:tcPr>
                    <w:tcW w:w="5880" w:type="dxa"/>
                    <w:tcBorders>
                      <w:top w:val="nil"/>
                      <w:left w:val="single" w:sz="12" w:space="0" w:color="auto"/>
                      <w:bottom w:val="single" w:sz="12" w:space="0" w:color="auto"/>
                      <w:right w:val="single" w:sz="12" w:space="0" w:color="auto"/>
                    </w:tcBorders>
                    <w:hideMark/>
                  </w:tcPr>
                  <w:p>
                    <w:pPr>
                      <w:jc w:val="both"/>
                      <w:rPr>
                        <w:bCs/>
                        <w:szCs w:val="24"/>
                      </w:rPr>
                    </w:pPr>
                    <w:r>
                      <w:rPr>
                        <w:bCs/>
                        <w:szCs w:val="24"/>
                      </w:rPr>
                      <w:t>Jono g. 6</w:t>
                    </w:r>
                  </w:p>
                </w:tc>
                <w:tc>
                  <w:tcPr>
                    <w:tcW w:w="1276" w:type="dxa"/>
                    <w:tcBorders>
                      <w:top w:val="nil"/>
                      <w:left w:val="single" w:sz="12" w:space="0" w:color="auto"/>
                      <w:bottom w:val="single" w:sz="12" w:space="0" w:color="auto"/>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single" w:sz="12" w:space="0" w:color="auto"/>
                      <w:right w:val="single" w:sz="12" w:space="0" w:color="auto"/>
                    </w:tcBorders>
                    <w:hideMark/>
                  </w:tcPr>
                  <w:p>
                    <w:pPr>
                      <w:jc w:val="both"/>
                      <w:rPr>
                        <w:bCs/>
                        <w:szCs w:val="24"/>
                      </w:rPr>
                    </w:pPr>
                    <w:r>
                      <w:rPr>
                        <w:bCs/>
                        <w:szCs w:val="24"/>
                      </w:rPr>
                      <w:t>2</w:t>
                    </w:r>
                  </w:p>
                </w:tc>
              </w:tr>
            </w:tbl>
            <w:p>
              <w:pPr>
                <w:ind w:firstLine="7371"/>
                <w:rPr>
                  <w:bCs/>
                  <w:szCs w:val="24"/>
                </w:rPr>
              </w:pPr>
              <w:r>
                <w:rPr>
                  <w:bCs/>
                  <w:szCs w:val="24"/>
                </w:rPr>
                <w:t>Iš viso: 56</w:t>
              </w:r>
            </w:p>
            <w:p>
              <w:pPr>
                <w:jc w:val="both"/>
                <w:rPr>
                  <w:bCs/>
                  <w:szCs w:val="24"/>
                </w:rPr>
              </w:pPr>
              <w:r>
                <w:rPr>
                  <w:bCs/>
                  <w:szCs w:val="24"/>
                </w:rPr>
                <w:t>¹Išskyrus prekybą Visų Šventųjų (lapkričio 1-osios) dienos proga.</w:t>
              </w:r>
            </w:p>
            <w:p>
              <w:pPr>
                <w:jc w:val="both"/>
                <w:rPr>
                  <w:bCs/>
                  <w:szCs w:val="24"/>
                </w:rPr>
              </w:pPr>
              <w:r>
                <w:rPr>
                  <w:bCs/>
                  <w:szCs w:val="24"/>
                </w:rPr>
                <w:t xml:space="preserve">²Leidimas neišduodamas Mokslo žinių dieną (rugsėjo 1-ąją). </w:t>
              </w:r>
            </w:p>
            <w:p>
              <w:pPr>
                <w:jc w:val="both"/>
                <w:rPr>
                  <w:bCs/>
                  <w:szCs w:val="24"/>
                </w:rPr>
              </w:pPr>
              <w:r>
                <w:rPr>
                  <w:bCs/>
                  <w:szCs w:val="24"/>
                </w:rPr>
                <w:t>Viena prekybos vieta negali užimti didesnį kaip 4,00 m</w:t>
              </w:r>
              <w:r>
                <w:rPr>
                  <w:bCs/>
                  <w:szCs w:val="24"/>
                  <w:vertAlign w:val="superscript"/>
                </w:rPr>
                <w:t>2</w:t>
              </w:r>
              <w:r>
                <w:rPr>
                  <w:bCs/>
                  <w:szCs w:val="24"/>
                </w:rPr>
                <w:t xml:space="preserve"> plotą. </w:t>
              </w:r>
            </w:p>
            <w:p>
              <w:pPr>
                <w:jc w:val="both"/>
                <w:rPr>
                  <w:b/>
                  <w:szCs w:val="24"/>
                </w:rPr>
              </w:pPr>
            </w:p>
          </w:sdtContent>
        </w:sdt>
        <w:sdt>
          <w:sdtPr>
            <w:alias w:val="14 p."/>
            <w:tag w:val="part_7b88701cc30e45f7a65e1e6470ad87d2"/>
            <w:lock w:val="sdtLocked"/>
            <w:richText/>
          </w:sdtPr>
          <w:sdtContent>
            <w:p>
              <w:pPr>
                <w:jc w:val="both"/>
                <w:rPr>
                  <w:color w:val="000000"/>
                  <w:szCs w:val="24"/>
                </w:rPr>
              </w:pPr>
              <w:sdt>
                <w:sdtPr>
                  <w:alias w:val="Numeris"/>
                  <w:tag w:val="nr_7b88701cc30e45f7a65e1e6470ad87d2"/>
                  <w:lock w:val="sdtLocked"/>
                  <w:richText/>
                </w:sdtPr>
                <w:sdtContent>
                  <w:r>
                    <w:rPr>
                      <w:b/>
                      <w:bCs/>
                      <w:color w:val="000000"/>
                      <w:szCs w:val="24"/>
                    </w:rPr>
                    <w:t>14</w:t>
                  </w:r>
                </w:sdtContent>
              </w:sdt>
              <w:r>
                <w:rPr>
                  <w:b/>
                  <w:bCs/>
                  <w:color w:val="000000"/>
                  <w:szCs w:val="24"/>
                </w:rPr>
                <w:t>. Vietos prekiauti pramoninės gamybos fasuotais ledais ir gaiviaisiais gėrimais iš šaldomų vežimėlių</w:t>
              </w:r>
            </w:p>
            <w:p>
              <w:pPr>
                <w:ind w:firstLine="709"/>
                <w:jc w:val="both"/>
                <w:rPr>
                  <w:color w:val="000000"/>
                  <w:szCs w:val="24"/>
                </w:rPr>
              </w:pPr>
            </w:p>
            <w:tbl>
              <w:tblPr>
                <w:tblW w:w="9516" w:type="dxa"/>
                <w:tblInd w:w="108" w:type="dxa"/>
                <w:tblCellMar>
                  <w:left w:w="0" w:type="dxa"/>
                  <w:right w:w="0" w:type="dxa"/>
                </w:tblCellMar>
                <w:tblLook w:val="04A0" w:firstRow="1" w:lastRow="0" w:firstColumn="1" w:lastColumn="0" w:noHBand="0" w:noVBand="1"/>
              </w:tblPr>
              <w:tblGrid>
                <w:gridCol w:w="819"/>
                <w:gridCol w:w="5579"/>
                <w:gridCol w:w="1843"/>
                <w:gridCol w:w="1275"/>
              </w:tblGrid>
              <w:tr>
                <w:trPr>
                  <w:trHeight w:val="556"/>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jc w:val="both"/>
                      <w:rPr>
                        <w:color w:val="000000"/>
                        <w:szCs w:val="24"/>
                      </w:rPr>
                    </w:pPr>
                    <w:r>
                      <w:rPr>
                        <w:b/>
                        <w:bCs/>
                        <w:color w:val="000000"/>
                        <w:szCs w:val="24"/>
                      </w:rPr>
                      <w:t>Eil.</w:t>
                    </w:r>
                  </w:p>
                  <w:p>
                    <w:pPr>
                      <w:jc w:val="both"/>
                      <w:rPr>
                        <w:color w:val="000000"/>
                        <w:szCs w:val="24"/>
                      </w:rPr>
                    </w:pPr>
                    <w:r>
                      <w:rPr>
                        <w:b/>
                        <w:bCs/>
                        <w:color w:val="000000"/>
                        <w:szCs w:val="24"/>
                      </w:rPr>
                      <w:t>Nr.</w:t>
                    </w:r>
                  </w:p>
                </w:tc>
                <w:tc>
                  <w:tcPr>
                    <w:tcW w:w="5579"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color w:val="000000"/>
                        <w:szCs w:val="24"/>
                      </w:rPr>
                    </w:pPr>
                    <w:r>
                      <w:rPr>
                        <w:b/>
                        <w:bCs/>
                        <w:color w:val="000000"/>
                        <w:szCs w:val="24"/>
                      </w:rPr>
                      <w:t>Prekybos vieta</w:t>
                    </w:r>
                  </w:p>
                </w:tc>
                <w:tc>
                  <w:tcPr>
                    <w:tcW w:w="1843"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color w:val="000000"/>
                        <w:szCs w:val="24"/>
                      </w:rPr>
                    </w:pPr>
                    <w:r>
                      <w:rPr>
                        <w:b/>
                        <w:bCs/>
                        <w:color w:val="000000"/>
                        <w:szCs w:val="24"/>
                      </w:rPr>
                      <w:t>Vietų skaičius (maksimalus vežimėlių vienoje vietoje skaičius)</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color w:val="000000"/>
                        <w:szCs w:val="24"/>
                      </w:rPr>
                    </w:pPr>
                    <w:r>
                      <w:rPr>
                        <w:b/>
                        <w:bCs/>
                        <w:color w:val="000000"/>
                        <w:szCs w:val="24"/>
                      </w:rPr>
                      <w:t>Priedo</w:t>
                    </w:r>
                  </w:p>
                  <w:p>
                    <w:pPr>
                      <w:jc w:val="both"/>
                      <w:rPr>
                        <w:color w:val="000000"/>
                        <w:szCs w:val="24"/>
                      </w:rPr>
                    </w:pPr>
                    <w:r>
                      <w:rPr>
                        <w:b/>
                        <w:bCs/>
                        <w:color w:val="000000"/>
                        <w:szCs w:val="24"/>
                      </w:rPr>
                      <w:t>Nr.</w:t>
                    </w:r>
                  </w:p>
                </w:tc>
              </w:tr>
              <w:tr>
                <w:trPr>
                  <w:trHeight w:val="270"/>
                </w:trPr>
                <w:tc>
                  <w:tcPr>
                    <w:tcW w:w="81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b/>
                        <w:bCs/>
                        <w:color w:val="000000"/>
                        <w:szCs w:val="24"/>
                      </w:rPr>
                      <w:t>1</w:t>
                    </w:r>
                  </w:p>
                </w:tc>
                <w:tc>
                  <w:tcPr>
                    <w:tcW w:w="5579"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b/>
                        <w:bCs/>
                        <w:color w:val="000000"/>
                        <w:szCs w:val="24"/>
                      </w:rPr>
                      <w:t>2</w:t>
                    </w:r>
                  </w:p>
                </w:tc>
                <w:tc>
                  <w:tcPr>
                    <w:tcW w:w="1843"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b/>
                        <w:bCs/>
                        <w:color w:val="000000"/>
                        <w:szCs w:val="24"/>
                      </w:rPr>
                      <w:t>3</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color w:val="000000"/>
                        <w:szCs w:val="24"/>
                      </w:rPr>
                    </w:pPr>
                    <w:r>
                      <w:rPr>
                        <w:b/>
                        <w:bCs/>
                        <w:color w:val="000000"/>
                        <w:szCs w:val="24"/>
                      </w:rPr>
                      <w:t>4</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14.1.</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H. Manto g. 15</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4</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14.2.</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H. Manto g. 30</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4</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14.3.</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H. Manto g. 36A</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4</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14.4.</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H. Manto g. 10</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4</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14.5.</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Sausio 15-osios g. 8</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3</w:t>
                    </w:r>
                  </w:p>
                </w:tc>
              </w:tr>
              <w:tr>
                <w:trPr>
                  <w:trHeight w:val="28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14.6.</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Taikos pr. 39, prie prekybos centro</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22</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14.7.</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Taikos pr. 58, prie prekybos centro</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23</w:t>
                    </w:r>
                  </w:p>
                </w:tc>
              </w:tr>
              <w:tr>
                <w:trPr>
                  <w:trHeight w:val="20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14.8.</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Taikos pr. 101</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25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14.9.</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Taikos pr. 109</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26</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14.10.</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Smiltynės senosios perkėlos prieigos, takas į paplūdimį</w:t>
                    </w:r>
                    <w:r>
                      <w:rPr>
                        <w:color w:val="000000"/>
                        <w:szCs w:val="24"/>
                        <w:vertAlign w:val="superscript"/>
                      </w:rPr>
                      <w:t>1</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6</w:t>
                    </w:r>
                  </w:p>
                </w:tc>
              </w:tr>
              <w:tr>
                <w:trPr>
                  <w:trHeight w:val="219"/>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14.11.</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Smiltynės senosios perkėlos prieigos</w:t>
                    </w:r>
                    <w:r>
                      <w:rPr>
                        <w:color w:val="000000"/>
                        <w:szCs w:val="24"/>
                        <w:vertAlign w:val="superscript"/>
                      </w:rPr>
                      <w:t>1</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6</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14.12.</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Smiltynės naujosios perkėlos prieigos</w:t>
                    </w:r>
                    <w:r>
                      <w:rPr>
                        <w:color w:val="000000"/>
                        <w:szCs w:val="24"/>
                        <w:vertAlign w:val="superscript"/>
                      </w:rPr>
                      <w:t>1</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8</w:t>
                    </w:r>
                  </w:p>
                </w:tc>
              </w:tr>
              <w:tr>
                <w:trPr>
                  <w:trHeight w:val="19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14.13.</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Smiltynės naujosios perkėlos paplūdimio prieigos</w:t>
                    </w:r>
                    <w:r>
                      <w:rPr>
                        <w:color w:val="000000"/>
                        <w:szCs w:val="24"/>
                        <w:vertAlign w:val="superscript"/>
                      </w:rPr>
                      <w:t>1</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9</w:t>
                    </w:r>
                  </w:p>
                </w:tc>
              </w:tr>
              <w:tr>
                <w:trPr>
                  <w:trHeight w:val="207"/>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14.14.</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Poilsio parkas ir jo prieigos (išskyrus atrakcionų (laipynių) parko teritoriją)</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5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18</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14.15.</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Liepojos g. 43A, Klaipėdos universiteto ligoninės prieigos</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(2)</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14.16.</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Smiltynės senosios perkėlos prieigos ties keleivių įlaipinimo-išlaipinimo vieta</w:t>
                    </w:r>
                    <w:r>
                      <w:rPr>
                        <w:color w:val="000000"/>
                        <w:szCs w:val="24"/>
                        <w:vertAlign w:val="superscript"/>
                      </w:rPr>
                      <w:t>1</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(2)</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6</w:t>
                    </w:r>
                  </w:p>
                </w:tc>
              </w:tr>
              <w:tr>
                <w:trPr>
                  <w:trHeight w:val="270"/>
                </w:trPr>
                <w:tc>
                  <w:tcPr>
                    <w:tcW w:w="819"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14.17.</w:t>
                    </w:r>
                  </w:p>
                </w:tc>
                <w:tc>
                  <w:tcPr>
                    <w:tcW w:w="5579" w:type="dxa"/>
                    <w:tcBorders>
                      <w:top w:val="nil"/>
                      <w:left w:val="nil"/>
                      <w:bottom w:val="single" w:sz="18" w:space="0" w:color="auto"/>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Smiltynės senosios perkėlos paplūdimio prieigos, prie įėjimo į bendrąjį paplūdimį</w:t>
                    </w:r>
                    <w:r>
                      <w:rPr>
                        <w:color w:val="000000"/>
                        <w:szCs w:val="24"/>
                        <w:vertAlign w:val="superscript"/>
                      </w:rPr>
                      <w:t>1</w:t>
                    </w:r>
                  </w:p>
                </w:tc>
                <w:tc>
                  <w:tcPr>
                    <w:tcW w:w="1843" w:type="dxa"/>
                    <w:tcBorders>
                      <w:top w:val="nil"/>
                      <w:left w:val="nil"/>
                      <w:bottom w:val="single" w:sz="18" w:space="0" w:color="auto"/>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 (1)</w:t>
                    </w:r>
                  </w:p>
                </w:tc>
                <w:tc>
                  <w:tcPr>
                    <w:tcW w:w="1275" w:type="dxa"/>
                    <w:tcBorders>
                      <w:top w:val="nil"/>
                      <w:left w:val="nil"/>
                      <w:bottom w:val="single" w:sz="18" w:space="0" w:color="auto"/>
                      <w:right w:val="single" w:sz="12" w:space="0" w:color="auto"/>
                    </w:tcBorders>
                    <w:tcMar>
                      <w:top w:w="0" w:type="dxa"/>
                      <w:left w:w="108" w:type="dxa"/>
                      <w:bottom w:w="0" w:type="dxa"/>
                      <w:right w:w="108" w:type="dxa"/>
                    </w:tcMar>
                    <w:hideMark/>
                  </w:tcPr>
                  <w:p>
                    <w:pPr>
                      <w:jc w:val="both"/>
                      <w:rPr>
                        <w:color w:val="000000"/>
                        <w:szCs w:val="24"/>
                      </w:rPr>
                    </w:pPr>
                    <w:r>
                      <w:rPr>
                        <w:color w:val="000000"/>
                        <w:szCs w:val="24"/>
                      </w:rPr>
                      <w:t>12</w:t>
                    </w:r>
                  </w:p>
                </w:tc>
              </w:tr>
            </w:tbl>
            <w:p>
              <w:pPr>
                <w:ind w:firstLine="6847"/>
                <w:jc w:val="both"/>
                <w:rPr>
                  <w:color w:val="000000"/>
                  <w:szCs w:val="24"/>
                </w:rPr>
              </w:pPr>
              <w:r>
                <w:rPr>
                  <w:color w:val="000000"/>
                  <w:szCs w:val="24"/>
                </w:rPr>
                <w:t>Iš viso: 21</w:t>
              </w:r>
            </w:p>
            <w:p>
              <w:pPr>
                <w:jc w:val="both"/>
                <w:rPr>
                  <w:color w:val="000000"/>
                  <w:szCs w:val="24"/>
                </w:rPr>
              </w:pPr>
              <w:r>
                <w:rPr>
                  <w:color w:val="000000"/>
                  <w:szCs w:val="24"/>
                  <w:vertAlign w:val="superscript"/>
                </w:rPr>
                <w:t>1</w:t>
              </w:r>
              <w:r>
                <w:rPr>
                  <w:color w:val="000000"/>
                  <w:szCs w:val="24"/>
                </w:rPr>
                <w:t>Leidimas veiklai išduodamas tik pateikus Kuršių nerijos nacionalinio parko direkcijos sutikimą.</w:t>
              </w:r>
            </w:p>
            <w:p>
              <w:pPr>
                <w:jc w:val="both"/>
                <w:rPr>
                  <w:color w:val="000000"/>
                  <w:szCs w:val="24"/>
                </w:rPr>
              </w:pPr>
              <w:r>
                <w:rPr>
                  <w:color w:val="000000"/>
                  <w:szCs w:val="24"/>
                </w:rPr>
                <w:t>Vieno šaldomo vežimėlio užimamas plotas negali būti didesnis kaip 2,00 m</w:t>
              </w:r>
              <w:r>
                <w:rPr>
                  <w:color w:val="000000"/>
                  <w:szCs w:val="24"/>
                  <w:vertAlign w:val="superscript"/>
                </w:rPr>
                <w:t>2</w:t>
              </w:r>
              <w:r>
                <w:rPr>
                  <w:color w:val="000000"/>
                  <w:szCs w:val="24"/>
                </w:rPr>
                <w:t>.</w:t>
              </w:r>
            </w:p>
            <w:p>
              <w:pPr>
                <w:jc w:val="both"/>
                <w:rPr>
                  <w:b/>
                  <w:szCs w:val="24"/>
                </w:rPr>
              </w:pPr>
              <w:r>
                <w:rPr>
                  <w:color w:val="000000"/>
                  <w:szCs w:val="24"/>
                </w:rPr>
                <w:t>Veikla vykdoma nuo balandžio 1 d. iki spalio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68bf0246111f1a552c76556910e9c">
                <w:r w:rsidRPr="00532B9F">
                  <w:rPr>
                    <w:rFonts w:ascii="Times New Roman" w:eastAsia="MS Mincho" w:hAnsi="Times New Roman"/>
                    <w:sz w:val="20"/>
                    <w:i/>
                    <w:iCs/>
                    <w:color w:val="0000FF" w:themeColor="hyperlink"/>
                    <w:u w:val="single"/>
                  </w:rPr>
                  <w:t>AD1-227</w:t>
                </w:r>
              </w:fldSimple>
              <w:r>
                <w:rPr>
                  <w:rFonts w:ascii="Times New Roman" w:eastAsia="MS Mincho" w:hAnsi="Times New Roman"/>
                  <w:sz w:val="20"/>
                  <w:i/>
                  <w:iCs/>
                </w:rPr>
                <w:t>,
2026-03-20,
paskelbta TAR 2026-03-20, i. k. 2026-04425            </w:t>
              </w:r>
            </w:p>
            <w:p/>
          </w:sdtContent>
        </w:sdt>
        <w:sdt>
          <w:sdtPr>
            <w:alias w:val="15 p."/>
            <w:tag w:val="part_d285cea322f34b96a8a994bacdb94c78"/>
            <w:lock w:val="sdtLocked"/>
            <w:richText/>
          </w:sdtPr>
          <w:sdtContent>
            <w:p>
              <w:pPr>
                <w:jc w:val="both"/>
                <w:rPr>
                  <w:b/>
                  <w:szCs w:val="24"/>
                </w:rPr>
              </w:pPr>
              <w:sdt>
                <w:sdtPr>
                  <w:alias w:val="Numeris"/>
                  <w:tag w:val="nr_d285cea322f34b96a8a994bacdb94c78"/>
                  <w:lock w:val="sdtLocked"/>
                  <w:richText/>
                </w:sdtPr>
                <w:sdtContent>
                  <w:r>
                    <w:rPr>
                      <w:b/>
                      <w:szCs w:val="24"/>
                    </w:rPr>
                    <w:t>15</w:t>
                  </w:r>
                </w:sdtContent>
              </w:sdt>
              <w:r>
                <w:rPr>
                  <w:b/>
                  <w:szCs w:val="24"/>
                </w:rPr>
                <w:t>. Prekybos poilsiui skirtomis pramoninėmis prekėmis nuo (iš) laikinųjų įrenginių vietos</w:t>
              </w:r>
            </w:p>
            <w:p>
              <w:pPr>
                <w:jc w:val="both"/>
                <w:rPr>
                  <w:b/>
                  <w:szCs w:val="24"/>
                </w:rPr>
              </w:pPr>
            </w:p>
            <w:tbl>
              <w:tblPr>
                <w:tblW w:w="96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8"/>
                <w:gridCol w:w="6381"/>
                <w:gridCol w:w="1276"/>
                <w:gridCol w:w="1275"/>
              </w:tblGrid>
              <w:tr>
                <w:trPr>
                  <w:trHeight w:val="556"/>
                </w:trPr>
                <w:tc>
                  <w:tcPr>
                    <w:tcW w:w="728"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w:t>
                    </w:r>
                  </w:p>
                  <w:p>
                    <w:pPr>
                      <w:jc w:val="both"/>
                      <w:rPr>
                        <w:b/>
                        <w:szCs w:val="24"/>
                      </w:rPr>
                    </w:pPr>
                    <w:r>
                      <w:rPr>
                        <w:b/>
                        <w:szCs w:val="24"/>
                      </w:rPr>
                      <w:t>Nr.</w:t>
                    </w:r>
                  </w:p>
                </w:tc>
                <w:tc>
                  <w:tcPr>
                    <w:tcW w:w="6381"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 xml:space="preserve">Priedo </w:t>
                    </w:r>
                  </w:p>
                  <w:p>
                    <w:pPr>
                      <w:jc w:val="both"/>
                      <w:rPr>
                        <w:b/>
                        <w:szCs w:val="24"/>
                      </w:rPr>
                    </w:pPr>
                    <w:r>
                      <w:rPr>
                        <w:b/>
                        <w:szCs w:val="24"/>
                      </w:rPr>
                      <w:t>Nr.</w:t>
                    </w:r>
                  </w:p>
                </w:tc>
              </w:tr>
              <w:tr>
                <w:trPr>
                  <w:trHeight w:val="271"/>
                </w:trPr>
                <w:tc>
                  <w:tcPr>
                    <w:tcW w:w="728"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1</w:t>
                    </w:r>
                  </w:p>
                </w:tc>
                <w:tc>
                  <w:tcPr>
                    <w:tcW w:w="6381"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2</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3</w:t>
                    </w:r>
                  </w:p>
                </w:tc>
                <w:tc>
                  <w:tcPr>
                    <w:tcW w:w="1275"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4</w:t>
                    </w:r>
                  </w:p>
                </w:tc>
              </w:tr>
              <w:tr>
                <w:trPr>
                  <w:trHeight w:val="556"/>
                </w:trPr>
                <w:tc>
                  <w:tcPr>
                    <w:tcW w:w="728" w:type="dxa"/>
                    <w:tcBorders>
                      <w:top w:val="nil"/>
                      <w:left w:val="single" w:sz="12" w:space="0" w:color="auto"/>
                      <w:bottom w:val="nil"/>
                      <w:right w:val="single" w:sz="12" w:space="0" w:color="auto"/>
                    </w:tcBorders>
                    <w:hideMark/>
                  </w:tcPr>
                  <w:p>
                    <w:pPr>
                      <w:jc w:val="both"/>
                      <w:rPr>
                        <w:bCs/>
                        <w:szCs w:val="24"/>
                      </w:rPr>
                    </w:pPr>
                    <w:r>
                      <w:rPr>
                        <w:bCs/>
                        <w:szCs w:val="24"/>
                      </w:rPr>
                      <w:t xml:space="preserve">15.1. </w:t>
                    </w:r>
                  </w:p>
                </w:tc>
                <w:tc>
                  <w:tcPr>
                    <w:tcW w:w="6381" w:type="dxa"/>
                    <w:tcBorders>
                      <w:top w:val="nil"/>
                      <w:left w:val="single" w:sz="12" w:space="0" w:color="auto"/>
                      <w:bottom w:val="nil"/>
                      <w:right w:val="single" w:sz="12" w:space="0" w:color="auto"/>
                    </w:tcBorders>
                    <w:hideMark/>
                  </w:tcPr>
                  <w:p>
                    <w:pPr>
                      <w:jc w:val="both"/>
                      <w:rPr>
                        <w:bCs/>
                        <w:szCs w:val="24"/>
                      </w:rPr>
                    </w:pPr>
                    <w:r>
                      <w:rPr>
                        <w:bCs/>
                        <w:szCs w:val="24"/>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 xml:space="preserve">3 </w:t>
                    </w:r>
                  </w:p>
                </w:tc>
                <w:tc>
                  <w:tcPr>
                    <w:tcW w:w="1275" w:type="dxa"/>
                    <w:tcBorders>
                      <w:top w:val="nil"/>
                      <w:left w:val="single" w:sz="12" w:space="0" w:color="auto"/>
                      <w:bottom w:val="nil"/>
                      <w:right w:val="single" w:sz="12" w:space="0" w:color="auto"/>
                    </w:tcBorders>
                    <w:hideMark/>
                  </w:tcPr>
                  <w:p>
                    <w:pPr>
                      <w:jc w:val="both"/>
                      <w:rPr>
                        <w:bCs/>
                        <w:szCs w:val="24"/>
                      </w:rPr>
                    </w:pPr>
                    <w:r>
                      <w:rPr>
                        <w:bCs/>
                        <w:szCs w:val="24"/>
                      </w:rPr>
                      <w:t>18</w:t>
                    </w:r>
                  </w:p>
                </w:tc>
              </w:tr>
              <w:tr>
                <w:trPr>
                  <w:trHeight w:val="542"/>
                </w:trPr>
                <w:tc>
                  <w:tcPr>
                    <w:tcW w:w="728" w:type="dxa"/>
                    <w:tcBorders>
                      <w:top w:val="nil"/>
                      <w:left w:val="single" w:sz="12" w:space="0" w:color="auto"/>
                      <w:bottom w:val="nil"/>
                      <w:right w:val="single" w:sz="12" w:space="0" w:color="auto"/>
                    </w:tcBorders>
                    <w:hideMark/>
                  </w:tcPr>
                  <w:p>
                    <w:pPr>
                      <w:jc w:val="both"/>
                      <w:rPr>
                        <w:bCs/>
                        <w:szCs w:val="24"/>
                      </w:rPr>
                    </w:pPr>
                    <w:r>
                      <w:rPr>
                        <w:bCs/>
                        <w:szCs w:val="24"/>
                      </w:rPr>
                      <w:t>15.2.</w:t>
                    </w:r>
                  </w:p>
                </w:tc>
                <w:tc>
                  <w:tcPr>
                    <w:tcW w:w="6381" w:type="dxa"/>
                    <w:tcBorders>
                      <w:top w:val="nil"/>
                      <w:left w:val="single" w:sz="12" w:space="0" w:color="auto"/>
                      <w:bottom w:val="nil"/>
                      <w:right w:val="single" w:sz="12" w:space="0" w:color="auto"/>
                    </w:tcBorders>
                    <w:hideMark/>
                  </w:tcPr>
                  <w:p>
                    <w:pPr>
                      <w:jc w:val="both"/>
                      <w:rPr>
                        <w:bCs/>
                        <w:szCs w:val="24"/>
                      </w:rPr>
                    </w:pPr>
                    <w:r>
                      <w:rPr>
                        <w:bCs/>
                        <w:szCs w:val="24"/>
                      </w:rPr>
                      <w:t>Antroji sustojimo aikštelė dviračių tako atkarpoje tarp Vasaros koncertų estrados ir Girulių</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75" w:type="dxa"/>
                    <w:tcBorders>
                      <w:top w:val="nil"/>
                      <w:left w:val="single" w:sz="12" w:space="0" w:color="auto"/>
                      <w:bottom w:val="nil"/>
                      <w:right w:val="single" w:sz="12" w:space="0" w:color="auto"/>
                    </w:tcBorders>
                    <w:hideMark/>
                  </w:tcPr>
                  <w:p>
                    <w:pPr>
                      <w:jc w:val="both"/>
                      <w:rPr>
                        <w:bCs/>
                        <w:szCs w:val="24"/>
                      </w:rPr>
                    </w:pPr>
                    <w:r>
                      <w:rPr>
                        <w:bCs/>
                        <w:szCs w:val="24"/>
                      </w:rPr>
                      <w:t>13</w:t>
                    </w:r>
                  </w:p>
                </w:tc>
              </w:tr>
              <w:tr>
                <w:trPr>
                  <w:trHeight w:val="542"/>
                </w:trPr>
                <w:tc>
                  <w:tcPr>
                    <w:tcW w:w="728" w:type="dxa"/>
                    <w:tcBorders>
                      <w:top w:val="nil"/>
                      <w:left w:val="single" w:sz="12" w:space="0" w:color="auto"/>
                      <w:bottom w:val="single" w:sz="12" w:space="0" w:color="auto"/>
                      <w:right w:val="single" w:sz="12" w:space="0" w:color="auto"/>
                    </w:tcBorders>
                  </w:tcPr>
                  <w:p>
                    <w:pPr>
                      <w:jc w:val="both"/>
                      <w:rPr>
                        <w:bCs/>
                        <w:szCs w:val="24"/>
                      </w:rPr>
                    </w:pPr>
                  </w:p>
                </w:tc>
                <w:tc>
                  <w:tcPr>
                    <w:tcW w:w="6381" w:type="dxa"/>
                    <w:tcBorders>
                      <w:top w:val="nil"/>
                      <w:left w:val="single" w:sz="12" w:space="0" w:color="auto"/>
                      <w:bottom w:val="single" w:sz="12" w:space="0" w:color="auto"/>
                      <w:right w:val="single" w:sz="12" w:space="0" w:color="auto"/>
                    </w:tcBorders>
                  </w:tcPr>
                  <w:p>
                    <w:pPr>
                      <w:jc w:val="both"/>
                      <w:rPr>
                        <w:bCs/>
                        <w:szCs w:val="24"/>
                      </w:rPr>
                    </w:pPr>
                  </w:p>
                </w:tc>
                <w:tc>
                  <w:tcPr>
                    <w:tcW w:w="1276" w:type="dxa"/>
                    <w:tcBorders>
                      <w:top w:val="nil"/>
                      <w:left w:val="single" w:sz="12" w:space="0" w:color="auto"/>
                      <w:bottom w:val="single" w:sz="12" w:space="0" w:color="auto"/>
                      <w:right w:val="single" w:sz="12" w:space="0" w:color="auto"/>
                    </w:tcBorders>
                  </w:tcPr>
                  <w:p>
                    <w:pPr>
                      <w:jc w:val="both"/>
                      <w:rPr>
                        <w:bCs/>
                        <w:szCs w:val="24"/>
                      </w:rPr>
                    </w:pPr>
                  </w:p>
                </w:tc>
                <w:tc>
                  <w:tcPr>
                    <w:tcW w:w="1275" w:type="dxa"/>
                    <w:tcBorders>
                      <w:top w:val="nil"/>
                      <w:left w:val="single" w:sz="12" w:space="0" w:color="auto"/>
                      <w:bottom w:val="single" w:sz="12" w:space="0" w:color="auto"/>
                      <w:right w:val="single" w:sz="12" w:space="0" w:color="auto"/>
                    </w:tcBorders>
                  </w:tcPr>
                  <w:p>
                    <w:pPr>
                      <w:jc w:val="both"/>
                      <w:rPr>
                        <w:bCs/>
                        <w:szCs w:val="24"/>
                      </w:rPr>
                    </w:pPr>
                  </w:p>
                </w:tc>
              </w:tr>
            </w:tbl>
            <w:p>
              <w:pPr>
                <w:ind w:firstLine="7371"/>
                <w:rPr>
                  <w:bCs/>
                  <w:szCs w:val="24"/>
                </w:rPr>
              </w:pPr>
              <w:r>
                <w:rPr>
                  <w:bCs/>
                  <w:szCs w:val="24"/>
                </w:rPr>
                <w:t>Iš viso: 4</w:t>
              </w:r>
            </w:p>
            <w:p>
              <w:pPr>
                <w:jc w:val="both"/>
                <w:rPr>
                  <w:bCs/>
                  <w:szCs w:val="24"/>
                </w:rPr>
              </w:pPr>
              <w:r>
                <w:rPr>
                  <w:bCs/>
                  <w:szCs w:val="24"/>
                </w:rPr>
                <w:t>Veikla vykdoma nuo balandžio 1 d. iki spalio 31 d.</w:t>
              </w:r>
            </w:p>
            <w:p>
              <w:pPr>
                <w:jc w:val="both"/>
                <w:rPr>
                  <w:b/>
                  <w:szCs w:val="24"/>
                </w:rPr>
              </w:pPr>
            </w:p>
          </w:sdtContent>
        </w:sdt>
        <w:sdt>
          <w:sdtPr>
            <w:alias w:val="16 p."/>
            <w:tag w:val="part_497d521da1b1446e9b79690c6f898863"/>
            <w:lock w:val="sdtLocked"/>
            <w:richText/>
          </w:sdtPr>
          <w:sdtContent>
            <w:p>
              <w:pPr>
                <w:jc w:val="both"/>
                <w:rPr>
                  <w:szCs w:val="24"/>
                  <w:lang w:eastAsia="lt-LT"/>
                </w:rPr>
              </w:pPr>
              <w:sdt>
                <w:sdtPr>
                  <w:alias w:val="Numeris"/>
                  <w:tag w:val="nr_497d521da1b1446e9b79690c6f898863"/>
                  <w:lock w:val="sdtLocked"/>
                  <w:richText/>
                </w:sdtPr>
                <w:sdtContent>
                  <w:r>
                    <w:rPr>
                      <w:b/>
                      <w:bCs/>
                      <w:szCs w:val="24"/>
                      <w:lang w:eastAsia="lt-LT"/>
                    </w:rPr>
                    <w:t>16</w:t>
                  </w:r>
                </w:sdtContent>
              </w:sdt>
              <w:r>
                <w:rPr>
                  <w:b/>
                  <w:bCs/>
                  <w:szCs w:val="24"/>
                  <w:lang w:eastAsia="lt-LT"/>
                </w:rPr>
                <w:t>. Mobilių (mažųjų) atrakcionų, poilsio paslaugų teikimo ir tam skirtų reikmenų nuomos, dviračių ir kitų bevariklių transporto priemonių nuomos, dviračių mainų ar dalijimosi sistemos punktų paslaugų vietos</w:t>
              </w:r>
            </w:p>
            <w:p>
              <w:pPr>
                <w:ind w:left="720" w:right="708" w:firstLine="771"/>
                <w:rPr>
                  <w:szCs w:val="24"/>
                  <w:lang w:eastAsia="lt-LT"/>
                </w:rPr>
              </w:pPr>
            </w:p>
            <w:tbl>
              <w:tblPr>
                <w:tblW w:w="9624" w:type="dxa"/>
                <w:tblLayout w:type="fixed"/>
                <w:tblCellMar>
                  <w:left w:w="0" w:type="dxa"/>
                  <w:right w:w="0" w:type="dxa"/>
                </w:tblCellMar>
                <w:tblLook w:val="04A0" w:firstRow="1" w:lastRow="0" w:firstColumn="1" w:lastColumn="0" w:noHBand="0" w:noVBand="1"/>
              </w:tblPr>
              <w:tblGrid>
                <w:gridCol w:w="1545"/>
                <w:gridCol w:w="4737"/>
                <w:gridCol w:w="1738"/>
                <w:gridCol w:w="1604"/>
              </w:tblGrid>
              <w:tr>
                <w:trPr>
                  <w:trHeight w:val="649"/>
                </w:trPr>
                <w:tc>
                  <w:tcPr>
                    <w:tcW w:w="154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ind w:right="708"/>
                      <w:rPr>
                        <w:szCs w:val="24"/>
                        <w:lang w:eastAsia="lt-LT"/>
                      </w:rPr>
                    </w:pPr>
                    <w:r>
                      <w:rPr>
                        <w:b/>
                        <w:bCs/>
                        <w:szCs w:val="24"/>
                        <w:lang w:eastAsia="lt-LT"/>
                      </w:rPr>
                      <w:t>Eil. Nr.</w:t>
                    </w:r>
                  </w:p>
                </w:tc>
                <w:tc>
                  <w:tcPr>
                    <w:tcW w:w="4737"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ind w:right="708"/>
                      <w:rPr>
                        <w:szCs w:val="24"/>
                        <w:lang w:eastAsia="lt-LT"/>
                      </w:rPr>
                    </w:pPr>
                    <w:r>
                      <w:rPr>
                        <w:b/>
                        <w:bCs/>
                        <w:szCs w:val="24"/>
                        <w:lang w:eastAsia="lt-LT"/>
                      </w:rPr>
                      <w:t>Paslaugos teikimo vieta</w:t>
                    </w:r>
                  </w:p>
                </w:tc>
                <w:tc>
                  <w:tcPr>
                    <w:tcW w:w="1738"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ind w:right="708"/>
                      <w:rPr>
                        <w:szCs w:val="24"/>
                        <w:lang w:eastAsia="lt-LT"/>
                      </w:rPr>
                    </w:pPr>
                    <w:r>
                      <w:rPr>
                        <w:b/>
                        <w:bCs/>
                        <w:szCs w:val="24"/>
                        <w:lang w:eastAsia="lt-LT"/>
                      </w:rPr>
                      <w:t>Vietų skaičius</w:t>
                    </w:r>
                  </w:p>
                </w:tc>
                <w:tc>
                  <w:tcPr>
                    <w:tcW w:w="1604"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ind w:right="708"/>
                      <w:rPr>
                        <w:szCs w:val="24"/>
                        <w:lang w:eastAsia="lt-LT"/>
                      </w:rPr>
                    </w:pPr>
                    <w:r>
                      <w:rPr>
                        <w:b/>
                        <w:bCs/>
                        <w:szCs w:val="24"/>
                        <w:lang w:eastAsia="lt-LT"/>
                      </w:rPr>
                      <w:t>Priedo Nr.</w:t>
                    </w:r>
                  </w:p>
                </w:tc>
              </w:tr>
              <w:tr>
                <w:trPr>
                  <w:trHeight w:val="250"/>
                </w:trPr>
                <w:tc>
                  <w:tcPr>
                    <w:tcW w:w="1545"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ind w:right="708"/>
                      <w:rPr>
                        <w:szCs w:val="24"/>
                        <w:lang w:eastAsia="lt-LT"/>
                      </w:rPr>
                    </w:pPr>
                    <w:r>
                      <w:rPr>
                        <w:b/>
                        <w:bCs/>
                        <w:szCs w:val="24"/>
                        <w:lang w:eastAsia="lt-LT"/>
                      </w:rPr>
                      <w:t>1</w:t>
                    </w:r>
                  </w:p>
                </w:tc>
                <w:tc>
                  <w:tcPr>
                    <w:tcW w:w="4737" w:type="dxa"/>
                    <w:tcBorders>
                      <w:top w:val="nil"/>
                      <w:left w:val="nil"/>
                      <w:bottom w:val="single" w:sz="12" w:space="0" w:color="auto"/>
                      <w:right w:val="single" w:sz="12" w:space="0" w:color="auto"/>
                    </w:tcBorders>
                    <w:tcMar>
                      <w:top w:w="0" w:type="dxa"/>
                      <w:left w:w="108" w:type="dxa"/>
                      <w:bottom w:w="0" w:type="dxa"/>
                      <w:right w:w="108" w:type="dxa"/>
                    </w:tcMar>
                    <w:hideMark/>
                  </w:tcPr>
                  <w:p>
                    <w:pPr>
                      <w:ind w:right="708"/>
                      <w:rPr>
                        <w:szCs w:val="24"/>
                        <w:lang w:eastAsia="lt-LT"/>
                      </w:rPr>
                    </w:pPr>
                    <w:r>
                      <w:rPr>
                        <w:b/>
                        <w:bCs/>
                        <w:szCs w:val="24"/>
                        <w:lang w:eastAsia="lt-LT"/>
                      </w:rPr>
                      <w:t>2</w:t>
                    </w:r>
                  </w:p>
                </w:tc>
                <w:tc>
                  <w:tcPr>
                    <w:tcW w:w="1738" w:type="dxa"/>
                    <w:tcBorders>
                      <w:top w:val="nil"/>
                      <w:left w:val="nil"/>
                      <w:bottom w:val="single" w:sz="12" w:space="0" w:color="auto"/>
                      <w:right w:val="single" w:sz="12" w:space="0" w:color="auto"/>
                    </w:tcBorders>
                    <w:tcMar>
                      <w:top w:w="0" w:type="dxa"/>
                      <w:left w:w="108" w:type="dxa"/>
                      <w:bottom w:w="0" w:type="dxa"/>
                      <w:right w:w="108" w:type="dxa"/>
                    </w:tcMar>
                    <w:hideMark/>
                  </w:tcPr>
                  <w:p>
                    <w:pPr>
                      <w:ind w:right="708"/>
                      <w:rPr>
                        <w:szCs w:val="24"/>
                        <w:lang w:eastAsia="lt-LT"/>
                      </w:rPr>
                    </w:pPr>
                    <w:r>
                      <w:rPr>
                        <w:b/>
                        <w:bCs/>
                        <w:szCs w:val="24"/>
                        <w:lang w:eastAsia="lt-LT"/>
                      </w:rPr>
                      <w:t>3</w:t>
                    </w:r>
                  </w:p>
                </w:tc>
                <w:tc>
                  <w:tcPr>
                    <w:tcW w:w="1604" w:type="dxa"/>
                    <w:tcBorders>
                      <w:top w:val="nil"/>
                      <w:left w:val="nil"/>
                      <w:bottom w:val="single" w:sz="12" w:space="0" w:color="auto"/>
                      <w:right w:val="single" w:sz="12" w:space="0" w:color="auto"/>
                    </w:tcBorders>
                    <w:tcMar>
                      <w:top w:w="0" w:type="dxa"/>
                      <w:left w:w="108" w:type="dxa"/>
                      <w:bottom w:w="0" w:type="dxa"/>
                      <w:right w:w="108" w:type="dxa"/>
                    </w:tcMar>
                    <w:hideMark/>
                  </w:tcPr>
                  <w:p>
                    <w:pPr>
                      <w:ind w:right="708"/>
                      <w:rPr>
                        <w:szCs w:val="24"/>
                        <w:lang w:eastAsia="lt-LT"/>
                      </w:rPr>
                    </w:pPr>
                    <w:r>
                      <w:rPr>
                        <w:b/>
                        <w:bCs/>
                        <w:szCs w:val="24"/>
                        <w:lang w:eastAsia="lt-LT"/>
                      </w:rPr>
                      <w:t>4</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16.1.</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Smiltynės senosios perkėlos prieigos</w:t>
                    </w:r>
                    <w:r>
                      <w:rPr>
                        <w:szCs w:val="24"/>
                        <w:vertAlign w:val="superscript"/>
                        <w:lang w:eastAsia="lt-LT"/>
                      </w:rPr>
                      <w:t>1, 6</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2</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6</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16.2.</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Vasaros koncertų estrados prieigos</w:t>
                    </w:r>
                    <w:r>
                      <w:rPr>
                        <w:szCs w:val="24"/>
                        <w:vertAlign w:val="superscript"/>
                        <w:lang w:eastAsia="lt-LT"/>
                      </w:rPr>
                      <w:t>2, 5</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2</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17</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16.3.</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Taikos pr. 101</w:t>
                    </w:r>
                    <w:r>
                      <w:rPr>
                        <w:szCs w:val="24"/>
                        <w:vertAlign w:val="superscript"/>
                        <w:lang w:eastAsia="lt-LT"/>
                      </w:rPr>
                      <w:t>6</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2</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25</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16.4.</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Poilsio parkas ir jo prieigos, 24 priede pažymėtos vietos Nr. 3 ir Nr. 4  (išskyrus atrakcionų (laipynių) parko teritoriją)</w:t>
                    </w:r>
                    <w:r>
                      <w:rPr>
                        <w:szCs w:val="24"/>
                        <w:vertAlign w:val="superscript"/>
                        <w:lang w:eastAsia="lt-LT"/>
                      </w:rPr>
                      <w:t> 6</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2</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18</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16.5.</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Taikos pr. 81, prie prekybos centro</w:t>
                    </w:r>
                    <w:r>
                      <w:rPr>
                        <w:szCs w:val="24"/>
                        <w:vertAlign w:val="superscript"/>
                        <w:lang w:eastAsia="lt-LT"/>
                      </w:rPr>
                      <w:t>6</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24</w:t>
                    </w:r>
                  </w:p>
                </w:tc>
              </w:tr>
              <w:tr>
                <w:trPr>
                  <w:trHeight w:val="68"/>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16.6.</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Taikos pr. 115, prie prekybos centro</w:t>
                    </w:r>
                    <w:r>
                      <w:rPr>
                        <w:szCs w:val="24"/>
                        <w:vertAlign w:val="superscript"/>
                        <w:lang w:eastAsia="lt-LT"/>
                      </w:rPr>
                      <w:t>6</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26</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16.7.</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Buriuotojų krantinės dalis ties pastatu Žvejų g. 12 (vandens pramogų priemonių nuoma)</w:t>
                    </w:r>
                    <w:r>
                      <w:rPr>
                        <w:szCs w:val="24"/>
                        <w:vertAlign w:val="superscript"/>
                        <w:lang w:eastAsia="lt-LT"/>
                      </w:rPr>
                      <w:t>3</w:t>
                    </w:r>
                    <w:r>
                      <w:rPr>
                        <w:szCs w:val="24"/>
                        <w:lang w:eastAsia="lt-LT"/>
                      </w:rPr>
                      <w:t> (ne daugiau kaip 10 vnt. plaukiojančių priemonių)</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16.8.</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Buriuotojų krantinės dalis ties Pilies tiltu (vandens pramogų priemonių nuoma)</w:t>
                    </w:r>
                    <w:r>
                      <w:rPr>
                        <w:szCs w:val="24"/>
                        <w:vertAlign w:val="superscript"/>
                        <w:lang w:eastAsia="lt-LT"/>
                      </w:rPr>
                      <w:t>3</w:t>
                    </w:r>
                    <w:r>
                      <w:rPr>
                        <w:szCs w:val="24"/>
                        <w:lang w:eastAsia="lt-LT"/>
                      </w:rPr>
                      <w:t> (ne daugiau kaip 10 vnt. plaukiojančių priemonių)</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16.9.</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Kairioji Danės upės krantinė šalia burlaivio „Meridianas“ (vandens pramogų priemonių nuoma)</w:t>
                    </w:r>
                    <w:r>
                      <w:rPr>
                        <w:szCs w:val="24"/>
                        <w:vertAlign w:val="superscript"/>
                        <w:lang w:eastAsia="lt-LT"/>
                      </w:rPr>
                      <w:t>3</w:t>
                    </w:r>
                    <w:r>
                      <w:rPr>
                        <w:szCs w:val="24"/>
                        <w:lang w:eastAsia="lt-LT"/>
                      </w:rPr>
                      <w:t>  (leidimas teikti paslaugą išduodamas laikotarpiui, kuris suderintas su VšĮ „Klaipėdos irklavimo centras“) (ne daugiau kaip 15 vnt. plaukiojančių priemonių)</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2</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16.10.</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Antroji sustojimo aikštelė dviračių tako ruože tarp Vasaros koncertų estrados ir Girulių</w:t>
                    </w:r>
                    <w:r>
                      <w:rPr>
                        <w:szCs w:val="24"/>
                        <w:vertAlign w:val="superscript"/>
                        <w:lang w:eastAsia="lt-LT"/>
                      </w:rPr>
                      <w:t>6</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13</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16.11.</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Poilsio parkas ir jo prieigos, 24 priede pažymėtos vietos Nr. 1, Nr. 2 (išskyrus atrakcionų (laipynių) parko teritoriją)</w:t>
                    </w:r>
                    <w:r>
                      <w:rPr>
                        <w:szCs w:val="24"/>
                        <w:vertAlign w:val="superscript"/>
                        <w:lang w:eastAsia="lt-LT"/>
                      </w:rPr>
                      <w:t> 2</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2</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18</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16.12.</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Konkurso būdu atrinktiems asmenims sutarčių pagrindu skirtos vietos</w:t>
                    </w:r>
                  </w:p>
                </w:tc>
                <w:tc>
                  <w:tcPr>
                    <w:tcW w:w="1738" w:type="dxa"/>
                    <w:tcBorders>
                      <w:top w:val="nil"/>
                      <w:left w:val="nil"/>
                      <w:bottom w:val="nil"/>
                      <w:right w:val="single" w:sz="12" w:space="0" w:color="auto"/>
                    </w:tcBorders>
                    <w:tcMar>
                      <w:top w:w="0" w:type="dxa"/>
                      <w:left w:w="108" w:type="dxa"/>
                      <w:bottom w:w="0" w:type="dxa"/>
                      <w:right w:w="108" w:type="dxa"/>
                    </w:tcMar>
                    <w:hideMark/>
                  </w:tcPr>
                  <w:p>
                    <w:pPr>
                      <w:ind w:left="720" w:right="708" w:firstLine="709"/>
                      <w:rPr>
                        <w:szCs w:val="24"/>
                        <w:lang w:eastAsia="lt-LT"/>
                      </w:rPr>
                    </w:pPr>
                  </w:p>
                </w:tc>
                <w:tc>
                  <w:tcPr>
                    <w:tcW w:w="1604" w:type="dxa"/>
                    <w:tcBorders>
                      <w:top w:val="nil"/>
                      <w:left w:val="nil"/>
                      <w:bottom w:val="nil"/>
                      <w:right w:val="single" w:sz="12" w:space="0" w:color="auto"/>
                    </w:tcBorders>
                    <w:tcMar>
                      <w:top w:w="0" w:type="dxa"/>
                      <w:left w:w="108" w:type="dxa"/>
                      <w:bottom w:w="0" w:type="dxa"/>
                      <w:right w:w="108" w:type="dxa"/>
                    </w:tcMar>
                    <w:hideMark/>
                  </w:tcPr>
                  <w:p>
                    <w:pPr>
                      <w:ind w:left="720" w:right="708" w:firstLine="709"/>
                      <w:rPr>
                        <w:szCs w:val="24"/>
                        <w:lang w:eastAsia="lt-LT"/>
                      </w:rPr>
                    </w:pP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16.13.</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Dviračių mainų ar dalijimosi sistemos paslaugų teikimo vietos</w:t>
                    </w:r>
                    <w:r>
                      <w:rPr>
                        <w:szCs w:val="24"/>
                        <w:vertAlign w:val="superscript"/>
                        <w:lang w:eastAsia="lt-LT"/>
                      </w:rPr>
                      <w:t>4</w:t>
                    </w:r>
                  </w:p>
                </w:tc>
                <w:tc>
                  <w:tcPr>
                    <w:tcW w:w="1738" w:type="dxa"/>
                    <w:tcBorders>
                      <w:top w:val="nil"/>
                      <w:left w:val="nil"/>
                      <w:bottom w:val="nil"/>
                      <w:right w:val="single" w:sz="12" w:space="0" w:color="auto"/>
                    </w:tcBorders>
                    <w:tcMar>
                      <w:top w:w="0" w:type="dxa"/>
                      <w:left w:w="108" w:type="dxa"/>
                      <w:bottom w:w="0" w:type="dxa"/>
                      <w:right w:w="108" w:type="dxa"/>
                    </w:tcMar>
                    <w:hideMark/>
                  </w:tcPr>
                  <w:p>
                    <w:pPr>
                      <w:ind w:left="720" w:right="708" w:firstLine="709"/>
                      <w:rPr>
                        <w:szCs w:val="24"/>
                        <w:lang w:eastAsia="lt-LT"/>
                      </w:rPr>
                    </w:pPr>
                  </w:p>
                </w:tc>
                <w:tc>
                  <w:tcPr>
                    <w:tcW w:w="1604" w:type="dxa"/>
                    <w:tcBorders>
                      <w:top w:val="nil"/>
                      <w:left w:val="nil"/>
                      <w:bottom w:val="nil"/>
                      <w:right w:val="single" w:sz="12" w:space="0" w:color="auto"/>
                    </w:tcBorders>
                    <w:tcMar>
                      <w:top w:w="0" w:type="dxa"/>
                      <w:left w:w="108" w:type="dxa"/>
                      <w:bottom w:w="0" w:type="dxa"/>
                      <w:right w:w="108" w:type="dxa"/>
                    </w:tcMar>
                    <w:hideMark/>
                  </w:tcPr>
                  <w:p>
                    <w:pPr>
                      <w:ind w:left="720" w:right="708" w:firstLine="709"/>
                      <w:rPr>
                        <w:szCs w:val="24"/>
                        <w:lang w:eastAsia="lt-LT"/>
                      </w:rPr>
                    </w:pP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16.14.</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Vasaros koncertų estrados prieigos prie tako į Girulių mišką (dviračių aptarnavimas ir remontas)</w:t>
                    </w:r>
                    <w:r>
                      <w:rPr>
                        <w:szCs w:val="24"/>
                        <w:vertAlign w:val="superscript"/>
                        <w:lang w:eastAsia="lt-LT"/>
                      </w:rPr>
                      <w:t>5</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37</w:t>
                    </w:r>
                  </w:p>
                </w:tc>
              </w:tr>
              <w:tr>
                <w:trPr>
                  <w:trHeight w:val="113"/>
                </w:trPr>
                <w:tc>
                  <w:tcPr>
                    <w:tcW w:w="1545" w:type="dxa"/>
                    <w:tcBorders>
                      <w:top w:val="nil"/>
                      <w:left w:val="single" w:sz="12" w:space="0" w:color="auto"/>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16.15.</w:t>
                    </w:r>
                  </w:p>
                </w:tc>
                <w:tc>
                  <w:tcPr>
                    <w:tcW w:w="4737"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Poilsio parkas</w:t>
                    </w:r>
                  </w:p>
                </w:tc>
                <w:tc>
                  <w:tcPr>
                    <w:tcW w:w="1738"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3</w:t>
                    </w:r>
                  </w:p>
                </w:tc>
                <w:tc>
                  <w:tcPr>
                    <w:tcW w:w="1604" w:type="dxa"/>
                    <w:tcBorders>
                      <w:top w:val="nil"/>
                      <w:left w:val="nil"/>
                      <w:bottom w:val="nil"/>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18</w:t>
                    </w:r>
                  </w:p>
                </w:tc>
              </w:tr>
              <w:tr>
                <w:trPr>
                  <w:trHeight w:val="113"/>
                </w:trPr>
                <w:tc>
                  <w:tcPr>
                    <w:tcW w:w="1545"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16.16.</w:t>
                    </w:r>
                  </w:p>
                </w:tc>
                <w:tc>
                  <w:tcPr>
                    <w:tcW w:w="4737" w:type="dxa"/>
                    <w:tcBorders>
                      <w:top w:val="nil"/>
                      <w:left w:val="nil"/>
                      <w:bottom w:val="single" w:sz="18" w:space="0" w:color="auto"/>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Jono kalnelis, Bastionų g. (kanojų ir baidarių nuoma)</w:t>
                    </w:r>
                    <w:r>
                      <w:rPr>
                        <w:szCs w:val="24"/>
                        <w:vertAlign w:val="superscript"/>
                        <w:lang w:eastAsia="lt-LT"/>
                      </w:rPr>
                      <w:t> 3</w:t>
                    </w:r>
                    <w:r>
                      <w:rPr>
                        <w:szCs w:val="24"/>
                        <w:lang w:eastAsia="lt-LT"/>
                      </w:rPr>
                      <w:t>(leidimas teikti paslaugą išduodamas laikotarpiui, kuris suderintas su BĮ „Klaipėdos paplūdimiai“) (ne daugiau kaip 10 vnt. plaukiojančių priemonių)___</w:t>
                    </w:r>
                  </w:p>
                </w:tc>
                <w:tc>
                  <w:tcPr>
                    <w:tcW w:w="1738" w:type="dxa"/>
                    <w:tcBorders>
                      <w:top w:val="nil"/>
                      <w:left w:val="nil"/>
                      <w:bottom w:val="single" w:sz="18" w:space="0" w:color="auto"/>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1</w:t>
                    </w:r>
                  </w:p>
                </w:tc>
                <w:tc>
                  <w:tcPr>
                    <w:tcW w:w="1604" w:type="dxa"/>
                    <w:tcBorders>
                      <w:top w:val="nil"/>
                      <w:left w:val="nil"/>
                      <w:bottom w:val="single" w:sz="18" w:space="0" w:color="auto"/>
                      <w:right w:val="single" w:sz="12" w:space="0" w:color="auto"/>
                    </w:tcBorders>
                    <w:tcMar>
                      <w:top w:w="0" w:type="dxa"/>
                      <w:left w:w="108" w:type="dxa"/>
                      <w:bottom w:w="0" w:type="dxa"/>
                      <w:right w:w="108" w:type="dxa"/>
                    </w:tcMar>
                    <w:hideMark/>
                  </w:tcPr>
                  <w:p>
                    <w:pPr>
                      <w:ind w:right="708"/>
                      <w:rPr>
                        <w:szCs w:val="24"/>
                        <w:lang w:eastAsia="lt-LT"/>
                      </w:rPr>
                    </w:pPr>
                    <w:r>
                      <w:rPr>
                        <w:szCs w:val="24"/>
                        <w:lang w:eastAsia="lt-LT"/>
                      </w:rPr>
                      <w:t>33</w:t>
                    </w:r>
                  </w:p>
                </w:tc>
              </w:tr>
            </w:tbl>
            <w:p>
              <w:pPr>
                <w:ind w:left="720" w:right="708" w:firstLine="5793"/>
                <w:rPr>
                  <w:szCs w:val="24"/>
                  <w:lang w:eastAsia="lt-LT"/>
                </w:rPr>
              </w:pPr>
              <w:r>
                <w:rPr>
                  <w:szCs w:val="24"/>
                  <w:lang w:eastAsia="lt-LT"/>
                </w:rPr>
                <w:t>Iš viso: 21</w:t>
              </w:r>
            </w:p>
            <w:p>
              <w:pPr>
                <w:ind w:left="720" w:right="708" w:firstLine="771"/>
                <w:rPr>
                  <w:szCs w:val="24"/>
                  <w:lang w:eastAsia="lt-LT"/>
                </w:rPr>
              </w:pPr>
            </w:p>
            <w:p>
              <w:pPr>
                <w:jc w:val="both"/>
                <w:rPr>
                  <w:szCs w:val="24"/>
                  <w:lang w:eastAsia="lt-LT"/>
                </w:rPr>
              </w:pPr>
              <w:r>
                <w:rPr>
                  <w:szCs w:val="24"/>
                  <w:lang w:eastAsia="lt-LT"/>
                </w:rPr>
                <w:t>¹ Leidimas veiklai išduodamas tik pateikus Kuršių nerijos nacionalinio parko direkcijos sutikimą.</w:t>
              </w:r>
            </w:p>
            <w:p>
              <w:pPr>
                <w:jc w:val="both"/>
                <w:rPr>
                  <w:szCs w:val="24"/>
                  <w:lang w:eastAsia="lt-LT"/>
                </w:rPr>
              </w:pPr>
              <w:r>
                <w:rPr>
                  <w:szCs w:val="24"/>
                  <w:vertAlign w:val="superscript"/>
                  <w:lang w:eastAsia="lt-LT"/>
                </w:rPr>
                <w:t>2</w:t>
              </w:r>
              <w:r>
                <w:rPr>
                  <w:szCs w:val="24"/>
                  <w:lang w:eastAsia="lt-LT"/>
                </w:rPr>
                <w:t>Dviračių ir kitų bevariklių transporto priemonių nuomos paslaugų vietos.</w:t>
              </w:r>
            </w:p>
            <w:p>
              <w:pPr>
                <w:jc w:val="both"/>
                <w:rPr>
                  <w:szCs w:val="24"/>
                  <w:lang w:eastAsia="lt-LT"/>
                </w:rPr>
              </w:pPr>
              <w:r>
                <w:rPr>
                  <w:szCs w:val="24"/>
                  <w:vertAlign w:val="superscript"/>
                  <w:lang w:eastAsia="lt-LT"/>
                </w:rPr>
                <w:t>3</w:t>
              </w:r>
              <w:r>
                <w:rPr>
                  <w:szCs w:val="24"/>
                  <w:lang w:eastAsia="lt-LT"/>
                </w:rPr>
                <w:t>Leidimas teikti vandens pramogų priemonių nuomos paslaugą išduodamas tik pateikus sudarytą sutartį su krantinių valdytoju ar naudotoju, jeigu ji perduota valdyti ar naudoti kitam asmeniui.</w:t>
              </w:r>
            </w:p>
            <w:p>
              <w:pPr>
                <w:jc w:val="both"/>
                <w:rPr>
                  <w:szCs w:val="24"/>
                  <w:lang w:eastAsia="lt-LT"/>
                </w:rPr>
              </w:pPr>
              <w:r>
                <w:rPr>
                  <w:szCs w:val="24"/>
                  <w:vertAlign w:val="superscript"/>
                  <w:lang w:eastAsia="lt-LT"/>
                </w:rPr>
                <w:t>4</w:t>
              </w:r>
              <w:r>
                <w:rPr>
                  <w:szCs w:val="24"/>
                  <w:lang w:eastAsia="lt-LT"/>
                </w:rPr>
                <w:t>Leidimas teikti dviračių mainų ar dalijimosi sistemos punktų paslaugą išduodamas ne ilgiau kaip iki einamųjų metų gruodžio 31 d. ir tik į tas vietas, kurias suderina Nuolatinė komisija, patvirtinta Klaipėdos miesto savivaldybės administracijos direktoriaus 2025 m. balandžio 3 d. įsakymu Nr. AD1-249 „Dėl Nuolatinės komisijos Klaipėdos miesto savivaldybės viešųjų vietų prekiauti ir teikti paslaugas nuo (iš) laikinųjų įrenginių klausimams spręsti sudarymo“.</w:t>
              </w:r>
            </w:p>
            <w:p>
              <w:pPr>
                <w:jc w:val="both"/>
                <w:rPr>
                  <w:szCs w:val="24"/>
                  <w:lang w:eastAsia="lt-LT"/>
                </w:rPr>
              </w:pPr>
              <w:r>
                <w:rPr>
                  <w:szCs w:val="24"/>
                  <w:vertAlign w:val="superscript"/>
                  <w:lang w:eastAsia="lt-LT"/>
                </w:rPr>
                <w:t>5</w:t>
              </w:r>
              <w:r>
                <w:rPr>
                  <w:szCs w:val="24"/>
                  <w:lang w:eastAsia="lt-LT"/>
                </w:rPr>
                <w:t>Leidimas išduodamas tik pateikus Vasaros koncertų estrados valdytojo sutikimą.</w:t>
              </w:r>
            </w:p>
            <w:p>
              <w:pPr>
                <w:jc w:val="both"/>
                <w:rPr>
                  <w:szCs w:val="24"/>
                  <w:lang w:eastAsia="lt-LT"/>
                </w:rPr>
              </w:pPr>
              <w:r>
                <w:rPr>
                  <w:szCs w:val="24"/>
                  <w:vertAlign w:val="superscript"/>
                  <w:lang w:eastAsia="lt-LT"/>
                </w:rPr>
                <w:t>6</w:t>
              </w:r>
              <w:r>
                <w:rPr>
                  <w:szCs w:val="24"/>
                  <w:lang w:eastAsia="lt-LT"/>
                </w:rPr>
                <w:t>Viena paslaugų teikimo vieta negali užimti didesnį kaip 4,00 m</w:t>
              </w:r>
              <w:r>
                <w:rPr>
                  <w:szCs w:val="24"/>
                  <w:vertAlign w:val="superscript"/>
                  <w:lang w:eastAsia="lt-LT"/>
                </w:rPr>
                <w:t>2</w:t>
              </w:r>
              <w:r>
                <w:rPr>
                  <w:szCs w:val="24"/>
                  <w:lang w:eastAsia="lt-LT"/>
                </w:rPr>
                <w:t> plotą (išskyrus mobilių (mažųjų) atrakcionų vietas, kurių užimamas plotas negali būti didesnis kaip 100 m</w:t>
              </w:r>
              <w:r>
                <w:rPr>
                  <w:szCs w:val="24"/>
                  <w:vertAlign w:val="superscript"/>
                  <w:lang w:eastAsia="lt-LT"/>
                </w:rPr>
                <w:t>2</w:t>
              </w:r>
              <w:r>
                <w:rPr>
                  <w:szCs w:val="24"/>
                  <w:lang w:eastAsia="lt-LT"/>
                </w:rPr>
                <w:t>).</w:t>
              </w:r>
            </w:p>
            <w:p>
              <w:pPr>
                <w:jc w:val="both"/>
                <w:rPr>
                  <w:b/>
                  <w:szCs w:val="24"/>
                </w:rPr>
              </w:pPr>
              <w:r>
                <w:rPr>
                  <w:szCs w:val="24"/>
                  <w:lang w:eastAsia="lt-LT"/>
                </w:rPr>
                <w:t>Veiklą leidžiama vykdyti nuo balandžio 1 d. iki spalio 31 d. (išskyrus dviračių mainų ar dalijimosi sistemos paslaugų teikimo paslaugas ir atrakcionų (laipynių) parko paslaugas pagal konkursinę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68bf0246111f1a552c76556910e9c">
                <w:r w:rsidRPr="00532B9F">
                  <w:rPr>
                    <w:rFonts w:ascii="Times New Roman" w:eastAsia="MS Mincho" w:hAnsi="Times New Roman"/>
                    <w:sz w:val="20"/>
                    <w:i/>
                    <w:iCs/>
                    <w:color w:val="0000FF" w:themeColor="hyperlink"/>
                    <w:u w:val="single"/>
                  </w:rPr>
                  <w:t>AD1-227</w:t>
                </w:r>
              </w:fldSimple>
              <w:r>
                <w:rPr>
                  <w:rFonts w:ascii="Times New Roman" w:eastAsia="MS Mincho" w:hAnsi="Times New Roman"/>
                  <w:sz w:val="20"/>
                  <w:i/>
                  <w:iCs/>
                </w:rPr>
                <w:t>,
2026-03-20,
paskelbta TAR 2026-03-20, i. k. 2026-04425            </w:t>
              </w:r>
            </w:p>
            <w:p/>
          </w:sdtContent>
        </w:sdt>
        <w:sdt>
          <w:sdtPr>
            <w:alias w:val="17 p."/>
            <w:tag w:val="part_bedf82d4e326418c895e8a7637e885ae"/>
            <w:lock w:val="sdtLocked"/>
            <w:richText/>
          </w:sdtPr>
          <w:sdtContent>
            <w:p>
              <w:pPr>
                <w:jc w:val="both"/>
                <w:rPr>
                  <w:b/>
                  <w:szCs w:val="24"/>
                </w:rPr>
              </w:pPr>
              <w:sdt>
                <w:sdtPr>
                  <w:alias w:val="Numeris"/>
                  <w:tag w:val="nr_bedf82d4e326418c895e8a7637e885ae"/>
                  <w:lock w:val="sdtLocked"/>
                  <w:richText/>
                </w:sdtPr>
                <w:sdtContent>
                  <w:r>
                    <w:rPr>
                      <w:b/>
                      <w:szCs w:val="24"/>
                    </w:rPr>
                    <w:t>17</w:t>
                  </w:r>
                </w:sdtContent>
              </w:sdt>
              <w:r>
                <w:rPr>
                  <w:b/>
                  <w:szCs w:val="24"/>
                </w:rPr>
                <w:t>. Vežimo mažaisiais autotraukinukais paslaugų teikimo vietos</w:t>
              </w:r>
            </w:p>
            <w:p>
              <w:pPr>
                <w:jc w:val="both"/>
                <w:rPr>
                  <w:b/>
                  <w:szCs w:val="24"/>
                </w:rPr>
              </w:pPr>
            </w:p>
            <w:tbl>
              <w:tblPr>
                <w:tblW w:w="9658" w:type="dxa"/>
                <w:tblInd w:w="-34" w:type="dxa"/>
                <w:shd w:val="clear" w:color="auto" w:fill="FFFFFF"/>
                <w:tblCellMar>
                  <w:left w:w="0" w:type="dxa"/>
                  <w:right w:w="0" w:type="dxa"/>
                </w:tblCellMar>
                <w:tblLook w:val="04A0" w:firstRow="1" w:lastRow="0" w:firstColumn="1" w:lastColumn="0" w:noHBand="0" w:noVBand="1"/>
              </w:tblPr>
              <w:tblGrid>
                <w:gridCol w:w="824"/>
                <w:gridCol w:w="6708"/>
                <w:gridCol w:w="2126"/>
              </w:tblGrid>
              <w:tr>
                <w:trPr>
                  <w:trHeight w:val="560"/>
                </w:trPr>
                <w:tc>
                  <w:tcPr>
                    <w:tcW w:w="824" w:type="dxa"/>
                    <w:tcBorders>
                      <w:top w:val="single" w:sz="12" w:space="0" w:color="auto"/>
                      <w:left w:val="single" w:sz="12" w:space="0" w:color="auto"/>
                      <w:bottom w:val="single" w:sz="12" w:space="0" w:color="auto"/>
                      <w:right w:val="single" w:sz="12" w:space="0" w:color="auto"/>
                    </w:tcBorders>
                    <w:shd w:val="clear" w:color="auto" w:fill="FFFFFF"/>
                    <w:tcMar>
                      <w:top w:w="0" w:type="dxa"/>
                      <w:left w:w="108" w:type="dxa"/>
                      <w:bottom w:w="0" w:type="dxa"/>
                      <w:right w:w="108" w:type="dxa"/>
                    </w:tcMar>
                    <w:vAlign w:val="center"/>
                    <w:hideMark/>
                  </w:tcPr>
                  <w:p>
                    <w:pPr>
                      <w:jc w:val="both"/>
                      <w:rPr>
                        <w:b/>
                        <w:szCs w:val="24"/>
                      </w:rPr>
                    </w:pPr>
                    <w:r>
                      <w:rPr>
                        <w:b/>
                        <w:szCs w:val="24"/>
                      </w:rPr>
                      <w:t>Eil.</w:t>
                    </w:r>
                  </w:p>
                  <w:p>
                    <w:pPr>
                      <w:jc w:val="both"/>
                      <w:rPr>
                        <w:b/>
                        <w:szCs w:val="24"/>
                      </w:rPr>
                    </w:pPr>
                    <w:r>
                      <w:rPr>
                        <w:b/>
                        <w:szCs w:val="24"/>
                      </w:rPr>
                      <w:t>Nr.</w:t>
                    </w:r>
                  </w:p>
                </w:tc>
                <w:tc>
                  <w:tcPr>
                    <w:tcW w:w="6708"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jc w:val="both"/>
                      <w:rPr>
                        <w:b/>
                        <w:szCs w:val="24"/>
                      </w:rPr>
                    </w:pPr>
                    <w:r>
                      <w:rPr>
                        <w:b/>
                        <w:szCs w:val="24"/>
                      </w:rPr>
                      <w:t>Maršrutas</w:t>
                    </w:r>
                  </w:p>
                </w:tc>
                <w:tc>
                  <w:tcPr>
                    <w:tcW w:w="2126"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jc w:val="both"/>
                      <w:rPr>
                        <w:b/>
                        <w:szCs w:val="24"/>
                      </w:rPr>
                    </w:pPr>
                    <w:r>
                      <w:rPr>
                        <w:b/>
                        <w:szCs w:val="24"/>
                      </w:rPr>
                      <w:t>Mažųjų autotraukinukų skaičius</w:t>
                    </w:r>
                  </w:p>
                </w:tc>
              </w:tr>
              <w:tr>
                <w:trPr>
                  <w:trHeight w:val="274"/>
                </w:trPr>
                <w:tc>
                  <w:tcPr>
                    <w:tcW w:w="824" w:type="dxa"/>
                    <w:tcBorders>
                      <w:top w:val="nil"/>
                      <w:left w:val="single" w:sz="12" w:space="0" w:color="auto"/>
                      <w:bottom w:val="single" w:sz="12" w:space="0" w:color="auto"/>
                      <w:right w:val="single" w:sz="12" w:space="0" w:color="auto"/>
                    </w:tcBorders>
                    <w:shd w:val="clear" w:color="auto" w:fill="FFFFFF"/>
                    <w:tcMar>
                      <w:top w:w="0" w:type="dxa"/>
                      <w:left w:w="108" w:type="dxa"/>
                      <w:bottom w:w="0" w:type="dxa"/>
                      <w:right w:w="108" w:type="dxa"/>
                    </w:tcMar>
                    <w:hideMark/>
                  </w:tcPr>
                  <w:p>
                    <w:pPr>
                      <w:jc w:val="both"/>
                      <w:rPr>
                        <w:b/>
                        <w:szCs w:val="24"/>
                      </w:rPr>
                    </w:pPr>
                    <w:r>
                      <w:rPr>
                        <w:b/>
                        <w:szCs w:val="24"/>
                      </w:rPr>
                      <w:t>1</w:t>
                    </w:r>
                  </w:p>
                </w:tc>
                <w:tc>
                  <w:tcPr>
                    <w:tcW w:w="6708"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jc w:val="both"/>
                      <w:rPr>
                        <w:b/>
                        <w:szCs w:val="24"/>
                      </w:rPr>
                    </w:pPr>
                    <w:r>
                      <w:rPr>
                        <w:b/>
                        <w:szCs w:val="24"/>
                      </w:rPr>
                      <w:t>2</w:t>
                    </w:r>
                  </w:p>
                </w:tc>
                <w:tc>
                  <w:tcPr>
                    <w:tcW w:w="2126"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jc w:val="both"/>
                      <w:rPr>
                        <w:b/>
                        <w:szCs w:val="24"/>
                      </w:rPr>
                    </w:pPr>
                    <w:r>
                      <w:rPr>
                        <w:b/>
                        <w:szCs w:val="24"/>
                      </w:rPr>
                      <w:t>3</w:t>
                    </w:r>
                  </w:p>
                </w:tc>
              </w:tr>
              <w:tr>
                <w:trPr>
                  <w:trHeight w:val="287"/>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jc w:val="both"/>
                      <w:rPr>
                        <w:bCs/>
                        <w:szCs w:val="24"/>
                      </w:rPr>
                    </w:pPr>
                    <w:r>
                      <w:rPr>
                        <w:bCs/>
                        <w:szCs w:val="24"/>
                      </w:rPr>
                      <w:t>17.1.</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jc w:val="both"/>
                      <w:rPr>
                        <w:bCs/>
                        <w:szCs w:val="24"/>
                      </w:rPr>
                    </w:pPr>
                    <w:r>
                      <w:rPr>
                        <w:bCs/>
                        <w:szCs w:val="24"/>
                      </w:rPr>
                      <w:t>Smiltynės senoji perkėla–Jūrų muziejus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jc w:val="both"/>
                      <w:rPr>
                        <w:bCs/>
                        <w:szCs w:val="24"/>
                      </w:rPr>
                    </w:pPr>
                    <w:r>
                      <w:rPr>
                        <w:bCs/>
                        <w:szCs w:val="24"/>
                      </w:rPr>
                      <w:t>4</w:t>
                    </w:r>
                  </w:p>
                </w:tc>
              </w:tr>
              <w:tr>
                <w:trPr>
                  <w:trHeight w:val="143"/>
                </w:trPr>
                <w:tc>
                  <w:tcPr>
                    <w:tcW w:w="824" w:type="dxa"/>
                    <w:tcBorders>
                      <w:top w:val="nil"/>
                      <w:left w:val="single" w:sz="12" w:space="0" w:color="auto"/>
                      <w:bottom w:val="single" w:sz="12" w:space="0" w:color="auto"/>
                      <w:right w:val="single" w:sz="12" w:space="0" w:color="auto"/>
                    </w:tcBorders>
                    <w:shd w:val="clear" w:color="auto" w:fill="FFFFFF"/>
                    <w:tcMar>
                      <w:top w:w="0" w:type="dxa"/>
                      <w:left w:w="108" w:type="dxa"/>
                      <w:bottom w:w="0" w:type="dxa"/>
                      <w:right w:w="108" w:type="dxa"/>
                    </w:tcMar>
                    <w:hideMark/>
                  </w:tcPr>
                  <w:p>
                    <w:pPr>
                      <w:jc w:val="both"/>
                      <w:rPr>
                        <w:bCs/>
                        <w:szCs w:val="24"/>
                      </w:rPr>
                    </w:pPr>
                  </w:p>
                </w:tc>
                <w:tc>
                  <w:tcPr>
                    <w:tcW w:w="6708"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jc w:val="both"/>
                      <w:rPr>
                        <w:bCs/>
                        <w:szCs w:val="24"/>
                      </w:rPr>
                    </w:pPr>
                  </w:p>
                </w:tc>
                <w:tc>
                  <w:tcPr>
                    <w:tcW w:w="2126"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jc w:val="both"/>
                      <w:rPr>
                        <w:bCs/>
                        <w:szCs w:val="24"/>
                      </w:rPr>
                    </w:pPr>
                  </w:p>
                </w:tc>
              </w:tr>
            </w:tbl>
            <w:p>
              <w:pPr>
                <w:ind w:firstLine="8222"/>
                <w:rPr>
                  <w:bCs/>
                  <w:szCs w:val="24"/>
                </w:rPr>
              </w:pPr>
              <w:r>
                <w:rPr>
                  <w:bCs/>
                  <w:szCs w:val="24"/>
                </w:rPr>
                <w:t>Iš viso: 4</w:t>
              </w:r>
            </w:p>
            <w:p>
              <w:pPr>
                <w:jc w:val="both"/>
                <w:rPr>
                  <w:bCs/>
                  <w:szCs w:val="24"/>
                </w:rPr>
              </w:pPr>
              <w:r>
                <w:rPr>
                  <w:bCs/>
                  <w:szCs w:val="24"/>
                </w:rPr>
                <w:t>Teikti vežimo mažaisiais autotraukinukais paslaugą leidžiama tik laikantis Kelių eismo taisyklių reikalavimų.</w:t>
              </w:r>
            </w:p>
            <w:p>
              <w:pPr>
                <w:jc w:val="both"/>
                <w:rPr>
                  <w:bCs/>
                  <w:szCs w:val="24"/>
                </w:rPr>
              </w:pPr>
              <w:r>
                <w:rPr>
                  <w:bCs/>
                  <w:szCs w:val="24"/>
                </w:rPr>
                <w:t>Paslaugos teikėjas privalo užtikrinti tvarkingą ir reprezentatyvią transporto priemonės ir jos valdytojo (vairuotojo) išvaizdą, viešosios tvarkos laikymąsi, nekeliant triukšmo ar konfliktinių situacijų tarpusavyje dėl konkurencijos.</w:t>
              </w:r>
            </w:p>
            <w:p>
              <w:pPr>
                <w:jc w:val="both"/>
                <w:rPr>
                  <w:bCs/>
                  <w:szCs w:val="24"/>
                </w:rPr>
              </w:pPr>
              <w:r>
                <w:rPr>
                  <w:bCs/>
                  <w:szCs w:val="24"/>
                </w:rPr>
                <w:t xml:space="preserve">Leidimą paslaugoms teikti turintis asmuo įsipareigoja veiklą vykdyti pagal grafiką, kuris turi būti skelbiamas keleivių įlaipinimo vietose. </w:t>
              </w:r>
            </w:p>
            <w:p>
              <w:pPr>
                <w:jc w:val="both"/>
                <w:rPr>
                  <w:b/>
                  <w:szCs w:val="24"/>
                </w:rPr>
              </w:pPr>
            </w:p>
          </w:sdtContent>
        </w:sdt>
        <w:sdt>
          <w:sdtPr>
            <w:alias w:val="18 p."/>
            <w:tag w:val="part_9821d7d771bd4fb2bd429e0cc9853586"/>
            <w:lock w:val="sdtLocked"/>
            <w:richText/>
          </w:sdtPr>
          <w:sdtContent>
            <w:p>
              <w:pPr>
                <w:jc w:val="both"/>
                <w:rPr>
                  <w:b/>
                  <w:szCs w:val="24"/>
                  <w:lang w:val="en-US"/>
                </w:rPr>
              </w:pPr>
              <w:sdt>
                <w:sdtPr>
                  <w:alias w:val="Numeris"/>
                  <w:tag w:val="nr_9821d7d771bd4fb2bd429e0cc9853586"/>
                  <w:lock w:val="sdtLocked"/>
                  <w:richText/>
                </w:sdtPr>
                <w:sdtContent>
                  <w:r>
                    <w:rPr>
                      <w:b/>
                      <w:szCs w:val="24"/>
                    </w:rPr>
                    <w:t>18</w:t>
                  </w:r>
                </w:sdtContent>
              </w:sdt>
              <w:r>
                <w:rPr>
                  <w:b/>
                  <w:szCs w:val="24"/>
                </w:rPr>
                <w:t>. Vežimo kinkomuoju transportu (karietomis) paslaugų teikimo vietos</w:t>
              </w:r>
            </w:p>
            <w:p>
              <w:pPr>
                <w:jc w:val="both"/>
                <w:rPr>
                  <w:b/>
                  <w:szCs w:val="24"/>
                </w:rPr>
              </w:pPr>
            </w:p>
            <w:tbl>
              <w:tblPr>
                <w:tblW w:w="95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6488"/>
                <w:gridCol w:w="2125"/>
              </w:tblGrid>
              <w:tr>
                <w:trPr>
                  <w:trHeight w:val="534"/>
                </w:trPr>
                <w:tc>
                  <w:tcPr>
                    <w:tcW w:w="897"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w:t>
                    </w:r>
                  </w:p>
                  <w:p>
                    <w:pPr>
                      <w:jc w:val="both"/>
                      <w:rPr>
                        <w:b/>
                        <w:szCs w:val="24"/>
                      </w:rPr>
                    </w:pPr>
                    <w:r>
                      <w:rPr>
                        <w:b/>
                        <w:szCs w:val="24"/>
                      </w:rPr>
                      <w:t>Nr.</w:t>
                    </w:r>
                  </w:p>
                </w:tc>
                <w:tc>
                  <w:tcPr>
                    <w:tcW w:w="6488"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Maršrutas</w:t>
                    </w:r>
                  </w:p>
                </w:tc>
                <w:tc>
                  <w:tcPr>
                    <w:tcW w:w="2125"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Karietų skaičius</w:t>
                    </w:r>
                  </w:p>
                </w:tc>
              </w:tr>
              <w:tr>
                <w:trPr>
                  <w:trHeight w:val="261"/>
                </w:trPr>
                <w:tc>
                  <w:tcPr>
                    <w:tcW w:w="897"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1</w:t>
                    </w:r>
                  </w:p>
                </w:tc>
                <w:tc>
                  <w:tcPr>
                    <w:tcW w:w="6488"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2</w:t>
                    </w:r>
                  </w:p>
                </w:tc>
                <w:tc>
                  <w:tcPr>
                    <w:tcW w:w="2125"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3</w:t>
                    </w:r>
                  </w:p>
                </w:tc>
              </w:tr>
              <w:tr>
                <w:trPr>
                  <w:trHeight w:val="271"/>
                </w:trPr>
                <w:tc>
                  <w:tcPr>
                    <w:tcW w:w="897" w:type="dxa"/>
                    <w:tcBorders>
                      <w:top w:val="nil"/>
                      <w:left w:val="single" w:sz="12" w:space="0" w:color="auto"/>
                      <w:bottom w:val="nil"/>
                      <w:right w:val="single" w:sz="12" w:space="0" w:color="auto"/>
                    </w:tcBorders>
                    <w:hideMark/>
                  </w:tcPr>
                  <w:p>
                    <w:pPr>
                      <w:jc w:val="both"/>
                      <w:rPr>
                        <w:bCs/>
                        <w:szCs w:val="24"/>
                      </w:rPr>
                    </w:pPr>
                    <w:r>
                      <w:rPr>
                        <w:bCs/>
                        <w:szCs w:val="24"/>
                      </w:rPr>
                      <w:t>18.1.</w:t>
                    </w:r>
                  </w:p>
                </w:tc>
                <w:tc>
                  <w:tcPr>
                    <w:tcW w:w="6488" w:type="dxa"/>
                    <w:tcBorders>
                      <w:top w:val="nil"/>
                      <w:left w:val="single" w:sz="12" w:space="0" w:color="auto"/>
                      <w:bottom w:val="nil"/>
                      <w:right w:val="single" w:sz="12" w:space="0" w:color="auto"/>
                    </w:tcBorders>
                    <w:hideMark/>
                  </w:tcPr>
                  <w:p>
                    <w:pPr>
                      <w:jc w:val="both"/>
                      <w:rPr>
                        <w:bCs/>
                        <w:szCs w:val="24"/>
                      </w:rPr>
                    </w:pPr>
                    <w:r>
                      <w:rPr>
                        <w:bCs/>
                        <w:szCs w:val="24"/>
                      </w:rPr>
                      <w:t>Smiltynės senoji perkėla–Jūrų muziejus–paplūdimys</w:t>
                    </w:r>
                  </w:p>
                </w:tc>
                <w:tc>
                  <w:tcPr>
                    <w:tcW w:w="2125" w:type="dxa"/>
                    <w:tcBorders>
                      <w:top w:val="nil"/>
                      <w:left w:val="single" w:sz="12" w:space="0" w:color="auto"/>
                      <w:bottom w:val="nil"/>
                      <w:right w:val="single" w:sz="12" w:space="0" w:color="auto"/>
                    </w:tcBorders>
                    <w:hideMark/>
                  </w:tcPr>
                  <w:p>
                    <w:pPr>
                      <w:jc w:val="both"/>
                      <w:rPr>
                        <w:bCs/>
                        <w:szCs w:val="24"/>
                      </w:rPr>
                    </w:pPr>
                    <w:r>
                      <w:rPr>
                        <w:bCs/>
                        <w:szCs w:val="24"/>
                      </w:rPr>
                      <w:t>5</w:t>
                    </w:r>
                  </w:p>
                </w:tc>
              </w:tr>
              <w:tr>
                <w:trPr>
                  <w:trHeight w:val="271"/>
                </w:trPr>
                <w:tc>
                  <w:tcPr>
                    <w:tcW w:w="897" w:type="dxa"/>
                    <w:tcBorders>
                      <w:top w:val="nil"/>
                      <w:left w:val="single" w:sz="12" w:space="0" w:color="auto"/>
                      <w:bottom w:val="single" w:sz="12" w:space="0" w:color="auto"/>
                      <w:right w:val="single" w:sz="12" w:space="0" w:color="auto"/>
                    </w:tcBorders>
                    <w:hideMark/>
                  </w:tcPr>
                  <w:p>
                    <w:pPr>
                      <w:jc w:val="both"/>
                      <w:rPr>
                        <w:bCs/>
                        <w:szCs w:val="24"/>
                      </w:rPr>
                    </w:pPr>
                    <w:r>
                      <w:rPr>
                        <w:bCs/>
                        <w:szCs w:val="24"/>
                      </w:rPr>
                      <w:t>18.2.</w:t>
                    </w:r>
                  </w:p>
                </w:tc>
                <w:tc>
                  <w:tcPr>
                    <w:tcW w:w="6488" w:type="dxa"/>
                    <w:tcBorders>
                      <w:top w:val="nil"/>
                      <w:left w:val="single" w:sz="12" w:space="0" w:color="auto"/>
                      <w:bottom w:val="single" w:sz="12" w:space="0" w:color="auto"/>
                      <w:right w:val="single" w:sz="12" w:space="0" w:color="auto"/>
                    </w:tcBorders>
                    <w:hideMark/>
                  </w:tcPr>
                  <w:p>
                    <w:pPr>
                      <w:jc w:val="both"/>
                      <w:rPr>
                        <w:bCs/>
                        <w:szCs w:val="24"/>
                      </w:rPr>
                    </w:pPr>
                    <w:r>
                      <w:rPr>
                        <w:bCs/>
                        <w:szCs w:val="24"/>
                      </w:rPr>
                      <w:t>Poilsio parkas ir jo prieigos</w:t>
                    </w:r>
                    <w:r>
                      <w:rPr>
                        <w:bCs/>
                        <w:szCs w:val="24"/>
                        <w:vertAlign w:val="superscript"/>
                      </w:rPr>
                      <w:t>1</w:t>
                    </w:r>
                  </w:p>
                </w:tc>
                <w:tc>
                  <w:tcPr>
                    <w:tcW w:w="2125" w:type="dxa"/>
                    <w:tcBorders>
                      <w:top w:val="nil"/>
                      <w:left w:val="single" w:sz="12" w:space="0" w:color="auto"/>
                      <w:bottom w:val="single" w:sz="12" w:space="0" w:color="auto"/>
                      <w:right w:val="single" w:sz="12" w:space="0" w:color="auto"/>
                    </w:tcBorders>
                    <w:hideMark/>
                  </w:tcPr>
                  <w:p>
                    <w:pPr>
                      <w:jc w:val="both"/>
                      <w:rPr>
                        <w:bCs/>
                        <w:szCs w:val="24"/>
                      </w:rPr>
                    </w:pPr>
                    <w:r>
                      <w:rPr>
                        <w:bCs/>
                        <w:szCs w:val="24"/>
                      </w:rPr>
                      <w:t>3</w:t>
                    </w:r>
                  </w:p>
                </w:tc>
              </w:tr>
            </w:tbl>
            <w:p>
              <w:pPr>
                <w:ind w:firstLine="8222"/>
                <w:rPr>
                  <w:bCs/>
                  <w:szCs w:val="24"/>
                </w:rPr>
              </w:pPr>
              <w:r>
                <w:rPr>
                  <w:bCs/>
                  <w:szCs w:val="24"/>
                </w:rPr>
                <w:t>Iš viso: 8</w:t>
              </w:r>
            </w:p>
            <w:p>
              <w:pPr>
                <w:jc w:val="both"/>
                <w:rPr>
                  <w:bCs/>
                  <w:szCs w:val="24"/>
                </w:rPr>
              </w:pPr>
              <w:r>
                <w:rPr>
                  <w:bCs/>
                  <w:szCs w:val="24"/>
                  <w:vertAlign w:val="superscript"/>
                </w:rPr>
                <w:t>1</w:t>
              </w:r>
              <w:r>
                <w:rPr>
                  <w:bCs/>
                  <w:szCs w:val="24"/>
                </w:rPr>
                <w:t>Leidžiama teikti vežimo kinkomuoju transportu (karietomis) arba jodinėjimo poniais paslaugas.</w:t>
              </w:r>
            </w:p>
            <w:p>
              <w:pPr>
                <w:jc w:val="both"/>
                <w:rPr>
                  <w:szCs w:val="24"/>
                  <w:lang w:eastAsia="lt-LT"/>
                </w:rPr>
              </w:pPr>
              <w:r>
                <w:rPr>
                  <w:bCs/>
                  <w:szCs w:val="24"/>
                </w:rPr>
                <w:t>Teikti vežimo kinkomuoju transportu (karietomis) paslaugą leidžiama, jeigu šių transporto priemonių eismo konkrečiu maršrutu nedraudžia Kelių eismo taisyklės</w:t>
              </w:r>
              <w:r>
                <w:rPr>
                  <w:b/>
                  <w:szCs w:val="24"/>
                </w:rPr>
                <w:t xml:space="preserve">. </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Priedas Nr. 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68bf0246111f1a552c76556910e9c">
            <w:r w:rsidRPr="00532B9F">
              <w:rPr>
                <w:rFonts w:ascii="Times New Roman" w:eastAsia="MS Mincho" w:hAnsi="Times New Roman"/>
                <w:sz w:val="20"/>
                <w:i/>
                <w:iCs/>
                <w:color w:val="0000FF" w:themeColor="hyperlink"/>
                <w:u w:val="single"/>
              </w:rPr>
              <w:t>AD1-227</w:t>
            </w:r>
          </w:fldSimple>
          <w:r>
            <w:rPr>
              <w:rFonts w:ascii="Times New Roman" w:eastAsia="MS Mincho" w:hAnsi="Times New Roman"/>
              <w:sz w:val="20"/>
              <w:i/>
              <w:iCs/>
            </w:rPr>
            <w:t>,
2026-03-20,
paskelbta TAR 2026-03-20, i. k. 2026-04425        </w:t>
          </w:r>
        </w:p>
        <w:p/>
        <w:p>
          <w:pPr>
            <w:pStyle w:val="PlainText"/>
            <w:rPr>
              <w:rFonts w:ascii="Times New Roman" w:eastAsia="MS Mincho" w:hAnsi="Times New Roman"/>
              <w:sz w:val="20"/>
              <w:iCs/>
            </w:rPr>
          </w:pPr>
          <w:r>
            <w:rPr>
              <w:rFonts w:ascii="Times New Roman" w:eastAsia="MS Mincho" w:hAnsi="Times New Roman"/>
              <w:sz w:val="20"/>
              <w:iCs/>
            </w:rPr>
            <w:t>Priedas Nr. 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68bf0246111f1a552c76556910e9c">
            <w:r w:rsidRPr="00532B9F">
              <w:rPr>
                <w:rFonts w:ascii="Times New Roman" w:eastAsia="MS Mincho" w:hAnsi="Times New Roman"/>
                <w:sz w:val="20"/>
                <w:i/>
                <w:iCs/>
                <w:color w:val="0000FF" w:themeColor="hyperlink"/>
                <w:u w:val="single"/>
              </w:rPr>
              <w:t>AD1-227</w:t>
            </w:r>
          </w:fldSimple>
          <w:r>
            <w:rPr>
              <w:rFonts w:ascii="Times New Roman" w:eastAsia="MS Mincho" w:hAnsi="Times New Roman"/>
              <w:sz w:val="20"/>
              <w:i/>
              <w:iCs/>
            </w:rPr>
            <w:t>,
2026-03-20,
paskelbta TAR 2026-03-20, i. k. 2026-04425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4ec16326811f180c9c618618421ed">
            <w:r w:rsidRPr="00532B9F">
              <w:rPr>
                <w:rFonts w:ascii="Times New Roman" w:eastAsia="MS Mincho" w:hAnsi="Times New Roman"/>
                <w:sz w:val="20"/>
                <w:i/>
                <w:iCs/>
                <w:color w:val="0000FF" w:themeColor="hyperlink"/>
                <w:u w:val="single"/>
              </w:rPr>
              <w:t>AD1-263</w:t>
            </w:r>
          </w:fldSimple>
          <w:r>
            <w:rPr>
              <w:rFonts w:ascii="Times New Roman" w:eastAsia="MS Mincho" w:hAnsi="Times New Roman"/>
              <w:sz w:val="20"/>
              <w:i/>
              <w:iCs/>
            </w:rPr>
            <w:t>,
2026-04-07,
paskelbta TAR 2026-04-07, i. k. 2026-05670        </w:t>
          </w:r>
        </w:p>
        <w:p/>
        <w:p>
          <w:pPr>
            <w:pStyle w:val="PlainText"/>
            <w:rPr>
              <w:rFonts w:ascii="Times New Roman" w:eastAsia="MS Mincho" w:hAnsi="Times New Roman"/>
              <w:sz w:val="20"/>
              <w:iCs/>
            </w:rPr>
          </w:pPr>
          <w:r>
            <w:rPr>
              <w:rFonts w:ascii="Times New Roman" w:eastAsia="MS Mincho" w:hAnsi="Times New Roman"/>
              <w:sz w:val="20"/>
              <w:iCs/>
            </w:rPr>
            <w:t>Priedas Nr. 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68bf0246111f1a552c76556910e9c">
            <w:r w:rsidRPr="00532B9F">
              <w:rPr>
                <w:rFonts w:ascii="Times New Roman" w:eastAsia="MS Mincho" w:hAnsi="Times New Roman"/>
                <w:sz w:val="20"/>
                <w:i/>
                <w:iCs/>
                <w:color w:val="0000FF" w:themeColor="hyperlink"/>
                <w:u w:val="single"/>
              </w:rPr>
              <w:t>AD1-227</w:t>
            </w:r>
          </w:fldSimple>
          <w:r>
            <w:rPr>
              <w:rFonts w:ascii="Times New Roman" w:eastAsia="MS Mincho" w:hAnsi="Times New Roman"/>
              <w:sz w:val="20"/>
              <w:i/>
              <w:iCs/>
            </w:rPr>
            <w:t>,
2026-03-20,
paskelbta TAR 2026-03-20, i. k. 2026-04425        </w:t>
          </w:r>
        </w:p>
        <w:p/>
        <w:p>
          <w:pPr>
            <w:pStyle w:val="PlainText"/>
            <w:rPr>
              <w:rFonts w:ascii="Times New Roman" w:eastAsia="MS Mincho" w:hAnsi="Times New Roman"/>
              <w:sz w:val="20"/>
              <w:iCs/>
            </w:rPr>
          </w:pPr>
          <w:r>
            <w:rPr>
              <w:rFonts w:ascii="Times New Roman" w:eastAsia="MS Mincho" w:hAnsi="Times New Roman"/>
              <w:sz w:val="20"/>
              <w:iCs/>
            </w:rPr>
            <w:t>Priedas Nr. 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4ec16326811f180c9c618618421ed">
            <w:r w:rsidRPr="00532B9F">
              <w:rPr>
                <w:rFonts w:ascii="Times New Roman" w:eastAsia="MS Mincho" w:hAnsi="Times New Roman"/>
                <w:sz w:val="20"/>
                <w:i/>
                <w:iCs/>
                <w:color w:val="0000FF" w:themeColor="hyperlink"/>
                <w:u w:val="single"/>
              </w:rPr>
              <w:t>AD1-263</w:t>
            </w:r>
          </w:fldSimple>
          <w:r>
            <w:rPr>
              <w:rFonts w:ascii="Times New Roman" w:eastAsia="MS Mincho" w:hAnsi="Times New Roman"/>
              <w:sz w:val="20"/>
              <w:i/>
              <w:iCs/>
            </w:rPr>
            <w:t>,
2026-04-07,
paskelbta TAR 2026-04-07, i. k. 2026-05670        </w:t>
          </w:r>
        </w:p>
        <w:p/>
        <w:p>
          <w:pPr>
            <w:pStyle w:val="PlainText"/>
            <w:rPr>
              <w:rFonts w:ascii="Times New Roman" w:eastAsia="MS Mincho" w:hAnsi="Times New Roman"/>
              <w:sz w:val="20"/>
              <w:iCs/>
            </w:rPr>
          </w:pPr>
          <w:r>
            <w:rPr>
              <w:rFonts w:ascii="Times New Roman" w:eastAsia="MS Mincho" w:hAnsi="Times New Roman"/>
              <w:sz w:val="20"/>
              <w:iCs/>
            </w:rPr>
            <w:t>Priedas Nr. 14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16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30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36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39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40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41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a8c9900e5211f1bd71e5905aa24d51">
            <w:r w:rsidRPr="00532B9F">
              <w:rPr>
                <w:rFonts w:ascii="Times New Roman" w:eastAsia="MS Mincho" w:hAnsi="Times New Roman"/>
                <w:sz w:val="20"/>
                <w:iCs/>
                <w:color w:val="0000FF" w:themeColor="hyperlink"/>
                <w:u w:val="single"/>
              </w:rPr>
              <w:t>AD1-130</w:t>
            </w:r>
          </w:fldSimple>
          <w:r>
            <w:rPr>
              <w:rFonts w:ascii="Times New Roman" w:eastAsia="MS Mincho" w:hAnsi="Times New Roman"/>
              <w:sz w:val="20"/>
              <w:iCs/>
            </w:rPr>
            <w:t>,
2026-02-20,
paskelbta TAR 2026-02-20, i. k. 2026-02859                </w:t>
          </w:r>
        </w:p>
        <w:p>
          <w:pPr>
            <w:jc w:val="both"/>
            <w:rPr>
              <w:rFonts w:ascii="Times New Roman" w:hAnsi="Times New Roman"/>
            </w:rPr>
          </w:pPr>
          <w:r>
            <w:rPr>
              <w:rFonts w:ascii="Times New Roman" w:hAnsi="Times New Roman"/>
              <w:sz w:val="20"/>
            </w:rPr>
            <w:t>Dėl Klaipėdos miesto savivaldybės administracijos direktoriaus 2025 m. lapkričio 28 d. įsakymo Nr. AD1-920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068bf0246111f1a552c76556910e9c">
            <w:r w:rsidRPr="00532B9F">
              <w:rPr>
                <w:rFonts w:ascii="Times New Roman" w:eastAsia="MS Mincho" w:hAnsi="Times New Roman"/>
                <w:sz w:val="20"/>
                <w:iCs/>
                <w:color w:val="0000FF" w:themeColor="hyperlink"/>
                <w:u w:val="single"/>
              </w:rPr>
              <w:t>AD1-227</w:t>
            </w:r>
          </w:fldSimple>
          <w:r>
            <w:rPr>
              <w:rFonts w:ascii="Times New Roman" w:eastAsia="MS Mincho" w:hAnsi="Times New Roman"/>
              <w:sz w:val="20"/>
              <w:iCs/>
            </w:rPr>
            <w:t>,
2026-03-20,
paskelbta TAR 2026-03-20, i. k. 2026-04425                </w:t>
          </w:r>
        </w:p>
        <w:p>
          <w:pPr>
            <w:jc w:val="both"/>
            <w:rPr>
              <w:rFonts w:ascii="Times New Roman" w:hAnsi="Times New Roman"/>
            </w:rPr>
          </w:pPr>
          <w:r>
            <w:rPr>
              <w:rFonts w:ascii="Times New Roman" w:hAnsi="Times New Roman"/>
              <w:sz w:val="20"/>
            </w:rPr>
            <w:t>Dėl Klaipėdos miesto savivaldybės administracijos direktoriaus 2025 m. lapkričio 28 d. įsakymo Nr. AD1-920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d04ec16326811f180c9c618618421ed">
            <w:r w:rsidRPr="00532B9F">
              <w:rPr>
                <w:rFonts w:ascii="Times New Roman" w:eastAsia="MS Mincho" w:hAnsi="Times New Roman"/>
                <w:sz w:val="20"/>
                <w:iCs/>
                <w:color w:val="0000FF" w:themeColor="hyperlink"/>
                <w:u w:val="single"/>
              </w:rPr>
              <w:t>AD1-263</w:t>
            </w:r>
          </w:fldSimple>
          <w:r>
            <w:rPr>
              <w:rFonts w:ascii="Times New Roman" w:eastAsia="MS Mincho" w:hAnsi="Times New Roman"/>
              <w:sz w:val="20"/>
              <w:iCs/>
            </w:rPr>
            <w:t>,
2026-04-07,
paskelbta TAR 2026-04-07, i. k. 2026-05670                </w:t>
          </w:r>
        </w:p>
        <w:p>
          <w:pPr>
            <w:jc w:val="both"/>
            <w:rPr>
              <w:rFonts w:ascii="Times New Roman" w:hAnsi="Times New Roman"/>
            </w:rPr>
          </w:pPr>
          <w:r>
            <w:rPr>
              <w:rFonts w:ascii="Times New Roman" w:hAnsi="Times New Roman"/>
              <w:sz w:val="20"/>
            </w:rPr>
            <w:t>Dėl Klaipėdos miesto savivaldybės administracijos direktoriaus 2025 m. lapkričio 28 d. įsakymo Nr. AD1-920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9" w:footer="145"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59" w:lineRule="auto"/>
      <w:rPr>
        <w:sz w:val="20"/>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59" w:lineRule="auto"/>
      <w:rPr>
        <w:sz w:val="22"/>
        <w:szCs w:val="22"/>
        <w:lang w:eastAsia="ko-KR"/>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11</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ko-KR"/>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9</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ko-KR"/>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ko-KR"/>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10"/>
  <w:proofState w:spelling="clean" w:grammar="clean"/>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45A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C8A1C0"/>
  <w15:docId w15:val="{F6521F8B-95F5-4CF1-869A-8F6DBDDEDC8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2.xml"/>
  <Relationship Id="rId14" Type="http://schemas.openxmlformats.org/officeDocument/2006/relationships/footer" Target="footer12.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0.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D1CAD17-C7B0-4589-B893-43DE4A8CE47E}"/>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45F5"/>
    <w:rsid w:val="004645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645F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717132b28c4633852bc032d83df2c7" PartId="d50ea1f925f04b86b370f554062fec77">
    <Part Type="preambule" DocPartId="5fa8281867e04e8392395a626eddf541" PartId="7b8285de2f6649689b3fcbf6f7077e58"/>
    <Part Type="punktas" Nr="1" Abbr="1 p." DocPartId="ba3dea9d1b9641919087e6e47f029a01" PartId="8aed104854ad41f883d3689e59a93778"/>
    <Part Type="punktas" Nr="2" Abbr="2 p." DocPartId="7ab7b19ec37241c6bc229cfad22d8ea8" PartId="52d4df3368bc492e840104dbc582664e"/>
    <Part Type="punktas" Nr="3" Abbr="3 p." DocPartId="d5594619dbc84725b44886730e23af4c" PartId="26a2971b2a6041d1b902e7fbd7ce0d71"/>
    <Part Type="punktas" Nr="4" Abbr="4 p." DocPartId="33e090e7a309402d98ef85d62e26b7df" PartId="140d7f4ea5354388ac06cfe5f83281e3"/>
    <Part Type="signatura" DocPartId="ec81ac90558642dc971388a40695063a" PartId="2dd5cb7049714924885cc8d70bc7b3af"/>
  </Part>
  <Part Type="patvirtinta" Title="KLAIPĖDOS MIESTO SAVIVALDYBĖS VIEŠŲJŲ VIETŲ PREKIAUTI IR TEIKTI PASLAUGAS NUO (IŠ) LAIKNŲJŲ ĮRENGINIŲ IŠDĖSTYMO ADRESŲ SĄRAŠAS" DocPartId="8ce4e54cf4524ffbbe827c16aa26889c" PartId="e31080e8c0d840cea83c558cab0d35d7">
    <Part Type="punktas" Nr="1" Abbr="1 p." DocPartId="676c840d1f504ce2b25a2af6d2dc9e03" PartId="13890bebbd2e4bdfad1dbde1b1939437"/>
    <Part Type="punktas" Nr="2" Abbr="2 p." DocPartId="484cab51f61c43198b8439e52c623696" PartId="67589ebacd844ded8c867a80e61d7685"/>
    <Part Type="punktas" Nr="3" Abbr="3 p." DocPartId="c5e6e89da0e54a5a8c284c165913bb34" PartId="94da1dcdb6ca42bf95c9d6ff795bd2f4"/>
    <Part Type="punktas" Nr="4" Abbr="4 p." DocPartId="13992869ee1d40f1a01ae0413762b0f9" PartId="02335a7e5686484e9ba9169f645c729c"/>
    <Part Type="punktas" Nr="5" Abbr="5 p." DocPartId="41fa8953e4184d1fb79c8deca742afa0" PartId="526c74f77bf8473a81dee2047e945d91"/>
    <Part Type="punktas" Nr="6" Abbr="6 p." DocPartId="6f8d6df98647425e850f3c1fefa80f33" PartId="f036a45198264e938b483f56de64e8c2"/>
    <Part Type="punktas" Nr="7" Abbr="7 p." DocPartId="1de7221e67c347c1817f8b556e564413" PartId="07d0b798c90642daa20b8b76db2838ed"/>
    <Part Type="punktas" Nr="8" Abbr="8 p." DocPartId="30f7c89d515946c4a25a902ea143f34e" PartId="0276b9d1b9b74c61ad4da89c14d08e94"/>
    <Part Type="punktas" Nr="9" Abbr="9 p." DocPartId="7ba32fea86994a31b7b0313e85a18dc5" PartId="bbd336e3f1a34578b0e7da3626a382fb"/>
    <Part Type="punktas" Nr="10" Abbr="10 p." DocPartId="2c11a17a61f441419d4a83ef0b05f1c9" PartId="863b03121dee438b93c0aa4d49638701"/>
    <Part Type="punktas" Nr="11" Abbr="11 p." DocPartId="b94a4a23a67e42369e73569c9fa32e2e" PartId="73a016e0d18f4468966f6867b1521aff"/>
    <Part Type="punktas" Nr="12" Abbr="12 p." DocPartId="90c5881c4c6e458abc7327339ad3e05b" PartId="02815c2b8a5644ac8356b194e76316f6"/>
    <Part Type="punktas" Nr="13" Abbr="13 p." DocPartId="bb8b24ebe98a4beebadc3cf324e14178" PartId="7a1549c7f333497dbb5f92eb6ecfba29"/>
    <Part Type="punktas" Nr="14" Abbr="14 p." DocPartId="db89fc822dd4469a93e351d136296d6a" PartId="7b88701cc30e45f7a65e1e6470ad87d2"/>
    <Part Type="punktas" Nr="15" Abbr="15 p." DocPartId="b6c405462fb743adbc120d1838796d1b" PartId="d285cea322f34b96a8a994bacdb94c78"/>
    <Part Type="punktas" Nr="16" Abbr="16 p." DocPartId="7f06ba36052d4c598d600b364d6efe69" PartId="497d521da1b1446e9b79690c6f898863"/>
    <Part Type="punktas" Nr="17" Abbr="17 p." DocPartId="92e85db2a9fe4508ab3762309c57a00b" PartId="bedf82d4e326418c895e8a7637e885ae"/>
    <Part Type="punktas" Nr="18" Abbr="18 p." DocPartId="0f66f4c246934751997466bad613448f" PartId="9821d7d771bd4fb2bd429e0cc9853586"/>
  </Part>
</Parts>
</file>

<file path=customXml/itemProps1.xml><?xml version="1.0" encoding="utf-8"?>
<ds:datastoreItem xmlns:ds="http://schemas.openxmlformats.org/officeDocument/2006/customXml" ds:itemID="{A9FB976E-FE4A-416B-A8DB-687B17EA1DA2}">
  <ds:schemaRefs>
    <ds:schemaRef ds:uri="http://lrs.lt/TAIS/DocParts"/>
  </ds:schemaRefs>
</ds:datastoreItem>
</file>

<file path=docProps/app.xml><?xml version="1.0" encoding="utf-8"?>
<Properties xmlns="http://schemas.openxmlformats.org/officeDocument/2006/extended-properties">
  <Template>Normal</Template>
  <TotalTime>6</TotalTime>
  <Pages>11</Pages>
  <Words>14692</Words>
  <Characters>8375</Characters>
  <Application>Microsoft Office Word</Application>
  <DocSecurity>0</DocSecurity>
  <Lines>69</Lines>
  <Paragraphs>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&lt;Data&gt;  Nr</vt:lpstr>
      <vt:lpstr>&lt;Data&gt;  Nr</vt:lpstr>
    </vt:vector>
  </TitlesOfParts>
  <Company>SINTAGMA</Company>
  <LinksUpToDate>false</LinksUpToDate>
  <CharactersWithSpaces>23021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2026-02-23T18:30:00Z</dcterms:created>
  <dc:creator>-</dc:creator>
  <lastModifiedBy>PAPINIGIENĖ Augustė</lastModifiedBy>
  <dcterms:modified xsi:type="dcterms:W3CDTF">2026-04-13T07:04:00Z</dcterms:modified>
  <revision>8</revision>
  <dc:title>&lt;Data&gt; Nr</dc:title>
</coreProperties>
</file>